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6FF887">
      <w:pPr>
        <w:snapToGrid w:val="0"/>
        <w:spacing w:line="240" w:lineRule="auto"/>
        <w:ind w:left="0" w:leftChars="0" w:firstLine="0" w:firstLineChars="0"/>
        <w:rPr>
          <w:color w:val="auto"/>
        </w:rPr>
      </w:pPr>
      <w:r>
        <w:rPr>
          <w:rFonts w:hint="eastAsia" w:eastAsia="宋体"/>
          <w:b/>
          <w:color w:val="auto"/>
          <w:sz w:val="52"/>
          <w:szCs w:val="52"/>
          <w:lang w:eastAsia="zh-CN"/>
        </w:rPr>
        <w:drawing>
          <wp:inline distT="0" distB="0" distL="114300" distR="114300">
            <wp:extent cx="6187440" cy="8745220"/>
            <wp:effectExtent l="0" t="0" r="0" b="2540"/>
            <wp:docPr id="116" name="图片 116" descr="封面+资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封面+资质_01"/>
                    <pic:cNvPicPr>
                      <a:picLocks noChangeAspect="1"/>
                    </pic:cNvPicPr>
                  </pic:nvPicPr>
                  <pic:blipFill>
                    <a:blip r:embed="rId10"/>
                    <a:stretch>
                      <a:fillRect/>
                    </a:stretch>
                  </pic:blipFill>
                  <pic:spPr>
                    <a:xfrm>
                      <a:off x="0" y="0"/>
                      <a:ext cx="6187440" cy="8745220"/>
                    </a:xfrm>
                    <a:prstGeom prst="rect">
                      <a:avLst/>
                    </a:prstGeom>
                  </pic:spPr>
                </pic:pic>
              </a:graphicData>
            </a:graphic>
          </wp:inline>
        </w:drawing>
      </w:r>
      <w:r>
        <w:rPr>
          <w:rFonts w:hint="eastAsia" w:eastAsia="宋体"/>
          <w:b/>
          <w:color w:val="auto"/>
          <w:sz w:val="52"/>
          <w:szCs w:val="52"/>
          <w:lang w:eastAsia="zh-CN"/>
        </w:rPr>
        <w:drawing>
          <wp:inline distT="0" distB="0" distL="114300" distR="114300">
            <wp:extent cx="6187440" cy="8745220"/>
            <wp:effectExtent l="0" t="0" r="0" b="2540"/>
            <wp:docPr id="115" name="图片 115" descr="封面+资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封面+资质_02"/>
                    <pic:cNvPicPr>
                      <a:picLocks noChangeAspect="1"/>
                    </pic:cNvPicPr>
                  </pic:nvPicPr>
                  <pic:blipFill>
                    <a:blip r:embed="rId11"/>
                    <a:stretch>
                      <a:fillRect/>
                    </a:stretch>
                  </pic:blipFill>
                  <pic:spPr>
                    <a:xfrm>
                      <a:off x="0" y="0"/>
                      <a:ext cx="6187440" cy="8745220"/>
                    </a:xfrm>
                    <a:prstGeom prst="rect">
                      <a:avLst/>
                    </a:prstGeom>
                  </pic:spPr>
                </pic:pic>
              </a:graphicData>
            </a:graphic>
          </wp:inline>
        </w:drawing>
      </w:r>
    </w:p>
    <w:p w14:paraId="6E81439E">
      <w:pPr>
        <w:spacing w:line="500" w:lineRule="exact"/>
        <w:ind w:firstLine="560"/>
        <w:jc w:val="center"/>
        <w:rPr>
          <w:color w:val="auto"/>
          <w:sz w:val="28"/>
          <w:szCs w:val="28"/>
        </w:rPr>
        <w:sectPr>
          <w:headerReference r:id="rId5" w:type="default"/>
          <w:footerReference r:id="rId6" w:type="default"/>
          <w:pgSz w:w="11907" w:h="16840"/>
          <w:pgMar w:top="1440" w:right="1080" w:bottom="1440" w:left="1080" w:header="964" w:footer="720" w:gutter="0"/>
          <w:pgBorders w:offsetFrom="page">
            <w:top w:val="none" w:sz="0" w:space="0"/>
            <w:left w:val="none" w:sz="0" w:space="0"/>
            <w:bottom w:val="none" w:sz="0" w:space="0"/>
            <w:right w:val="none" w:sz="0" w:space="0"/>
          </w:pgBorders>
          <w:pgNumType w:start="1"/>
          <w:cols w:space="720" w:num="1"/>
          <w:docGrid w:type="linesAndChars" w:linePitch="312" w:charSpace="0"/>
        </w:sectPr>
      </w:pPr>
    </w:p>
    <w:p w14:paraId="04B8F617">
      <w:pPr>
        <w:pStyle w:val="4"/>
        <w:spacing w:before="0" w:after="0"/>
        <w:rPr>
          <w:rFonts w:eastAsia="宋体"/>
          <w:color w:val="auto"/>
        </w:rPr>
      </w:pPr>
      <w:r>
        <w:rPr>
          <w:rFonts w:eastAsia="宋体"/>
          <w:color w:val="auto"/>
        </w:rPr>
        <w:t>一、建设项目基本情况</w:t>
      </w:r>
    </w:p>
    <w:tbl>
      <w:tblPr>
        <w:tblStyle w:val="17"/>
        <w:tblW w:w="503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71"/>
        <w:gridCol w:w="1123"/>
        <w:gridCol w:w="3463"/>
        <w:gridCol w:w="1422"/>
        <w:gridCol w:w="3546"/>
      </w:tblGrid>
      <w:tr w14:paraId="47EBC6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pct"/>
            <w:gridSpan w:val="2"/>
            <w:noWrap w:val="0"/>
            <w:vAlign w:val="center"/>
          </w:tcPr>
          <w:p w14:paraId="61693AAA">
            <w:pPr>
              <w:spacing w:line="240" w:lineRule="auto"/>
              <w:ind w:firstLine="0" w:firstLineChars="0"/>
              <w:jc w:val="center"/>
              <w:rPr>
                <w:color w:val="auto"/>
                <w:sz w:val="24"/>
                <w:szCs w:val="24"/>
              </w:rPr>
            </w:pPr>
            <w:r>
              <w:rPr>
                <w:b/>
                <w:bCs/>
                <w:color w:val="auto"/>
                <w:sz w:val="24"/>
                <w:szCs w:val="24"/>
              </w:rPr>
              <w:t>项目名称</w:t>
            </w:r>
          </w:p>
        </w:tc>
        <w:tc>
          <w:tcPr>
            <w:tcW w:w="4204" w:type="pct"/>
            <w:gridSpan w:val="3"/>
            <w:noWrap w:val="0"/>
            <w:vAlign w:val="center"/>
          </w:tcPr>
          <w:p w14:paraId="09D1E3E3">
            <w:pPr>
              <w:spacing w:line="240" w:lineRule="auto"/>
              <w:ind w:firstLine="0" w:firstLineChars="0"/>
              <w:jc w:val="center"/>
              <w:rPr>
                <w:rFonts w:hint="eastAsia" w:eastAsia="宋体"/>
                <w:color w:val="auto"/>
                <w:sz w:val="24"/>
                <w:szCs w:val="24"/>
                <w:lang w:eastAsia="zh-CN"/>
              </w:rPr>
            </w:pPr>
            <w:r>
              <w:rPr>
                <w:rFonts w:hint="eastAsia"/>
                <w:color w:val="auto"/>
                <w:sz w:val="24"/>
                <w:szCs w:val="24"/>
                <w:lang w:eastAsia="zh-CN"/>
              </w:rPr>
              <w:t>年产150万套吻合器零配件、50万套电器零配件生产项目</w:t>
            </w:r>
          </w:p>
        </w:tc>
      </w:tr>
      <w:tr w14:paraId="1DE6AD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pct"/>
            <w:gridSpan w:val="2"/>
            <w:noWrap w:val="0"/>
            <w:vAlign w:val="center"/>
          </w:tcPr>
          <w:p w14:paraId="3C2D38B9">
            <w:pPr>
              <w:spacing w:line="240" w:lineRule="auto"/>
              <w:ind w:firstLine="0" w:firstLineChars="0"/>
              <w:jc w:val="center"/>
              <w:rPr>
                <w:b/>
                <w:bCs/>
                <w:color w:val="auto"/>
                <w:sz w:val="24"/>
                <w:szCs w:val="24"/>
              </w:rPr>
            </w:pPr>
            <w:r>
              <w:rPr>
                <w:b/>
                <w:bCs/>
                <w:color w:val="auto"/>
                <w:sz w:val="24"/>
                <w:szCs w:val="24"/>
              </w:rPr>
              <w:t>项目代码</w:t>
            </w:r>
          </w:p>
        </w:tc>
        <w:tc>
          <w:tcPr>
            <w:tcW w:w="4204" w:type="pct"/>
            <w:gridSpan w:val="3"/>
            <w:noWrap w:val="0"/>
            <w:vAlign w:val="center"/>
          </w:tcPr>
          <w:p w14:paraId="2689EE1F">
            <w:pPr>
              <w:spacing w:line="240" w:lineRule="auto"/>
              <w:ind w:firstLine="0" w:firstLineChars="0"/>
              <w:jc w:val="center"/>
              <w:rPr>
                <w:rFonts w:hint="eastAsia" w:eastAsia="宋体"/>
                <w:color w:val="auto"/>
                <w:sz w:val="24"/>
                <w:szCs w:val="24"/>
                <w:lang w:eastAsia="zh-CN"/>
              </w:rPr>
            </w:pPr>
            <w:r>
              <w:rPr>
                <w:rFonts w:hint="eastAsia"/>
                <w:color w:val="auto"/>
                <w:sz w:val="24"/>
                <w:szCs w:val="24"/>
                <w:highlight w:val="none"/>
                <w:lang w:eastAsia="zh-CN"/>
              </w:rPr>
              <w:t>2510-320458-89-01-278106</w:t>
            </w:r>
          </w:p>
        </w:tc>
      </w:tr>
      <w:tr w14:paraId="0D6140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pct"/>
            <w:gridSpan w:val="2"/>
            <w:noWrap w:val="0"/>
            <w:vAlign w:val="center"/>
          </w:tcPr>
          <w:p w14:paraId="54721DDF">
            <w:pPr>
              <w:spacing w:line="240" w:lineRule="auto"/>
              <w:ind w:firstLine="0" w:firstLineChars="0"/>
              <w:jc w:val="center"/>
              <w:rPr>
                <w:b/>
                <w:bCs/>
                <w:color w:val="auto"/>
                <w:sz w:val="24"/>
                <w:szCs w:val="24"/>
              </w:rPr>
            </w:pPr>
            <w:r>
              <w:rPr>
                <w:b/>
                <w:bCs/>
                <w:color w:val="auto"/>
                <w:sz w:val="24"/>
                <w:szCs w:val="24"/>
              </w:rPr>
              <w:t>建设单位联系人</w:t>
            </w:r>
          </w:p>
        </w:tc>
        <w:tc>
          <w:tcPr>
            <w:tcW w:w="1727" w:type="pct"/>
            <w:noWrap w:val="0"/>
            <w:vAlign w:val="center"/>
          </w:tcPr>
          <w:p w14:paraId="11446893">
            <w:pPr>
              <w:spacing w:line="240" w:lineRule="auto"/>
              <w:ind w:firstLine="0" w:firstLineChars="0"/>
              <w:jc w:val="center"/>
              <w:rPr>
                <w:rFonts w:hint="default" w:eastAsia="宋体"/>
                <w:b w:val="0"/>
                <w:bCs w:val="0"/>
                <w:color w:val="auto"/>
                <w:sz w:val="24"/>
                <w:szCs w:val="24"/>
                <w:lang w:val="en-US" w:eastAsia="zh-CN"/>
              </w:rPr>
            </w:pPr>
            <w:r>
              <w:rPr>
                <w:rFonts w:hint="eastAsia"/>
                <w:b w:val="0"/>
                <w:bCs w:val="0"/>
                <w:color w:val="auto"/>
                <w:sz w:val="24"/>
                <w:szCs w:val="24"/>
                <w:highlight w:val="none"/>
                <w:lang w:val="en-US" w:eastAsia="zh-CN"/>
              </w:rPr>
              <w:t>***</w:t>
            </w:r>
          </w:p>
        </w:tc>
        <w:tc>
          <w:tcPr>
            <w:tcW w:w="709" w:type="pct"/>
            <w:noWrap w:val="0"/>
            <w:vAlign w:val="center"/>
          </w:tcPr>
          <w:p w14:paraId="5CE24BD0">
            <w:pPr>
              <w:spacing w:line="240" w:lineRule="auto"/>
              <w:ind w:firstLine="0" w:firstLineChars="0"/>
              <w:jc w:val="center"/>
              <w:rPr>
                <w:b/>
                <w:bCs/>
                <w:color w:val="auto"/>
                <w:sz w:val="24"/>
                <w:szCs w:val="24"/>
              </w:rPr>
            </w:pPr>
            <w:r>
              <w:rPr>
                <w:b/>
                <w:bCs/>
                <w:color w:val="auto"/>
                <w:sz w:val="24"/>
                <w:szCs w:val="24"/>
              </w:rPr>
              <w:t>联系方式</w:t>
            </w:r>
          </w:p>
        </w:tc>
        <w:tc>
          <w:tcPr>
            <w:tcW w:w="1768" w:type="pct"/>
            <w:noWrap w:val="0"/>
            <w:vAlign w:val="center"/>
          </w:tcPr>
          <w:p w14:paraId="29E61203">
            <w:pPr>
              <w:spacing w:line="240" w:lineRule="auto"/>
              <w:ind w:firstLine="0" w:firstLineChars="0"/>
              <w:jc w:val="center"/>
              <w:rPr>
                <w:rFonts w:hint="default" w:eastAsia="宋体"/>
                <w:color w:val="auto"/>
                <w:sz w:val="24"/>
                <w:szCs w:val="24"/>
                <w:lang w:val="en-US" w:eastAsia="zh-CN"/>
              </w:rPr>
            </w:pPr>
            <w:r>
              <w:rPr>
                <w:rFonts w:hint="eastAsia" w:cs="Times New Roman"/>
                <w:color w:val="auto"/>
                <w:sz w:val="24"/>
                <w:highlight w:val="none"/>
                <w:lang w:val="en-US" w:eastAsia="zh-CN"/>
              </w:rPr>
              <w:t>******</w:t>
            </w:r>
          </w:p>
        </w:tc>
      </w:tr>
      <w:tr w14:paraId="78123A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pct"/>
            <w:gridSpan w:val="2"/>
            <w:noWrap w:val="0"/>
            <w:vAlign w:val="center"/>
          </w:tcPr>
          <w:p w14:paraId="758256A3">
            <w:pPr>
              <w:spacing w:line="240" w:lineRule="auto"/>
              <w:ind w:firstLine="0" w:firstLineChars="0"/>
              <w:jc w:val="center"/>
              <w:rPr>
                <w:b/>
                <w:bCs/>
                <w:color w:val="auto"/>
                <w:sz w:val="24"/>
                <w:szCs w:val="24"/>
              </w:rPr>
            </w:pPr>
            <w:r>
              <w:rPr>
                <w:b/>
                <w:bCs/>
                <w:color w:val="auto"/>
                <w:sz w:val="24"/>
                <w:szCs w:val="24"/>
              </w:rPr>
              <w:t>建设地点</w:t>
            </w:r>
          </w:p>
        </w:tc>
        <w:tc>
          <w:tcPr>
            <w:tcW w:w="4204" w:type="pct"/>
            <w:gridSpan w:val="3"/>
            <w:noWrap w:val="0"/>
            <w:vAlign w:val="center"/>
          </w:tcPr>
          <w:p w14:paraId="4ED16D6A">
            <w:pPr>
              <w:spacing w:line="240" w:lineRule="auto"/>
              <w:ind w:firstLine="0" w:firstLineChars="0"/>
              <w:jc w:val="center"/>
              <w:rPr>
                <w:color w:val="auto"/>
                <w:sz w:val="24"/>
                <w:szCs w:val="24"/>
              </w:rPr>
            </w:pPr>
            <w:r>
              <w:rPr>
                <w:rFonts w:hint="default" w:ascii="Times New Roman" w:hAnsi="Times New Roman" w:eastAsia="宋体" w:cs="Times New Roman"/>
                <w:color w:val="auto"/>
                <w:sz w:val="24"/>
                <w:szCs w:val="24"/>
                <w:highlight w:val="none"/>
                <w:u w:val="single"/>
              </w:rPr>
              <w:t>江苏</w:t>
            </w:r>
            <w:r>
              <w:rPr>
                <w:rFonts w:hint="default" w:ascii="Times New Roman" w:hAnsi="Times New Roman" w:eastAsia="宋体" w:cs="Times New Roman"/>
                <w:color w:val="auto"/>
                <w:sz w:val="24"/>
                <w:szCs w:val="24"/>
                <w:highlight w:val="none"/>
              </w:rPr>
              <w:t>省</w:t>
            </w:r>
            <w:r>
              <w:rPr>
                <w:rFonts w:hint="default" w:ascii="Times New Roman" w:hAnsi="Times New Roman" w:eastAsia="宋体" w:cs="Times New Roman"/>
                <w:color w:val="auto"/>
                <w:sz w:val="24"/>
                <w:szCs w:val="24"/>
                <w:highlight w:val="none"/>
                <w:u w:val="single"/>
              </w:rPr>
              <w:t>常州</w:t>
            </w:r>
            <w:r>
              <w:rPr>
                <w:rFonts w:hint="default" w:ascii="Times New Roman" w:hAnsi="Times New Roman" w:eastAsia="宋体" w:cs="Times New Roman"/>
                <w:color w:val="auto"/>
                <w:sz w:val="24"/>
                <w:szCs w:val="24"/>
                <w:highlight w:val="none"/>
              </w:rPr>
              <w:t>市</w:t>
            </w:r>
            <w:r>
              <w:rPr>
                <w:rFonts w:hint="default" w:ascii="Times New Roman" w:hAnsi="Times New Roman" w:eastAsia="宋体" w:cs="Times New Roman"/>
                <w:color w:val="auto"/>
                <w:sz w:val="24"/>
                <w:szCs w:val="24"/>
                <w:highlight w:val="none"/>
                <w:u w:val="single"/>
              </w:rPr>
              <w:t>金坛</w:t>
            </w:r>
            <w:r>
              <w:rPr>
                <w:rFonts w:hint="default" w:ascii="Times New Roman" w:hAnsi="Times New Roman" w:eastAsia="宋体" w:cs="Times New Roman"/>
                <w:color w:val="auto"/>
                <w:sz w:val="24"/>
                <w:szCs w:val="24"/>
                <w:highlight w:val="none"/>
              </w:rPr>
              <w:t>区</w:t>
            </w:r>
            <w:r>
              <w:rPr>
                <w:rFonts w:hint="eastAsia" w:cs="Times New Roman"/>
                <w:color w:val="auto"/>
                <w:sz w:val="24"/>
                <w:szCs w:val="24"/>
                <w:highlight w:val="none"/>
                <w:u w:val="single"/>
                <w:lang w:val="en-US" w:eastAsia="zh-CN"/>
              </w:rPr>
              <w:t>金坛经济开发区珠山路66号</w:t>
            </w:r>
          </w:p>
        </w:tc>
      </w:tr>
      <w:tr w14:paraId="5622F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pct"/>
            <w:gridSpan w:val="2"/>
            <w:noWrap w:val="0"/>
            <w:vAlign w:val="center"/>
          </w:tcPr>
          <w:p w14:paraId="0EB5BB33">
            <w:pPr>
              <w:spacing w:line="240" w:lineRule="auto"/>
              <w:ind w:firstLine="0" w:firstLineChars="0"/>
              <w:jc w:val="center"/>
              <w:rPr>
                <w:b/>
                <w:bCs/>
                <w:color w:val="auto"/>
                <w:sz w:val="24"/>
                <w:szCs w:val="24"/>
              </w:rPr>
            </w:pPr>
            <w:r>
              <w:rPr>
                <w:b/>
                <w:bCs/>
                <w:color w:val="auto"/>
                <w:sz w:val="24"/>
                <w:szCs w:val="24"/>
              </w:rPr>
              <w:t>地理坐标</w:t>
            </w:r>
          </w:p>
        </w:tc>
        <w:tc>
          <w:tcPr>
            <w:tcW w:w="4204" w:type="pct"/>
            <w:gridSpan w:val="3"/>
            <w:noWrap w:val="0"/>
            <w:vAlign w:val="center"/>
          </w:tcPr>
          <w:p w14:paraId="738BAFA4">
            <w:pPr>
              <w:spacing w:line="240" w:lineRule="auto"/>
              <w:ind w:firstLine="0" w:firstLineChars="0"/>
              <w:jc w:val="center"/>
              <w:rPr>
                <w:color w:val="auto"/>
                <w:sz w:val="24"/>
                <w:szCs w:val="24"/>
              </w:rPr>
            </w:pPr>
            <w:r>
              <w:rPr>
                <w:color w:val="auto"/>
                <w:sz w:val="24"/>
                <w:szCs w:val="24"/>
              </w:rPr>
              <w:t>（119度</w:t>
            </w:r>
            <w:r>
              <w:rPr>
                <w:rFonts w:hint="eastAsia"/>
                <w:color w:val="auto"/>
                <w:sz w:val="24"/>
                <w:szCs w:val="24"/>
                <w:lang w:val="en-US" w:eastAsia="zh-CN"/>
              </w:rPr>
              <w:t>39</w:t>
            </w:r>
            <w:r>
              <w:rPr>
                <w:color w:val="auto"/>
                <w:sz w:val="24"/>
                <w:szCs w:val="24"/>
              </w:rPr>
              <w:t>分</w:t>
            </w:r>
            <w:r>
              <w:rPr>
                <w:rFonts w:hint="eastAsia"/>
                <w:color w:val="auto"/>
                <w:sz w:val="24"/>
                <w:szCs w:val="24"/>
                <w:lang w:val="en-US" w:eastAsia="zh-CN"/>
              </w:rPr>
              <w:t>57.089</w:t>
            </w:r>
            <w:r>
              <w:rPr>
                <w:color w:val="auto"/>
                <w:sz w:val="24"/>
                <w:szCs w:val="24"/>
              </w:rPr>
              <w:t>秒，31度</w:t>
            </w:r>
            <w:r>
              <w:rPr>
                <w:rFonts w:hint="eastAsia"/>
                <w:color w:val="auto"/>
                <w:sz w:val="24"/>
                <w:szCs w:val="24"/>
                <w:lang w:val="en-US" w:eastAsia="zh-CN"/>
              </w:rPr>
              <w:t>43</w:t>
            </w:r>
            <w:r>
              <w:rPr>
                <w:color w:val="auto"/>
                <w:sz w:val="24"/>
                <w:szCs w:val="24"/>
              </w:rPr>
              <w:t>分</w:t>
            </w:r>
            <w:r>
              <w:rPr>
                <w:rFonts w:hint="eastAsia"/>
                <w:color w:val="auto"/>
                <w:sz w:val="24"/>
                <w:szCs w:val="24"/>
                <w:lang w:val="en-US" w:eastAsia="zh-CN"/>
              </w:rPr>
              <w:t>36.095秒</w:t>
            </w:r>
            <w:r>
              <w:rPr>
                <w:color w:val="auto"/>
                <w:sz w:val="24"/>
                <w:szCs w:val="24"/>
              </w:rPr>
              <w:t>）</w:t>
            </w:r>
          </w:p>
        </w:tc>
      </w:tr>
      <w:tr w14:paraId="789DD5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pct"/>
            <w:gridSpan w:val="2"/>
            <w:noWrap w:val="0"/>
            <w:vAlign w:val="center"/>
          </w:tcPr>
          <w:p w14:paraId="13EA7189">
            <w:pPr>
              <w:spacing w:line="240" w:lineRule="auto"/>
              <w:ind w:firstLine="0" w:firstLineChars="0"/>
              <w:jc w:val="center"/>
              <w:rPr>
                <w:b/>
                <w:bCs/>
                <w:color w:val="auto"/>
                <w:sz w:val="24"/>
                <w:szCs w:val="24"/>
              </w:rPr>
            </w:pPr>
            <w:r>
              <w:rPr>
                <w:b/>
                <w:bCs/>
                <w:color w:val="auto"/>
                <w:sz w:val="24"/>
                <w:szCs w:val="24"/>
              </w:rPr>
              <w:t>国民经济</w:t>
            </w:r>
          </w:p>
          <w:p w14:paraId="59ACCD9A">
            <w:pPr>
              <w:spacing w:line="240" w:lineRule="auto"/>
              <w:ind w:firstLine="0" w:firstLineChars="0"/>
              <w:jc w:val="center"/>
              <w:rPr>
                <w:b/>
                <w:bCs/>
                <w:color w:val="auto"/>
                <w:sz w:val="24"/>
                <w:szCs w:val="24"/>
              </w:rPr>
            </w:pPr>
            <w:r>
              <w:rPr>
                <w:b/>
                <w:bCs/>
                <w:color w:val="auto"/>
                <w:sz w:val="24"/>
                <w:szCs w:val="24"/>
              </w:rPr>
              <w:t>行业类别</w:t>
            </w:r>
          </w:p>
        </w:tc>
        <w:tc>
          <w:tcPr>
            <w:tcW w:w="1727" w:type="pct"/>
            <w:noWrap w:val="0"/>
            <w:vAlign w:val="center"/>
          </w:tcPr>
          <w:p w14:paraId="7EC93772">
            <w:pPr>
              <w:widowControl/>
              <w:spacing w:line="240" w:lineRule="auto"/>
              <w:ind w:firstLine="0" w:firstLineChars="0"/>
              <w:jc w:val="center"/>
              <w:rPr>
                <w:rFonts w:hint="eastAsia" w:eastAsia="宋体"/>
                <w:color w:val="auto"/>
                <w:sz w:val="24"/>
                <w:szCs w:val="24"/>
                <w:lang w:eastAsia="zh-CN"/>
              </w:rPr>
            </w:pPr>
            <w:r>
              <w:rPr>
                <w:rFonts w:hint="eastAsia" w:eastAsia="宋体"/>
                <w:color w:val="auto"/>
                <w:sz w:val="24"/>
                <w:szCs w:val="24"/>
                <w:lang w:val="en-US" w:eastAsia="zh-CN"/>
              </w:rPr>
              <w:t>[</w:t>
            </w:r>
            <w:r>
              <w:rPr>
                <w:rFonts w:hint="eastAsia" w:eastAsia="宋体"/>
                <w:color w:val="auto"/>
                <w:sz w:val="24"/>
                <w:szCs w:val="24"/>
                <w:lang w:eastAsia="zh-CN"/>
              </w:rPr>
              <w:t>C2</w:t>
            </w:r>
            <w:r>
              <w:rPr>
                <w:rFonts w:hint="eastAsia"/>
                <w:color w:val="auto"/>
                <w:sz w:val="24"/>
                <w:szCs w:val="24"/>
                <w:lang w:val="en-US" w:eastAsia="zh-CN"/>
              </w:rPr>
              <w:t>929</w:t>
            </w:r>
            <w:r>
              <w:rPr>
                <w:rFonts w:hint="eastAsia" w:eastAsia="宋体"/>
                <w:color w:val="auto"/>
                <w:sz w:val="24"/>
                <w:szCs w:val="24"/>
                <w:lang w:val="en-US" w:eastAsia="zh-CN"/>
              </w:rPr>
              <w:t>]塑料零件及其他塑料制品制造</w:t>
            </w:r>
            <w:r>
              <w:rPr>
                <w:rFonts w:hint="eastAsia"/>
                <w:color w:val="auto"/>
                <w:sz w:val="24"/>
                <w:szCs w:val="24"/>
                <w:lang w:val="en-US" w:eastAsia="zh-CN"/>
              </w:rPr>
              <w:t>、</w:t>
            </w:r>
            <w:r>
              <w:rPr>
                <w:rFonts w:hint="eastAsia" w:eastAsia="宋体"/>
                <w:color w:val="auto"/>
                <w:sz w:val="24"/>
                <w:szCs w:val="24"/>
                <w:lang w:val="en-US" w:eastAsia="zh-CN"/>
              </w:rPr>
              <w:t>[</w:t>
            </w:r>
            <w:r>
              <w:rPr>
                <w:rFonts w:hint="eastAsia" w:eastAsia="宋体"/>
                <w:color w:val="auto"/>
                <w:sz w:val="24"/>
                <w:szCs w:val="24"/>
                <w:lang w:eastAsia="zh-CN"/>
              </w:rPr>
              <w:t>C</w:t>
            </w:r>
            <w:r>
              <w:rPr>
                <w:rFonts w:hint="eastAsia"/>
                <w:color w:val="auto"/>
                <w:sz w:val="24"/>
                <w:szCs w:val="24"/>
                <w:lang w:val="en-US" w:eastAsia="zh-CN"/>
              </w:rPr>
              <w:t>3584</w:t>
            </w:r>
            <w:r>
              <w:rPr>
                <w:rFonts w:hint="eastAsia" w:eastAsia="宋体"/>
                <w:color w:val="auto"/>
                <w:sz w:val="24"/>
                <w:szCs w:val="24"/>
                <w:lang w:val="en-US" w:eastAsia="zh-CN"/>
              </w:rPr>
              <w:t>]医疗、外科及兽医用器械制造</w:t>
            </w:r>
          </w:p>
        </w:tc>
        <w:tc>
          <w:tcPr>
            <w:tcW w:w="709" w:type="pct"/>
            <w:noWrap w:val="0"/>
            <w:vAlign w:val="center"/>
          </w:tcPr>
          <w:p w14:paraId="0E91F626">
            <w:pPr>
              <w:spacing w:line="240" w:lineRule="auto"/>
              <w:ind w:firstLine="0" w:firstLineChars="0"/>
              <w:jc w:val="center"/>
              <w:rPr>
                <w:b/>
                <w:bCs/>
                <w:color w:val="auto"/>
                <w:sz w:val="24"/>
                <w:szCs w:val="24"/>
              </w:rPr>
            </w:pPr>
            <w:r>
              <w:rPr>
                <w:b/>
                <w:bCs/>
                <w:color w:val="auto"/>
                <w:sz w:val="24"/>
                <w:szCs w:val="24"/>
              </w:rPr>
              <w:t>建设项目</w:t>
            </w:r>
          </w:p>
          <w:p w14:paraId="678C1EB2">
            <w:pPr>
              <w:spacing w:line="240" w:lineRule="auto"/>
              <w:ind w:firstLine="0" w:firstLineChars="0"/>
              <w:jc w:val="center"/>
              <w:rPr>
                <w:color w:val="auto"/>
                <w:sz w:val="24"/>
                <w:szCs w:val="24"/>
              </w:rPr>
            </w:pPr>
            <w:r>
              <w:rPr>
                <w:b/>
                <w:bCs/>
                <w:color w:val="auto"/>
                <w:sz w:val="24"/>
                <w:szCs w:val="24"/>
              </w:rPr>
              <w:t>行业类别</w:t>
            </w:r>
          </w:p>
        </w:tc>
        <w:tc>
          <w:tcPr>
            <w:tcW w:w="1768" w:type="pct"/>
            <w:noWrap w:val="0"/>
            <w:vAlign w:val="center"/>
          </w:tcPr>
          <w:p w14:paraId="66B4B7A1">
            <w:pPr>
              <w:widowControl/>
              <w:spacing w:line="240" w:lineRule="auto"/>
              <w:ind w:firstLine="0" w:firstLineChars="0"/>
              <w:jc w:val="center"/>
              <w:rPr>
                <w:color w:val="auto"/>
                <w:sz w:val="24"/>
                <w:szCs w:val="24"/>
              </w:rPr>
            </w:pPr>
            <w:r>
              <w:rPr>
                <w:rFonts w:hint="default" w:ascii="Times New Roman" w:hAnsi="Times New Roman" w:eastAsia="宋体" w:cs="Times New Roman"/>
                <w:color w:val="auto"/>
                <w:sz w:val="24"/>
              </w:rPr>
              <w:t>二十六、橡胶和塑料制品业2</w:t>
            </w:r>
            <w:r>
              <w:rPr>
                <w:rFonts w:hint="eastAsia" w:cs="Times New Roman"/>
                <w:color w:val="auto"/>
                <w:sz w:val="24"/>
                <w:lang w:val="en-US" w:eastAsia="zh-CN"/>
              </w:rPr>
              <w:t>9、塑料制品业292-其他（年用非溶剂型低VOCs含量涂料10吨以下的除外）</w:t>
            </w:r>
          </w:p>
        </w:tc>
      </w:tr>
      <w:tr w14:paraId="4EE355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pct"/>
            <w:gridSpan w:val="2"/>
            <w:noWrap w:val="0"/>
            <w:vAlign w:val="center"/>
          </w:tcPr>
          <w:p w14:paraId="04A58E62">
            <w:pPr>
              <w:spacing w:line="240" w:lineRule="auto"/>
              <w:ind w:firstLine="0" w:firstLineChars="0"/>
              <w:jc w:val="center"/>
              <w:rPr>
                <w:b/>
                <w:bCs/>
                <w:color w:val="auto"/>
                <w:sz w:val="24"/>
                <w:szCs w:val="24"/>
              </w:rPr>
            </w:pPr>
            <w:r>
              <w:rPr>
                <w:b/>
                <w:bCs/>
                <w:color w:val="auto"/>
                <w:sz w:val="24"/>
                <w:szCs w:val="24"/>
              </w:rPr>
              <w:t>建设性质</w:t>
            </w:r>
          </w:p>
        </w:tc>
        <w:tc>
          <w:tcPr>
            <w:tcW w:w="1727" w:type="pct"/>
            <w:noWrap w:val="0"/>
            <w:vAlign w:val="center"/>
          </w:tcPr>
          <w:p w14:paraId="6109FEF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4"/>
                <w:szCs w:val="24"/>
              </w:rPr>
            </w:pPr>
            <w:r>
              <w:rPr>
                <w:color w:val="auto"/>
                <w:sz w:val="24"/>
                <w:szCs w:val="24"/>
              </w:rPr>
              <w:sym w:font="Wingdings 2" w:char="0052"/>
            </w:r>
            <w:r>
              <w:rPr>
                <w:color w:val="auto"/>
                <w:sz w:val="24"/>
                <w:szCs w:val="24"/>
              </w:rPr>
              <w:t>新建</w:t>
            </w:r>
          </w:p>
          <w:p w14:paraId="7FC7B3C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4"/>
                <w:szCs w:val="24"/>
              </w:rPr>
            </w:pPr>
            <w:r>
              <w:rPr>
                <w:color w:val="auto"/>
                <w:sz w:val="24"/>
                <w:szCs w:val="24"/>
              </w:rPr>
              <w:sym w:font="Wingdings 2" w:char="00A3"/>
            </w:r>
            <w:r>
              <w:rPr>
                <w:color w:val="auto"/>
                <w:sz w:val="24"/>
                <w:szCs w:val="24"/>
              </w:rPr>
              <w:t>改建</w:t>
            </w:r>
          </w:p>
          <w:p w14:paraId="3AE1EDE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4"/>
                <w:szCs w:val="24"/>
              </w:rPr>
            </w:pPr>
            <w:r>
              <w:rPr>
                <w:color w:val="auto"/>
                <w:sz w:val="24"/>
                <w:szCs w:val="24"/>
              </w:rPr>
              <w:sym w:font="Wingdings 2" w:char="00A3"/>
            </w:r>
            <w:r>
              <w:rPr>
                <w:color w:val="auto"/>
                <w:sz w:val="24"/>
                <w:szCs w:val="24"/>
              </w:rPr>
              <w:t>扩建</w:t>
            </w:r>
          </w:p>
          <w:p w14:paraId="02CED1A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4"/>
                <w:szCs w:val="24"/>
              </w:rPr>
            </w:pPr>
            <w:r>
              <w:rPr>
                <w:color w:val="auto"/>
                <w:sz w:val="24"/>
                <w:szCs w:val="24"/>
              </w:rPr>
              <w:sym w:font="Wingdings 2" w:char="00A3"/>
            </w:r>
            <w:r>
              <w:rPr>
                <w:color w:val="auto"/>
                <w:sz w:val="24"/>
                <w:szCs w:val="24"/>
              </w:rPr>
              <w:t>技术改造</w:t>
            </w:r>
          </w:p>
        </w:tc>
        <w:tc>
          <w:tcPr>
            <w:tcW w:w="709" w:type="pct"/>
            <w:noWrap w:val="0"/>
            <w:vAlign w:val="center"/>
          </w:tcPr>
          <w:p w14:paraId="7B0FE6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4"/>
                <w:szCs w:val="24"/>
              </w:rPr>
            </w:pPr>
            <w:r>
              <w:rPr>
                <w:b/>
                <w:bCs/>
                <w:color w:val="auto"/>
                <w:sz w:val="24"/>
                <w:szCs w:val="24"/>
              </w:rPr>
              <w:t>建设项目</w:t>
            </w:r>
          </w:p>
          <w:p w14:paraId="7CDEF1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4"/>
                <w:szCs w:val="24"/>
              </w:rPr>
            </w:pPr>
            <w:r>
              <w:rPr>
                <w:b/>
                <w:bCs/>
                <w:color w:val="auto"/>
                <w:sz w:val="24"/>
                <w:szCs w:val="24"/>
              </w:rPr>
              <w:t>申报情形</w:t>
            </w:r>
          </w:p>
        </w:tc>
        <w:tc>
          <w:tcPr>
            <w:tcW w:w="1768" w:type="pct"/>
            <w:noWrap w:val="0"/>
            <w:vAlign w:val="center"/>
          </w:tcPr>
          <w:p w14:paraId="005A9A1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4"/>
                <w:szCs w:val="24"/>
              </w:rPr>
            </w:pPr>
            <w:r>
              <w:rPr>
                <w:color w:val="auto"/>
                <w:sz w:val="24"/>
                <w:szCs w:val="24"/>
              </w:rPr>
              <w:sym w:font="Wingdings 2" w:char="0052"/>
            </w:r>
            <w:r>
              <w:rPr>
                <w:color w:val="auto"/>
                <w:sz w:val="24"/>
                <w:szCs w:val="24"/>
              </w:rPr>
              <w:t>首次申报项目</w:t>
            </w:r>
          </w:p>
          <w:p w14:paraId="2E9040D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4"/>
                <w:szCs w:val="24"/>
              </w:rPr>
            </w:pPr>
            <w:r>
              <w:rPr>
                <w:color w:val="auto"/>
                <w:sz w:val="24"/>
                <w:szCs w:val="24"/>
              </w:rPr>
              <w:sym w:font="Wingdings 2" w:char="00A3"/>
            </w:r>
            <w:r>
              <w:rPr>
                <w:color w:val="auto"/>
                <w:sz w:val="24"/>
                <w:szCs w:val="24"/>
              </w:rPr>
              <w:t>不予批准后再次申报</w:t>
            </w:r>
          </w:p>
          <w:p w14:paraId="3962940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4"/>
                <w:szCs w:val="24"/>
              </w:rPr>
            </w:pPr>
            <w:r>
              <w:rPr>
                <w:color w:val="auto"/>
                <w:sz w:val="24"/>
                <w:szCs w:val="24"/>
              </w:rPr>
              <w:sym w:font="Wingdings 2" w:char="00A3"/>
            </w:r>
            <w:r>
              <w:rPr>
                <w:color w:val="auto"/>
                <w:sz w:val="24"/>
                <w:szCs w:val="24"/>
              </w:rPr>
              <w:t>超五年重新审核项目</w:t>
            </w:r>
          </w:p>
          <w:p w14:paraId="534CFA5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4"/>
                <w:szCs w:val="24"/>
              </w:rPr>
            </w:pPr>
            <w:r>
              <w:rPr>
                <w:color w:val="auto"/>
                <w:sz w:val="24"/>
                <w:szCs w:val="24"/>
              </w:rPr>
              <w:sym w:font="Wingdings 2" w:char="00A3"/>
            </w:r>
            <w:r>
              <w:rPr>
                <w:color w:val="auto"/>
                <w:sz w:val="24"/>
                <w:szCs w:val="24"/>
              </w:rPr>
              <w:t>重大变动重新报批项目</w:t>
            </w:r>
          </w:p>
        </w:tc>
      </w:tr>
      <w:tr w14:paraId="4B6A6A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pct"/>
            <w:gridSpan w:val="2"/>
            <w:noWrap w:val="0"/>
            <w:vAlign w:val="center"/>
          </w:tcPr>
          <w:p w14:paraId="79B6741E">
            <w:pPr>
              <w:spacing w:line="240" w:lineRule="auto"/>
              <w:ind w:firstLine="0" w:firstLineChars="0"/>
              <w:jc w:val="center"/>
              <w:rPr>
                <w:b/>
                <w:bCs/>
                <w:color w:val="auto"/>
                <w:sz w:val="24"/>
                <w:szCs w:val="24"/>
              </w:rPr>
            </w:pPr>
            <w:r>
              <w:rPr>
                <w:b/>
                <w:bCs/>
                <w:color w:val="auto"/>
                <w:sz w:val="24"/>
                <w:szCs w:val="24"/>
              </w:rPr>
              <w:t>立项审批部门</w:t>
            </w:r>
          </w:p>
        </w:tc>
        <w:tc>
          <w:tcPr>
            <w:tcW w:w="1727" w:type="pct"/>
            <w:noWrap w:val="0"/>
            <w:vAlign w:val="center"/>
          </w:tcPr>
          <w:p w14:paraId="00C10E29">
            <w:pPr>
              <w:widowControl/>
              <w:spacing w:line="240" w:lineRule="auto"/>
              <w:ind w:firstLine="0" w:firstLineChars="0"/>
              <w:jc w:val="center"/>
              <w:rPr>
                <w:rFonts w:hint="default" w:eastAsia="宋体"/>
                <w:color w:val="auto"/>
                <w:sz w:val="24"/>
                <w:szCs w:val="24"/>
                <w:lang w:val="en-US" w:eastAsia="zh-CN"/>
              </w:rPr>
            </w:pPr>
            <w:r>
              <w:rPr>
                <w:rFonts w:hint="eastAsia"/>
                <w:color w:val="auto"/>
                <w:sz w:val="24"/>
                <w:szCs w:val="24"/>
                <w:highlight w:val="none"/>
                <w:lang w:val="en-US" w:eastAsia="zh-CN"/>
              </w:rPr>
              <w:t>江苏</w:t>
            </w:r>
            <w:r>
              <w:rPr>
                <w:rFonts w:hint="eastAsia"/>
                <w:color w:val="auto"/>
                <w:sz w:val="24"/>
                <w:szCs w:val="24"/>
                <w:highlight w:val="none"/>
                <w:lang w:eastAsia="zh-CN"/>
              </w:rPr>
              <w:t>金坛</w:t>
            </w:r>
            <w:r>
              <w:rPr>
                <w:rFonts w:hint="eastAsia"/>
                <w:color w:val="auto"/>
                <w:sz w:val="24"/>
                <w:szCs w:val="24"/>
                <w:highlight w:val="none"/>
                <w:lang w:val="en-US" w:eastAsia="zh-CN"/>
              </w:rPr>
              <w:t>经济开发区经济发展局</w:t>
            </w:r>
          </w:p>
        </w:tc>
        <w:tc>
          <w:tcPr>
            <w:tcW w:w="709" w:type="pct"/>
            <w:noWrap w:val="0"/>
            <w:vAlign w:val="center"/>
          </w:tcPr>
          <w:p w14:paraId="174A32B1">
            <w:pPr>
              <w:spacing w:line="240" w:lineRule="auto"/>
              <w:ind w:firstLine="0" w:firstLineChars="0"/>
              <w:jc w:val="center"/>
              <w:rPr>
                <w:b/>
                <w:bCs/>
                <w:color w:val="auto"/>
                <w:sz w:val="24"/>
                <w:szCs w:val="24"/>
              </w:rPr>
            </w:pPr>
            <w:r>
              <w:rPr>
                <w:b/>
                <w:bCs/>
                <w:color w:val="auto"/>
                <w:sz w:val="24"/>
                <w:szCs w:val="24"/>
              </w:rPr>
              <w:t>批准文号</w:t>
            </w:r>
          </w:p>
        </w:tc>
        <w:tc>
          <w:tcPr>
            <w:tcW w:w="1768" w:type="pct"/>
            <w:noWrap w:val="0"/>
            <w:vAlign w:val="center"/>
          </w:tcPr>
          <w:p w14:paraId="2BACFD3C">
            <w:pPr>
              <w:spacing w:line="240" w:lineRule="auto"/>
              <w:ind w:firstLine="0" w:firstLineChars="0"/>
              <w:jc w:val="center"/>
              <w:rPr>
                <w:rFonts w:hint="eastAsia" w:eastAsia="宋体"/>
                <w:color w:val="auto"/>
                <w:sz w:val="24"/>
                <w:szCs w:val="24"/>
                <w:lang w:eastAsia="zh-CN"/>
              </w:rPr>
            </w:pPr>
            <w:r>
              <w:rPr>
                <w:rFonts w:hint="eastAsia"/>
                <w:color w:val="auto"/>
                <w:sz w:val="24"/>
                <w:szCs w:val="24"/>
                <w:highlight w:val="none"/>
                <w:lang w:eastAsia="zh-CN"/>
              </w:rPr>
              <w:t>坛开经发备字〔2025〕288号</w:t>
            </w:r>
          </w:p>
        </w:tc>
      </w:tr>
      <w:tr w14:paraId="26C5E2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pct"/>
            <w:gridSpan w:val="2"/>
            <w:noWrap w:val="0"/>
            <w:vAlign w:val="center"/>
          </w:tcPr>
          <w:p w14:paraId="2A010E7C">
            <w:pPr>
              <w:spacing w:line="240" w:lineRule="auto"/>
              <w:ind w:firstLine="0" w:firstLineChars="0"/>
              <w:jc w:val="center"/>
              <w:rPr>
                <w:b/>
                <w:bCs/>
                <w:color w:val="auto"/>
                <w:sz w:val="24"/>
                <w:szCs w:val="24"/>
              </w:rPr>
            </w:pPr>
            <w:r>
              <w:rPr>
                <w:b/>
                <w:bCs/>
                <w:color w:val="auto"/>
                <w:sz w:val="24"/>
                <w:szCs w:val="24"/>
              </w:rPr>
              <w:t>总投资</w:t>
            </w:r>
            <w:r>
              <w:rPr>
                <w:rFonts w:hint="eastAsia"/>
                <w:b/>
                <w:bCs/>
                <w:color w:val="auto"/>
                <w:sz w:val="24"/>
                <w:szCs w:val="24"/>
                <w:lang w:eastAsia="zh-CN"/>
              </w:rPr>
              <w:t>（</w:t>
            </w:r>
            <w:r>
              <w:rPr>
                <w:b/>
                <w:bCs/>
                <w:color w:val="auto"/>
                <w:sz w:val="24"/>
                <w:szCs w:val="24"/>
              </w:rPr>
              <w:t>万元</w:t>
            </w:r>
            <w:r>
              <w:rPr>
                <w:rFonts w:hint="eastAsia"/>
                <w:b/>
                <w:bCs/>
                <w:color w:val="auto"/>
                <w:sz w:val="24"/>
                <w:szCs w:val="24"/>
                <w:lang w:eastAsia="zh-CN"/>
              </w:rPr>
              <w:t>）</w:t>
            </w:r>
          </w:p>
        </w:tc>
        <w:tc>
          <w:tcPr>
            <w:tcW w:w="1727" w:type="pct"/>
            <w:noWrap w:val="0"/>
            <w:vAlign w:val="center"/>
          </w:tcPr>
          <w:p w14:paraId="5E24747F">
            <w:pPr>
              <w:spacing w:line="240" w:lineRule="auto"/>
              <w:ind w:firstLine="0" w:firstLineChars="0"/>
              <w:jc w:val="center"/>
              <w:rPr>
                <w:rFonts w:hint="default" w:eastAsia="宋体"/>
                <w:color w:val="auto"/>
                <w:sz w:val="24"/>
                <w:szCs w:val="24"/>
                <w:lang w:val="en-US" w:eastAsia="zh-CN"/>
              </w:rPr>
            </w:pPr>
            <w:r>
              <w:rPr>
                <w:rFonts w:hint="eastAsia"/>
                <w:color w:val="auto"/>
                <w:sz w:val="24"/>
                <w:szCs w:val="24"/>
                <w:lang w:val="en-US" w:eastAsia="zh-CN"/>
              </w:rPr>
              <w:t>1000</w:t>
            </w:r>
          </w:p>
        </w:tc>
        <w:tc>
          <w:tcPr>
            <w:tcW w:w="709" w:type="pct"/>
            <w:noWrap w:val="0"/>
            <w:vAlign w:val="center"/>
          </w:tcPr>
          <w:p w14:paraId="2D71C6E5">
            <w:pPr>
              <w:spacing w:line="240" w:lineRule="auto"/>
              <w:ind w:firstLine="0" w:firstLineChars="0"/>
              <w:jc w:val="center"/>
              <w:rPr>
                <w:b/>
                <w:bCs/>
                <w:color w:val="auto"/>
                <w:sz w:val="24"/>
                <w:szCs w:val="24"/>
              </w:rPr>
            </w:pPr>
            <w:r>
              <w:rPr>
                <w:b/>
                <w:bCs/>
                <w:color w:val="auto"/>
                <w:sz w:val="24"/>
                <w:szCs w:val="24"/>
              </w:rPr>
              <w:t>环保投资（万元）</w:t>
            </w:r>
          </w:p>
        </w:tc>
        <w:tc>
          <w:tcPr>
            <w:tcW w:w="1768" w:type="pct"/>
            <w:noWrap w:val="0"/>
            <w:vAlign w:val="center"/>
          </w:tcPr>
          <w:p w14:paraId="553B6D9C">
            <w:pPr>
              <w:spacing w:line="240" w:lineRule="auto"/>
              <w:ind w:firstLine="0" w:firstLineChars="0"/>
              <w:jc w:val="center"/>
              <w:rPr>
                <w:rFonts w:hint="default" w:eastAsia="宋体"/>
                <w:color w:val="auto"/>
                <w:sz w:val="24"/>
                <w:szCs w:val="24"/>
                <w:lang w:val="en-US" w:eastAsia="zh-CN"/>
              </w:rPr>
            </w:pPr>
            <w:r>
              <w:rPr>
                <w:rFonts w:hint="eastAsia"/>
                <w:color w:val="auto"/>
                <w:sz w:val="24"/>
                <w:szCs w:val="24"/>
                <w:lang w:val="en-US" w:eastAsia="zh-CN"/>
              </w:rPr>
              <w:t>40</w:t>
            </w:r>
          </w:p>
        </w:tc>
      </w:tr>
      <w:tr w14:paraId="7AB009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pct"/>
            <w:gridSpan w:val="2"/>
            <w:noWrap w:val="0"/>
            <w:vAlign w:val="center"/>
          </w:tcPr>
          <w:p w14:paraId="370C14C3">
            <w:pPr>
              <w:spacing w:line="240" w:lineRule="auto"/>
              <w:ind w:firstLine="0" w:firstLineChars="0"/>
              <w:jc w:val="center"/>
              <w:rPr>
                <w:b/>
                <w:bCs/>
                <w:color w:val="auto"/>
                <w:sz w:val="24"/>
                <w:szCs w:val="24"/>
              </w:rPr>
            </w:pPr>
            <w:r>
              <w:rPr>
                <w:b/>
                <w:bCs/>
                <w:color w:val="auto"/>
                <w:sz w:val="24"/>
                <w:szCs w:val="24"/>
              </w:rPr>
              <w:t>环保投资占比（%）</w:t>
            </w:r>
          </w:p>
        </w:tc>
        <w:tc>
          <w:tcPr>
            <w:tcW w:w="1727" w:type="pct"/>
            <w:noWrap w:val="0"/>
            <w:vAlign w:val="center"/>
          </w:tcPr>
          <w:p w14:paraId="1E8C382D">
            <w:pPr>
              <w:spacing w:line="240" w:lineRule="auto"/>
              <w:ind w:firstLine="0" w:firstLineChars="0"/>
              <w:jc w:val="center"/>
              <w:rPr>
                <w:rFonts w:hint="default" w:eastAsia="宋体"/>
                <w:color w:val="auto"/>
                <w:sz w:val="24"/>
                <w:szCs w:val="24"/>
                <w:lang w:val="en-US" w:eastAsia="zh-CN"/>
              </w:rPr>
            </w:pPr>
            <w:r>
              <w:rPr>
                <w:rFonts w:hint="eastAsia"/>
                <w:color w:val="auto"/>
                <w:sz w:val="24"/>
                <w:szCs w:val="24"/>
                <w:lang w:val="en-US" w:eastAsia="zh-CN"/>
              </w:rPr>
              <w:t>4</w:t>
            </w:r>
          </w:p>
        </w:tc>
        <w:tc>
          <w:tcPr>
            <w:tcW w:w="709" w:type="pct"/>
            <w:noWrap w:val="0"/>
            <w:vAlign w:val="center"/>
          </w:tcPr>
          <w:p w14:paraId="59ED8E28">
            <w:pPr>
              <w:spacing w:line="240" w:lineRule="auto"/>
              <w:ind w:firstLine="0" w:firstLineChars="0"/>
              <w:jc w:val="center"/>
              <w:rPr>
                <w:b/>
                <w:bCs/>
                <w:color w:val="auto"/>
                <w:sz w:val="24"/>
                <w:szCs w:val="24"/>
              </w:rPr>
            </w:pPr>
            <w:r>
              <w:rPr>
                <w:b/>
                <w:bCs/>
                <w:color w:val="auto"/>
                <w:sz w:val="24"/>
                <w:szCs w:val="24"/>
              </w:rPr>
              <w:t>施工工期</w:t>
            </w:r>
          </w:p>
        </w:tc>
        <w:tc>
          <w:tcPr>
            <w:tcW w:w="1768" w:type="pct"/>
            <w:noWrap w:val="0"/>
            <w:vAlign w:val="center"/>
          </w:tcPr>
          <w:p w14:paraId="45B530BB">
            <w:pPr>
              <w:spacing w:line="240" w:lineRule="auto"/>
              <w:ind w:firstLine="0" w:firstLineChars="0"/>
              <w:jc w:val="center"/>
              <w:rPr>
                <w:rFonts w:hint="default" w:eastAsia="宋体"/>
                <w:color w:val="auto"/>
                <w:sz w:val="24"/>
                <w:szCs w:val="24"/>
                <w:lang w:val="en-US" w:eastAsia="zh-CN"/>
              </w:rPr>
            </w:pPr>
            <w:r>
              <w:rPr>
                <w:rFonts w:hint="eastAsia"/>
                <w:color w:val="auto"/>
                <w:sz w:val="24"/>
                <w:szCs w:val="24"/>
                <w:lang w:val="en-US" w:eastAsia="zh-CN"/>
              </w:rPr>
              <w:t>2个月</w:t>
            </w:r>
          </w:p>
        </w:tc>
      </w:tr>
      <w:tr w14:paraId="4A7134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795" w:type="pct"/>
            <w:gridSpan w:val="2"/>
            <w:noWrap w:val="0"/>
            <w:vAlign w:val="center"/>
          </w:tcPr>
          <w:p w14:paraId="7BAC7417">
            <w:pPr>
              <w:spacing w:line="240" w:lineRule="auto"/>
              <w:ind w:firstLine="0" w:firstLineChars="0"/>
              <w:jc w:val="center"/>
              <w:rPr>
                <w:b/>
                <w:bCs/>
                <w:color w:val="auto"/>
                <w:sz w:val="24"/>
                <w:szCs w:val="24"/>
              </w:rPr>
            </w:pPr>
            <w:r>
              <w:rPr>
                <w:b/>
                <w:bCs/>
                <w:color w:val="auto"/>
                <w:sz w:val="24"/>
                <w:szCs w:val="24"/>
              </w:rPr>
              <w:t>是否开工建设</w:t>
            </w:r>
          </w:p>
        </w:tc>
        <w:tc>
          <w:tcPr>
            <w:tcW w:w="1727" w:type="pct"/>
            <w:noWrap w:val="0"/>
            <w:vAlign w:val="center"/>
          </w:tcPr>
          <w:p w14:paraId="51CBFF9C">
            <w:pPr>
              <w:spacing w:line="240" w:lineRule="auto"/>
              <w:ind w:firstLine="0" w:firstLineChars="0"/>
              <w:jc w:val="left"/>
              <w:rPr>
                <w:color w:val="auto"/>
                <w:sz w:val="24"/>
                <w:szCs w:val="24"/>
              </w:rPr>
            </w:pPr>
            <w:r>
              <w:rPr>
                <w:color w:val="auto"/>
                <w:sz w:val="24"/>
                <w:szCs w:val="24"/>
              </w:rPr>
              <w:sym w:font="Wingdings 2" w:char="0052"/>
            </w:r>
            <w:r>
              <w:rPr>
                <w:color w:val="auto"/>
                <w:sz w:val="24"/>
                <w:szCs w:val="24"/>
              </w:rPr>
              <w:t>否</w:t>
            </w:r>
          </w:p>
          <w:p w14:paraId="63057301">
            <w:pPr>
              <w:spacing w:line="240" w:lineRule="auto"/>
              <w:ind w:firstLine="0" w:firstLineChars="0"/>
              <w:jc w:val="left"/>
              <w:rPr>
                <w:color w:val="auto"/>
                <w:sz w:val="24"/>
                <w:szCs w:val="24"/>
                <w:u w:val="single"/>
              </w:rPr>
            </w:pPr>
            <w:r>
              <w:rPr>
                <w:color w:val="auto"/>
                <w:sz w:val="24"/>
                <w:szCs w:val="24"/>
              </w:rPr>
              <w:sym w:font="Wingdings 2" w:char="00A3"/>
            </w:r>
            <w:r>
              <w:rPr>
                <w:color w:val="auto"/>
                <w:sz w:val="24"/>
                <w:szCs w:val="24"/>
              </w:rPr>
              <w:t>是</w:t>
            </w:r>
            <w:r>
              <w:rPr>
                <w:rFonts w:hint="eastAsia"/>
                <w:color w:val="auto"/>
                <w:sz w:val="24"/>
                <w:szCs w:val="24"/>
                <w:lang w:eastAsia="zh-CN"/>
              </w:rPr>
              <w:t>：</w:t>
            </w:r>
            <w:r>
              <w:rPr>
                <w:color w:val="auto"/>
                <w:sz w:val="24"/>
                <w:szCs w:val="24"/>
                <w:u w:val="single"/>
              </w:rPr>
              <w:t xml:space="preserve">          </w:t>
            </w:r>
          </w:p>
        </w:tc>
        <w:tc>
          <w:tcPr>
            <w:tcW w:w="709" w:type="pct"/>
            <w:noWrap w:val="0"/>
            <w:vAlign w:val="center"/>
          </w:tcPr>
          <w:p w14:paraId="59A54DF1">
            <w:pPr>
              <w:spacing w:line="240" w:lineRule="auto"/>
              <w:ind w:firstLine="0" w:firstLineChars="0"/>
              <w:jc w:val="center"/>
              <w:rPr>
                <w:b/>
                <w:bCs/>
                <w:color w:val="auto"/>
                <w:sz w:val="24"/>
                <w:szCs w:val="24"/>
              </w:rPr>
            </w:pPr>
            <w:r>
              <w:rPr>
                <w:b/>
                <w:bCs/>
                <w:color w:val="auto"/>
                <w:sz w:val="24"/>
                <w:szCs w:val="24"/>
              </w:rPr>
              <w:t>用地（用海）面积（m</w:t>
            </w:r>
            <w:r>
              <w:rPr>
                <w:b/>
                <w:bCs/>
                <w:color w:val="auto"/>
                <w:sz w:val="24"/>
                <w:szCs w:val="24"/>
                <w:vertAlign w:val="superscript"/>
              </w:rPr>
              <w:t>2</w:t>
            </w:r>
            <w:r>
              <w:rPr>
                <w:b/>
                <w:bCs/>
                <w:color w:val="auto"/>
                <w:sz w:val="24"/>
                <w:szCs w:val="24"/>
              </w:rPr>
              <w:t>）</w:t>
            </w:r>
          </w:p>
        </w:tc>
        <w:tc>
          <w:tcPr>
            <w:tcW w:w="1768" w:type="pct"/>
            <w:noWrap w:val="0"/>
            <w:vAlign w:val="center"/>
          </w:tcPr>
          <w:p w14:paraId="446D0D7F">
            <w:pPr>
              <w:spacing w:line="240" w:lineRule="auto"/>
              <w:ind w:firstLine="0" w:firstLineChars="0"/>
              <w:jc w:val="center"/>
              <w:rPr>
                <w:rFonts w:hint="eastAsia" w:eastAsia="宋体"/>
                <w:color w:val="auto"/>
                <w:sz w:val="24"/>
                <w:szCs w:val="24"/>
                <w:lang w:val="en-US" w:eastAsia="zh-CN"/>
              </w:rPr>
            </w:pPr>
            <w:r>
              <w:rPr>
                <w:rFonts w:hint="eastAsia"/>
                <w:color w:val="auto"/>
                <w:sz w:val="24"/>
                <w:szCs w:val="24"/>
                <w:lang w:val="en-US" w:eastAsia="zh-CN"/>
              </w:rPr>
              <w:t>1080（不新增用地）</w:t>
            </w:r>
          </w:p>
        </w:tc>
      </w:tr>
      <w:tr w14:paraId="0A422E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pct"/>
            <w:gridSpan w:val="2"/>
            <w:noWrap w:val="0"/>
            <w:vAlign w:val="center"/>
          </w:tcPr>
          <w:p w14:paraId="14E4C229">
            <w:pPr>
              <w:spacing w:line="240" w:lineRule="auto"/>
              <w:ind w:firstLine="0" w:firstLineChars="0"/>
              <w:jc w:val="center"/>
              <w:rPr>
                <w:b/>
                <w:bCs/>
                <w:color w:val="auto"/>
                <w:sz w:val="24"/>
                <w:szCs w:val="24"/>
              </w:rPr>
            </w:pPr>
            <w:r>
              <w:rPr>
                <w:b/>
                <w:bCs/>
                <w:color w:val="auto"/>
                <w:sz w:val="24"/>
                <w:szCs w:val="24"/>
              </w:rPr>
              <w:t>专项评价设置情况</w:t>
            </w:r>
          </w:p>
        </w:tc>
        <w:tc>
          <w:tcPr>
            <w:tcW w:w="4204" w:type="pct"/>
            <w:gridSpan w:val="3"/>
            <w:noWrap w:val="0"/>
            <w:vAlign w:val="center"/>
          </w:tcPr>
          <w:p w14:paraId="3D58DD1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专项评价设置对照表</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26"/>
              <w:gridCol w:w="3955"/>
              <w:gridCol w:w="2575"/>
              <w:gridCol w:w="956"/>
            </w:tblGrid>
            <w:tr w14:paraId="1342F3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4" w:hRule="atLeast"/>
                <w:jc w:val="center"/>
              </w:trPr>
              <w:tc>
                <w:tcPr>
                  <w:tcW w:w="442" w:type="pct"/>
                  <w:noWrap w:val="0"/>
                  <w:vAlign w:val="center"/>
                </w:tcPr>
                <w:p w14:paraId="7DC8A6B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2407" w:type="pct"/>
                  <w:noWrap w:val="0"/>
                  <w:vAlign w:val="center"/>
                </w:tcPr>
                <w:p w14:paraId="3C7890F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设置原则</w:t>
                  </w:r>
                </w:p>
              </w:tc>
              <w:tc>
                <w:tcPr>
                  <w:tcW w:w="1567" w:type="pct"/>
                  <w:noWrap w:val="0"/>
                  <w:vAlign w:val="center"/>
                </w:tcPr>
                <w:p w14:paraId="4C2A9A3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本项目对照情况</w:t>
                  </w:r>
                </w:p>
              </w:tc>
              <w:tc>
                <w:tcPr>
                  <w:tcW w:w="582" w:type="pct"/>
                  <w:noWrap w:val="0"/>
                  <w:vAlign w:val="center"/>
                </w:tcPr>
                <w:p w14:paraId="326C573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是否设置</w:t>
                  </w:r>
                </w:p>
              </w:tc>
            </w:tr>
            <w:tr w14:paraId="4CBCE4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42" w:type="pct"/>
                  <w:noWrap w:val="0"/>
                  <w:vAlign w:val="center"/>
                </w:tcPr>
                <w:p w14:paraId="39B936D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w:t>
                  </w:r>
                </w:p>
              </w:tc>
              <w:tc>
                <w:tcPr>
                  <w:tcW w:w="2407" w:type="pct"/>
                  <w:noWrap w:val="0"/>
                  <w:vAlign w:val="center"/>
                </w:tcPr>
                <w:p w14:paraId="6AB2787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排放废气含有毒有害污染物、二噁英、苯并[a]芘、氰化物、氯气且厂界外500米范围内有环境空气保护目标的建设项目</w:t>
                  </w:r>
                </w:p>
              </w:tc>
              <w:tc>
                <w:tcPr>
                  <w:tcW w:w="1567" w:type="pct"/>
                  <w:noWrap w:val="0"/>
                  <w:vAlign w:val="center"/>
                </w:tcPr>
                <w:p w14:paraId="2648DD3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shd w:val="clear" w:color="auto" w:fill="auto"/>
                      <w:lang w:val="en-US" w:eastAsia="zh-CN"/>
                    </w:rPr>
                    <w:t>本项目</w:t>
                  </w:r>
                  <w:r>
                    <w:rPr>
                      <w:rFonts w:hint="default" w:ascii="Times New Roman" w:hAnsi="Times New Roman" w:eastAsia="宋体" w:cs="Times New Roman"/>
                      <w:color w:val="auto"/>
                      <w:sz w:val="21"/>
                      <w:szCs w:val="21"/>
                      <w:shd w:val="clear" w:color="auto" w:fill="auto"/>
                    </w:rPr>
                    <w:t>涉及排放《有毒有害大气污染物名录（2018年）》中物质</w:t>
                  </w:r>
                  <w:r>
                    <w:rPr>
                      <w:rFonts w:hint="eastAsia" w:cs="Times New Roman"/>
                      <w:color w:val="auto"/>
                      <w:sz w:val="21"/>
                      <w:szCs w:val="21"/>
                      <w:shd w:val="clear" w:color="auto" w:fill="auto"/>
                      <w:lang w:val="en-US" w:eastAsia="zh-CN"/>
                    </w:rPr>
                    <w:t>二氯甲烷，但</w:t>
                  </w:r>
                  <w:r>
                    <w:rPr>
                      <w:rFonts w:hint="default" w:ascii="Times New Roman" w:hAnsi="Times New Roman" w:eastAsia="宋体" w:cs="Times New Roman"/>
                      <w:color w:val="auto"/>
                      <w:sz w:val="21"/>
                      <w:szCs w:val="21"/>
                      <w:highlight w:val="none"/>
                    </w:rPr>
                    <w:t>厂界外500米范围内</w:t>
                  </w:r>
                  <w:r>
                    <w:rPr>
                      <w:rFonts w:hint="eastAsia" w:cs="Times New Roman"/>
                      <w:color w:val="auto"/>
                      <w:sz w:val="21"/>
                      <w:szCs w:val="21"/>
                      <w:highlight w:val="none"/>
                      <w:lang w:val="en-US" w:eastAsia="zh-CN"/>
                    </w:rPr>
                    <w:t>没</w:t>
                  </w:r>
                  <w:r>
                    <w:rPr>
                      <w:rFonts w:hint="default" w:ascii="Times New Roman" w:hAnsi="Times New Roman" w:eastAsia="宋体" w:cs="Times New Roman"/>
                      <w:color w:val="auto"/>
                      <w:sz w:val="21"/>
                      <w:szCs w:val="21"/>
                      <w:highlight w:val="none"/>
                    </w:rPr>
                    <w:t>有环境空气保护目标的建设项目</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本项目不</w:t>
                  </w:r>
                  <w:r>
                    <w:rPr>
                      <w:rFonts w:hint="eastAsia" w:cs="Times New Roman"/>
                      <w:color w:val="auto"/>
                      <w:sz w:val="21"/>
                      <w:szCs w:val="21"/>
                      <w:highlight w:val="none"/>
                      <w:lang w:eastAsia="zh-CN"/>
                    </w:rPr>
                    <w:t>涉及上述情形</w:t>
                  </w:r>
                </w:p>
              </w:tc>
              <w:tc>
                <w:tcPr>
                  <w:tcW w:w="582" w:type="pct"/>
                  <w:noWrap w:val="0"/>
                  <w:vAlign w:val="center"/>
                </w:tcPr>
                <w:p w14:paraId="527713C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否</w:t>
                  </w:r>
                </w:p>
              </w:tc>
            </w:tr>
            <w:tr w14:paraId="270236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45" w:hRule="atLeast"/>
                <w:jc w:val="center"/>
              </w:trPr>
              <w:tc>
                <w:tcPr>
                  <w:tcW w:w="442" w:type="pct"/>
                  <w:noWrap w:val="0"/>
                  <w:vAlign w:val="center"/>
                </w:tcPr>
                <w:p w14:paraId="3175105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w:t>
                  </w:r>
                </w:p>
              </w:tc>
              <w:tc>
                <w:tcPr>
                  <w:tcW w:w="2407" w:type="pct"/>
                  <w:noWrap w:val="0"/>
                  <w:vAlign w:val="center"/>
                </w:tcPr>
                <w:p w14:paraId="5EF4841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新增工业废水直排建设项目（槽罐车外送污水处理厂的除外）；新增废水直排的污水集中处理厂</w:t>
                  </w:r>
                </w:p>
              </w:tc>
              <w:tc>
                <w:tcPr>
                  <w:tcW w:w="1567" w:type="pct"/>
                  <w:noWrap w:val="0"/>
                  <w:vAlign w:val="center"/>
                </w:tcPr>
                <w:p w14:paraId="4BCD128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本项目无工业废水直接排放</w:t>
                  </w:r>
                </w:p>
              </w:tc>
              <w:tc>
                <w:tcPr>
                  <w:tcW w:w="582" w:type="pct"/>
                  <w:noWrap w:val="0"/>
                  <w:vAlign w:val="center"/>
                </w:tcPr>
                <w:p w14:paraId="0C489AC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14:paraId="13BA8F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42" w:type="pct"/>
                  <w:noWrap w:val="0"/>
                  <w:vAlign w:val="center"/>
                </w:tcPr>
                <w:p w14:paraId="2F146AA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w:t>
                  </w:r>
                </w:p>
              </w:tc>
              <w:tc>
                <w:tcPr>
                  <w:tcW w:w="2407" w:type="pct"/>
                  <w:noWrap w:val="0"/>
                  <w:vAlign w:val="center"/>
                </w:tcPr>
                <w:p w14:paraId="5072FB9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有毒有害和易燃易爆危险物质存储量超过临界量的建设项目</w:t>
                  </w:r>
                </w:p>
              </w:tc>
              <w:tc>
                <w:tcPr>
                  <w:tcW w:w="1567" w:type="pct"/>
                  <w:noWrap w:val="0"/>
                  <w:vAlign w:val="center"/>
                </w:tcPr>
                <w:p w14:paraId="7FC84E3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本项目存储的有毒有害和易燃易爆危险物质未超过临界量</w:t>
                  </w:r>
                </w:p>
              </w:tc>
              <w:tc>
                <w:tcPr>
                  <w:tcW w:w="582" w:type="pct"/>
                  <w:noWrap w:val="0"/>
                  <w:vAlign w:val="center"/>
                </w:tcPr>
                <w:p w14:paraId="3F9573F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14:paraId="7BA91A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42" w:type="pct"/>
                  <w:noWrap w:val="0"/>
                  <w:vAlign w:val="center"/>
                </w:tcPr>
                <w:p w14:paraId="1B39301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w:t>
                  </w:r>
                </w:p>
              </w:tc>
              <w:tc>
                <w:tcPr>
                  <w:tcW w:w="2407" w:type="pct"/>
                  <w:noWrap w:val="0"/>
                  <w:vAlign w:val="center"/>
                </w:tcPr>
                <w:p w14:paraId="2F82233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取水口下游500米范围内有重要水生生物的自然产卵场、索饵场、越冬场和洄游通道的新增河道取水的污染类建设项目</w:t>
                  </w:r>
                </w:p>
              </w:tc>
              <w:tc>
                <w:tcPr>
                  <w:tcW w:w="1567" w:type="pct"/>
                  <w:noWrap w:val="0"/>
                  <w:vAlign w:val="center"/>
                </w:tcPr>
                <w:p w14:paraId="690AC6A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c>
                <w:tcPr>
                  <w:tcW w:w="582" w:type="pct"/>
                  <w:noWrap w:val="0"/>
                  <w:vAlign w:val="center"/>
                </w:tcPr>
                <w:p w14:paraId="295E3A0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14:paraId="261DB2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42" w:type="pct"/>
                  <w:noWrap w:val="0"/>
                  <w:vAlign w:val="center"/>
                </w:tcPr>
                <w:p w14:paraId="43B8C3C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海洋</w:t>
                  </w:r>
                </w:p>
              </w:tc>
              <w:tc>
                <w:tcPr>
                  <w:tcW w:w="2407" w:type="pct"/>
                  <w:noWrap w:val="0"/>
                  <w:vAlign w:val="center"/>
                </w:tcPr>
                <w:p w14:paraId="269A744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直接向海排放污染物的海洋工程建设项目</w:t>
                  </w:r>
                </w:p>
              </w:tc>
              <w:tc>
                <w:tcPr>
                  <w:tcW w:w="1567" w:type="pct"/>
                  <w:noWrap w:val="0"/>
                  <w:vAlign w:val="center"/>
                </w:tcPr>
                <w:p w14:paraId="2080658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c>
                <w:tcPr>
                  <w:tcW w:w="582" w:type="pct"/>
                  <w:noWrap w:val="0"/>
                  <w:vAlign w:val="center"/>
                </w:tcPr>
                <w:p w14:paraId="6AD8725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bl>
          <w:p w14:paraId="7B281C0A">
            <w:pPr>
              <w:spacing w:line="240" w:lineRule="auto"/>
              <w:ind w:firstLine="0" w:firstLineChars="0"/>
              <w:jc w:val="center"/>
              <w:rPr>
                <w:color w:val="auto"/>
                <w:sz w:val="24"/>
                <w:szCs w:val="24"/>
              </w:rPr>
            </w:pPr>
          </w:p>
        </w:tc>
      </w:tr>
      <w:tr w14:paraId="3FC8FD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57" w:hRule="atLeast"/>
          <w:jc w:val="center"/>
        </w:trPr>
        <w:tc>
          <w:tcPr>
            <w:tcW w:w="235" w:type="pct"/>
            <w:noWrap w:val="0"/>
            <w:vAlign w:val="center"/>
          </w:tcPr>
          <w:p w14:paraId="451E7299">
            <w:pPr>
              <w:spacing w:line="240" w:lineRule="auto"/>
              <w:ind w:firstLine="0" w:firstLineChars="0"/>
              <w:jc w:val="center"/>
              <w:rPr>
                <w:b/>
                <w:bCs/>
                <w:color w:val="auto"/>
                <w:sz w:val="24"/>
                <w:szCs w:val="24"/>
              </w:rPr>
            </w:pPr>
            <w:r>
              <w:rPr>
                <w:b/>
                <w:bCs/>
                <w:color w:val="auto"/>
                <w:sz w:val="24"/>
                <w:szCs w:val="24"/>
              </w:rPr>
              <w:t>规划情况</w:t>
            </w:r>
          </w:p>
        </w:tc>
        <w:tc>
          <w:tcPr>
            <w:tcW w:w="4764" w:type="pct"/>
            <w:gridSpan w:val="4"/>
            <w:noWrap w:val="0"/>
            <w:vAlign w:val="center"/>
          </w:tcPr>
          <w:p w14:paraId="5F462D87">
            <w:pPr>
              <w:pStyle w:val="39"/>
              <w:spacing w:line="500" w:lineRule="exact"/>
              <w:jc w:val="left"/>
              <w:rPr>
                <w:color w:val="auto"/>
                <w:highlight w:val="none"/>
              </w:rPr>
            </w:pPr>
            <w:r>
              <w:rPr>
                <w:color w:val="auto"/>
                <w:highlight w:val="none"/>
              </w:rPr>
              <w:t>规划名称：</w:t>
            </w:r>
            <w:r>
              <w:rPr>
                <w:rFonts w:hint="eastAsia"/>
                <w:color w:val="auto"/>
                <w:highlight w:val="none"/>
              </w:rPr>
              <w:t>《江苏金坛经济开发区控制性详细规划》</w:t>
            </w:r>
          </w:p>
          <w:p w14:paraId="14DEC055">
            <w:pPr>
              <w:pStyle w:val="39"/>
              <w:spacing w:line="500" w:lineRule="exact"/>
              <w:jc w:val="left"/>
              <w:rPr>
                <w:color w:val="auto"/>
                <w:highlight w:val="none"/>
              </w:rPr>
            </w:pPr>
            <w:r>
              <w:rPr>
                <w:color w:val="auto"/>
                <w:highlight w:val="none"/>
              </w:rPr>
              <w:t>审查机关：</w:t>
            </w:r>
            <w:r>
              <w:rPr>
                <w:rFonts w:hint="eastAsia"/>
                <w:color w:val="auto"/>
                <w:highlight w:val="none"/>
              </w:rPr>
              <w:t>常州市金坛区人民政府</w:t>
            </w:r>
          </w:p>
          <w:p w14:paraId="6ED835D5">
            <w:pPr>
              <w:pStyle w:val="39"/>
              <w:spacing w:line="500" w:lineRule="exact"/>
              <w:ind w:firstLine="0" w:firstLineChars="0"/>
              <w:jc w:val="left"/>
              <w:rPr>
                <w:color w:val="auto"/>
                <w:spacing w:val="-2"/>
                <w:sz w:val="24"/>
                <w:szCs w:val="24"/>
              </w:rPr>
            </w:pPr>
            <w:r>
              <w:rPr>
                <w:color w:val="auto"/>
                <w:highlight w:val="none"/>
              </w:rPr>
              <w:t>审查文件名称及文号</w:t>
            </w:r>
            <w:r>
              <w:rPr>
                <w:rFonts w:hint="eastAsia"/>
                <w:color w:val="auto"/>
                <w:highlight w:val="none"/>
                <w:lang w:eastAsia="zh-CN"/>
              </w:rPr>
              <w:t>：</w:t>
            </w:r>
            <w:r>
              <w:rPr>
                <w:rFonts w:hint="eastAsia"/>
                <w:color w:val="auto"/>
                <w:highlight w:val="none"/>
              </w:rPr>
              <w:t>《常州市金坛区人民政府关于同意江苏金坛经济开发区控制性详细规划（修改）的批复》（坛政复</w:t>
            </w:r>
            <w:r>
              <w:rPr>
                <w:rFonts w:hint="eastAsia"/>
                <w:color w:val="auto"/>
                <w:highlight w:val="none"/>
                <w:lang w:eastAsia="zh-CN"/>
              </w:rPr>
              <w:t>〔2023〕56号</w:t>
            </w:r>
            <w:r>
              <w:rPr>
                <w:rFonts w:hint="eastAsia"/>
                <w:color w:val="auto"/>
                <w:highlight w:val="none"/>
              </w:rPr>
              <w:t>）</w:t>
            </w:r>
          </w:p>
        </w:tc>
      </w:tr>
      <w:tr w14:paraId="01FE28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235" w:type="pct"/>
            <w:noWrap w:val="0"/>
            <w:vAlign w:val="center"/>
          </w:tcPr>
          <w:p w14:paraId="50D85BDD">
            <w:pPr>
              <w:spacing w:line="240" w:lineRule="auto"/>
              <w:ind w:firstLine="0" w:firstLineChars="0"/>
              <w:jc w:val="center"/>
              <w:rPr>
                <w:b/>
                <w:bCs/>
                <w:color w:val="auto"/>
                <w:sz w:val="24"/>
                <w:szCs w:val="24"/>
              </w:rPr>
            </w:pPr>
            <w:r>
              <w:rPr>
                <w:b/>
                <w:bCs/>
                <w:color w:val="auto"/>
                <w:sz w:val="24"/>
                <w:szCs w:val="24"/>
              </w:rPr>
              <w:t>规划环境影响评价情况</w:t>
            </w:r>
          </w:p>
        </w:tc>
        <w:tc>
          <w:tcPr>
            <w:tcW w:w="4764" w:type="pct"/>
            <w:gridSpan w:val="4"/>
            <w:noWrap w:val="0"/>
            <w:vAlign w:val="center"/>
          </w:tcPr>
          <w:p w14:paraId="62DA76C7">
            <w:pPr>
              <w:pStyle w:val="39"/>
              <w:spacing w:line="500" w:lineRule="exact"/>
              <w:jc w:val="left"/>
              <w:rPr>
                <w:color w:val="auto"/>
                <w:highlight w:val="none"/>
              </w:rPr>
            </w:pPr>
            <w:r>
              <w:rPr>
                <w:color w:val="auto"/>
                <w:highlight w:val="none"/>
              </w:rPr>
              <w:t>规划环境影响评价文件名称：《金坛经济开发区发展规划环境影响报告书》召集审查机关：原江苏省环境保护厅</w:t>
            </w:r>
          </w:p>
          <w:p w14:paraId="7DFAC7AE">
            <w:pPr>
              <w:pStyle w:val="39"/>
              <w:spacing w:line="500" w:lineRule="exact"/>
              <w:jc w:val="left"/>
              <w:rPr>
                <w:color w:val="auto"/>
                <w:highlight w:val="none"/>
              </w:rPr>
            </w:pPr>
            <w:r>
              <w:rPr>
                <w:color w:val="auto"/>
                <w:highlight w:val="none"/>
              </w:rPr>
              <w:t>审查文件：《关于金坛经济开发区发展规划环境影响评价审查意见》</w:t>
            </w:r>
          </w:p>
          <w:p w14:paraId="413AD6D6">
            <w:pPr>
              <w:pStyle w:val="39"/>
              <w:spacing w:line="500" w:lineRule="exact"/>
              <w:jc w:val="left"/>
              <w:rPr>
                <w:color w:val="auto"/>
                <w:highlight w:val="none"/>
              </w:rPr>
            </w:pPr>
            <w:r>
              <w:rPr>
                <w:color w:val="auto"/>
                <w:highlight w:val="none"/>
              </w:rPr>
              <w:t>审查文号：苏环审〔2015〕52号</w:t>
            </w:r>
          </w:p>
          <w:p w14:paraId="6E8F7DB7">
            <w:pPr>
              <w:pStyle w:val="39"/>
              <w:spacing w:line="500" w:lineRule="exact"/>
              <w:ind w:firstLine="0" w:firstLineChars="0"/>
              <w:jc w:val="left"/>
              <w:rPr>
                <w:rFonts w:hint="eastAsia" w:eastAsia="宋体"/>
                <w:b/>
                <w:bCs/>
                <w:color w:val="auto"/>
                <w:sz w:val="24"/>
                <w:szCs w:val="24"/>
                <w:lang w:eastAsia="zh-CN"/>
              </w:rPr>
            </w:pPr>
            <w:r>
              <w:rPr>
                <w:color w:val="auto"/>
                <w:highlight w:val="none"/>
              </w:rPr>
              <w:t>金坛经济开发区最新规划</w:t>
            </w:r>
            <w:r>
              <w:rPr>
                <w:rFonts w:hint="eastAsia"/>
                <w:color w:val="auto"/>
                <w:highlight w:val="none"/>
                <w:lang w:val="en-US" w:eastAsia="zh-CN"/>
              </w:rPr>
              <w:t>环评</w:t>
            </w:r>
            <w:r>
              <w:rPr>
                <w:color w:val="auto"/>
                <w:highlight w:val="none"/>
              </w:rPr>
              <w:t>正在编制，暂未完成审批。</w:t>
            </w:r>
          </w:p>
        </w:tc>
      </w:tr>
      <w:tr w14:paraId="0A9340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65" w:hRule="atLeast"/>
          <w:jc w:val="center"/>
        </w:trPr>
        <w:tc>
          <w:tcPr>
            <w:tcW w:w="235" w:type="pct"/>
            <w:noWrap w:val="0"/>
            <w:vAlign w:val="center"/>
          </w:tcPr>
          <w:p w14:paraId="6BDEC7A7">
            <w:pPr>
              <w:spacing w:line="240" w:lineRule="auto"/>
              <w:ind w:firstLine="0" w:firstLineChars="0"/>
              <w:jc w:val="center"/>
              <w:rPr>
                <w:b/>
                <w:bCs/>
                <w:color w:val="auto"/>
                <w:sz w:val="24"/>
                <w:szCs w:val="24"/>
              </w:rPr>
            </w:pPr>
            <w:r>
              <w:rPr>
                <w:b/>
                <w:bCs/>
                <w:color w:val="auto"/>
                <w:sz w:val="24"/>
                <w:szCs w:val="24"/>
              </w:rPr>
              <w:t>规划及规划环境影响评价符合性分析</w:t>
            </w:r>
          </w:p>
        </w:tc>
        <w:tc>
          <w:tcPr>
            <w:tcW w:w="4764" w:type="pct"/>
            <w:gridSpan w:val="4"/>
            <w:noWrap w:val="0"/>
            <w:vAlign w:val="center"/>
          </w:tcPr>
          <w:p w14:paraId="2217A904">
            <w:pPr>
              <w:tabs>
                <w:tab w:val="left" w:pos="2160"/>
              </w:tabs>
              <w:ind w:firstLine="0" w:firstLineChars="0"/>
              <w:rPr>
                <w:b/>
                <w:bCs/>
                <w:color w:val="auto"/>
                <w:spacing w:val="-2"/>
                <w:sz w:val="24"/>
                <w:szCs w:val="24"/>
              </w:rPr>
            </w:pPr>
            <w:r>
              <w:rPr>
                <w:b/>
                <w:color w:val="auto"/>
                <w:sz w:val="24"/>
                <w:szCs w:val="24"/>
              </w:rPr>
              <w:t>1、与</w:t>
            </w:r>
            <w:r>
              <w:rPr>
                <w:rFonts w:hint="eastAsia"/>
                <w:b/>
                <w:color w:val="auto"/>
                <w:sz w:val="24"/>
                <w:szCs w:val="24"/>
                <w:lang w:eastAsia="zh-CN"/>
              </w:rPr>
              <w:t>《金坛经济开发区发展规划环境影响报告书》</w:t>
            </w:r>
            <w:r>
              <w:rPr>
                <w:b/>
                <w:color w:val="auto"/>
                <w:sz w:val="24"/>
                <w:szCs w:val="24"/>
              </w:rPr>
              <w:t>相符性分析</w:t>
            </w:r>
          </w:p>
          <w:p w14:paraId="7A20BDE0">
            <w:pPr>
              <w:widowControl/>
              <w:ind w:firstLine="0" w:firstLineChars="0"/>
              <w:rPr>
                <w:b/>
                <w:bCs/>
                <w:color w:val="auto"/>
                <w:spacing w:val="-2"/>
                <w:sz w:val="24"/>
                <w:szCs w:val="24"/>
              </w:rPr>
            </w:pPr>
            <w:r>
              <w:rPr>
                <w:rFonts w:hint="eastAsia"/>
                <w:b/>
                <w:bCs/>
                <w:color w:val="auto"/>
                <w:spacing w:val="-2"/>
                <w:sz w:val="24"/>
                <w:szCs w:val="24"/>
                <w:lang w:eastAsia="zh-CN"/>
              </w:rPr>
              <w:t>（</w:t>
            </w:r>
            <w:r>
              <w:rPr>
                <w:rFonts w:hint="eastAsia"/>
                <w:b/>
                <w:bCs/>
                <w:color w:val="auto"/>
                <w:spacing w:val="-2"/>
                <w:sz w:val="24"/>
                <w:szCs w:val="24"/>
                <w:lang w:val="en-US" w:eastAsia="zh-CN"/>
              </w:rPr>
              <w:t>1</w:t>
            </w:r>
            <w:r>
              <w:rPr>
                <w:rFonts w:hint="eastAsia"/>
                <w:b/>
                <w:bCs/>
                <w:color w:val="auto"/>
                <w:spacing w:val="-2"/>
                <w:sz w:val="24"/>
                <w:szCs w:val="24"/>
                <w:lang w:eastAsia="zh-CN"/>
              </w:rPr>
              <w:t>）</w:t>
            </w:r>
            <w:r>
              <w:rPr>
                <w:b/>
                <w:bCs/>
                <w:color w:val="auto"/>
                <w:spacing w:val="-2"/>
                <w:sz w:val="24"/>
                <w:szCs w:val="24"/>
              </w:rPr>
              <w:t>规划期限</w:t>
            </w:r>
          </w:p>
          <w:p w14:paraId="7B000CC3">
            <w:pPr>
              <w:ind w:firstLine="420"/>
              <w:rPr>
                <w:color w:val="auto"/>
                <w:sz w:val="24"/>
                <w:szCs w:val="24"/>
              </w:rPr>
            </w:pPr>
            <w:r>
              <w:rPr>
                <w:color w:val="auto"/>
                <w:sz w:val="24"/>
                <w:szCs w:val="24"/>
              </w:rPr>
              <w:t>本次规划基准年为20</w:t>
            </w:r>
            <w:r>
              <w:rPr>
                <w:rFonts w:hint="eastAsia"/>
                <w:color w:val="auto"/>
                <w:sz w:val="24"/>
                <w:szCs w:val="24"/>
                <w:lang w:val="en-US" w:eastAsia="zh-CN"/>
              </w:rPr>
              <w:t>13</w:t>
            </w:r>
            <w:r>
              <w:rPr>
                <w:color w:val="auto"/>
                <w:sz w:val="24"/>
                <w:szCs w:val="24"/>
              </w:rPr>
              <w:t>年，规划期限为20</w:t>
            </w:r>
            <w:r>
              <w:rPr>
                <w:rFonts w:hint="eastAsia"/>
                <w:color w:val="auto"/>
                <w:sz w:val="24"/>
                <w:szCs w:val="24"/>
                <w:lang w:val="en-US" w:eastAsia="zh-CN"/>
              </w:rPr>
              <w:t>13</w:t>
            </w:r>
            <w:r>
              <w:rPr>
                <w:color w:val="auto"/>
                <w:sz w:val="24"/>
                <w:szCs w:val="24"/>
              </w:rPr>
              <w:t>~203</w:t>
            </w:r>
            <w:r>
              <w:rPr>
                <w:rFonts w:hint="eastAsia"/>
                <w:color w:val="auto"/>
                <w:sz w:val="24"/>
                <w:szCs w:val="24"/>
                <w:lang w:val="en-US" w:eastAsia="zh-CN"/>
              </w:rPr>
              <w:t>0</w:t>
            </w:r>
            <w:r>
              <w:rPr>
                <w:color w:val="auto"/>
                <w:sz w:val="24"/>
                <w:szCs w:val="24"/>
              </w:rPr>
              <w:t>年。</w:t>
            </w:r>
          </w:p>
          <w:p w14:paraId="1DD60CFE">
            <w:pPr>
              <w:ind w:firstLine="0" w:firstLineChars="0"/>
              <w:rPr>
                <w:b/>
                <w:bCs/>
                <w:color w:val="auto"/>
                <w:sz w:val="24"/>
                <w:szCs w:val="24"/>
              </w:rPr>
            </w:pPr>
            <w:r>
              <w:rPr>
                <w:rFonts w:hint="eastAsia"/>
                <w:b/>
                <w:bCs/>
                <w:color w:val="auto"/>
                <w:sz w:val="24"/>
                <w:szCs w:val="24"/>
                <w:lang w:eastAsia="zh-CN"/>
              </w:rPr>
              <w:t>（</w:t>
            </w:r>
            <w:r>
              <w:rPr>
                <w:rFonts w:hint="eastAsia"/>
                <w:b/>
                <w:bCs/>
                <w:color w:val="auto"/>
                <w:sz w:val="24"/>
                <w:szCs w:val="24"/>
                <w:lang w:val="en-US" w:eastAsia="zh-CN"/>
              </w:rPr>
              <w:t>2</w:t>
            </w:r>
            <w:r>
              <w:rPr>
                <w:rFonts w:hint="eastAsia"/>
                <w:b/>
                <w:bCs/>
                <w:color w:val="auto"/>
                <w:sz w:val="24"/>
                <w:szCs w:val="24"/>
                <w:lang w:eastAsia="zh-CN"/>
              </w:rPr>
              <w:t>）</w:t>
            </w:r>
            <w:r>
              <w:rPr>
                <w:b/>
                <w:bCs/>
                <w:color w:val="auto"/>
                <w:sz w:val="24"/>
                <w:szCs w:val="24"/>
              </w:rPr>
              <w:t>规划范围</w:t>
            </w:r>
          </w:p>
          <w:p w14:paraId="40313589">
            <w:pPr>
              <w:keepNext w:val="0"/>
              <w:keepLines w:val="0"/>
              <w:pageBreakBefore w:val="0"/>
              <w:widowControl w:val="0"/>
              <w:kinsoku/>
              <w:wordWrap w:val="0"/>
              <w:overflowPunct/>
              <w:topLinePunct w:val="0"/>
              <w:autoSpaceDE/>
              <w:autoSpaceDN/>
              <w:bidi w:val="0"/>
              <w:adjustRightInd/>
              <w:snapToGrid/>
              <w:ind w:firstLine="420"/>
              <w:textAlignment w:val="auto"/>
              <w:rPr>
                <w:rFonts w:hint="default" w:ascii="Times New Roman" w:hAnsi="Times New Roman" w:cs="Times New Roman"/>
                <w:color w:val="auto"/>
                <w:sz w:val="24"/>
                <w:szCs w:val="24"/>
              </w:rPr>
            </w:pPr>
            <w:r>
              <w:rPr>
                <w:rFonts w:hint="eastAsia"/>
                <w:color w:val="auto"/>
                <w:sz w:val="24"/>
                <w:szCs w:val="24"/>
              </w:rPr>
              <w:t>园区规划范围</w:t>
            </w:r>
            <w:r>
              <w:rPr>
                <w:rFonts w:hint="eastAsia"/>
                <w:color w:val="auto"/>
                <w:sz w:val="24"/>
                <w:szCs w:val="24"/>
                <w:lang w:eastAsia="zh-CN"/>
              </w:rPr>
              <w:t>：东至在建省道203(东环路)，南至规划沿江城际铁路，西至金湖路(金宜路)-S340-丹金溧漕河，北近开发区行政界线，距金坛和丹阳市界500m处，总面积</w:t>
            </w:r>
            <w:r>
              <w:rPr>
                <w:rFonts w:hint="eastAsia"/>
                <w:color w:val="auto"/>
                <w:sz w:val="24"/>
                <w:szCs w:val="24"/>
                <w:lang w:val="en-US" w:eastAsia="zh-CN"/>
              </w:rPr>
              <w:t>71.3km²</w:t>
            </w:r>
            <w:r>
              <w:rPr>
                <w:rFonts w:hint="eastAsia"/>
                <w:color w:val="auto"/>
                <w:sz w:val="24"/>
                <w:szCs w:val="24"/>
                <w:lang w:eastAsia="zh-CN"/>
              </w:rPr>
              <w:t>其中开发区盐化工区四至范围为:东至大柘荡、南至兴荣兆邦北厂界、西至丹金溧漕河、北至金坛和丹阳市界500m处，面积为3.55km</w:t>
            </w:r>
            <w:r>
              <w:rPr>
                <w:rFonts w:hint="eastAsia"/>
                <w:color w:val="auto"/>
                <w:sz w:val="24"/>
                <w:szCs w:val="24"/>
                <w:lang w:val="en-US" w:eastAsia="zh-CN"/>
              </w:rPr>
              <w:t>²</w:t>
            </w:r>
            <w:r>
              <w:rPr>
                <w:rFonts w:hint="default" w:ascii="Times New Roman" w:hAnsi="Times New Roman" w:eastAsia="宋体" w:cs="Times New Roman"/>
                <w:color w:val="auto"/>
                <w:sz w:val="24"/>
                <w:szCs w:val="24"/>
              </w:rPr>
              <w:t>。</w:t>
            </w:r>
          </w:p>
          <w:p w14:paraId="2866B235">
            <w:pPr>
              <w:ind w:firstLine="420"/>
              <w:rPr>
                <w:color w:val="auto"/>
                <w:sz w:val="24"/>
                <w:szCs w:val="24"/>
              </w:rPr>
            </w:pPr>
            <w:r>
              <w:rPr>
                <w:rFonts w:hint="eastAsia"/>
                <w:color w:val="auto"/>
                <w:sz w:val="24"/>
                <w:szCs w:val="24"/>
                <w:lang w:eastAsia="zh-CN"/>
              </w:rPr>
              <w:t>江苏省常州市金坛区金坛经济开发区珠山路66号</w:t>
            </w:r>
            <w:r>
              <w:rPr>
                <w:rFonts w:hint="eastAsia"/>
                <w:color w:val="auto"/>
                <w:sz w:val="24"/>
                <w:szCs w:val="24"/>
              </w:rPr>
              <w:t>，属于金坛</w:t>
            </w:r>
            <w:r>
              <w:rPr>
                <w:rFonts w:hint="eastAsia"/>
                <w:color w:val="auto"/>
                <w:sz w:val="24"/>
                <w:szCs w:val="24"/>
                <w:lang w:val="en-US" w:eastAsia="zh-CN"/>
              </w:rPr>
              <w:t>经济</w:t>
            </w:r>
            <w:r>
              <w:rPr>
                <w:rFonts w:hint="eastAsia"/>
                <w:color w:val="auto"/>
                <w:sz w:val="24"/>
                <w:szCs w:val="24"/>
              </w:rPr>
              <w:t>开发区规划范围内。根据园区土地利用规划，项目所在地为工业用地。因此本项目符合区域用地规划要求。</w:t>
            </w:r>
          </w:p>
          <w:p w14:paraId="7C70DBE2">
            <w:pPr>
              <w:ind w:firstLine="0" w:firstLineChars="0"/>
              <w:rPr>
                <w:b/>
                <w:bCs/>
                <w:color w:val="auto"/>
                <w:sz w:val="24"/>
                <w:szCs w:val="24"/>
              </w:rPr>
            </w:pPr>
            <w:r>
              <w:rPr>
                <w:rFonts w:hint="eastAsia"/>
                <w:b/>
                <w:bCs/>
                <w:color w:val="auto"/>
                <w:sz w:val="24"/>
                <w:szCs w:val="24"/>
                <w:lang w:eastAsia="zh-CN"/>
              </w:rPr>
              <w:t>（</w:t>
            </w:r>
            <w:r>
              <w:rPr>
                <w:rFonts w:hint="eastAsia"/>
                <w:b/>
                <w:bCs/>
                <w:color w:val="auto"/>
                <w:sz w:val="24"/>
                <w:szCs w:val="24"/>
                <w:lang w:val="en-US" w:eastAsia="zh-CN"/>
              </w:rPr>
              <w:t>3</w:t>
            </w:r>
            <w:r>
              <w:rPr>
                <w:rFonts w:hint="eastAsia"/>
                <w:b/>
                <w:bCs/>
                <w:color w:val="auto"/>
                <w:sz w:val="24"/>
                <w:szCs w:val="24"/>
                <w:lang w:eastAsia="zh-CN"/>
              </w:rPr>
              <w:t>）</w:t>
            </w:r>
            <w:r>
              <w:rPr>
                <w:b/>
                <w:bCs/>
                <w:color w:val="auto"/>
                <w:sz w:val="24"/>
                <w:szCs w:val="24"/>
              </w:rPr>
              <w:t>产业定位</w:t>
            </w:r>
          </w:p>
          <w:p w14:paraId="3ECA9E61">
            <w:pPr>
              <w:ind w:firstLine="420"/>
              <w:rPr>
                <w:rFonts w:hint="eastAsia"/>
                <w:color w:val="auto"/>
                <w:sz w:val="24"/>
                <w:szCs w:val="24"/>
                <w:lang w:eastAsia="zh-CN"/>
              </w:rPr>
            </w:pPr>
            <w:r>
              <w:rPr>
                <w:rFonts w:hint="eastAsia"/>
                <w:color w:val="auto"/>
                <w:sz w:val="24"/>
                <w:szCs w:val="24"/>
              </w:rPr>
              <w:t>产业定位</w:t>
            </w:r>
            <w:r>
              <w:rPr>
                <w:rFonts w:hint="eastAsia"/>
                <w:color w:val="auto"/>
                <w:sz w:val="24"/>
                <w:szCs w:val="24"/>
                <w:lang w:eastAsia="zh-CN"/>
              </w:rPr>
              <w:t>：纺织服装、机械电子、高端装备制造、盐化工、新能源、新材料、节能环保、新医药、研发服务。盐化工区产业定位为盐化工及其延伸产品、化工新材料。根据常州市化工行业专项整治工作领导小组办公室意见(常化治办【2014】18号)，原位于化工集中区内的常州华钛化学股份有限公司、常州亚邦制药有限公司、江苏瑞东农药有限公司等3家企业将不在调整后的盐化工区内，同意将上述3家企业设立为常州市化工重点监测点，允许改、扩建项目，但原则上不得新增化工生产项目。</w:t>
            </w:r>
          </w:p>
          <w:p w14:paraId="6F2B8967">
            <w:pPr>
              <w:ind w:firstLine="420"/>
              <w:rPr>
                <w:rFonts w:hint="eastAsia"/>
                <w:color w:val="auto"/>
                <w:sz w:val="24"/>
                <w:szCs w:val="24"/>
              </w:rPr>
            </w:pPr>
            <w:r>
              <w:rPr>
                <w:color w:val="auto"/>
                <w:sz w:val="24"/>
                <w:szCs w:val="24"/>
              </w:rPr>
              <w:t>本项目从事</w:t>
            </w:r>
            <w:r>
              <w:rPr>
                <w:rFonts w:hint="eastAsia"/>
                <w:b w:val="0"/>
                <w:bCs w:val="0"/>
                <w:color w:val="auto"/>
                <w:sz w:val="24"/>
                <w:szCs w:val="24"/>
                <w:lang w:val="en-US" w:eastAsia="zh-CN"/>
              </w:rPr>
              <w:t>吻合器零配件、电器零配件</w:t>
            </w:r>
            <w:r>
              <w:rPr>
                <w:rFonts w:hint="eastAsia"/>
                <w:color w:val="auto"/>
                <w:sz w:val="24"/>
                <w:szCs w:val="24"/>
                <w:lang w:val="en-US" w:eastAsia="zh-CN"/>
              </w:rPr>
              <w:t>的</w:t>
            </w:r>
            <w:r>
              <w:rPr>
                <w:b w:val="0"/>
                <w:bCs w:val="0"/>
                <w:color w:val="auto"/>
                <w:sz w:val="24"/>
                <w:szCs w:val="24"/>
              </w:rPr>
              <w:t>生产，属于</w:t>
            </w:r>
            <w:r>
              <w:rPr>
                <w:rFonts w:hint="eastAsia"/>
                <w:b w:val="0"/>
                <w:bCs w:val="0"/>
                <w:color w:val="auto"/>
                <w:spacing w:val="-2"/>
                <w:sz w:val="24"/>
                <w:szCs w:val="24"/>
                <w:lang w:eastAsia="zh-CN"/>
              </w:rPr>
              <w:t>[C2929]塑料零件及其他塑料制品制造、[C3584]医疗、外科及兽医用器械制造</w:t>
            </w:r>
            <w:r>
              <w:rPr>
                <w:rFonts w:hint="eastAsia"/>
                <w:b w:val="0"/>
                <w:bCs w:val="0"/>
                <w:color w:val="auto"/>
                <w:sz w:val="24"/>
                <w:szCs w:val="24"/>
                <w:lang w:eastAsia="zh-CN"/>
              </w:rPr>
              <w:t>。吻合器是一种精密的外科手术器械，</w:t>
            </w:r>
            <w:r>
              <w:rPr>
                <w:rFonts w:hint="eastAsia"/>
                <w:b w:val="0"/>
                <w:bCs w:val="0"/>
                <w:color w:val="auto"/>
                <w:sz w:val="24"/>
                <w:szCs w:val="24"/>
                <w:lang w:val="en-US" w:eastAsia="zh-CN"/>
              </w:rPr>
              <w:t>属于新医药产业</w:t>
            </w:r>
            <w:r>
              <w:rPr>
                <w:rFonts w:hint="eastAsia"/>
                <w:b w:val="0"/>
                <w:bCs w:val="0"/>
                <w:color w:val="auto"/>
                <w:sz w:val="24"/>
                <w:szCs w:val="24"/>
                <w:lang w:eastAsia="zh-CN"/>
              </w:rPr>
              <w:t>。电器零配件是构成所有复杂电器和系统的基础，</w:t>
            </w:r>
            <w:r>
              <w:rPr>
                <w:rFonts w:hint="eastAsia"/>
                <w:b w:val="0"/>
                <w:bCs w:val="0"/>
                <w:color w:val="auto"/>
                <w:sz w:val="24"/>
                <w:szCs w:val="24"/>
                <w:lang w:val="en-US" w:eastAsia="zh-CN"/>
              </w:rPr>
              <w:t>分别属于</w:t>
            </w:r>
            <w:r>
              <w:rPr>
                <w:rFonts w:hint="eastAsia"/>
                <w:color w:val="auto"/>
                <w:sz w:val="24"/>
                <w:szCs w:val="24"/>
                <w:lang w:eastAsia="zh-CN"/>
              </w:rPr>
              <w:t>高端装备制造</w:t>
            </w:r>
            <w:r>
              <w:rPr>
                <w:rFonts w:hint="eastAsia"/>
                <w:color w:val="auto"/>
                <w:sz w:val="24"/>
                <w:szCs w:val="24"/>
                <w:lang w:val="en-US" w:eastAsia="zh-CN"/>
              </w:rPr>
              <w:t>和</w:t>
            </w:r>
            <w:r>
              <w:rPr>
                <w:rFonts w:hint="eastAsia"/>
                <w:color w:val="auto"/>
                <w:sz w:val="24"/>
                <w:szCs w:val="24"/>
                <w:lang w:eastAsia="zh-CN"/>
              </w:rPr>
              <w:t>机械电子</w:t>
            </w:r>
            <w:r>
              <w:rPr>
                <w:rFonts w:hint="eastAsia"/>
                <w:color w:val="auto"/>
                <w:sz w:val="24"/>
                <w:szCs w:val="24"/>
                <w:lang w:val="en-US" w:eastAsia="zh-CN"/>
              </w:rPr>
              <w:t>的配套产业</w:t>
            </w:r>
            <w:r>
              <w:rPr>
                <w:rFonts w:hint="eastAsia"/>
                <w:b w:val="0"/>
                <w:bCs w:val="0"/>
                <w:color w:val="auto"/>
                <w:sz w:val="24"/>
                <w:szCs w:val="24"/>
                <w:lang w:eastAsia="zh-CN"/>
              </w:rPr>
              <w:t>。</w:t>
            </w:r>
            <w:r>
              <w:rPr>
                <w:rFonts w:hint="eastAsia"/>
                <w:b w:val="0"/>
                <w:bCs w:val="0"/>
                <w:color w:val="auto"/>
                <w:sz w:val="24"/>
                <w:szCs w:val="24"/>
                <w:lang w:val="en-US" w:eastAsia="zh-CN"/>
              </w:rPr>
              <w:t>符合开发区产业定位</w:t>
            </w:r>
            <w:r>
              <w:rPr>
                <w:b w:val="0"/>
                <w:bCs w:val="0"/>
                <w:color w:val="auto"/>
                <w:sz w:val="24"/>
                <w:szCs w:val="24"/>
              </w:rPr>
              <w:t>。</w:t>
            </w:r>
          </w:p>
          <w:p w14:paraId="2153B491">
            <w:pPr>
              <w:ind w:firstLine="0" w:firstLineChars="0"/>
              <w:rPr>
                <w:b/>
                <w:bCs/>
                <w:color w:val="auto"/>
                <w:sz w:val="24"/>
                <w:szCs w:val="24"/>
              </w:rPr>
            </w:pPr>
            <w:r>
              <w:rPr>
                <w:b/>
                <w:bCs/>
                <w:color w:val="auto"/>
                <w:sz w:val="24"/>
                <w:szCs w:val="24"/>
              </w:rPr>
              <w:t>2、与</w:t>
            </w:r>
            <w:r>
              <w:rPr>
                <w:b/>
                <w:bCs/>
                <w:color w:val="auto"/>
                <w:sz w:val="24"/>
                <w:szCs w:val="24"/>
                <w:lang w:val="zh-CN"/>
              </w:rPr>
              <w:t>《</w:t>
            </w:r>
            <w:r>
              <w:rPr>
                <w:rFonts w:hint="eastAsia"/>
                <w:b/>
                <w:bCs/>
                <w:color w:val="auto"/>
                <w:sz w:val="24"/>
                <w:szCs w:val="24"/>
                <w:lang w:val="en-US" w:eastAsia="zh-CN"/>
              </w:rPr>
              <w:t>江苏省环境保护厅</w:t>
            </w:r>
            <w:r>
              <w:rPr>
                <w:rFonts w:hint="eastAsia"/>
                <w:b/>
                <w:bCs/>
                <w:color w:val="auto"/>
                <w:sz w:val="24"/>
                <w:szCs w:val="24"/>
                <w:lang w:val="zh-CN" w:eastAsia="zh-CN"/>
              </w:rPr>
              <w:t>关于江苏省金坛</w:t>
            </w:r>
            <w:r>
              <w:rPr>
                <w:rFonts w:hint="eastAsia"/>
                <w:b/>
                <w:bCs/>
                <w:color w:val="auto"/>
                <w:sz w:val="24"/>
                <w:szCs w:val="24"/>
                <w:lang w:val="en-US" w:eastAsia="zh-CN"/>
              </w:rPr>
              <w:t>经济</w:t>
            </w:r>
            <w:r>
              <w:rPr>
                <w:rFonts w:hint="eastAsia"/>
                <w:b/>
                <w:bCs/>
                <w:color w:val="auto"/>
                <w:sz w:val="24"/>
                <w:szCs w:val="24"/>
                <w:lang w:val="zh-CN" w:eastAsia="zh-CN"/>
              </w:rPr>
              <w:t>开发区开发建设规划(20</w:t>
            </w:r>
            <w:r>
              <w:rPr>
                <w:rFonts w:hint="eastAsia"/>
                <w:b/>
                <w:bCs/>
                <w:color w:val="auto"/>
                <w:sz w:val="24"/>
                <w:szCs w:val="24"/>
                <w:lang w:val="en-US" w:eastAsia="zh-CN"/>
              </w:rPr>
              <w:t>13</w:t>
            </w:r>
            <w:r>
              <w:rPr>
                <w:rFonts w:hint="eastAsia"/>
                <w:b/>
                <w:bCs/>
                <w:color w:val="auto"/>
                <w:sz w:val="24"/>
                <w:szCs w:val="24"/>
                <w:lang w:val="zh-CN" w:eastAsia="zh-CN"/>
              </w:rPr>
              <w:t>~203</w:t>
            </w:r>
            <w:r>
              <w:rPr>
                <w:rFonts w:hint="eastAsia"/>
                <w:b/>
                <w:bCs/>
                <w:color w:val="auto"/>
                <w:sz w:val="24"/>
                <w:szCs w:val="24"/>
                <w:lang w:val="en-US" w:eastAsia="zh-CN"/>
              </w:rPr>
              <w:t>0</w:t>
            </w:r>
            <w:r>
              <w:rPr>
                <w:rFonts w:hint="eastAsia"/>
                <w:b/>
                <w:bCs/>
                <w:color w:val="auto"/>
                <w:sz w:val="24"/>
                <w:szCs w:val="24"/>
                <w:lang w:val="zh-CN" w:eastAsia="zh-CN"/>
              </w:rPr>
              <w:t>)环境影响报告书的审查意见</w:t>
            </w:r>
            <w:r>
              <w:rPr>
                <w:b/>
                <w:bCs/>
                <w:color w:val="auto"/>
                <w:sz w:val="24"/>
                <w:szCs w:val="24"/>
                <w:lang w:val="zh-CN"/>
              </w:rPr>
              <w:t>》环境影响评价结论及审查意见的符合性</w:t>
            </w:r>
          </w:p>
          <w:p w14:paraId="0E2EFC2A">
            <w:pPr>
              <w:ind w:firstLine="0" w:firstLineChars="0"/>
              <w:rPr>
                <w:b/>
                <w:bCs/>
                <w:color w:val="auto"/>
                <w:sz w:val="24"/>
                <w:szCs w:val="24"/>
              </w:rPr>
            </w:pPr>
            <w:r>
              <w:rPr>
                <w:rFonts w:hint="eastAsia"/>
                <w:b/>
                <w:bCs/>
                <w:color w:val="auto"/>
                <w:sz w:val="24"/>
                <w:szCs w:val="24"/>
                <w:lang w:eastAsia="zh-CN"/>
              </w:rPr>
              <w:t>（</w:t>
            </w:r>
            <w:r>
              <w:rPr>
                <w:rFonts w:hint="eastAsia"/>
                <w:b/>
                <w:bCs/>
                <w:color w:val="auto"/>
                <w:sz w:val="24"/>
                <w:szCs w:val="24"/>
                <w:lang w:val="en-US" w:eastAsia="zh-CN"/>
              </w:rPr>
              <w:t>1</w:t>
            </w:r>
            <w:r>
              <w:rPr>
                <w:rFonts w:hint="eastAsia"/>
                <w:b/>
                <w:bCs/>
                <w:color w:val="auto"/>
                <w:sz w:val="24"/>
                <w:szCs w:val="24"/>
                <w:lang w:eastAsia="zh-CN"/>
              </w:rPr>
              <w:t>）</w:t>
            </w:r>
            <w:r>
              <w:rPr>
                <w:b/>
                <w:bCs/>
                <w:color w:val="auto"/>
                <w:sz w:val="24"/>
                <w:szCs w:val="24"/>
              </w:rPr>
              <w:t>与环评结论及审查意见相符性</w:t>
            </w:r>
          </w:p>
          <w:p w14:paraId="6FEABC8E">
            <w:pPr>
              <w:spacing w:line="240" w:lineRule="auto"/>
              <w:ind w:firstLine="0" w:firstLineChars="0"/>
              <w:jc w:val="center"/>
              <w:rPr>
                <w:b/>
                <w:bCs/>
                <w:color w:val="auto"/>
                <w:sz w:val="21"/>
                <w:szCs w:val="21"/>
              </w:rPr>
            </w:pPr>
            <w:r>
              <w:rPr>
                <w:b/>
                <w:bCs/>
                <w:color w:val="auto"/>
                <w:sz w:val="21"/>
                <w:szCs w:val="21"/>
              </w:rPr>
              <w:t>表1-1  项目与规划环境影响报告书审查意见相符性分析一览表</w:t>
            </w:r>
          </w:p>
          <w:tbl>
            <w:tblPr>
              <w:tblStyle w:val="17"/>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57" w:type="dxa"/>
                <w:bottom w:w="28" w:type="dxa"/>
                <w:right w:w="57" w:type="dxa"/>
              </w:tblCellMar>
            </w:tblPr>
            <w:tblGrid>
              <w:gridCol w:w="5761"/>
              <w:gridCol w:w="2980"/>
              <w:gridCol w:w="590"/>
            </w:tblGrid>
            <w:tr w14:paraId="2DC871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3086" w:type="pct"/>
                  <w:tcBorders>
                    <w:tl2br w:val="nil"/>
                    <w:tr2bl w:val="nil"/>
                  </w:tcBorders>
                  <w:noWrap w:val="0"/>
                  <w:vAlign w:val="center"/>
                </w:tcPr>
                <w:p w14:paraId="1A26C114">
                  <w:pPr>
                    <w:pStyle w:val="25"/>
                    <w:keepNext w:val="0"/>
                    <w:keepLines w:val="0"/>
                    <w:pageBreakBefore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区域环评审查意见</w:t>
                  </w:r>
                </w:p>
              </w:tc>
              <w:tc>
                <w:tcPr>
                  <w:tcW w:w="1596" w:type="pct"/>
                  <w:tcBorders>
                    <w:tl2br w:val="nil"/>
                    <w:tr2bl w:val="nil"/>
                  </w:tcBorders>
                  <w:noWrap w:val="0"/>
                  <w:vAlign w:val="center"/>
                </w:tcPr>
                <w:p w14:paraId="2416A5C1">
                  <w:pPr>
                    <w:pStyle w:val="25"/>
                    <w:keepNext w:val="0"/>
                    <w:keepLines w:val="0"/>
                    <w:pageBreakBefore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w:t>
                  </w:r>
                </w:p>
              </w:tc>
              <w:tc>
                <w:tcPr>
                  <w:tcW w:w="316" w:type="pct"/>
                  <w:tcBorders>
                    <w:tl2br w:val="nil"/>
                    <w:tr2bl w:val="nil"/>
                  </w:tcBorders>
                  <w:noWrap w:val="0"/>
                  <w:vAlign w:val="center"/>
                </w:tcPr>
                <w:p w14:paraId="196EA47B">
                  <w:pPr>
                    <w:pStyle w:val="25"/>
                    <w:keepNext w:val="0"/>
                    <w:keepLines w:val="0"/>
                    <w:pageBreakBefore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相符性</w:t>
                  </w:r>
                </w:p>
              </w:tc>
            </w:tr>
            <w:tr w14:paraId="34A155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5760" w:type="dxa"/>
                  <w:tcBorders>
                    <w:tl2br w:val="nil"/>
                    <w:tr2bl w:val="nil"/>
                  </w:tcBorders>
                  <w:noWrap w:val="0"/>
                  <w:vAlign w:val="center"/>
                </w:tcPr>
                <w:p w14:paraId="4163F695">
                  <w:pPr>
                    <w:pStyle w:val="23"/>
                    <w:ind w:firstLine="0" w:firstLineChars="0"/>
                    <w:rPr>
                      <w:rFonts w:hint="default" w:ascii="Times New Roman" w:hAnsi="Times New Roman" w:eastAsia="宋体" w:cs="Times New Roman"/>
                      <w:color w:val="auto"/>
                      <w:sz w:val="21"/>
                      <w:szCs w:val="21"/>
                    </w:rPr>
                  </w:pPr>
                  <w:r>
                    <w:rPr>
                      <w:color w:val="auto"/>
                      <w:szCs w:val="21"/>
                    </w:rPr>
                    <w:t>规划范围：东至在建省道203（东环路），南至规划沿江城际铁路，西至金湖路（金宜路）-S340-丹金溧漕河，北近开发区行政界线，距金坛和丹阳市界500m处，总面积71.3km</w:t>
                  </w:r>
                  <w:r>
                    <w:rPr>
                      <w:color w:val="auto"/>
                      <w:szCs w:val="21"/>
                      <w:vertAlign w:val="superscript"/>
                    </w:rPr>
                    <w:t>2</w:t>
                  </w:r>
                  <w:r>
                    <w:rPr>
                      <w:color w:val="auto"/>
                      <w:szCs w:val="21"/>
                    </w:rPr>
                    <w:t>。</w:t>
                  </w:r>
                </w:p>
              </w:tc>
              <w:tc>
                <w:tcPr>
                  <w:tcW w:w="1596" w:type="pct"/>
                  <w:tcBorders>
                    <w:tl2br w:val="nil"/>
                    <w:tr2bl w:val="nil"/>
                  </w:tcBorders>
                  <w:noWrap w:val="0"/>
                  <w:vAlign w:val="center"/>
                </w:tcPr>
                <w:p w14:paraId="1A52DC07">
                  <w:pPr>
                    <w:keepNext w:val="0"/>
                    <w:keepLines w:val="0"/>
                    <w:pageBreakBefore w:val="0"/>
                    <w:kinsoku/>
                    <w:wordWrap/>
                    <w:overflowPunct/>
                    <w:topLinePunct w:val="0"/>
                    <w:bidi w:val="0"/>
                    <w:spacing w:line="240" w:lineRule="auto"/>
                    <w:ind w:firstLine="0" w:firstLineChars="0"/>
                    <w:contextualSpacing/>
                    <w:jc w:val="both"/>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kern w:val="0"/>
                      <w:sz w:val="21"/>
                      <w:szCs w:val="21"/>
                      <w:highlight w:val="none"/>
                    </w:rPr>
                    <w:t>项目位于</w:t>
                  </w:r>
                  <w:r>
                    <w:rPr>
                      <w:rFonts w:hint="eastAsia" w:ascii="Times New Roman" w:hAnsi="Times New Roman" w:cs="Times New Roman"/>
                      <w:color w:val="auto"/>
                      <w:sz w:val="21"/>
                      <w:szCs w:val="21"/>
                      <w:lang w:eastAsia="zh-CN"/>
                    </w:rPr>
                    <w:t>江苏省常州市</w:t>
                  </w:r>
                  <w:r>
                    <w:rPr>
                      <w:rFonts w:hint="eastAsia" w:cs="Times New Roman"/>
                      <w:color w:val="auto"/>
                      <w:sz w:val="21"/>
                      <w:szCs w:val="21"/>
                      <w:lang w:eastAsia="zh-CN"/>
                    </w:rPr>
                    <w:t>金坛区金坛经济开发区珠山路66号</w:t>
                  </w:r>
                  <w:r>
                    <w:rPr>
                      <w:rFonts w:hint="default" w:ascii="Times New Roman" w:hAnsi="Times New Roman" w:cs="Times New Roman"/>
                      <w:color w:val="auto"/>
                      <w:kern w:val="0"/>
                      <w:sz w:val="21"/>
                      <w:szCs w:val="21"/>
                      <w:highlight w:val="none"/>
                    </w:rPr>
                    <w:t>，在金坛经济开发区内规划范围内。</w:t>
                  </w:r>
                </w:p>
              </w:tc>
              <w:tc>
                <w:tcPr>
                  <w:tcW w:w="316" w:type="pct"/>
                  <w:tcBorders>
                    <w:tl2br w:val="nil"/>
                    <w:tr2bl w:val="nil"/>
                  </w:tcBorders>
                  <w:noWrap w:val="0"/>
                  <w:vAlign w:val="center"/>
                </w:tcPr>
                <w:p w14:paraId="391E536C">
                  <w:pPr>
                    <w:pStyle w:val="25"/>
                    <w:keepNext w:val="0"/>
                    <w:keepLines w:val="0"/>
                    <w:pageBreakBefore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53ADBE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5760" w:type="dxa"/>
                  <w:tcBorders>
                    <w:tl2br w:val="nil"/>
                    <w:tr2bl w:val="nil"/>
                  </w:tcBorders>
                  <w:noWrap w:val="0"/>
                  <w:vAlign w:val="center"/>
                </w:tcPr>
                <w:p w14:paraId="4B224951">
                  <w:pPr>
                    <w:pStyle w:val="23"/>
                    <w:ind w:firstLine="0" w:firstLineChars="0"/>
                    <w:rPr>
                      <w:rFonts w:hint="default" w:ascii="Times New Roman" w:hAnsi="Times New Roman" w:eastAsia="宋体" w:cs="Times New Roman"/>
                      <w:color w:val="auto"/>
                      <w:sz w:val="21"/>
                      <w:szCs w:val="21"/>
                    </w:rPr>
                  </w:pPr>
                  <w:r>
                    <w:rPr>
                      <w:color w:val="auto"/>
                      <w:szCs w:val="21"/>
                    </w:rPr>
                    <w:t>产业定位：纺织服装、机械电子、高端装备制造、盐化工、新能源、新材料、节能环保、新医药、研发服务。</w:t>
                  </w:r>
                </w:p>
              </w:tc>
              <w:tc>
                <w:tcPr>
                  <w:tcW w:w="1596" w:type="pct"/>
                  <w:tcBorders>
                    <w:tl2br w:val="nil"/>
                    <w:tr2bl w:val="nil"/>
                  </w:tcBorders>
                  <w:noWrap w:val="0"/>
                  <w:vAlign w:val="center"/>
                </w:tcPr>
                <w:p w14:paraId="119C528E">
                  <w:pPr>
                    <w:keepNext w:val="0"/>
                    <w:keepLines w:val="0"/>
                    <w:pageBreakBefore w:val="0"/>
                    <w:kinsoku/>
                    <w:wordWrap/>
                    <w:overflowPunct/>
                    <w:topLinePunct w:val="0"/>
                    <w:bidi w:val="0"/>
                    <w:spacing w:line="240" w:lineRule="auto"/>
                    <w:ind w:firstLine="0" w:firstLineChars="0"/>
                    <w:contextualSpacing/>
                    <w:jc w:val="both"/>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kern w:val="0"/>
                      <w:sz w:val="21"/>
                      <w:szCs w:val="21"/>
                      <w:lang w:val="en-US" w:eastAsia="zh-CN"/>
                    </w:rPr>
                    <w:t>本项目从事吻合器零配件、电器零配件的生产，属于[C2929]塑料零件及其他塑料制品制造、[C3584]医疗、外科及兽医用器械制造。吻合器是一种精密的外科手术器械，电器零配件是构成所有复杂电器和系统的基础，</w:t>
                  </w:r>
                  <w:r>
                    <w:rPr>
                      <w:rFonts w:hint="default"/>
                      <w:color w:val="auto"/>
                      <w:kern w:val="0"/>
                    </w:rPr>
                    <w:t>分别属于高端装备制造和机械电子的配套产业。</w:t>
                  </w:r>
                  <w:r>
                    <w:rPr>
                      <w:rFonts w:hint="default" w:ascii="Times New Roman" w:hAnsi="Times New Roman" w:cs="Times New Roman"/>
                      <w:color w:val="auto"/>
                      <w:kern w:val="0"/>
                      <w:sz w:val="21"/>
                      <w:szCs w:val="21"/>
                      <w:highlight w:val="none"/>
                      <w:lang w:val="en-US" w:eastAsia="zh-CN"/>
                    </w:rPr>
                    <w:t>符合开发区产业定位。</w:t>
                  </w:r>
                </w:p>
              </w:tc>
              <w:tc>
                <w:tcPr>
                  <w:tcW w:w="316" w:type="pct"/>
                  <w:tcBorders>
                    <w:tl2br w:val="nil"/>
                    <w:tr2bl w:val="nil"/>
                  </w:tcBorders>
                  <w:noWrap w:val="0"/>
                  <w:vAlign w:val="center"/>
                </w:tcPr>
                <w:p w14:paraId="6CE6E927">
                  <w:pPr>
                    <w:pStyle w:val="25"/>
                    <w:keepNext w:val="0"/>
                    <w:keepLines w:val="0"/>
                    <w:pageBreakBefore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77E6E8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5760" w:type="dxa"/>
                  <w:tcBorders>
                    <w:tl2br w:val="nil"/>
                    <w:tr2bl w:val="nil"/>
                  </w:tcBorders>
                  <w:noWrap w:val="0"/>
                  <w:vAlign w:val="center"/>
                </w:tcPr>
                <w:p w14:paraId="58F24D37">
                  <w:pPr>
                    <w:pStyle w:val="23"/>
                    <w:ind w:firstLine="0" w:firstLineChars="0"/>
                    <w:rPr>
                      <w:rFonts w:hint="default" w:ascii="Times New Roman" w:hAnsi="Times New Roman" w:eastAsia="宋体" w:cs="Times New Roman"/>
                      <w:color w:val="auto"/>
                      <w:sz w:val="21"/>
                      <w:szCs w:val="21"/>
                    </w:rPr>
                  </w:pPr>
                  <w:r>
                    <w:rPr>
                      <w:color w:val="auto"/>
                      <w:szCs w:val="21"/>
                    </w:rPr>
                    <w:t>环保基础设施规划：采用雨污分流排水体制，污水经收集后排入</w:t>
                  </w:r>
                  <w:r>
                    <w:rPr>
                      <w:rFonts w:hint="eastAsia"/>
                      <w:color w:val="auto"/>
                      <w:szCs w:val="21"/>
                      <w:lang w:eastAsia="zh-CN"/>
                    </w:rPr>
                    <w:t>金坛第二污水处理厂</w:t>
                  </w:r>
                  <w:r>
                    <w:rPr>
                      <w:color w:val="auto"/>
                      <w:szCs w:val="21"/>
                    </w:rPr>
                    <w:t>集中处理，该污水处理厂现状规模4万方每天，规划规模16万方每天，尾水达到《城镇污水处理厂污染物排放标准》（GB 18918-2002）中表1一级A标准及《太湖地区城镇污水处理厂及重点工业行业主要水污染物排放限值》（DB 32/</w:t>
                  </w:r>
                  <w:r>
                    <w:rPr>
                      <w:rFonts w:hint="eastAsia"/>
                      <w:color w:val="auto"/>
                      <w:szCs w:val="21"/>
                      <w:lang w:eastAsia="zh-CN"/>
                    </w:rPr>
                    <w:t>1072-2018</w:t>
                  </w:r>
                  <w:r>
                    <w:rPr>
                      <w:color w:val="auto"/>
                      <w:szCs w:val="21"/>
                    </w:rPr>
                    <w:t>）后排入尧塘河；开发区危险废物委托有资质单位安全处置。</w:t>
                  </w:r>
                </w:p>
              </w:tc>
              <w:tc>
                <w:tcPr>
                  <w:tcW w:w="2979" w:type="dxa"/>
                  <w:tcBorders>
                    <w:tl2br w:val="nil"/>
                    <w:tr2bl w:val="nil"/>
                  </w:tcBorders>
                  <w:noWrap w:val="0"/>
                  <w:vAlign w:val="center"/>
                </w:tcPr>
                <w:p w14:paraId="2C53700A">
                  <w:pPr>
                    <w:pStyle w:val="23"/>
                    <w:ind w:firstLine="0" w:firstLineChars="0"/>
                    <w:jc w:val="left"/>
                    <w:rPr>
                      <w:rFonts w:hint="default" w:ascii="Times New Roman" w:hAnsi="Times New Roman" w:eastAsia="宋体" w:cs="Times New Roman"/>
                      <w:color w:val="auto"/>
                      <w:sz w:val="21"/>
                      <w:szCs w:val="21"/>
                    </w:rPr>
                  </w:pPr>
                  <w:r>
                    <w:rPr>
                      <w:color w:val="auto"/>
                      <w:szCs w:val="21"/>
                    </w:rPr>
                    <w:t>本项目厂区实施雨污分流制，雨水排入市政雨水管网，生活污水经市政管网排入金坛第二污水处理厂，项目各项危险废物均委托有资质单位进行处置，不产生二次污染。</w:t>
                  </w:r>
                </w:p>
              </w:tc>
              <w:tc>
                <w:tcPr>
                  <w:tcW w:w="316" w:type="pct"/>
                  <w:tcBorders>
                    <w:tl2br w:val="nil"/>
                    <w:tr2bl w:val="nil"/>
                  </w:tcBorders>
                  <w:noWrap w:val="0"/>
                  <w:vAlign w:val="center"/>
                </w:tcPr>
                <w:p w14:paraId="6FC55F1D">
                  <w:pPr>
                    <w:pStyle w:val="25"/>
                    <w:keepNext w:val="0"/>
                    <w:keepLines w:val="0"/>
                    <w:pageBreakBefore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266E04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5760" w:type="dxa"/>
                  <w:tcBorders>
                    <w:tl2br w:val="nil"/>
                    <w:tr2bl w:val="nil"/>
                  </w:tcBorders>
                  <w:noWrap w:val="0"/>
                  <w:vAlign w:val="center"/>
                </w:tcPr>
                <w:p w14:paraId="6809941F">
                  <w:pPr>
                    <w:pStyle w:val="23"/>
                    <w:ind w:firstLine="0" w:firstLineChars="0"/>
                    <w:jc w:val="both"/>
                    <w:rPr>
                      <w:rFonts w:hint="default" w:ascii="Times New Roman" w:hAnsi="Times New Roman" w:eastAsia="宋体" w:cs="Times New Roman"/>
                      <w:color w:val="auto"/>
                      <w:sz w:val="21"/>
                      <w:szCs w:val="21"/>
                    </w:rPr>
                  </w:pPr>
                  <w:r>
                    <w:rPr>
                      <w:color w:val="auto"/>
                      <w:szCs w:val="21"/>
                    </w:rPr>
                    <w:t>开发区应引进科技含量高、产品附加值高、无污染或者污染程度低的项目，其生产工艺、装备水平、污染治理技术，以及单位产品能耗、物耗、污染物排放和资源利用率均需达到同行业国际先进水平，至少是国内先进水平。机械装备、电子行业禁止引进电镀、表面处理类项目，化工行业禁止引进与盐化工及下游产品生产不相关的化工项目、农药项目，新材料禁止引进太阳能电池切片、钢铁等传统型金属材料、水泥等传统型非金属材料的生产项目</w:t>
                  </w:r>
                  <w:r>
                    <w:rPr>
                      <w:color w:val="auto"/>
                      <w:szCs w:val="21"/>
                      <w:highlight w:val="none"/>
                    </w:rPr>
                    <w:t>，纺织禁止引进排放量较大的纯印染和纯染整类企业和项目。在园区大气中HCl稳定达标前禁止引进排放大气污染物HCl的企业和项目。推进</w:t>
                  </w:r>
                  <w:r>
                    <w:rPr>
                      <w:color w:val="auto"/>
                      <w:szCs w:val="21"/>
                    </w:rPr>
                    <w:t>符合园区产业定位和布局的现有企业提升技术水平和升级改造，不符合产业定位和布局的企业禁止新建、改扩建，并逐步淘汰，其中，九华能源、振兴纺机等2家涉铅企业应于2015年底关停。</w:t>
                  </w:r>
                </w:p>
              </w:tc>
              <w:tc>
                <w:tcPr>
                  <w:tcW w:w="2958" w:type="dxa"/>
                  <w:tcBorders>
                    <w:tl2br w:val="nil"/>
                    <w:tr2bl w:val="nil"/>
                  </w:tcBorders>
                  <w:noWrap w:val="0"/>
                  <w:vAlign w:val="center"/>
                </w:tcPr>
                <w:p w14:paraId="0818A395">
                  <w:pPr>
                    <w:pStyle w:val="23"/>
                    <w:ind w:firstLine="0" w:firstLineChars="0"/>
                    <w:jc w:val="left"/>
                    <w:rPr>
                      <w:rFonts w:hint="default" w:ascii="Times New Roman" w:hAnsi="Times New Roman" w:eastAsia="宋体" w:cs="Times New Roman"/>
                      <w:color w:val="auto"/>
                      <w:sz w:val="21"/>
                      <w:szCs w:val="21"/>
                    </w:rPr>
                  </w:pPr>
                  <w:r>
                    <w:rPr>
                      <w:color w:val="auto"/>
                      <w:szCs w:val="21"/>
                    </w:rPr>
                    <w:t>本项目污染程度低，无电镀、表面处理工艺，非太阳能电池切片、钢铁等传统型金属材料、水泥等传统型非金属材料的生产项目，不属于纯印染和纯染整类企业和项目</w:t>
                  </w:r>
                  <w:r>
                    <w:rPr>
                      <w:rFonts w:hint="eastAsia"/>
                      <w:color w:val="auto"/>
                      <w:szCs w:val="21"/>
                    </w:rPr>
                    <w:t>。</w:t>
                  </w:r>
                  <w:r>
                    <w:rPr>
                      <w:rFonts w:hint="eastAsia"/>
                      <w:color w:val="auto"/>
                      <w:szCs w:val="21"/>
                      <w:highlight w:val="none"/>
                    </w:rPr>
                    <w:t>本项目</w:t>
                  </w:r>
                  <w:r>
                    <w:rPr>
                      <w:rFonts w:hint="eastAsia"/>
                      <w:color w:val="auto"/>
                      <w:szCs w:val="21"/>
                      <w:highlight w:val="none"/>
                      <w:lang w:val="en-US" w:eastAsia="zh-CN"/>
                    </w:rPr>
                    <w:t>不排放</w:t>
                  </w:r>
                  <w:r>
                    <w:rPr>
                      <w:rFonts w:hint="eastAsia"/>
                      <w:color w:val="auto"/>
                      <w:szCs w:val="21"/>
                      <w:highlight w:val="none"/>
                    </w:rPr>
                    <w:t>HCl</w:t>
                  </w:r>
                  <w:r>
                    <w:rPr>
                      <w:rFonts w:hint="eastAsia"/>
                      <w:color w:val="auto"/>
                      <w:szCs w:val="21"/>
                      <w:highlight w:val="none"/>
                      <w:lang w:val="en-US" w:eastAsia="zh-CN"/>
                    </w:rPr>
                    <w:t>，符合园区要求</w:t>
                  </w:r>
                  <w:r>
                    <w:rPr>
                      <w:rFonts w:hint="eastAsia"/>
                      <w:color w:val="auto"/>
                      <w:szCs w:val="21"/>
                      <w:highlight w:val="none"/>
                    </w:rPr>
                    <w:t>。</w:t>
                  </w:r>
                </w:p>
              </w:tc>
              <w:tc>
                <w:tcPr>
                  <w:tcW w:w="316" w:type="pct"/>
                  <w:tcBorders>
                    <w:tl2br w:val="nil"/>
                    <w:tr2bl w:val="nil"/>
                  </w:tcBorders>
                  <w:noWrap w:val="0"/>
                  <w:vAlign w:val="center"/>
                </w:tcPr>
                <w:p w14:paraId="5418A5BA">
                  <w:pPr>
                    <w:keepNext w:val="0"/>
                    <w:keepLines w:val="0"/>
                    <w:pageBreakBefore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09DBBF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5760" w:type="dxa"/>
                  <w:tcBorders>
                    <w:tl2br w:val="nil"/>
                    <w:tr2bl w:val="nil"/>
                  </w:tcBorders>
                  <w:noWrap w:val="0"/>
                  <w:vAlign w:val="center"/>
                </w:tcPr>
                <w:p w14:paraId="43DC9064">
                  <w:pPr>
                    <w:pStyle w:val="23"/>
                    <w:ind w:firstLine="0" w:firstLineChars="0"/>
                    <w:rPr>
                      <w:rFonts w:hint="default" w:ascii="Times New Roman" w:hAnsi="Times New Roman" w:cs="Times New Roman"/>
                      <w:color w:val="auto"/>
                      <w:kern w:val="0"/>
                      <w:sz w:val="21"/>
                      <w:szCs w:val="21"/>
                    </w:rPr>
                  </w:pPr>
                  <w:r>
                    <w:rPr>
                      <w:color w:val="auto"/>
                      <w:szCs w:val="21"/>
                    </w:rPr>
                    <w:t>加快基础设施建设。完善区内供热管网，2018年底前实现区内集中供热或使用清洁能源；加快现有燃煤设施拆除工作，改用集中供热或使用清洁能源；新入区企业严禁自建燃煤设施。园区实施雨污分流、清污分流和污水集中处理，建设完善区内污水管网，封堵现有企业自有排口，2015年底前完成所有企业废水接管，2018年底前完成所有生活污水接管；加快实施中水回用工程，污水处理厂中水回用率达30%。加强固体废物的集中处理处置，危险废物交由有资质的单位处理。</w:t>
                  </w:r>
                </w:p>
              </w:tc>
              <w:tc>
                <w:tcPr>
                  <w:tcW w:w="2958" w:type="dxa"/>
                  <w:tcBorders>
                    <w:tl2br w:val="nil"/>
                    <w:tr2bl w:val="nil"/>
                  </w:tcBorders>
                  <w:noWrap w:val="0"/>
                  <w:vAlign w:val="center"/>
                </w:tcPr>
                <w:p w14:paraId="0BCFB810">
                  <w:pPr>
                    <w:pStyle w:val="23"/>
                    <w:ind w:firstLine="0" w:firstLineChars="0"/>
                    <w:jc w:val="left"/>
                    <w:rPr>
                      <w:rFonts w:hint="default" w:ascii="Times New Roman" w:hAnsi="Times New Roman" w:eastAsia="宋体" w:cs="Times New Roman"/>
                      <w:color w:val="auto"/>
                      <w:kern w:val="0"/>
                      <w:sz w:val="21"/>
                      <w:szCs w:val="21"/>
                      <w:lang w:val="en-US" w:eastAsia="zh-CN"/>
                    </w:rPr>
                  </w:pPr>
                  <w:r>
                    <w:rPr>
                      <w:color w:val="auto"/>
                      <w:szCs w:val="21"/>
                    </w:rPr>
                    <w:t>本项目厂区实施雨污分流制，雨水排入市政雨水管网，生活污水经市政管网排入金坛第二污水处理厂，项目各项危险废物均委托有资质单位进行处置，不产生二次污染。</w:t>
                  </w:r>
                </w:p>
              </w:tc>
              <w:tc>
                <w:tcPr>
                  <w:tcW w:w="316" w:type="pct"/>
                  <w:tcBorders>
                    <w:tl2br w:val="nil"/>
                    <w:tr2bl w:val="nil"/>
                  </w:tcBorders>
                  <w:noWrap w:val="0"/>
                  <w:vAlign w:val="center"/>
                </w:tcPr>
                <w:p w14:paraId="3EB4A196">
                  <w:pPr>
                    <w:keepNext w:val="0"/>
                    <w:keepLines w:val="0"/>
                    <w:pageBreakBefore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52016C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5760" w:type="dxa"/>
                  <w:tcBorders>
                    <w:tl2br w:val="nil"/>
                    <w:tr2bl w:val="nil"/>
                  </w:tcBorders>
                  <w:noWrap w:val="0"/>
                  <w:vAlign w:val="center"/>
                </w:tcPr>
                <w:p w14:paraId="442A2FB3">
                  <w:pPr>
                    <w:pStyle w:val="23"/>
                    <w:ind w:firstLine="0" w:firstLineChars="0"/>
                    <w:rPr>
                      <w:rFonts w:hint="default" w:ascii="Times New Roman" w:hAnsi="Times New Roman" w:cs="Times New Roman"/>
                      <w:color w:val="auto"/>
                      <w:kern w:val="0"/>
                      <w:sz w:val="21"/>
                      <w:szCs w:val="21"/>
                    </w:rPr>
                  </w:pPr>
                  <w:r>
                    <w:rPr>
                      <w:color w:val="auto"/>
                      <w:szCs w:val="21"/>
                    </w:rPr>
                    <w:t>加强区域大气环境保护，推进区内加怡热电烟气脱硝工程，严格落实HCl等大气特征污染物防治措施，强化恶臭、VOCs等特征污染物的控制与治理，严格控制SO</w:t>
                  </w:r>
                  <w:r>
                    <w:rPr>
                      <w:color w:val="auto"/>
                      <w:szCs w:val="21"/>
                      <w:vertAlign w:val="subscript"/>
                    </w:rPr>
                    <w:t>2</w:t>
                  </w:r>
                  <w:r>
                    <w:rPr>
                      <w:color w:val="auto"/>
                      <w:szCs w:val="21"/>
                    </w:rPr>
                    <w:t>、NOx、VOCs等大气污染物排放总量，确保重点区域大气环境质量如期改善与稳定达标。</w:t>
                  </w:r>
                </w:p>
              </w:tc>
              <w:tc>
                <w:tcPr>
                  <w:tcW w:w="2958" w:type="dxa"/>
                  <w:tcBorders>
                    <w:tl2br w:val="nil"/>
                    <w:tr2bl w:val="nil"/>
                  </w:tcBorders>
                  <w:noWrap w:val="0"/>
                  <w:vAlign w:val="center"/>
                </w:tcPr>
                <w:p w14:paraId="1CAC1658">
                  <w:pPr>
                    <w:pStyle w:val="23"/>
                    <w:ind w:firstLine="0" w:firstLineChars="0"/>
                    <w:jc w:val="left"/>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本项目</w:t>
                  </w:r>
                  <w:r>
                    <w:rPr>
                      <w:rFonts w:hint="eastAsia" w:ascii="Times New Roman" w:hAnsi="Times New Roman" w:eastAsia="宋体" w:cs="Times New Roman"/>
                      <w:color w:val="auto"/>
                      <w:kern w:val="0"/>
                      <w:sz w:val="21"/>
                      <w:szCs w:val="21"/>
                      <w:lang w:val="en-US" w:eastAsia="zh-CN"/>
                    </w:rPr>
                    <w:t>不排放</w:t>
                  </w:r>
                  <w:r>
                    <w:rPr>
                      <w:rFonts w:hint="default" w:ascii="Times New Roman" w:hAnsi="Times New Roman" w:eastAsia="宋体" w:cs="Times New Roman"/>
                      <w:color w:val="auto"/>
                      <w:kern w:val="0"/>
                      <w:sz w:val="21"/>
                      <w:szCs w:val="21"/>
                    </w:rPr>
                    <w:t>HCl</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SO</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、NOx等大气污染物，产生的</w:t>
                  </w:r>
                  <w:r>
                    <w:rPr>
                      <w:rFonts w:hint="eastAsia" w:ascii="Times New Roman" w:hAnsi="Times New Roman" w:eastAsia="宋体" w:cs="Times New Roman"/>
                      <w:color w:val="auto"/>
                      <w:kern w:val="0"/>
                      <w:sz w:val="21"/>
                      <w:szCs w:val="21"/>
                      <w:highlight w:val="none"/>
                      <w:lang w:val="en-US" w:eastAsia="zh-CN"/>
                    </w:rPr>
                    <w:t>VOCs</w:t>
                  </w:r>
                  <w:r>
                    <w:rPr>
                      <w:rFonts w:hint="default" w:ascii="Times New Roman" w:hAnsi="Times New Roman" w:eastAsia="宋体" w:cs="Times New Roman"/>
                      <w:color w:val="auto"/>
                      <w:kern w:val="0"/>
                      <w:sz w:val="21"/>
                      <w:szCs w:val="21"/>
                    </w:rPr>
                    <w:t>经废气处理设施处理后达标排放，对周围环境影响较小</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符合园区要求。</w:t>
                  </w:r>
                </w:p>
              </w:tc>
              <w:tc>
                <w:tcPr>
                  <w:tcW w:w="316" w:type="pct"/>
                  <w:tcBorders>
                    <w:tl2br w:val="nil"/>
                    <w:tr2bl w:val="nil"/>
                  </w:tcBorders>
                  <w:noWrap w:val="0"/>
                  <w:vAlign w:val="center"/>
                </w:tcPr>
                <w:p w14:paraId="2BF83F34">
                  <w:pPr>
                    <w:pStyle w:val="25"/>
                    <w:keepNext w:val="0"/>
                    <w:keepLines w:val="0"/>
                    <w:pageBreakBefore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06F2BD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5760" w:type="dxa"/>
                  <w:tcBorders>
                    <w:tl2br w:val="nil"/>
                    <w:tr2bl w:val="nil"/>
                  </w:tcBorders>
                  <w:noWrap w:val="0"/>
                  <w:vAlign w:val="center"/>
                </w:tcPr>
                <w:p w14:paraId="64C00BAF">
                  <w:pPr>
                    <w:pStyle w:val="23"/>
                    <w:ind w:firstLine="0" w:firstLineChars="0"/>
                    <w:rPr>
                      <w:rFonts w:hint="default" w:ascii="Times New Roman" w:hAnsi="Times New Roman" w:cs="Times New Roman"/>
                      <w:b/>
                      <w:bCs/>
                      <w:color w:val="auto"/>
                      <w:kern w:val="0"/>
                      <w:sz w:val="21"/>
                      <w:szCs w:val="21"/>
                    </w:rPr>
                  </w:pPr>
                  <w:r>
                    <w:rPr>
                      <w:color w:val="auto"/>
                      <w:szCs w:val="21"/>
                    </w:rPr>
                    <w:t>落实《江苏省生态红线区域保护规划》和《江苏省太湖水污染防治条例》要求，加强太湖流域水环境保护。以丹金溧漕河、尧塘河为重点，加大区域河流综合整治力度。严格控制园区人口规模和用水定额，减少工业企业用水量和污水排放量，严格控制COD、氨氮、总磷等污染物排放总量，加快实现水环境功能区达标。</w:t>
                  </w:r>
                </w:p>
              </w:tc>
              <w:tc>
                <w:tcPr>
                  <w:tcW w:w="2979" w:type="dxa"/>
                  <w:tcBorders>
                    <w:tl2br w:val="nil"/>
                    <w:tr2bl w:val="nil"/>
                  </w:tcBorders>
                  <w:noWrap w:val="0"/>
                  <w:vAlign w:val="center"/>
                </w:tcPr>
                <w:p w14:paraId="0E179B00">
                  <w:pPr>
                    <w:pStyle w:val="23"/>
                    <w:ind w:firstLine="0" w:firstLineChars="0"/>
                    <w:jc w:val="left"/>
                    <w:rPr>
                      <w:rFonts w:hint="default" w:ascii="Times New Roman" w:hAnsi="Times New Roman" w:cs="Times New Roman"/>
                      <w:color w:val="auto"/>
                      <w:kern w:val="0"/>
                      <w:sz w:val="21"/>
                      <w:szCs w:val="21"/>
                    </w:rPr>
                  </w:pPr>
                  <w:r>
                    <w:rPr>
                      <w:color w:val="auto"/>
                      <w:szCs w:val="21"/>
                    </w:rPr>
                    <w:t>根据《江苏省生态空间管控区域规划》和《江苏省国家级生态保护红线规划》，本项目均不在上述红线中。</w:t>
                  </w:r>
                </w:p>
              </w:tc>
              <w:tc>
                <w:tcPr>
                  <w:tcW w:w="316" w:type="pct"/>
                  <w:tcBorders>
                    <w:tl2br w:val="nil"/>
                    <w:tr2bl w:val="nil"/>
                  </w:tcBorders>
                  <w:noWrap w:val="0"/>
                  <w:vAlign w:val="center"/>
                </w:tcPr>
                <w:p w14:paraId="4F6D2510">
                  <w:pPr>
                    <w:pStyle w:val="25"/>
                    <w:keepNext w:val="0"/>
                    <w:keepLines w:val="0"/>
                    <w:pageBreakBefore w:val="0"/>
                    <w:kinsoku/>
                    <w:wordWrap/>
                    <w:overflowPunct/>
                    <w:topLinePunct w:val="0"/>
                    <w:bidi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相符</w:t>
                  </w:r>
                </w:p>
              </w:tc>
            </w:tr>
          </w:tbl>
          <w:p w14:paraId="6D91F61B">
            <w:pPr>
              <w:ind w:firstLine="0" w:firstLineChars="0"/>
              <w:rPr>
                <w:b/>
                <w:bCs/>
                <w:color w:val="auto"/>
                <w:sz w:val="24"/>
                <w:szCs w:val="24"/>
              </w:rPr>
            </w:pPr>
            <w:r>
              <w:rPr>
                <w:rFonts w:hint="eastAsia"/>
                <w:b/>
                <w:bCs/>
                <w:color w:val="auto"/>
                <w:sz w:val="24"/>
                <w:szCs w:val="24"/>
                <w:lang w:eastAsia="zh-CN"/>
              </w:rPr>
              <w:t>（</w:t>
            </w:r>
            <w:r>
              <w:rPr>
                <w:rFonts w:hint="eastAsia"/>
                <w:b/>
                <w:bCs/>
                <w:color w:val="auto"/>
                <w:sz w:val="24"/>
                <w:szCs w:val="24"/>
                <w:lang w:val="en-US" w:eastAsia="zh-CN"/>
              </w:rPr>
              <w:t>2</w:t>
            </w:r>
            <w:r>
              <w:rPr>
                <w:rFonts w:hint="eastAsia"/>
                <w:b/>
                <w:bCs/>
                <w:color w:val="auto"/>
                <w:sz w:val="24"/>
                <w:szCs w:val="24"/>
                <w:lang w:eastAsia="zh-CN"/>
              </w:rPr>
              <w:t>）</w:t>
            </w:r>
            <w:r>
              <w:rPr>
                <w:b/>
                <w:bCs/>
                <w:color w:val="auto"/>
                <w:sz w:val="24"/>
                <w:szCs w:val="24"/>
              </w:rPr>
              <w:t>环境准入</w:t>
            </w:r>
          </w:p>
          <w:p w14:paraId="1815F9AC">
            <w:pPr>
              <w:spacing w:line="240" w:lineRule="auto"/>
              <w:ind w:firstLine="0" w:firstLineChars="0"/>
              <w:jc w:val="center"/>
              <w:rPr>
                <w:rFonts w:hint="default" w:eastAsia="宋体"/>
                <w:b/>
                <w:bCs/>
                <w:color w:val="auto"/>
                <w:sz w:val="21"/>
                <w:szCs w:val="21"/>
                <w:lang w:val="en-US" w:eastAsia="zh-CN"/>
              </w:rPr>
            </w:pPr>
            <w:r>
              <w:rPr>
                <w:b/>
                <w:bCs/>
                <w:color w:val="auto"/>
                <w:sz w:val="21"/>
                <w:szCs w:val="21"/>
              </w:rPr>
              <w:t xml:space="preserve">表1-2  </w:t>
            </w:r>
            <w:r>
              <w:rPr>
                <w:rFonts w:hint="eastAsia"/>
                <w:b/>
                <w:bCs/>
                <w:color w:val="auto"/>
                <w:sz w:val="21"/>
                <w:szCs w:val="21"/>
                <w:lang w:val="en-US" w:eastAsia="zh-CN"/>
              </w:rPr>
              <w:t>项目与《金坛经济开发区优先及禁止项目清单》相符性分析一览表</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65"/>
              <w:gridCol w:w="676"/>
              <w:gridCol w:w="4613"/>
              <w:gridCol w:w="2780"/>
              <w:gridCol w:w="635"/>
            </w:tblGrid>
            <w:tr w14:paraId="42952D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41" w:type="dxa"/>
                  <w:gridSpan w:val="2"/>
                  <w:tcBorders>
                    <w:tl2br w:val="nil"/>
                    <w:tr2bl w:val="nil"/>
                  </w:tcBorders>
                  <w:noWrap w:val="0"/>
                  <w:vAlign w:val="center"/>
                </w:tcPr>
                <w:p w14:paraId="08BB0F00">
                  <w:pPr>
                    <w:pStyle w:val="25"/>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清单类别</w:t>
                  </w:r>
                </w:p>
              </w:tc>
              <w:tc>
                <w:tcPr>
                  <w:tcW w:w="4613" w:type="dxa"/>
                  <w:tcBorders>
                    <w:tl2br w:val="nil"/>
                    <w:tr2bl w:val="nil"/>
                  </w:tcBorders>
                  <w:noWrap w:val="0"/>
                  <w:vAlign w:val="center"/>
                </w:tcPr>
                <w:p w14:paraId="0991C973">
                  <w:pPr>
                    <w:pStyle w:val="25"/>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准入内容</w:t>
                  </w:r>
                </w:p>
              </w:tc>
              <w:tc>
                <w:tcPr>
                  <w:tcW w:w="2780" w:type="dxa"/>
                  <w:tcBorders>
                    <w:tl2br w:val="nil"/>
                    <w:tr2bl w:val="nil"/>
                  </w:tcBorders>
                  <w:noWrap w:val="0"/>
                  <w:vAlign w:val="center"/>
                </w:tcPr>
                <w:p w14:paraId="272B0080">
                  <w:pPr>
                    <w:pStyle w:val="25"/>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本项目</w:t>
                  </w:r>
                </w:p>
              </w:tc>
              <w:tc>
                <w:tcPr>
                  <w:tcW w:w="635" w:type="dxa"/>
                  <w:tcBorders>
                    <w:tl2br w:val="nil"/>
                    <w:tr2bl w:val="nil"/>
                  </w:tcBorders>
                  <w:noWrap w:val="0"/>
                  <w:vAlign w:val="center"/>
                </w:tcPr>
                <w:p w14:paraId="2B818A9F">
                  <w:pPr>
                    <w:pStyle w:val="25"/>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bCs/>
                      <w:color w:val="auto"/>
                      <w:sz w:val="21"/>
                      <w:szCs w:val="21"/>
                    </w:rPr>
                    <w:t>相符性</w:t>
                  </w:r>
                </w:p>
              </w:tc>
            </w:tr>
            <w:tr w14:paraId="106C5C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7" w:hRule="atLeast"/>
              </w:trPr>
              <w:tc>
                <w:tcPr>
                  <w:tcW w:w="565" w:type="dxa"/>
                  <w:vMerge w:val="restart"/>
                  <w:tcBorders>
                    <w:tl2br w:val="nil"/>
                    <w:tr2bl w:val="nil"/>
                  </w:tcBorders>
                  <w:noWrap w:val="0"/>
                  <w:vAlign w:val="center"/>
                </w:tcPr>
                <w:p w14:paraId="67971E4A">
                  <w:pPr>
                    <w:pStyle w:val="25"/>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项目准入</w:t>
                  </w:r>
                </w:p>
              </w:tc>
              <w:tc>
                <w:tcPr>
                  <w:tcW w:w="676" w:type="dxa"/>
                  <w:vMerge w:val="restart"/>
                  <w:tcBorders>
                    <w:tl2br w:val="nil"/>
                    <w:tr2bl w:val="nil"/>
                  </w:tcBorders>
                  <w:noWrap w:val="0"/>
                  <w:vAlign w:val="center"/>
                </w:tcPr>
                <w:p w14:paraId="669287E8">
                  <w:pPr>
                    <w:pStyle w:val="25"/>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优先引入</w:t>
                  </w:r>
                </w:p>
              </w:tc>
              <w:tc>
                <w:tcPr>
                  <w:tcW w:w="4613" w:type="dxa"/>
                  <w:tcBorders>
                    <w:tl2br w:val="nil"/>
                    <w:tr2bl w:val="nil"/>
                  </w:tcBorders>
                  <w:noWrap w:val="0"/>
                  <w:vAlign w:val="center"/>
                </w:tcPr>
                <w:p w14:paraId="595920DA">
                  <w:pPr>
                    <w:pStyle w:val="23"/>
                    <w:ind w:firstLine="0" w:firstLineChars="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1、新能源产业:重点发展光伏产业，支持发展光能、风能、氢能等新能源产业和储能产业;</w:t>
                  </w:r>
                </w:p>
              </w:tc>
              <w:tc>
                <w:tcPr>
                  <w:tcW w:w="2780" w:type="dxa"/>
                  <w:vMerge w:val="restart"/>
                  <w:tcBorders>
                    <w:tl2br w:val="nil"/>
                    <w:tr2bl w:val="nil"/>
                  </w:tcBorders>
                  <w:noWrap w:val="0"/>
                  <w:vAlign w:val="center"/>
                </w:tcPr>
                <w:p w14:paraId="60168F16">
                  <w:pPr>
                    <w:pStyle w:val="25"/>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Cs/>
                      <w:color w:val="auto"/>
                      <w:sz w:val="21"/>
                      <w:szCs w:val="21"/>
                      <w:lang w:val="en-US" w:eastAsia="zh-CN"/>
                    </w:rPr>
                    <w:t>本项目从事吻合器零配件、电器零配件的生产，属于[C2929]塑料零件及其他塑料制品制造、[C3584]医疗、外科及兽医用器械制造。</w:t>
                  </w:r>
                  <w:r>
                    <w:rPr>
                      <w:rFonts w:hint="eastAsia"/>
                      <w:bCs/>
                      <w:color w:val="auto"/>
                    </w:rPr>
                    <w:t>吻合器是一种精密的外科手术器械，电器零配件是构成所有复杂电器和系统的基础，分别属于高端装备制造和机械电子的配套产业。</w:t>
                  </w:r>
                  <w:r>
                    <w:rPr>
                      <w:rFonts w:hint="eastAsia" w:cs="Times New Roman"/>
                      <w:bCs/>
                      <w:color w:val="auto"/>
                      <w:sz w:val="21"/>
                      <w:szCs w:val="21"/>
                      <w:lang w:val="en-US" w:eastAsia="zh-CN"/>
                    </w:rPr>
                    <w:t>机械</w:t>
                  </w:r>
                  <w:r>
                    <w:rPr>
                      <w:rFonts w:hint="eastAsia" w:ascii="Times New Roman" w:hAnsi="Times New Roman" w:eastAsia="宋体" w:cs="Times New Roman"/>
                      <w:bCs/>
                      <w:color w:val="auto"/>
                      <w:sz w:val="21"/>
                      <w:szCs w:val="21"/>
                      <w:lang w:val="en-US" w:eastAsia="zh-CN"/>
                    </w:rPr>
                    <w:t>电子、高端装备</w:t>
                  </w:r>
                  <w:r>
                    <w:rPr>
                      <w:rFonts w:hint="eastAsia" w:cs="Times New Roman"/>
                      <w:bCs/>
                      <w:color w:val="auto"/>
                      <w:sz w:val="21"/>
                      <w:szCs w:val="21"/>
                      <w:lang w:val="en-US" w:eastAsia="zh-CN"/>
                    </w:rPr>
                    <w:t>亦属于</w:t>
                  </w:r>
                  <w:r>
                    <w:rPr>
                      <w:rFonts w:hint="default" w:ascii="Times New Roman" w:hAnsi="Times New Roman" w:eastAsia="宋体" w:cs="Times New Roman"/>
                      <w:color w:val="auto"/>
                      <w:szCs w:val="21"/>
                      <w:lang w:val="en-US" w:eastAsia="zh-CN"/>
                    </w:rPr>
                    <w:t>新能源汽车</w:t>
                  </w:r>
                  <w:r>
                    <w:rPr>
                      <w:rFonts w:hint="eastAsia" w:cs="Times New Roman"/>
                      <w:color w:val="auto"/>
                      <w:szCs w:val="21"/>
                      <w:lang w:val="en-US" w:eastAsia="zh-CN"/>
                    </w:rPr>
                    <w:t>产业、</w:t>
                  </w:r>
                  <w:r>
                    <w:rPr>
                      <w:rFonts w:hint="default" w:ascii="Times New Roman" w:hAnsi="Times New Roman" w:eastAsia="宋体" w:cs="Times New Roman"/>
                      <w:color w:val="auto"/>
                      <w:szCs w:val="21"/>
                      <w:lang w:val="en-US" w:eastAsia="zh-CN"/>
                    </w:rPr>
                    <w:t>新智能产业</w:t>
                  </w:r>
                  <w:r>
                    <w:rPr>
                      <w:rFonts w:hint="eastAsia" w:cs="Times New Roman"/>
                      <w:color w:val="auto"/>
                      <w:szCs w:val="21"/>
                      <w:lang w:val="en-US" w:eastAsia="zh-CN"/>
                    </w:rPr>
                    <w:t>的配套产业</w:t>
                  </w:r>
                  <w:r>
                    <w:rPr>
                      <w:rFonts w:hint="eastAsia" w:ascii="Times New Roman" w:hAnsi="Times New Roman" w:eastAsia="宋体" w:cs="Times New Roman"/>
                      <w:bCs/>
                      <w:color w:val="auto"/>
                      <w:sz w:val="21"/>
                      <w:szCs w:val="21"/>
                      <w:lang w:val="en-US" w:eastAsia="zh-CN"/>
                    </w:rPr>
                    <w:t>。</w:t>
                  </w:r>
                </w:p>
              </w:tc>
              <w:tc>
                <w:tcPr>
                  <w:tcW w:w="635" w:type="dxa"/>
                  <w:vMerge w:val="restart"/>
                  <w:tcBorders>
                    <w:tl2br w:val="nil"/>
                    <w:tr2bl w:val="nil"/>
                  </w:tcBorders>
                  <w:noWrap w:val="0"/>
                  <w:vAlign w:val="center"/>
                </w:tcPr>
                <w:p w14:paraId="39D0D440">
                  <w:pPr>
                    <w:pStyle w:val="25"/>
                    <w:snapToGrid w:val="0"/>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color w:val="auto"/>
                      <w:sz w:val="21"/>
                      <w:szCs w:val="21"/>
                      <w:lang w:val="en-US" w:eastAsia="zh-CN"/>
                    </w:rPr>
                    <w:t>相符</w:t>
                  </w:r>
                </w:p>
              </w:tc>
            </w:tr>
            <w:tr w14:paraId="10C155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7" w:hRule="atLeast"/>
              </w:trPr>
              <w:tc>
                <w:tcPr>
                  <w:tcW w:w="565" w:type="dxa"/>
                  <w:vMerge w:val="continue"/>
                  <w:tcBorders>
                    <w:tl2br w:val="nil"/>
                    <w:tr2bl w:val="nil"/>
                  </w:tcBorders>
                  <w:noWrap w:val="0"/>
                  <w:vAlign w:val="center"/>
                </w:tcPr>
                <w:p w14:paraId="11A92E35">
                  <w:pPr>
                    <w:pStyle w:val="25"/>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color w:val="auto"/>
                    </w:rPr>
                  </w:pPr>
                </w:p>
              </w:tc>
              <w:tc>
                <w:tcPr>
                  <w:tcW w:w="676" w:type="dxa"/>
                  <w:vMerge w:val="continue"/>
                  <w:tcBorders>
                    <w:tl2br w:val="nil"/>
                    <w:tr2bl w:val="nil"/>
                  </w:tcBorders>
                  <w:noWrap w:val="0"/>
                  <w:vAlign w:val="center"/>
                </w:tcPr>
                <w:p w14:paraId="69BC2444">
                  <w:pPr>
                    <w:pStyle w:val="25"/>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color w:val="auto"/>
                    </w:rPr>
                  </w:pPr>
                </w:p>
              </w:tc>
              <w:tc>
                <w:tcPr>
                  <w:tcW w:w="4613" w:type="dxa"/>
                  <w:tcBorders>
                    <w:tl2br w:val="nil"/>
                    <w:tr2bl w:val="nil"/>
                  </w:tcBorders>
                  <w:noWrap w:val="0"/>
                  <w:vAlign w:val="center"/>
                </w:tcPr>
                <w:p w14:paraId="50AA531C">
                  <w:pPr>
                    <w:pStyle w:val="23"/>
                    <w:ind w:firstLine="0" w:firstLineChars="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2、新能源汽车产业:发展以正负极、隔膜等动力电池配套材料为主的产业，积极向产业链上游探索发展新能源整车制造、动力电池、驱动电机、电控系统等领域产业;</w:t>
                  </w:r>
                </w:p>
              </w:tc>
              <w:tc>
                <w:tcPr>
                  <w:tcW w:w="2780" w:type="dxa"/>
                  <w:vMerge w:val="continue"/>
                  <w:tcBorders>
                    <w:tl2br w:val="nil"/>
                    <w:tr2bl w:val="nil"/>
                  </w:tcBorders>
                  <w:noWrap w:val="0"/>
                  <w:vAlign w:val="center"/>
                </w:tcPr>
                <w:p w14:paraId="022D3CD5">
                  <w:pPr>
                    <w:pStyle w:val="25"/>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sz w:val="21"/>
                      <w:szCs w:val="21"/>
                      <w:lang w:val="en-US" w:eastAsia="zh-CN"/>
                    </w:rPr>
                  </w:pPr>
                </w:p>
              </w:tc>
              <w:tc>
                <w:tcPr>
                  <w:tcW w:w="635" w:type="dxa"/>
                  <w:vMerge w:val="continue"/>
                  <w:tcBorders>
                    <w:tl2br w:val="nil"/>
                    <w:tr2bl w:val="nil"/>
                  </w:tcBorders>
                  <w:noWrap w:val="0"/>
                  <w:vAlign w:val="center"/>
                </w:tcPr>
                <w:p w14:paraId="0A249F14">
                  <w:pPr>
                    <w:pStyle w:val="25"/>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sz w:val="21"/>
                      <w:szCs w:val="21"/>
                      <w:lang w:val="en-US" w:eastAsia="zh-CN"/>
                    </w:rPr>
                  </w:pPr>
                </w:p>
              </w:tc>
            </w:tr>
            <w:tr w14:paraId="641655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7" w:hRule="atLeast"/>
              </w:trPr>
              <w:tc>
                <w:tcPr>
                  <w:tcW w:w="565" w:type="dxa"/>
                  <w:vMerge w:val="continue"/>
                  <w:tcBorders>
                    <w:tl2br w:val="nil"/>
                    <w:tr2bl w:val="nil"/>
                  </w:tcBorders>
                  <w:noWrap w:val="0"/>
                  <w:vAlign w:val="center"/>
                </w:tcPr>
                <w:p w14:paraId="76D6AF11">
                  <w:pPr>
                    <w:pStyle w:val="25"/>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sz w:val="21"/>
                      <w:szCs w:val="21"/>
                      <w:lang w:val="en-US" w:eastAsia="zh-CN"/>
                    </w:rPr>
                  </w:pPr>
                </w:p>
              </w:tc>
              <w:tc>
                <w:tcPr>
                  <w:tcW w:w="676" w:type="dxa"/>
                  <w:vMerge w:val="continue"/>
                  <w:tcBorders>
                    <w:tl2br w:val="nil"/>
                    <w:tr2bl w:val="nil"/>
                  </w:tcBorders>
                  <w:noWrap w:val="0"/>
                  <w:vAlign w:val="center"/>
                </w:tcPr>
                <w:p w14:paraId="45FC9941">
                  <w:pPr>
                    <w:pStyle w:val="25"/>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sz w:val="21"/>
                      <w:szCs w:val="21"/>
                      <w:lang w:val="en-US" w:eastAsia="zh-CN"/>
                    </w:rPr>
                  </w:pPr>
                </w:p>
              </w:tc>
              <w:tc>
                <w:tcPr>
                  <w:tcW w:w="4613" w:type="dxa"/>
                  <w:tcBorders>
                    <w:tl2br w:val="nil"/>
                    <w:tr2bl w:val="nil"/>
                  </w:tcBorders>
                  <w:noWrap w:val="0"/>
                  <w:vAlign w:val="center"/>
                </w:tcPr>
                <w:p w14:paraId="3D049280">
                  <w:pPr>
                    <w:pStyle w:val="23"/>
                    <w:ind w:firstLine="0" w:firstLineChars="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3、新智能产业:积极培育新智能、新基建等高端装备制造业，围绕新能源装备配套制造产业，重点关注减速机、智能装备、充换电、储能装备;</w:t>
                  </w:r>
                </w:p>
              </w:tc>
              <w:tc>
                <w:tcPr>
                  <w:tcW w:w="2780" w:type="dxa"/>
                  <w:vMerge w:val="continue"/>
                  <w:tcBorders>
                    <w:tl2br w:val="nil"/>
                    <w:tr2bl w:val="nil"/>
                  </w:tcBorders>
                  <w:noWrap w:val="0"/>
                  <w:vAlign w:val="center"/>
                </w:tcPr>
                <w:p w14:paraId="0CA36D66">
                  <w:pPr>
                    <w:pStyle w:val="25"/>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sz w:val="21"/>
                      <w:szCs w:val="21"/>
                      <w:lang w:val="en-US" w:eastAsia="zh-CN"/>
                    </w:rPr>
                  </w:pPr>
                </w:p>
              </w:tc>
              <w:tc>
                <w:tcPr>
                  <w:tcW w:w="635" w:type="dxa"/>
                  <w:vMerge w:val="continue"/>
                  <w:tcBorders>
                    <w:tl2br w:val="nil"/>
                    <w:tr2bl w:val="nil"/>
                  </w:tcBorders>
                  <w:noWrap w:val="0"/>
                  <w:vAlign w:val="center"/>
                </w:tcPr>
                <w:p w14:paraId="134E1DA7">
                  <w:pPr>
                    <w:pStyle w:val="25"/>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sz w:val="21"/>
                      <w:szCs w:val="21"/>
                      <w:lang w:val="en-US" w:eastAsia="zh-CN"/>
                    </w:rPr>
                  </w:pPr>
                </w:p>
              </w:tc>
            </w:tr>
            <w:tr w14:paraId="4C9B26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65" w:type="dxa"/>
                  <w:vMerge w:val="continue"/>
                  <w:tcBorders>
                    <w:tl2br w:val="nil"/>
                    <w:tr2bl w:val="nil"/>
                  </w:tcBorders>
                  <w:noWrap w:val="0"/>
                  <w:vAlign w:val="center"/>
                </w:tcPr>
                <w:p w14:paraId="02DB9B5F">
                  <w:pPr>
                    <w:pStyle w:val="25"/>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sz w:val="21"/>
                      <w:szCs w:val="21"/>
                      <w:lang w:val="en-US" w:eastAsia="zh-CN"/>
                    </w:rPr>
                  </w:pPr>
                </w:p>
              </w:tc>
              <w:tc>
                <w:tcPr>
                  <w:tcW w:w="676" w:type="dxa"/>
                  <w:vMerge w:val="continue"/>
                  <w:tcBorders>
                    <w:tl2br w:val="nil"/>
                    <w:tr2bl w:val="nil"/>
                  </w:tcBorders>
                  <w:noWrap w:val="0"/>
                  <w:vAlign w:val="center"/>
                </w:tcPr>
                <w:p w14:paraId="53007630">
                  <w:pPr>
                    <w:pStyle w:val="25"/>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sz w:val="21"/>
                      <w:szCs w:val="21"/>
                      <w:lang w:val="en-US" w:eastAsia="zh-CN"/>
                    </w:rPr>
                  </w:pPr>
                </w:p>
              </w:tc>
              <w:tc>
                <w:tcPr>
                  <w:tcW w:w="4613" w:type="dxa"/>
                  <w:tcBorders>
                    <w:tl2br w:val="nil"/>
                    <w:tr2bl w:val="nil"/>
                  </w:tcBorders>
                  <w:noWrap w:val="0"/>
                  <w:vAlign w:val="center"/>
                </w:tcPr>
                <w:p w14:paraId="355C5F99">
                  <w:pPr>
                    <w:pStyle w:val="23"/>
                    <w:ind w:firstLine="0" w:firstLineChars="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4、新医药产业:生物技术开发、医药生产、医疗器</w:t>
                  </w:r>
                  <w:r>
                    <w:rPr>
                      <w:rFonts w:hint="eastAsia" w:cs="Times New Roman"/>
                      <w:color w:val="auto"/>
                      <w:szCs w:val="21"/>
                      <w:lang w:val="en-US" w:eastAsia="zh-CN"/>
                    </w:rPr>
                    <w:t>械</w:t>
                  </w:r>
                  <w:r>
                    <w:rPr>
                      <w:rFonts w:hint="default" w:ascii="Times New Roman" w:hAnsi="Times New Roman" w:eastAsia="宋体" w:cs="Times New Roman"/>
                      <w:color w:val="auto"/>
                      <w:szCs w:val="21"/>
                      <w:lang w:val="en-US" w:eastAsia="zh-CN"/>
                    </w:rPr>
                    <w:t>制造;</w:t>
                  </w:r>
                </w:p>
              </w:tc>
              <w:tc>
                <w:tcPr>
                  <w:tcW w:w="2780" w:type="dxa"/>
                  <w:vMerge w:val="continue"/>
                  <w:tcBorders>
                    <w:tl2br w:val="nil"/>
                    <w:tr2bl w:val="nil"/>
                  </w:tcBorders>
                  <w:noWrap w:val="0"/>
                  <w:vAlign w:val="center"/>
                </w:tcPr>
                <w:p w14:paraId="7CF9E576">
                  <w:pPr>
                    <w:pStyle w:val="25"/>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sz w:val="21"/>
                      <w:szCs w:val="21"/>
                      <w:lang w:val="en-US" w:eastAsia="zh-CN"/>
                    </w:rPr>
                  </w:pPr>
                </w:p>
              </w:tc>
              <w:tc>
                <w:tcPr>
                  <w:tcW w:w="635" w:type="dxa"/>
                  <w:vMerge w:val="continue"/>
                  <w:tcBorders>
                    <w:tl2br w:val="nil"/>
                    <w:tr2bl w:val="nil"/>
                  </w:tcBorders>
                  <w:noWrap w:val="0"/>
                  <w:vAlign w:val="center"/>
                </w:tcPr>
                <w:p w14:paraId="7E6550B7">
                  <w:pPr>
                    <w:pStyle w:val="25"/>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sz w:val="21"/>
                      <w:szCs w:val="21"/>
                      <w:lang w:val="en-US" w:eastAsia="zh-CN"/>
                    </w:rPr>
                  </w:pPr>
                </w:p>
              </w:tc>
            </w:tr>
            <w:tr w14:paraId="55D94C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4" w:hRule="atLeast"/>
              </w:trPr>
              <w:tc>
                <w:tcPr>
                  <w:tcW w:w="565" w:type="dxa"/>
                  <w:vMerge w:val="continue"/>
                  <w:tcBorders>
                    <w:tl2br w:val="nil"/>
                    <w:tr2bl w:val="nil"/>
                  </w:tcBorders>
                  <w:noWrap w:val="0"/>
                  <w:vAlign w:val="center"/>
                </w:tcPr>
                <w:p w14:paraId="2B1FF1A7">
                  <w:pPr>
                    <w:pStyle w:val="25"/>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sz w:val="21"/>
                      <w:szCs w:val="21"/>
                      <w:lang w:val="en-US" w:eastAsia="zh-CN"/>
                    </w:rPr>
                  </w:pPr>
                </w:p>
              </w:tc>
              <w:tc>
                <w:tcPr>
                  <w:tcW w:w="676" w:type="dxa"/>
                  <w:vMerge w:val="continue"/>
                  <w:tcBorders>
                    <w:tl2br w:val="nil"/>
                    <w:tr2bl w:val="nil"/>
                  </w:tcBorders>
                  <w:noWrap w:val="0"/>
                  <w:vAlign w:val="center"/>
                </w:tcPr>
                <w:p w14:paraId="7A8A19B9">
                  <w:pPr>
                    <w:pStyle w:val="25"/>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sz w:val="21"/>
                      <w:szCs w:val="21"/>
                      <w:lang w:val="en-US" w:eastAsia="zh-CN"/>
                    </w:rPr>
                  </w:pPr>
                </w:p>
              </w:tc>
              <w:tc>
                <w:tcPr>
                  <w:tcW w:w="4613" w:type="dxa"/>
                  <w:tcBorders>
                    <w:tl2br w:val="nil"/>
                    <w:tr2bl w:val="nil"/>
                  </w:tcBorders>
                  <w:noWrap w:val="0"/>
                  <w:vAlign w:val="center"/>
                </w:tcPr>
                <w:p w14:paraId="031450CD">
                  <w:pPr>
                    <w:pStyle w:val="23"/>
                    <w:ind w:firstLine="0" w:firstLineChars="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5、新材料产业:高端结构材料、先进高分子材料、高性能复合材料、前沿新材料、3D打印材料。</w:t>
                  </w:r>
                </w:p>
              </w:tc>
              <w:tc>
                <w:tcPr>
                  <w:tcW w:w="2780" w:type="dxa"/>
                  <w:vMerge w:val="continue"/>
                  <w:tcBorders>
                    <w:tl2br w:val="nil"/>
                    <w:tr2bl w:val="nil"/>
                  </w:tcBorders>
                  <w:noWrap w:val="0"/>
                  <w:vAlign w:val="center"/>
                </w:tcPr>
                <w:p w14:paraId="147094EE">
                  <w:pPr>
                    <w:pStyle w:val="25"/>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sz w:val="21"/>
                      <w:szCs w:val="21"/>
                      <w:lang w:val="en-US" w:eastAsia="zh-CN"/>
                    </w:rPr>
                  </w:pPr>
                </w:p>
              </w:tc>
              <w:tc>
                <w:tcPr>
                  <w:tcW w:w="635" w:type="dxa"/>
                  <w:vMerge w:val="continue"/>
                  <w:tcBorders>
                    <w:tl2br w:val="nil"/>
                    <w:tr2bl w:val="nil"/>
                  </w:tcBorders>
                  <w:noWrap w:val="0"/>
                  <w:vAlign w:val="center"/>
                </w:tcPr>
                <w:p w14:paraId="49B88371">
                  <w:pPr>
                    <w:pStyle w:val="25"/>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sz w:val="21"/>
                      <w:szCs w:val="21"/>
                      <w:lang w:val="en-US" w:eastAsia="zh-CN"/>
                    </w:rPr>
                  </w:pPr>
                </w:p>
              </w:tc>
            </w:tr>
            <w:tr w14:paraId="4F9D7A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565" w:type="dxa"/>
                  <w:vMerge w:val="continue"/>
                  <w:tcBorders>
                    <w:tl2br w:val="nil"/>
                    <w:tr2bl w:val="nil"/>
                  </w:tcBorders>
                  <w:noWrap w:val="0"/>
                  <w:vAlign w:val="center"/>
                </w:tcPr>
                <w:p w14:paraId="6D6FCFB5">
                  <w:pPr>
                    <w:pStyle w:val="25"/>
                    <w:snapToGrid w:val="0"/>
                    <w:ind w:left="0" w:leftChars="0" w:firstLine="0" w:firstLineChars="0"/>
                    <w:jc w:val="center"/>
                    <w:rPr>
                      <w:rFonts w:hint="default" w:ascii="Times New Roman" w:hAnsi="Times New Roman" w:eastAsia="宋体" w:cs="Times New Roman"/>
                      <w:b w:val="0"/>
                      <w:bCs w:val="0"/>
                      <w:color w:val="auto"/>
                      <w:sz w:val="21"/>
                      <w:szCs w:val="21"/>
                      <w:lang w:val="en-US" w:eastAsia="zh-CN"/>
                    </w:rPr>
                  </w:pPr>
                </w:p>
              </w:tc>
              <w:tc>
                <w:tcPr>
                  <w:tcW w:w="676" w:type="dxa"/>
                  <w:vMerge w:val="restart"/>
                  <w:tcBorders>
                    <w:tl2br w:val="nil"/>
                    <w:tr2bl w:val="nil"/>
                  </w:tcBorders>
                  <w:noWrap w:val="0"/>
                  <w:vAlign w:val="center"/>
                </w:tcPr>
                <w:p w14:paraId="591CE510">
                  <w:pPr>
                    <w:pStyle w:val="25"/>
                    <w:snapToGrid w:val="0"/>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禁止引入</w:t>
                  </w:r>
                </w:p>
              </w:tc>
              <w:tc>
                <w:tcPr>
                  <w:tcW w:w="4613" w:type="dxa"/>
                  <w:tcBorders>
                    <w:tl2br w:val="nil"/>
                    <w:tr2bl w:val="nil"/>
                  </w:tcBorders>
                  <w:noWrap w:val="0"/>
                  <w:vAlign w:val="center"/>
                </w:tcPr>
                <w:p w14:paraId="61F10283">
                  <w:pPr>
                    <w:pStyle w:val="23"/>
                    <w:ind w:firstLine="0" w:firstLineChars="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1、禁止引入《产业结构调整指导目录(2024年本)》及其他国家和地方产业政策中淘汰或禁止类的建设项目和工艺。</w:t>
                  </w:r>
                </w:p>
              </w:tc>
              <w:tc>
                <w:tcPr>
                  <w:tcW w:w="2780" w:type="dxa"/>
                  <w:tcBorders>
                    <w:tl2br w:val="nil"/>
                    <w:tr2bl w:val="nil"/>
                  </w:tcBorders>
                  <w:noWrap w:val="0"/>
                  <w:vAlign w:val="center"/>
                </w:tcPr>
                <w:p w14:paraId="10234010">
                  <w:pPr>
                    <w:pStyle w:val="23"/>
                    <w:ind w:firstLine="0" w:firstLineChars="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本项目采用的生产工艺、设备等均不属于《产业结构调整指导目录（2024年本）》中限制类和淘汰类项目</w:t>
                  </w:r>
                  <w:r>
                    <w:rPr>
                      <w:rFonts w:hint="eastAsia" w:ascii="Times New Roman" w:hAnsi="Times New Roman" w:eastAsia="宋体" w:cs="Times New Roman"/>
                      <w:color w:val="auto"/>
                      <w:szCs w:val="21"/>
                      <w:lang w:val="en-US" w:eastAsia="zh-CN"/>
                    </w:rPr>
                    <w:t>。</w:t>
                  </w:r>
                </w:p>
              </w:tc>
              <w:tc>
                <w:tcPr>
                  <w:tcW w:w="635" w:type="dxa"/>
                  <w:tcBorders>
                    <w:tl2br w:val="nil"/>
                    <w:tr2bl w:val="nil"/>
                  </w:tcBorders>
                  <w:noWrap w:val="0"/>
                  <w:vAlign w:val="center"/>
                </w:tcPr>
                <w:p w14:paraId="47E883EA">
                  <w:pPr>
                    <w:pStyle w:val="23"/>
                    <w:ind w:firstLine="0" w:firstLine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相符</w:t>
                  </w:r>
                </w:p>
              </w:tc>
            </w:tr>
            <w:tr w14:paraId="1A6C23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565" w:type="dxa"/>
                  <w:vMerge w:val="continue"/>
                  <w:tcBorders>
                    <w:tl2br w:val="nil"/>
                    <w:tr2bl w:val="nil"/>
                  </w:tcBorders>
                  <w:noWrap w:val="0"/>
                  <w:vAlign w:val="center"/>
                </w:tcPr>
                <w:p w14:paraId="50EFFDA4">
                  <w:pPr>
                    <w:pStyle w:val="25"/>
                    <w:snapToGrid w:val="0"/>
                    <w:ind w:left="0" w:leftChars="0" w:firstLine="0" w:firstLineChars="0"/>
                    <w:jc w:val="center"/>
                    <w:rPr>
                      <w:color w:val="auto"/>
                    </w:rPr>
                  </w:pPr>
                </w:p>
              </w:tc>
              <w:tc>
                <w:tcPr>
                  <w:tcW w:w="676" w:type="dxa"/>
                  <w:vMerge w:val="continue"/>
                  <w:tcBorders>
                    <w:tl2br w:val="nil"/>
                    <w:tr2bl w:val="nil"/>
                  </w:tcBorders>
                  <w:noWrap w:val="0"/>
                  <w:vAlign w:val="center"/>
                </w:tcPr>
                <w:p w14:paraId="4468C068">
                  <w:pPr>
                    <w:pStyle w:val="25"/>
                    <w:snapToGrid w:val="0"/>
                    <w:ind w:left="0" w:leftChars="0" w:firstLine="0" w:firstLineChars="0"/>
                    <w:jc w:val="center"/>
                    <w:rPr>
                      <w:color w:val="auto"/>
                    </w:rPr>
                  </w:pPr>
                </w:p>
              </w:tc>
              <w:tc>
                <w:tcPr>
                  <w:tcW w:w="4613" w:type="dxa"/>
                  <w:tcBorders>
                    <w:tl2br w:val="nil"/>
                    <w:tr2bl w:val="nil"/>
                  </w:tcBorders>
                  <w:noWrap w:val="0"/>
                  <w:vAlign w:val="center"/>
                </w:tcPr>
                <w:p w14:paraId="3075A4D2">
                  <w:pPr>
                    <w:pStyle w:val="23"/>
                    <w:ind w:firstLine="0" w:firstLineChars="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2、禁止引入不符合《江苏省太湖水污染防治条例》、《长江经济带发展负面清单指南(试行)》、《长江经济带发展负面清单指南(试行)江苏省实施细则》的企业或项目;</w:t>
                  </w:r>
                </w:p>
              </w:tc>
              <w:tc>
                <w:tcPr>
                  <w:tcW w:w="2780" w:type="dxa"/>
                  <w:tcBorders>
                    <w:tl2br w:val="nil"/>
                    <w:tr2bl w:val="nil"/>
                  </w:tcBorders>
                  <w:noWrap w:val="0"/>
                  <w:vAlign w:val="center"/>
                </w:tcPr>
                <w:p w14:paraId="01E97859">
                  <w:pPr>
                    <w:pStyle w:val="23"/>
                    <w:ind w:firstLine="0" w:firstLineChars="0"/>
                    <w:jc w:val="both"/>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kern w:val="0"/>
                      <w:sz w:val="21"/>
                      <w:szCs w:val="21"/>
                      <w:lang w:val="en-US" w:eastAsia="zh-CN"/>
                    </w:rPr>
                    <w:t>本项目从事吻合器零配件、电器零配件的生产，</w:t>
                  </w:r>
                  <w:r>
                    <w:rPr>
                      <w:rFonts w:hint="eastAsia" w:ascii="Times New Roman" w:hAnsi="Times New Roman" w:eastAsia="宋体" w:cs="Times New Roman"/>
                      <w:color w:val="auto"/>
                      <w:szCs w:val="21"/>
                      <w:lang w:val="en-US" w:eastAsia="zh-CN"/>
                    </w:rPr>
                    <w:t>经对照，不属于《江苏省太湖水污染防治条例》、《长江经济带发展负面清单指南(试行)》、《长江经济带发展负面清单指南(试行)江苏省实施细则》的企业或项目。</w:t>
                  </w:r>
                </w:p>
              </w:tc>
              <w:tc>
                <w:tcPr>
                  <w:tcW w:w="635" w:type="dxa"/>
                  <w:tcBorders>
                    <w:tl2br w:val="nil"/>
                    <w:tr2bl w:val="nil"/>
                  </w:tcBorders>
                  <w:noWrap w:val="0"/>
                  <w:vAlign w:val="center"/>
                </w:tcPr>
                <w:p w14:paraId="6EEB9CE3">
                  <w:pPr>
                    <w:pStyle w:val="23"/>
                    <w:ind w:firstLine="0" w:firstLine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相符</w:t>
                  </w:r>
                </w:p>
              </w:tc>
            </w:tr>
            <w:tr w14:paraId="247022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565" w:type="dxa"/>
                  <w:vMerge w:val="continue"/>
                  <w:tcBorders>
                    <w:tl2br w:val="nil"/>
                    <w:tr2bl w:val="nil"/>
                  </w:tcBorders>
                  <w:noWrap w:val="0"/>
                  <w:vAlign w:val="center"/>
                </w:tcPr>
                <w:p w14:paraId="33704F7C">
                  <w:pPr>
                    <w:pStyle w:val="25"/>
                    <w:snapToGrid w:val="0"/>
                    <w:ind w:left="0" w:leftChars="0" w:firstLine="0" w:firstLineChars="0"/>
                    <w:jc w:val="center"/>
                    <w:rPr>
                      <w:rFonts w:hint="default" w:ascii="Times New Roman" w:hAnsi="Times New Roman" w:eastAsia="宋体" w:cs="Times New Roman"/>
                      <w:b w:val="0"/>
                      <w:bCs w:val="0"/>
                      <w:color w:val="auto"/>
                      <w:sz w:val="21"/>
                      <w:szCs w:val="21"/>
                      <w:lang w:val="en-US" w:eastAsia="zh-CN"/>
                    </w:rPr>
                  </w:pPr>
                </w:p>
              </w:tc>
              <w:tc>
                <w:tcPr>
                  <w:tcW w:w="676" w:type="dxa"/>
                  <w:vMerge w:val="continue"/>
                  <w:tcBorders>
                    <w:tl2br w:val="nil"/>
                    <w:tr2bl w:val="nil"/>
                  </w:tcBorders>
                  <w:noWrap w:val="0"/>
                  <w:vAlign w:val="center"/>
                </w:tcPr>
                <w:p w14:paraId="0A39BDAD">
                  <w:pPr>
                    <w:pStyle w:val="25"/>
                    <w:snapToGrid w:val="0"/>
                    <w:ind w:left="0" w:leftChars="0" w:firstLine="0" w:firstLineChars="0"/>
                    <w:jc w:val="center"/>
                    <w:rPr>
                      <w:rFonts w:hint="default" w:ascii="Times New Roman" w:hAnsi="Times New Roman" w:eastAsia="宋体" w:cs="Times New Roman"/>
                      <w:b w:val="0"/>
                      <w:bCs w:val="0"/>
                      <w:color w:val="auto"/>
                      <w:sz w:val="21"/>
                      <w:szCs w:val="21"/>
                      <w:lang w:val="en-US" w:eastAsia="zh-CN"/>
                    </w:rPr>
                  </w:pPr>
                </w:p>
              </w:tc>
              <w:tc>
                <w:tcPr>
                  <w:tcW w:w="4613" w:type="dxa"/>
                  <w:tcBorders>
                    <w:tl2br w:val="nil"/>
                    <w:tr2bl w:val="nil"/>
                  </w:tcBorders>
                  <w:noWrap w:val="0"/>
                  <w:vAlign w:val="center"/>
                </w:tcPr>
                <w:p w14:paraId="32ACA301">
                  <w:pPr>
                    <w:pStyle w:val="23"/>
                    <w:ind w:firstLine="0" w:firstLineChars="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3、禁止新建钢铁、煤电、化工、印染项目;</w:t>
                  </w:r>
                </w:p>
              </w:tc>
              <w:tc>
                <w:tcPr>
                  <w:tcW w:w="2780" w:type="dxa"/>
                  <w:tcBorders>
                    <w:tl2br w:val="nil"/>
                    <w:tr2bl w:val="nil"/>
                  </w:tcBorders>
                  <w:noWrap w:val="0"/>
                  <w:vAlign w:val="center"/>
                </w:tcPr>
                <w:p w14:paraId="04FB98A3">
                  <w:pPr>
                    <w:pStyle w:val="23"/>
                    <w:ind w:firstLine="0" w:firstLineChars="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本项目</w:t>
                  </w:r>
                  <w:r>
                    <w:rPr>
                      <w:rFonts w:hint="eastAsia" w:ascii="Times New Roman" w:hAnsi="Times New Roman" w:eastAsia="宋体" w:cs="Times New Roman"/>
                      <w:color w:val="auto"/>
                      <w:szCs w:val="21"/>
                      <w:lang w:val="en-US" w:eastAsia="zh-CN"/>
                    </w:rPr>
                    <w:t>不属于</w:t>
                  </w:r>
                  <w:r>
                    <w:rPr>
                      <w:rFonts w:hint="default" w:ascii="Times New Roman" w:hAnsi="Times New Roman" w:eastAsia="宋体" w:cs="Times New Roman"/>
                      <w:color w:val="auto"/>
                      <w:szCs w:val="21"/>
                      <w:lang w:val="en-US" w:eastAsia="zh-CN"/>
                    </w:rPr>
                    <w:t>新建钢铁、煤电、化工、印染项目</w:t>
                  </w:r>
                </w:p>
              </w:tc>
              <w:tc>
                <w:tcPr>
                  <w:tcW w:w="635" w:type="dxa"/>
                  <w:tcBorders>
                    <w:tl2br w:val="nil"/>
                    <w:tr2bl w:val="nil"/>
                  </w:tcBorders>
                  <w:noWrap w:val="0"/>
                  <w:vAlign w:val="center"/>
                </w:tcPr>
                <w:p w14:paraId="2C6CD235">
                  <w:pPr>
                    <w:pStyle w:val="23"/>
                    <w:ind w:firstLine="0" w:firstLine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相符</w:t>
                  </w:r>
                </w:p>
              </w:tc>
            </w:tr>
            <w:tr w14:paraId="67AD84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565" w:type="dxa"/>
                  <w:vMerge w:val="continue"/>
                  <w:tcBorders>
                    <w:tl2br w:val="nil"/>
                    <w:tr2bl w:val="nil"/>
                  </w:tcBorders>
                  <w:noWrap w:val="0"/>
                  <w:vAlign w:val="center"/>
                </w:tcPr>
                <w:p w14:paraId="0C122454">
                  <w:pPr>
                    <w:pStyle w:val="25"/>
                    <w:snapToGrid w:val="0"/>
                    <w:ind w:left="0" w:leftChars="0" w:firstLine="0" w:firstLineChars="0"/>
                    <w:jc w:val="center"/>
                    <w:rPr>
                      <w:rFonts w:hint="default" w:ascii="Times New Roman" w:hAnsi="Times New Roman" w:eastAsia="宋体" w:cs="Times New Roman"/>
                      <w:b w:val="0"/>
                      <w:bCs w:val="0"/>
                      <w:color w:val="auto"/>
                      <w:sz w:val="21"/>
                      <w:szCs w:val="21"/>
                      <w:lang w:val="en-US" w:eastAsia="zh-CN"/>
                    </w:rPr>
                  </w:pPr>
                </w:p>
              </w:tc>
              <w:tc>
                <w:tcPr>
                  <w:tcW w:w="676" w:type="dxa"/>
                  <w:vMerge w:val="continue"/>
                  <w:tcBorders>
                    <w:tl2br w:val="nil"/>
                    <w:tr2bl w:val="nil"/>
                  </w:tcBorders>
                  <w:noWrap w:val="0"/>
                  <w:vAlign w:val="center"/>
                </w:tcPr>
                <w:p w14:paraId="312CB56F">
                  <w:pPr>
                    <w:pStyle w:val="25"/>
                    <w:snapToGrid w:val="0"/>
                    <w:ind w:left="0" w:leftChars="0" w:firstLine="0" w:firstLineChars="0"/>
                    <w:jc w:val="center"/>
                    <w:rPr>
                      <w:rFonts w:hint="default" w:ascii="Times New Roman" w:hAnsi="Times New Roman" w:eastAsia="宋体" w:cs="Times New Roman"/>
                      <w:b w:val="0"/>
                      <w:bCs w:val="0"/>
                      <w:color w:val="auto"/>
                      <w:sz w:val="21"/>
                      <w:szCs w:val="21"/>
                      <w:lang w:val="en-US" w:eastAsia="zh-CN"/>
                    </w:rPr>
                  </w:pPr>
                </w:p>
              </w:tc>
              <w:tc>
                <w:tcPr>
                  <w:tcW w:w="4613" w:type="dxa"/>
                  <w:tcBorders>
                    <w:tl2br w:val="nil"/>
                    <w:tr2bl w:val="nil"/>
                  </w:tcBorders>
                  <w:noWrap w:val="0"/>
                  <w:vAlign w:val="center"/>
                </w:tcPr>
                <w:p w14:paraId="11B48CFA">
                  <w:pPr>
                    <w:pStyle w:val="23"/>
                    <w:ind w:firstLine="0" w:firstLineChars="0"/>
                    <w:jc w:val="both"/>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w:t>
                  </w:r>
                  <w:r>
                    <w:rPr>
                      <w:rFonts w:hint="default" w:ascii="Times New Roman" w:hAnsi="Times New Roman" w:eastAsia="宋体" w:cs="Times New Roman"/>
                      <w:color w:val="auto"/>
                      <w:szCs w:val="21"/>
                      <w:lang w:val="en-US" w:eastAsia="zh-CN"/>
                    </w:rPr>
                    <w:t>禁止引入危险化学品仓储企业</w:t>
                  </w:r>
                </w:p>
              </w:tc>
              <w:tc>
                <w:tcPr>
                  <w:tcW w:w="2780" w:type="dxa"/>
                  <w:tcBorders>
                    <w:tl2br w:val="nil"/>
                    <w:tr2bl w:val="nil"/>
                  </w:tcBorders>
                  <w:noWrap w:val="0"/>
                  <w:vAlign w:val="center"/>
                </w:tcPr>
                <w:p w14:paraId="68306688">
                  <w:pPr>
                    <w:pStyle w:val="23"/>
                    <w:ind w:firstLine="0" w:firstLineChars="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本项目</w:t>
                  </w:r>
                  <w:r>
                    <w:rPr>
                      <w:rFonts w:hint="eastAsia" w:ascii="Times New Roman" w:hAnsi="Times New Roman" w:eastAsia="宋体" w:cs="Times New Roman"/>
                      <w:color w:val="auto"/>
                      <w:szCs w:val="21"/>
                      <w:lang w:val="en-US" w:eastAsia="zh-CN"/>
                    </w:rPr>
                    <w:t>不属于危险化学品仓储企业</w:t>
                  </w:r>
                </w:p>
              </w:tc>
              <w:tc>
                <w:tcPr>
                  <w:tcW w:w="635" w:type="dxa"/>
                  <w:tcBorders>
                    <w:tl2br w:val="nil"/>
                    <w:tr2bl w:val="nil"/>
                  </w:tcBorders>
                  <w:noWrap w:val="0"/>
                  <w:vAlign w:val="center"/>
                </w:tcPr>
                <w:p w14:paraId="488A3BE2">
                  <w:pPr>
                    <w:pStyle w:val="23"/>
                    <w:ind w:firstLine="0" w:firstLine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相符</w:t>
                  </w:r>
                </w:p>
              </w:tc>
            </w:tr>
            <w:tr w14:paraId="07039C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565" w:type="dxa"/>
                  <w:vMerge w:val="continue"/>
                  <w:tcBorders>
                    <w:tl2br w:val="nil"/>
                    <w:tr2bl w:val="nil"/>
                  </w:tcBorders>
                  <w:noWrap w:val="0"/>
                  <w:vAlign w:val="center"/>
                </w:tcPr>
                <w:p w14:paraId="4D835C9C">
                  <w:pPr>
                    <w:pStyle w:val="25"/>
                    <w:snapToGrid w:val="0"/>
                    <w:ind w:left="0" w:leftChars="0" w:firstLine="0" w:firstLineChars="0"/>
                    <w:jc w:val="center"/>
                    <w:rPr>
                      <w:rFonts w:hint="default" w:ascii="Times New Roman" w:hAnsi="Times New Roman" w:eastAsia="宋体" w:cs="Times New Roman"/>
                      <w:b w:val="0"/>
                      <w:bCs w:val="0"/>
                      <w:color w:val="auto"/>
                      <w:sz w:val="21"/>
                      <w:szCs w:val="21"/>
                      <w:lang w:val="en-US" w:eastAsia="zh-CN"/>
                    </w:rPr>
                  </w:pPr>
                </w:p>
              </w:tc>
              <w:tc>
                <w:tcPr>
                  <w:tcW w:w="676" w:type="dxa"/>
                  <w:vMerge w:val="continue"/>
                  <w:tcBorders>
                    <w:tl2br w:val="nil"/>
                    <w:tr2bl w:val="nil"/>
                  </w:tcBorders>
                  <w:noWrap w:val="0"/>
                  <w:vAlign w:val="center"/>
                </w:tcPr>
                <w:p w14:paraId="3F7C67E3">
                  <w:pPr>
                    <w:pStyle w:val="25"/>
                    <w:snapToGrid w:val="0"/>
                    <w:ind w:left="0" w:leftChars="0" w:firstLine="0" w:firstLineChars="0"/>
                    <w:jc w:val="center"/>
                    <w:rPr>
                      <w:rFonts w:hint="default" w:ascii="Times New Roman" w:hAnsi="Times New Roman" w:eastAsia="宋体" w:cs="Times New Roman"/>
                      <w:b w:val="0"/>
                      <w:bCs w:val="0"/>
                      <w:color w:val="auto"/>
                      <w:sz w:val="21"/>
                      <w:szCs w:val="21"/>
                      <w:lang w:val="en-US" w:eastAsia="zh-CN"/>
                    </w:rPr>
                  </w:pPr>
                </w:p>
              </w:tc>
              <w:tc>
                <w:tcPr>
                  <w:tcW w:w="4613" w:type="dxa"/>
                  <w:tcBorders>
                    <w:tl2br w:val="nil"/>
                    <w:tr2bl w:val="nil"/>
                  </w:tcBorders>
                  <w:noWrap w:val="0"/>
                  <w:vAlign w:val="center"/>
                </w:tcPr>
                <w:p w14:paraId="440C802E">
                  <w:pPr>
                    <w:pStyle w:val="23"/>
                    <w:ind w:firstLine="0" w:firstLineChars="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5、禁止引入国家、省相关文件中规定的高耗能、高排放项目;</w:t>
                  </w:r>
                </w:p>
              </w:tc>
              <w:tc>
                <w:tcPr>
                  <w:tcW w:w="2780" w:type="dxa"/>
                  <w:tcBorders>
                    <w:tl2br w:val="nil"/>
                    <w:tr2bl w:val="nil"/>
                  </w:tcBorders>
                  <w:noWrap w:val="0"/>
                  <w:vAlign w:val="center"/>
                </w:tcPr>
                <w:p w14:paraId="371C8BC5">
                  <w:pPr>
                    <w:pStyle w:val="23"/>
                    <w:ind w:firstLine="0" w:firstLineChars="0"/>
                    <w:jc w:val="both"/>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本项目使用电作为清洁能源，</w:t>
                  </w:r>
                  <w:r>
                    <w:rPr>
                      <w:rFonts w:hint="default" w:ascii="Times New Roman" w:hAnsi="Times New Roman" w:eastAsia="宋体" w:cs="Times New Roman"/>
                      <w:color w:val="auto"/>
                      <w:szCs w:val="21"/>
                      <w:lang w:val="en-US" w:eastAsia="zh-CN"/>
                    </w:rPr>
                    <w:t>用电</w:t>
                  </w:r>
                  <w:r>
                    <w:rPr>
                      <w:rFonts w:hint="eastAsia" w:ascii="Times New Roman" w:hAnsi="Times New Roman" w:eastAsia="宋体" w:cs="Times New Roman"/>
                      <w:color w:val="auto"/>
                      <w:szCs w:val="21"/>
                      <w:lang w:val="en-US" w:eastAsia="zh-CN"/>
                    </w:rPr>
                    <w:t>量为</w:t>
                  </w:r>
                  <w:r>
                    <w:rPr>
                      <w:rFonts w:hint="eastAsia" w:cs="Times New Roman"/>
                      <w:color w:val="auto"/>
                      <w:szCs w:val="21"/>
                      <w:lang w:val="en-US" w:eastAsia="zh-CN"/>
                    </w:rPr>
                    <w:t>30万</w:t>
                  </w:r>
                  <w:r>
                    <w:rPr>
                      <w:rFonts w:hint="default" w:ascii="Times New Roman" w:hAnsi="Times New Roman" w:eastAsia="宋体" w:cs="Times New Roman"/>
                      <w:color w:val="auto"/>
                      <w:szCs w:val="21"/>
                      <w:lang w:val="en-US" w:eastAsia="zh-CN"/>
                    </w:rPr>
                    <w:t>kwh/a</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kern w:val="2"/>
                      <w:sz w:val="21"/>
                      <w:szCs w:val="21"/>
                      <w:lang w:val="en-US" w:eastAsia="zh-CN" w:bidi="ar-SA"/>
                    </w:rPr>
                    <w:t>不属于《江苏省 “两高” 项目管理目录（202</w:t>
                  </w:r>
                  <w:r>
                    <w:rPr>
                      <w:rFonts w:hint="eastAsia" w:ascii="Times New Roman" w:hAnsi="Times New Roman" w:eastAsia="宋体" w:cs="Times New Roman"/>
                      <w:color w:val="auto"/>
                      <w:kern w:val="2"/>
                      <w:sz w:val="21"/>
                      <w:szCs w:val="21"/>
                      <w:lang w:val="en-US" w:eastAsia="zh-CN" w:bidi="ar-SA"/>
                    </w:rPr>
                    <w:t>5</w:t>
                  </w:r>
                  <w:r>
                    <w:rPr>
                      <w:rFonts w:hint="default" w:ascii="Times New Roman" w:hAnsi="Times New Roman" w:eastAsia="宋体" w:cs="Times New Roman"/>
                      <w:color w:val="auto"/>
                      <w:kern w:val="2"/>
                      <w:sz w:val="21"/>
                      <w:szCs w:val="21"/>
                      <w:lang w:val="en-US" w:eastAsia="zh-CN" w:bidi="ar-SA"/>
                    </w:rPr>
                    <w:t>年版）》中“两高” 项目</w:t>
                  </w:r>
                </w:p>
              </w:tc>
              <w:tc>
                <w:tcPr>
                  <w:tcW w:w="635" w:type="dxa"/>
                  <w:tcBorders>
                    <w:tl2br w:val="nil"/>
                    <w:tr2bl w:val="nil"/>
                  </w:tcBorders>
                  <w:noWrap w:val="0"/>
                  <w:vAlign w:val="center"/>
                </w:tcPr>
                <w:p w14:paraId="10599952">
                  <w:pPr>
                    <w:pStyle w:val="23"/>
                    <w:ind w:firstLine="0" w:firstLine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相符</w:t>
                  </w:r>
                </w:p>
              </w:tc>
            </w:tr>
            <w:tr w14:paraId="546109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565" w:type="dxa"/>
                  <w:vMerge w:val="continue"/>
                  <w:tcBorders>
                    <w:tl2br w:val="nil"/>
                    <w:tr2bl w:val="nil"/>
                  </w:tcBorders>
                  <w:noWrap w:val="0"/>
                  <w:vAlign w:val="center"/>
                </w:tcPr>
                <w:p w14:paraId="7EA51D56">
                  <w:pPr>
                    <w:pStyle w:val="25"/>
                    <w:snapToGrid w:val="0"/>
                    <w:ind w:left="0" w:leftChars="0" w:firstLine="0" w:firstLineChars="0"/>
                    <w:jc w:val="center"/>
                    <w:rPr>
                      <w:rFonts w:hint="default" w:ascii="Times New Roman" w:hAnsi="Times New Roman" w:eastAsia="宋体" w:cs="Times New Roman"/>
                      <w:b w:val="0"/>
                      <w:bCs w:val="0"/>
                      <w:color w:val="auto"/>
                      <w:sz w:val="21"/>
                      <w:szCs w:val="21"/>
                      <w:lang w:val="en-US" w:eastAsia="zh-CN"/>
                    </w:rPr>
                  </w:pPr>
                </w:p>
              </w:tc>
              <w:tc>
                <w:tcPr>
                  <w:tcW w:w="676" w:type="dxa"/>
                  <w:vMerge w:val="continue"/>
                  <w:tcBorders>
                    <w:tl2br w:val="nil"/>
                    <w:tr2bl w:val="nil"/>
                  </w:tcBorders>
                  <w:noWrap w:val="0"/>
                  <w:vAlign w:val="center"/>
                </w:tcPr>
                <w:p w14:paraId="516216CA">
                  <w:pPr>
                    <w:pStyle w:val="25"/>
                    <w:snapToGrid w:val="0"/>
                    <w:ind w:left="0" w:leftChars="0" w:firstLine="0" w:firstLineChars="0"/>
                    <w:jc w:val="center"/>
                    <w:rPr>
                      <w:rFonts w:hint="default" w:ascii="Times New Roman" w:hAnsi="Times New Roman" w:eastAsia="宋体" w:cs="Times New Roman"/>
                      <w:b w:val="0"/>
                      <w:bCs w:val="0"/>
                      <w:color w:val="auto"/>
                      <w:sz w:val="21"/>
                      <w:szCs w:val="21"/>
                      <w:lang w:val="en-US" w:eastAsia="zh-CN"/>
                    </w:rPr>
                  </w:pPr>
                </w:p>
              </w:tc>
              <w:tc>
                <w:tcPr>
                  <w:tcW w:w="4613" w:type="dxa"/>
                  <w:tcBorders>
                    <w:tl2br w:val="nil"/>
                    <w:tr2bl w:val="nil"/>
                  </w:tcBorders>
                  <w:noWrap w:val="0"/>
                  <w:vAlign w:val="center"/>
                </w:tcPr>
                <w:p w14:paraId="13F3A48B">
                  <w:pPr>
                    <w:pStyle w:val="23"/>
                    <w:ind w:firstLine="0" w:firstLineChars="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6、新能源、新能源汽车，新智能:禁止引入排放重点重金属(铅汞、镉、铬、砷)的重点行业项目;禁止建设使用高VOCs含量的溶剂型涂料、油墨、胶粘剂等项目(具有不可替代性除外)</w:t>
                  </w:r>
                </w:p>
              </w:tc>
              <w:tc>
                <w:tcPr>
                  <w:tcW w:w="2780" w:type="dxa"/>
                  <w:tcBorders>
                    <w:tl2br w:val="nil"/>
                    <w:tr2bl w:val="nil"/>
                  </w:tcBorders>
                  <w:noWrap w:val="0"/>
                  <w:vAlign w:val="center"/>
                </w:tcPr>
                <w:p w14:paraId="7BD07673">
                  <w:pPr>
                    <w:pStyle w:val="23"/>
                    <w:ind w:firstLine="0" w:firstLineChars="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本项目</w:t>
                  </w:r>
                  <w:r>
                    <w:rPr>
                      <w:rFonts w:hint="eastAsia" w:ascii="Times New Roman" w:hAnsi="Times New Roman" w:eastAsia="宋体" w:cs="Times New Roman"/>
                      <w:color w:val="auto"/>
                      <w:szCs w:val="21"/>
                      <w:lang w:val="en-US" w:eastAsia="zh-CN"/>
                    </w:rPr>
                    <w:t>不涉及</w:t>
                  </w:r>
                  <w:r>
                    <w:rPr>
                      <w:rFonts w:hint="default" w:ascii="Times New Roman" w:hAnsi="Times New Roman" w:eastAsia="宋体" w:cs="Times New Roman"/>
                      <w:color w:val="auto"/>
                      <w:szCs w:val="21"/>
                      <w:lang w:val="en-US" w:eastAsia="zh-CN"/>
                    </w:rPr>
                    <w:t>排放重点重金属(铅汞、镉、铬、砷)的重点行业项目</w:t>
                  </w:r>
                  <w:r>
                    <w:rPr>
                      <w:rFonts w:hint="eastAsia" w:ascii="Times New Roman" w:hAnsi="Times New Roman" w:eastAsia="宋体" w:cs="Times New Roman"/>
                      <w:color w:val="auto"/>
                      <w:szCs w:val="21"/>
                      <w:lang w:val="en-US" w:eastAsia="zh-CN"/>
                    </w:rPr>
                    <w:t>和</w:t>
                  </w:r>
                  <w:r>
                    <w:rPr>
                      <w:rFonts w:hint="default" w:ascii="Times New Roman" w:hAnsi="Times New Roman" w:eastAsia="宋体" w:cs="Times New Roman"/>
                      <w:color w:val="auto"/>
                      <w:szCs w:val="21"/>
                      <w:lang w:val="en-US" w:eastAsia="zh-CN"/>
                    </w:rPr>
                    <w:t>使用高VOCs含量的溶剂型涂料、油墨、胶粘剂等项目(具有不可替代性除外)</w:t>
                  </w:r>
                </w:p>
              </w:tc>
              <w:tc>
                <w:tcPr>
                  <w:tcW w:w="635" w:type="dxa"/>
                  <w:tcBorders>
                    <w:tl2br w:val="nil"/>
                    <w:tr2bl w:val="nil"/>
                  </w:tcBorders>
                  <w:noWrap w:val="0"/>
                  <w:vAlign w:val="center"/>
                </w:tcPr>
                <w:p w14:paraId="7805DA62">
                  <w:pPr>
                    <w:pStyle w:val="23"/>
                    <w:ind w:firstLine="0" w:firstLine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相符</w:t>
                  </w:r>
                </w:p>
              </w:tc>
            </w:tr>
            <w:tr w14:paraId="608AC4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565" w:type="dxa"/>
                  <w:vMerge w:val="continue"/>
                  <w:tcBorders>
                    <w:tl2br w:val="nil"/>
                    <w:tr2bl w:val="nil"/>
                  </w:tcBorders>
                  <w:noWrap w:val="0"/>
                  <w:vAlign w:val="center"/>
                </w:tcPr>
                <w:p w14:paraId="6A50CF7E">
                  <w:pPr>
                    <w:pStyle w:val="25"/>
                    <w:snapToGrid w:val="0"/>
                    <w:ind w:left="0" w:leftChars="0" w:firstLine="0" w:firstLineChars="0"/>
                    <w:jc w:val="center"/>
                    <w:rPr>
                      <w:rFonts w:hint="default" w:ascii="Times New Roman" w:hAnsi="Times New Roman" w:eastAsia="宋体" w:cs="Times New Roman"/>
                      <w:b w:val="0"/>
                      <w:bCs w:val="0"/>
                      <w:color w:val="auto"/>
                      <w:sz w:val="21"/>
                      <w:szCs w:val="21"/>
                      <w:lang w:val="en-US" w:eastAsia="zh-CN"/>
                    </w:rPr>
                  </w:pPr>
                </w:p>
              </w:tc>
              <w:tc>
                <w:tcPr>
                  <w:tcW w:w="676" w:type="dxa"/>
                  <w:vMerge w:val="continue"/>
                  <w:tcBorders>
                    <w:tl2br w:val="nil"/>
                    <w:tr2bl w:val="nil"/>
                  </w:tcBorders>
                  <w:noWrap w:val="0"/>
                  <w:vAlign w:val="center"/>
                </w:tcPr>
                <w:p w14:paraId="6953520F">
                  <w:pPr>
                    <w:pStyle w:val="25"/>
                    <w:snapToGrid w:val="0"/>
                    <w:ind w:left="0" w:leftChars="0" w:firstLine="0" w:firstLineChars="0"/>
                    <w:jc w:val="center"/>
                    <w:rPr>
                      <w:rFonts w:hint="default" w:ascii="Times New Roman" w:hAnsi="Times New Roman" w:eastAsia="宋体" w:cs="Times New Roman"/>
                      <w:b w:val="0"/>
                      <w:bCs w:val="0"/>
                      <w:color w:val="auto"/>
                      <w:sz w:val="21"/>
                      <w:szCs w:val="21"/>
                      <w:lang w:val="en-US" w:eastAsia="zh-CN"/>
                    </w:rPr>
                  </w:pPr>
                </w:p>
              </w:tc>
              <w:tc>
                <w:tcPr>
                  <w:tcW w:w="4613" w:type="dxa"/>
                  <w:tcBorders>
                    <w:tl2br w:val="nil"/>
                    <w:tr2bl w:val="nil"/>
                  </w:tcBorders>
                  <w:noWrap w:val="0"/>
                  <w:vAlign w:val="center"/>
                </w:tcPr>
                <w:p w14:paraId="0AC58F06">
                  <w:pPr>
                    <w:pStyle w:val="23"/>
                    <w:ind w:firstLine="0" w:firstLineChars="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新医药:禁止引进医药中间体、排放列入名录的恶臭气体(生物发酵的除外)的项目;禁止引进化学合成原料药的中试及生产项目(以生物发酵为起始工艺或者以生物发酵产品为原料进行后续化学反应生产的原料药除外);</w:t>
                  </w:r>
                </w:p>
              </w:tc>
              <w:tc>
                <w:tcPr>
                  <w:tcW w:w="2780" w:type="dxa"/>
                  <w:tcBorders>
                    <w:tl2br w:val="nil"/>
                    <w:tr2bl w:val="nil"/>
                  </w:tcBorders>
                  <w:noWrap w:val="0"/>
                  <w:vAlign w:val="center"/>
                </w:tcPr>
                <w:p w14:paraId="3974B05E">
                  <w:pPr>
                    <w:pStyle w:val="23"/>
                    <w:ind w:firstLine="0" w:firstLineChars="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本项目</w:t>
                  </w:r>
                  <w:r>
                    <w:rPr>
                      <w:rFonts w:hint="eastAsia" w:ascii="Times New Roman" w:hAnsi="Times New Roman" w:eastAsia="宋体" w:cs="Times New Roman"/>
                      <w:color w:val="auto"/>
                      <w:szCs w:val="21"/>
                      <w:lang w:val="en-US" w:eastAsia="zh-CN"/>
                    </w:rPr>
                    <w:t>不</w:t>
                  </w:r>
                  <w:r>
                    <w:rPr>
                      <w:rFonts w:hint="eastAsia"/>
                      <w:color w:val="auto"/>
                      <w:lang w:val="en-US" w:eastAsia="zh-CN"/>
                    </w:rPr>
                    <w:t>属于</w:t>
                  </w:r>
                  <w:r>
                    <w:rPr>
                      <w:rFonts w:hint="eastAsia" w:cs="Times New Roman"/>
                      <w:color w:val="auto"/>
                      <w:szCs w:val="21"/>
                      <w:lang w:val="en-US" w:eastAsia="zh-CN"/>
                    </w:rPr>
                    <w:t>新医药</w:t>
                  </w:r>
                  <w:r>
                    <w:rPr>
                      <w:rFonts w:hint="default" w:ascii="Times New Roman" w:hAnsi="Times New Roman" w:eastAsia="宋体" w:cs="Times New Roman"/>
                      <w:color w:val="auto"/>
                      <w:szCs w:val="21"/>
                      <w:lang w:val="en-US" w:eastAsia="zh-CN"/>
                    </w:rPr>
                    <w:t>项目</w:t>
                  </w:r>
                </w:p>
              </w:tc>
              <w:tc>
                <w:tcPr>
                  <w:tcW w:w="635" w:type="dxa"/>
                  <w:tcBorders>
                    <w:tl2br w:val="nil"/>
                    <w:tr2bl w:val="nil"/>
                  </w:tcBorders>
                  <w:noWrap w:val="0"/>
                  <w:vAlign w:val="center"/>
                </w:tcPr>
                <w:p w14:paraId="4DC688E2">
                  <w:pPr>
                    <w:pStyle w:val="23"/>
                    <w:ind w:firstLine="0" w:firstLine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相符</w:t>
                  </w:r>
                </w:p>
              </w:tc>
            </w:tr>
            <w:tr w14:paraId="2901A5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565" w:type="dxa"/>
                  <w:vMerge w:val="continue"/>
                  <w:tcBorders>
                    <w:tl2br w:val="nil"/>
                    <w:tr2bl w:val="nil"/>
                  </w:tcBorders>
                  <w:noWrap w:val="0"/>
                  <w:vAlign w:val="center"/>
                </w:tcPr>
                <w:p w14:paraId="2C198369">
                  <w:pPr>
                    <w:pStyle w:val="25"/>
                    <w:snapToGrid w:val="0"/>
                    <w:ind w:left="0" w:leftChars="0" w:firstLine="0" w:firstLineChars="0"/>
                    <w:jc w:val="center"/>
                    <w:rPr>
                      <w:rFonts w:hint="default" w:ascii="Times New Roman" w:hAnsi="Times New Roman" w:eastAsia="宋体" w:cs="Times New Roman"/>
                      <w:b w:val="0"/>
                      <w:bCs w:val="0"/>
                      <w:color w:val="auto"/>
                      <w:sz w:val="21"/>
                      <w:szCs w:val="21"/>
                      <w:lang w:val="en-US" w:eastAsia="zh-CN"/>
                    </w:rPr>
                  </w:pPr>
                </w:p>
              </w:tc>
              <w:tc>
                <w:tcPr>
                  <w:tcW w:w="676" w:type="dxa"/>
                  <w:vMerge w:val="continue"/>
                  <w:tcBorders>
                    <w:tl2br w:val="nil"/>
                    <w:tr2bl w:val="nil"/>
                  </w:tcBorders>
                  <w:noWrap w:val="0"/>
                  <w:vAlign w:val="center"/>
                </w:tcPr>
                <w:p w14:paraId="68DBDD7A">
                  <w:pPr>
                    <w:pStyle w:val="25"/>
                    <w:snapToGrid w:val="0"/>
                    <w:ind w:left="0" w:leftChars="0" w:firstLine="0" w:firstLineChars="0"/>
                    <w:jc w:val="center"/>
                    <w:rPr>
                      <w:rFonts w:hint="default" w:ascii="Times New Roman" w:hAnsi="Times New Roman" w:eastAsia="宋体" w:cs="Times New Roman"/>
                      <w:b w:val="0"/>
                      <w:bCs w:val="0"/>
                      <w:color w:val="auto"/>
                      <w:sz w:val="21"/>
                      <w:szCs w:val="21"/>
                      <w:lang w:val="en-US" w:eastAsia="zh-CN"/>
                    </w:rPr>
                  </w:pPr>
                </w:p>
              </w:tc>
              <w:tc>
                <w:tcPr>
                  <w:tcW w:w="4613" w:type="dxa"/>
                  <w:tcBorders>
                    <w:tl2br w:val="nil"/>
                    <w:tr2bl w:val="nil"/>
                  </w:tcBorders>
                  <w:noWrap w:val="0"/>
                  <w:vAlign w:val="center"/>
                </w:tcPr>
                <w:p w14:paraId="3C9E62D0">
                  <w:pPr>
                    <w:pStyle w:val="23"/>
                    <w:ind w:firstLine="0" w:firstLineChars="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8、新材料:禁止引入化工类新材料项目。</w:t>
                  </w:r>
                </w:p>
              </w:tc>
              <w:tc>
                <w:tcPr>
                  <w:tcW w:w="2780" w:type="dxa"/>
                  <w:tcBorders>
                    <w:tl2br w:val="nil"/>
                    <w:tr2bl w:val="nil"/>
                  </w:tcBorders>
                  <w:noWrap w:val="0"/>
                  <w:vAlign w:val="center"/>
                </w:tcPr>
                <w:p w14:paraId="65560049">
                  <w:pPr>
                    <w:pStyle w:val="23"/>
                    <w:ind w:firstLine="0" w:firstLineChars="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本项目</w:t>
                  </w:r>
                  <w:r>
                    <w:rPr>
                      <w:rFonts w:hint="eastAsia" w:ascii="Times New Roman" w:hAnsi="Times New Roman" w:eastAsia="宋体" w:cs="Times New Roman"/>
                      <w:color w:val="auto"/>
                      <w:szCs w:val="21"/>
                      <w:lang w:val="en-US" w:eastAsia="zh-CN"/>
                    </w:rPr>
                    <w:t>不属于</w:t>
                  </w:r>
                  <w:r>
                    <w:rPr>
                      <w:rFonts w:hint="default" w:ascii="Times New Roman" w:hAnsi="Times New Roman" w:eastAsia="宋体" w:cs="Times New Roman"/>
                      <w:color w:val="auto"/>
                      <w:szCs w:val="21"/>
                      <w:lang w:val="en-US" w:eastAsia="zh-CN"/>
                    </w:rPr>
                    <w:t>化工类新材料项目</w:t>
                  </w:r>
                </w:p>
              </w:tc>
              <w:tc>
                <w:tcPr>
                  <w:tcW w:w="635" w:type="dxa"/>
                  <w:tcBorders>
                    <w:tl2br w:val="nil"/>
                    <w:tr2bl w:val="nil"/>
                  </w:tcBorders>
                  <w:noWrap w:val="0"/>
                  <w:vAlign w:val="center"/>
                </w:tcPr>
                <w:p w14:paraId="2B5F44D0">
                  <w:pPr>
                    <w:pStyle w:val="23"/>
                    <w:ind w:firstLine="0" w:firstLine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相符</w:t>
                  </w:r>
                </w:p>
              </w:tc>
            </w:tr>
          </w:tbl>
          <w:p w14:paraId="3D4639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3</w:t>
            </w:r>
            <w:r>
              <w:rPr>
                <w:rFonts w:hint="default" w:ascii="Times New Roman" w:hAnsi="Times New Roman" w:eastAsia="宋体" w:cs="Times New Roman"/>
                <w:b/>
                <w:bCs/>
                <w:color w:val="auto"/>
                <w:sz w:val="21"/>
                <w:szCs w:val="21"/>
              </w:rPr>
              <w:t>与</w:t>
            </w:r>
            <w:r>
              <w:rPr>
                <w:rFonts w:hint="eastAsia" w:ascii="Times New Roman" w:hAnsi="Times New Roman" w:eastAsia="宋体" w:cs="Times New Roman"/>
                <w:b/>
                <w:bCs/>
                <w:color w:val="auto"/>
                <w:sz w:val="21"/>
                <w:szCs w:val="21"/>
                <w:lang w:val="en-US" w:eastAsia="zh-CN"/>
              </w:rPr>
              <w:t>区域生态环境准入清单</w:t>
            </w:r>
            <w:r>
              <w:rPr>
                <w:rFonts w:hint="default" w:ascii="Times New Roman" w:hAnsi="Times New Roman" w:eastAsia="宋体" w:cs="Times New Roman"/>
                <w:b/>
                <w:bCs/>
                <w:color w:val="auto"/>
                <w:sz w:val="21"/>
                <w:szCs w:val="21"/>
              </w:rPr>
              <w:t>相符性分析</w:t>
            </w:r>
          </w:p>
          <w:tbl>
            <w:tblPr>
              <w:tblStyle w:val="17"/>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5036"/>
              <w:gridCol w:w="3046"/>
              <w:gridCol w:w="577"/>
            </w:tblGrid>
            <w:tr w14:paraId="50087E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8" w:type="pct"/>
                  <w:gridSpan w:val="2"/>
                  <w:tcBorders>
                    <w:tl2br w:val="nil"/>
                    <w:tr2bl w:val="nil"/>
                  </w:tcBorders>
                  <w:noWrap w:val="0"/>
                  <w:tcMar>
                    <w:top w:w="0" w:type="dxa"/>
                    <w:left w:w="0" w:type="dxa"/>
                    <w:bottom w:w="0" w:type="dxa"/>
                    <w:right w:w="0" w:type="dxa"/>
                  </w:tcMar>
                  <w:vAlign w:val="center"/>
                </w:tcPr>
                <w:p w14:paraId="521C41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管控要求</w:t>
                  </w:r>
                </w:p>
              </w:tc>
              <w:tc>
                <w:tcPr>
                  <w:tcW w:w="1632" w:type="pct"/>
                  <w:tcBorders>
                    <w:tl2br w:val="nil"/>
                    <w:tr2bl w:val="nil"/>
                  </w:tcBorders>
                  <w:noWrap w:val="0"/>
                  <w:tcMar>
                    <w:top w:w="0" w:type="dxa"/>
                    <w:left w:w="0" w:type="dxa"/>
                    <w:bottom w:w="0" w:type="dxa"/>
                    <w:right w:w="0" w:type="dxa"/>
                  </w:tcMar>
                  <w:vAlign w:val="center"/>
                </w:tcPr>
                <w:p w14:paraId="155277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本项目</w:t>
                  </w:r>
                </w:p>
              </w:tc>
              <w:tc>
                <w:tcPr>
                  <w:tcW w:w="309" w:type="pct"/>
                  <w:tcBorders>
                    <w:tl2br w:val="nil"/>
                    <w:tr2bl w:val="nil"/>
                  </w:tcBorders>
                  <w:noWrap w:val="0"/>
                  <w:tcMar>
                    <w:top w:w="0" w:type="dxa"/>
                    <w:left w:w="0" w:type="dxa"/>
                    <w:bottom w:w="0" w:type="dxa"/>
                    <w:right w:w="0" w:type="dxa"/>
                  </w:tcMar>
                  <w:vAlign w:val="center"/>
                </w:tcPr>
                <w:p w14:paraId="6FDB66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相符性</w:t>
                  </w:r>
                </w:p>
              </w:tc>
            </w:tr>
            <w:tr w14:paraId="7B067B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vMerge w:val="restart"/>
                  <w:tcBorders>
                    <w:tl2br w:val="nil"/>
                    <w:tr2bl w:val="nil"/>
                  </w:tcBorders>
                  <w:noWrap w:val="0"/>
                  <w:tcMar>
                    <w:top w:w="0" w:type="dxa"/>
                    <w:left w:w="0" w:type="dxa"/>
                    <w:bottom w:w="0" w:type="dxa"/>
                    <w:right w:w="0" w:type="dxa"/>
                  </w:tcMar>
                  <w:vAlign w:val="center"/>
                </w:tcPr>
                <w:p w14:paraId="7A1618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空间布局约束</w:t>
                  </w:r>
                </w:p>
              </w:tc>
              <w:tc>
                <w:tcPr>
                  <w:tcW w:w="2697" w:type="pct"/>
                  <w:tcBorders>
                    <w:tl2br w:val="nil"/>
                    <w:tr2bl w:val="nil"/>
                  </w:tcBorders>
                  <w:noWrap w:val="0"/>
                  <w:tcMar>
                    <w:top w:w="0" w:type="dxa"/>
                    <w:left w:w="0" w:type="dxa"/>
                    <w:bottom w:w="0" w:type="dxa"/>
                    <w:right w:w="0" w:type="dxa"/>
                  </w:tcMar>
                  <w:vAlign w:val="center"/>
                </w:tcPr>
                <w:p w14:paraId="6A61100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（1）禁止引入纺织服装中废水排放量较大的纯印染和纯染整类企业（除金坛时尚织染集聚区）。</w:t>
                  </w:r>
                </w:p>
              </w:tc>
              <w:tc>
                <w:tcPr>
                  <w:tcW w:w="1632" w:type="pct"/>
                  <w:vMerge w:val="restart"/>
                  <w:tcBorders>
                    <w:tl2br w:val="nil"/>
                    <w:tr2bl w:val="nil"/>
                  </w:tcBorders>
                  <w:noWrap w:val="0"/>
                  <w:tcMar>
                    <w:top w:w="0" w:type="dxa"/>
                    <w:left w:w="0" w:type="dxa"/>
                    <w:bottom w:w="0" w:type="dxa"/>
                    <w:right w:w="0" w:type="dxa"/>
                  </w:tcMar>
                  <w:vAlign w:val="center"/>
                </w:tcPr>
                <w:p w14:paraId="1BBF797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w:t>
                  </w:r>
                  <w:r>
                    <w:rPr>
                      <w:rFonts w:hint="default" w:ascii="Times New Roman" w:hAnsi="Times New Roman" w:eastAsia="宋体" w:cs="Times New Roman"/>
                      <w:color w:val="auto"/>
                      <w:sz w:val="21"/>
                      <w:szCs w:val="21"/>
                    </w:rPr>
                    <w:t>不属于以上禁止类别，符合空间布局约束要求</w:t>
                  </w:r>
                  <w:r>
                    <w:rPr>
                      <w:rFonts w:hint="eastAsia" w:ascii="Times New Roman" w:hAnsi="Times New Roman" w:eastAsia="宋体" w:cs="Times New Roman"/>
                      <w:color w:val="auto"/>
                      <w:sz w:val="21"/>
                      <w:szCs w:val="21"/>
                      <w:lang w:eastAsia="zh-CN"/>
                    </w:rPr>
                    <w:t>。</w:t>
                  </w:r>
                </w:p>
              </w:tc>
              <w:tc>
                <w:tcPr>
                  <w:tcW w:w="309" w:type="pct"/>
                  <w:tcBorders>
                    <w:tl2br w:val="nil"/>
                    <w:tr2bl w:val="nil"/>
                  </w:tcBorders>
                  <w:noWrap w:val="0"/>
                  <w:tcMar>
                    <w:top w:w="0" w:type="dxa"/>
                    <w:left w:w="0" w:type="dxa"/>
                    <w:bottom w:w="0" w:type="dxa"/>
                    <w:right w:w="0" w:type="dxa"/>
                  </w:tcMar>
                  <w:vAlign w:val="center"/>
                </w:tcPr>
                <w:p w14:paraId="546F88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14:paraId="4E2713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vMerge w:val="continue"/>
                  <w:tcBorders>
                    <w:tl2br w:val="nil"/>
                    <w:tr2bl w:val="nil"/>
                  </w:tcBorders>
                  <w:noWrap w:val="0"/>
                  <w:tcMar>
                    <w:top w:w="0" w:type="dxa"/>
                    <w:left w:w="0" w:type="dxa"/>
                    <w:bottom w:w="0" w:type="dxa"/>
                    <w:right w:w="0" w:type="dxa"/>
                  </w:tcMar>
                  <w:vAlign w:val="center"/>
                </w:tcPr>
                <w:p w14:paraId="2DE30D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2697" w:type="pct"/>
                  <w:tcBorders>
                    <w:tl2br w:val="nil"/>
                    <w:tr2bl w:val="nil"/>
                  </w:tcBorders>
                  <w:noWrap w:val="0"/>
                  <w:tcMar>
                    <w:top w:w="0" w:type="dxa"/>
                    <w:left w:w="0" w:type="dxa"/>
                    <w:bottom w:w="0" w:type="dxa"/>
                    <w:right w:w="0" w:type="dxa"/>
                  </w:tcMar>
                  <w:vAlign w:val="center"/>
                </w:tcPr>
                <w:p w14:paraId="0A7ED9E0">
                  <w:pPr>
                    <w:pStyle w:val="23"/>
                    <w:jc w:val="left"/>
                    <w:rPr>
                      <w:rFonts w:hint="eastAsia" w:ascii="Times New Roman" w:hAnsi="Times New Roman" w:eastAsia="宋体" w:cs="Times New Roman"/>
                      <w:color w:val="auto"/>
                      <w:sz w:val="21"/>
                      <w:szCs w:val="21"/>
                      <w:lang w:eastAsia="zh-CN"/>
                    </w:rPr>
                  </w:pPr>
                  <w:r>
                    <w:rPr>
                      <w:color w:val="auto"/>
                    </w:rPr>
                    <w:t>（2）禁止引入机械电子、高端装备制造业中电镀、表面处理类企业，淘汰、限制类的如普通高速钢钻头、铣刀、锯片、丝锥、板牙项目、普通微小型球轴承制造项目；禁止生产国家禁止或公告停止销售的车辆；有害物质含量超标准的汽车</w:t>
                  </w:r>
                  <w:r>
                    <w:rPr>
                      <w:rFonts w:hint="eastAsia"/>
                      <w:color w:val="auto"/>
                      <w:lang w:eastAsia="zh-CN"/>
                    </w:rPr>
                    <w:t>。</w:t>
                  </w:r>
                </w:p>
              </w:tc>
              <w:tc>
                <w:tcPr>
                  <w:tcW w:w="1632" w:type="pct"/>
                  <w:vMerge w:val="continue"/>
                  <w:tcBorders>
                    <w:tl2br w:val="nil"/>
                    <w:tr2bl w:val="nil"/>
                  </w:tcBorders>
                  <w:noWrap w:val="0"/>
                  <w:tcMar>
                    <w:top w:w="0" w:type="dxa"/>
                    <w:left w:w="0" w:type="dxa"/>
                    <w:bottom w:w="0" w:type="dxa"/>
                    <w:right w:w="0" w:type="dxa"/>
                  </w:tcMar>
                  <w:vAlign w:val="center"/>
                </w:tcPr>
                <w:p w14:paraId="394B39B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auto"/>
                      <w:sz w:val="21"/>
                      <w:szCs w:val="21"/>
                      <w:lang w:val="en-US" w:eastAsia="zh-CN"/>
                    </w:rPr>
                  </w:pPr>
                </w:p>
              </w:tc>
              <w:tc>
                <w:tcPr>
                  <w:tcW w:w="309" w:type="pct"/>
                  <w:tcBorders>
                    <w:tl2br w:val="nil"/>
                    <w:tr2bl w:val="nil"/>
                  </w:tcBorders>
                  <w:noWrap w:val="0"/>
                  <w:tcMar>
                    <w:top w:w="0" w:type="dxa"/>
                    <w:left w:w="0" w:type="dxa"/>
                    <w:bottom w:w="0" w:type="dxa"/>
                    <w:right w:w="0" w:type="dxa"/>
                  </w:tcMar>
                  <w:vAlign w:val="center"/>
                </w:tcPr>
                <w:p w14:paraId="4F2DAA9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14:paraId="19D279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vMerge w:val="continue"/>
                  <w:tcBorders>
                    <w:tl2br w:val="nil"/>
                    <w:tr2bl w:val="nil"/>
                  </w:tcBorders>
                  <w:noWrap w:val="0"/>
                  <w:tcMar>
                    <w:top w:w="0" w:type="dxa"/>
                    <w:left w:w="0" w:type="dxa"/>
                    <w:bottom w:w="0" w:type="dxa"/>
                    <w:right w:w="0" w:type="dxa"/>
                  </w:tcMar>
                  <w:vAlign w:val="center"/>
                </w:tcPr>
                <w:p w14:paraId="5CDCA3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2697" w:type="pct"/>
                  <w:tcBorders>
                    <w:tl2br w:val="nil"/>
                    <w:tr2bl w:val="nil"/>
                  </w:tcBorders>
                  <w:noWrap w:val="0"/>
                  <w:tcMar>
                    <w:top w:w="0" w:type="dxa"/>
                    <w:left w:w="0" w:type="dxa"/>
                    <w:bottom w:w="0" w:type="dxa"/>
                    <w:right w:w="0" w:type="dxa"/>
                  </w:tcMar>
                  <w:vAlign w:val="center"/>
                </w:tcPr>
                <w:p w14:paraId="3F77322E">
                  <w:pPr>
                    <w:pStyle w:val="23"/>
                    <w:jc w:val="left"/>
                    <w:rPr>
                      <w:rFonts w:hint="default" w:ascii="Times New Roman" w:hAnsi="Times New Roman" w:cs="Times New Roman"/>
                      <w:color w:val="auto"/>
                      <w:sz w:val="21"/>
                      <w:szCs w:val="21"/>
                    </w:rPr>
                  </w:pPr>
                  <w:r>
                    <w:rPr>
                      <w:color w:val="auto"/>
                    </w:rPr>
                    <w:t>（3）禁止引入化工中与盐化工及下游产品生产不相关的化工项目。</w:t>
                  </w:r>
                </w:p>
              </w:tc>
              <w:tc>
                <w:tcPr>
                  <w:tcW w:w="1632" w:type="pct"/>
                  <w:vMerge w:val="continue"/>
                  <w:tcBorders>
                    <w:tl2br w:val="nil"/>
                    <w:tr2bl w:val="nil"/>
                  </w:tcBorders>
                  <w:noWrap w:val="0"/>
                  <w:tcMar>
                    <w:top w:w="0" w:type="dxa"/>
                    <w:left w:w="0" w:type="dxa"/>
                    <w:bottom w:w="0" w:type="dxa"/>
                    <w:right w:w="0" w:type="dxa"/>
                  </w:tcMar>
                  <w:vAlign w:val="center"/>
                </w:tcPr>
                <w:p w14:paraId="6AF46D5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lang w:val="en-US" w:eastAsia="zh-CN"/>
                    </w:rPr>
                  </w:pPr>
                </w:p>
              </w:tc>
              <w:tc>
                <w:tcPr>
                  <w:tcW w:w="309" w:type="pct"/>
                  <w:tcBorders>
                    <w:tl2br w:val="nil"/>
                    <w:tr2bl w:val="nil"/>
                  </w:tcBorders>
                  <w:noWrap w:val="0"/>
                  <w:tcMar>
                    <w:top w:w="0" w:type="dxa"/>
                    <w:left w:w="0" w:type="dxa"/>
                    <w:bottom w:w="0" w:type="dxa"/>
                    <w:right w:w="0" w:type="dxa"/>
                  </w:tcMar>
                  <w:vAlign w:val="center"/>
                </w:tcPr>
                <w:p w14:paraId="496C14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14:paraId="6A9E21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vMerge w:val="continue"/>
                  <w:tcBorders>
                    <w:tl2br w:val="nil"/>
                    <w:tr2bl w:val="nil"/>
                  </w:tcBorders>
                  <w:noWrap w:val="0"/>
                  <w:tcMar>
                    <w:top w:w="0" w:type="dxa"/>
                    <w:left w:w="0" w:type="dxa"/>
                    <w:bottom w:w="0" w:type="dxa"/>
                    <w:right w:w="0" w:type="dxa"/>
                  </w:tcMar>
                  <w:vAlign w:val="center"/>
                </w:tcPr>
                <w:p w14:paraId="594846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2697" w:type="pct"/>
                  <w:tcBorders>
                    <w:tl2br w:val="nil"/>
                    <w:tr2bl w:val="nil"/>
                  </w:tcBorders>
                  <w:noWrap w:val="0"/>
                  <w:tcMar>
                    <w:top w:w="0" w:type="dxa"/>
                    <w:left w:w="0" w:type="dxa"/>
                    <w:bottom w:w="0" w:type="dxa"/>
                    <w:right w:w="0" w:type="dxa"/>
                  </w:tcMar>
                  <w:vAlign w:val="center"/>
                </w:tcPr>
                <w:p w14:paraId="199A767A">
                  <w:pPr>
                    <w:pStyle w:val="23"/>
                    <w:jc w:val="left"/>
                    <w:rPr>
                      <w:rFonts w:hint="default" w:ascii="Times New Roman" w:hAnsi="Times New Roman" w:cs="Times New Roman"/>
                      <w:color w:val="auto"/>
                      <w:sz w:val="21"/>
                      <w:szCs w:val="21"/>
                    </w:rPr>
                  </w:pPr>
                  <w:r>
                    <w:rPr>
                      <w:color w:val="auto"/>
                    </w:rPr>
                    <w:t>（4）禁止引入新材料产业中太阳能电池切片生产项目。</w:t>
                  </w:r>
                </w:p>
              </w:tc>
              <w:tc>
                <w:tcPr>
                  <w:tcW w:w="1632" w:type="pct"/>
                  <w:vMerge w:val="continue"/>
                  <w:tcBorders>
                    <w:tl2br w:val="nil"/>
                    <w:tr2bl w:val="nil"/>
                  </w:tcBorders>
                  <w:noWrap w:val="0"/>
                  <w:tcMar>
                    <w:top w:w="0" w:type="dxa"/>
                    <w:left w:w="0" w:type="dxa"/>
                    <w:bottom w:w="0" w:type="dxa"/>
                    <w:right w:w="0" w:type="dxa"/>
                  </w:tcMar>
                  <w:vAlign w:val="center"/>
                </w:tcPr>
                <w:p w14:paraId="276950B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auto"/>
                      <w:sz w:val="21"/>
                      <w:szCs w:val="21"/>
                      <w:lang w:val="en-US" w:eastAsia="zh-CN"/>
                    </w:rPr>
                  </w:pPr>
                </w:p>
              </w:tc>
              <w:tc>
                <w:tcPr>
                  <w:tcW w:w="309" w:type="pct"/>
                  <w:tcBorders>
                    <w:tl2br w:val="nil"/>
                    <w:tr2bl w:val="nil"/>
                  </w:tcBorders>
                  <w:noWrap w:val="0"/>
                  <w:tcMar>
                    <w:top w:w="0" w:type="dxa"/>
                    <w:left w:w="0" w:type="dxa"/>
                    <w:bottom w:w="0" w:type="dxa"/>
                    <w:right w:w="0" w:type="dxa"/>
                  </w:tcMar>
                  <w:vAlign w:val="center"/>
                </w:tcPr>
                <w:p w14:paraId="5DDCD3E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14:paraId="097779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vMerge w:val="continue"/>
                  <w:tcBorders>
                    <w:tl2br w:val="nil"/>
                    <w:tr2bl w:val="nil"/>
                  </w:tcBorders>
                  <w:noWrap w:val="0"/>
                  <w:tcMar>
                    <w:top w:w="0" w:type="dxa"/>
                    <w:left w:w="0" w:type="dxa"/>
                    <w:bottom w:w="0" w:type="dxa"/>
                    <w:right w:w="0" w:type="dxa"/>
                  </w:tcMar>
                  <w:vAlign w:val="center"/>
                </w:tcPr>
                <w:p w14:paraId="2A2FAC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2697" w:type="pct"/>
                  <w:tcBorders>
                    <w:tl2br w:val="nil"/>
                    <w:tr2bl w:val="nil"/>
                  </w:tcBorders>
                  <w:noWrap w:val="0"/>
                  <w:tcMar>
                    <w:top w:w="0" w:type="dxa"/>
                    <w:left w:w="0" w:type="dxa"/>
                    <w:bottom w:w="0" w:type="dxa"/>
                    <w:right w:w="0" w:type="dxa"/>
                  </w:tcMar>
                  <w:vAlign w:val="center"/>
                </w:tcPr>
                <w:p w14:paraId="38A4B670">
                  <w:pPr>
                    <w:pStyle w:val="23"/>
                    <w:jc w:val="left"/>
                    <w:rPr>
                      <w:rFonts w:hint="default" w:ascii="Times New Roman" w:hAnsi="Times New Roman" w:cs="Times New Roman"/>
                      <w:color w:val="auto"/>
                      <w:sz w:val="21"/>
                      <w:szCs w:val="21"/>
                    </w:rPr>
                  </w:pPr>
                  <w:r>
                    <w:rPr>
                      <w:color w:val="auto"/>
                    </w:rPr>
                    <w:t>（5）禁止引入化工新材料中钢铁等传统型金属材料；水泥等传统型非金属材料。</w:t>
                  </w:r>
                </w:p>
              </w:tc>
              <w:tc>
                <w:tcPr>
                  <w:tcW w:w="1632" w:type="pct"/>
                  <w:vMerge w:val="continue"/>
                  <w:tcBorders>
                    <w:tl2br w:val="nil"/>
                    <w:tr2bl w:val="nil"/>
                  </w:tcBorders>
                  <w:noWrap w:val="0"/>
                  <w:tcMar>
                    <w:top w:w="0" w:type="dxa"/>
                    <w:left w:w="0" w:type="dxa"/>
                    <w:bottom w:w="0" w:type="dxa"/>
                    <w:right w:w="0" w:type="dxa"/>
                  </w:tcMar>
                  <w:vAlign w:val="center"/>
                </w:tcPr>
                <w:p w14:paraId="2F7DAFE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cs="Times New Roman"/>
                      <w:color w:val="auto"/>
                      <w:sz w:val="21"/>
                      <w:szCs w:val="21"/>
                      <w:lang w:val="en-US" w:eastAsia="zh-CN"/>
                    </w:rPr>
                  </w:pPr>
                </w:p>
              </w:tc>
              <w:tc>
                <w:tcPr>
                  <w:tcW w:w="309" w:type="pct"/>
                  <w:tcBorders>
                    <w:tl2br w:val="nil"/>
                    <w:tr2bl w:val="nil"/>
                  </w:tcBorders>
                  <w:noWrap w:val="0"/>
                  <w:tcMar>
                    <w:top w:w="0" w:type="dxa"/>
                    <w:left w:w="0" w:type="dxa"/>
                    <w:bottom w:w="0" w:type="dxa"/>
                    <w:right w:w="0" w:type="dxa"/>
                  </w:tcMar>
                  <w:vAlign w:val="center"/>
                </w:tcPr>
                <w:p w14:paraId="6055AD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14:paraId="7B2D7B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vMerge w:val="continue"/>
                  <w:tcBorders>
                    <w:tl2br w:val="nil"/>
                    <w:tr2bl w:val="nil"/>
                  </w:tcBorders>
                  <w:noWrap w:val="0"/>
                  <w:tcMar>
                    <w:top w:w="0" w:type="dxa"/>
                    <w:left w:w="0" w:type="dxa"/>
                    <w:bottom w:w="0" w:type="dxa"/>
                    <w:right w:w="0" w:type="dxa"/>
                  </w:tcMar>
                  <w:vAlign w:val="center"/>
                </w:tcPr>
                <w:p w14:paraId="474CE1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2697" w:type="pct"/>
                  <w:tcBorders>
                    <w:tl2br w:val="nil"/>
                    <w:tr2bl w:val="nil"/>
                  </w:tcBorders>
                  <w:noWrap w:val="0"/>
                  <w:tcMar>
                    <w:top w:w="0" w:type="dxa"/>
                    <w:left w:w="0" w:type="dxa"/>
                    <w:bottom w:w="0" w:type="dxa"/>
                    <w:right w:w="0" w:type="dxa"/>
                  </w:tcMar>
                  <w:vAlign w:val="center"/>
                </w:tcPr>
                <w:p w14:paraId="223365A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lang w:eastAsia="zh-CN"/>
                    </w:rPr>
                  </w:pPr>
                  <w:r>
                    <w:rPr>
                      <w:color w:val="auto"/>
                    </w:rPr>
                    <w:t>（6）禁止引入新医药产业中不符合GMP要求的安瓿拉丝灌封机、劳动保护、安瓿灌装注射用无菌粉末、非易折安瓿等。</w:t>
                  </w:r>
                </w:p>
              </w:tc>
              <w:tc>
                <w:tcPr>
                  <w:tcW w:w="1632" w:type="pct"/>
                  <w:vMerge w:val="continue"/>
                  <w:tcBorders>
                    <w:tl2br w:val="nil"/>
                    <w:tr2bl w:val="nil"/>
                  </w:tcBorders>
                  <w:noWrap w:val="0"/>
                  <w:tcMar>
                    <w:top w:w="0" w:type="dxa"/>
                    <w:left w:w="0" w:type="dxa"/>
                    <w:bottom w:w="0" w:type="dxa"/>
                    <w:right w:w="0" w:type="dxa"/>
                  </w:tcMar>
                  <w:vAlign w:val="center"/>
                </w:tcPr>
                <w:p w14:paraId="251916E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lang w:val="en-US" w:eastAsia="zh-CN"/>
                    </w:rPr>
                  </w:pPr>
                </w:p>
              </w:tc>
              <w:tc>
                <w:tcPr>
                  <w:tcW w:w="309" w:type="pct"/>
                  <w:tcBorders>
                    <w:tl2br w:val="nil"/>
                    <w:tr2bl w:val="nil"/>
                  </w:tcBorders>
                  <w:noWrap w:val="0"/>
                  <w:tcMar>
                    <w:top w:w="0" w:type="dxa"/>
                    <w:left w:w="0" w:type="dxa"/>
                    <w:bottom w:w="0" w:type="dxa"/>
                    <w:right w:w="0" w:type="dxa"/>
                  </w:tcMar>
                  <w:vAlign w:val="center"/>
                </w:tcPr>
                <w:p w14:paraId="702AAD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14:paraId="6AD8A8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vMerge w:val="restart"/>
                  <w:tcBorders>
                    <w:tl2br w:val="nil"/>
                    <w:tr2bl w:val="nil"/>
                  </w:tcBorders>
                  <w:noWrap w:val="0"/>
                  <w:tcMar>
                    <w:top w:w="0" w:type="dxa"/>
                    <w:left w:w="0" w:type="dxa"/>
                    <w:bottom w:w="0" w:type="dxa"/>
                    <w:right w:w="0" w:type="dxa"/>
                  </w:tcMar>
                  <w:vAlign w:val="center"/>
                </w:tcPr>
                <w:p w14:paraId="12E9EE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污染物排放管控</w:t>
                  </w:r>
                </w:p>
              </w:tc>
              <w:tc>
                <w:tcPr>
                  <w:tcW w:w="2697" w:type="pct"/>
                  <w:tcBorders>
                    <w:tl2br w:val="nil"/>
                    <w:tr2bl w:val="nil"/>
                  </w:tcBorders>
                  <w:noWrap w:val="0"/>
                  <w:tcMar>
                    <w:top w:w="0" w:type="dxa"/>
                    <w:left w:w="0" w:type="dxa"/>
                    <w:bottom w:w="0" w:type="dxa"/>
                    <w:right w:w="0" w:type="dxa"/>
                  </w:tcMar>
                  <w:vAlign w:val="center"/>
                </w:tcPr>
                <w:p w14:paraId="26A78469">
                  <w:pPr>
                    <w:pStyle w:val="23"/>
                    <w:jc w:val="left"/>
                    <w:rPr>
                      <w:rFonts w:hint="default" w:ascii="Times New Roman" w:hAnsi="Times New Roman" w:cs="Times New Roman"/>
                      <w:color w:val="auto"/>
                      <w:sz w:val="21"/>
                      <w:szCs w:val="21"/>
                    </w:rPr>
                  </w:pPr>
                  <w:r>
                    <w:rPr>
                      <w:color w:val="auto"/>
                    </w:rPr>
                    <w:t>（1）严格实施污染物总量控制制度，根据区域环境质量改善目标，采取有效措施减少主要污染物排放总量，确保区域环境质量持续改善。</w:t>
                  </w:r>
                </w:p>
              </w:tc>
              <w:tc>
                <w:tcPr>
                  <w:tcW w:w="1632" w:type="pct"/>
                  <w:vMerge w:val="restart"/>
                  <w:tcBorders>
                    <w:tl2br w:val="nil"/>
                    <w:tr2bl w:val="nil"/>
                  </w:tcBorders>
                  <w:noWrap w:val="0"/>
                  <w:tcMar>
                    <w:top w:w="0" w:type="dxa"/>
                    <w:left w:w="0" w:type="dxa"/>
                    <w:bottom w:w="0" w:type="dxa"/>
                    <w:right w:w="0" w:type="dxa"/>
                  </w:tcMar>
                  <w:vAlign w:val="center"/>
                </w:tcPr>
                <w:p w14:paraId="56E4C24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目前，本项目处于环评编制阶段，在环评审批前将严格落实主要污染物排放总量指标控制制度，取得主要污染物排放总量的控制指标和平衡方案，故符合文件要求。</w:t>
                  </w:r>
                </w:p>
              </w:tc>
              <w:tc>
                <w:tcPr>
                  <w:tcW w:w="309" w:type="pct"/>
                  <w:tcBorders>
                    <w:tl2br w:val="nil"/>
                    <w:tr2bl w:val="nil"/>
                  </w:tcBorders>
                  <w:noWrap w:val="0"/>
                  <w:tcMar>
                    <w:top w:w="0" w:type="dxa"/>
                    <w:left w:w="0" w:type="dxa"/>
                    <w:bottom w:w="0" w:type="dxa"/>
                    <w:right w:w="0" w:type="dxa"/>
                  </w:tcMar>
                  <w:vAlign w:val="center"/>
                </w:tcPr>
                <w:p w14:paraId="2332A9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14:paraId="1B23C5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vMerge w:val="continue"/>
                  <w:tcBorders>
                    <w:tl2br w:val="nil"/>
                    <w:tr2bl w:val="nil"/>
                  </w:tcBorders>
                  <w:noWrap w:val="0"/>
                  <w:tcMar>
                    <w:top w:w="0" w:type="dxa"/>
                    <w:left w:w="0" w:type="dxa"/>
                    <w:bottom w:w="0" w:type="dxa"/>
                    <w:right w:w="0" w:type="dxa"/>
                  </w:tcMar>
                  <w:vAlign w:val="center"/>
                </w:tcPr>
                <w:p w14:paraId="29369A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2697" w:type="pct"/>
                  <w:tcBorders>
                    <w:tl2br w:val="nil"/>
                    <w:tr2bl w:val="nil"/>
                  </w:tcBorders>
                  <w:noWrap w:val="0"/>
                  <w:tcMar>
                    <w:top w:w="0" w:type="dxa"/>
                    <w:left w:w="0" w:type="dxa"/>
                    <w:bottom w:w="0" w:type="dxa"/>
                    <w:right w:w="0" w:type="dxa"/>
                  </w:tcMar>
                  <w:vAlign w:val="center"/>
                </w:tcPr>
                <w:p w14:paraId="7C10F0C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（2）园区污染物排放总量不得突破环评报告及批复的总量。</w:t>
                  </w:r>
                </w:p>
              </w:tc>
              <w:tc>
                <w:tcPr>
                  <w:tcW w:w="1632" w:type="pct"/>
                  <w:vMerge w:val="continue"/>
                  <w:tcBorders>
                    <w:tl2br w:val="nil"/>
                    <w:tr2bl w:val="nil"/>
                  </w:tcBorders>
                  <w:noWrap w:val="0"/>
                  <w:tcMar>
                    <w:top w:w="0" w:type="dxa"/>
                    <w:left w:w="0" w:type="dxa"/>
                    <w:bottom w:w="0" w:type="dxa"/>
                    <w:right w:w="0" w:type="dxa"/>
                  </w:tcMar>
                  <w:vAlign w:val="center"/>
                </w:tcPr>
                <w:p w14:paraId="30A52D5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rPr>
                  </w:pPr>
                </w:p>
              </w:tc>
              <w:tc>
                <w:tcPr>
                  <w:tcW w:w="309" w:type="pct"/>
                  <w:tcBorders>
                    <w:tl2br w:val="nil"/>
                    <w:tr2bl w:val="nil"/>
                  </w:tcBorders>
                  <w:noWrap w:val="0"/>
                  <w:tcMar>
                    <w:top w:w="0" w:type="dxa"/>
                    <w:left w:w="0" w:type="dxa"/>
                    <w:bottom w:w="0" w:type="dxa"/>
                    <w:right w:w="0" w:type="dxa"/>
                  </w:tcMar>
                  <w:vAlign w:val="center"/>
                </w:tcPr>
                <w:p w14:paraId="72337F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14:paraId="1BA741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vMerge w:val="restart"/>
                  <w:tcBorders>
                    <w:tl2br w:val="nil"/>
                    <w:tr2bl w:val="nil"/>
                  </w:tcBorders>
                  <w:noWrap w:val="0"/>
                  <w:tcMar>
                    <w:top w:w="0" w:type="dxa"/>
                    <w:left w:w="0" w:type="dxa"/>
                    <w:bottom w:w="0" w:type="dxa"/>
                    <w:right w:w="0" w:type="dxa"/>
                  </w:tcMar>
                  <w:vAlign w:val="center"/>
                </w:tcPr>
                <w:p w14:paraId="48BF09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环境风险防控</w:t>
                  </w:r>
                </w:p>
              </w:tc>
              <w:tc>
                <w:tcPr>
                  <w:tcW w:w="2697" w:type="pct"/>
                  <w:tcBorders>
                    <w:tl2br w:val="nil"/>
                    <w:tr2bl w:val="nil"/>
                  </w:tcBorders>
                  <w:noWrap w:val="0"/>
                  <w:tcMar>
                    <w:top w:w="0" w:type="dxa"/>
                    <w:left w:w="0" w:type="dxa"/>
                    <w:bottom w:w="0" w:type="dxa"/>
                    <w:right w:w="0" w:type="dxa"/>
                  </w:tcMar>
                  <w:vAlign w:val="center"/>
                </w:tcPr>
                <w:p w14:paraId="6066518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（1）园区建立环境应急体系，完善事故应急救援体系，加强应急物资装备储备，编制突发环境事件应急预案，定期开展演练。</w:t>
                  </w:r>
                </w:p>
              </w:tc>
              <w:tc>
                <w:tcPr>
                  <w:tcW w:w="1632" w:type="pct"/>
                  <w:vMerge w:val="restart"/>
                  <w:tcBorders>
                    <w:tl2br w:val="nil"/>
                    <w:tr2bl w:val="nil"/>
                  </w:tcBorders>
                  <w:noWrap w:val="0"/>
                  <w:tcMar>
                    <w:top w:w="0" w:type="dxa"/>
                    <w:left w:w="0" w:type="dxa"/>
                    <w:bottom w:w="0" w:type="dxa"/>
                    <w:right w:w="0" w:type="dxa"/>
                  </w:tcMar>
                  <w:vAlign w:val="center"/>
                </w:tcPr>
                <w:p w14:paraId="3F9AAFB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本项目按要求编制</w:t>
                  </w:r>
                  <w:r>
                    <w:rPr>
                      <w:rFonts w:hint="default" w:ascii="Times New Roman" w:hAnsi="Times New Roman" w:cs="Times New Roman"/>
                      <w:color w:val="auto"/>
                      <w:sz w:val="21"/>
                      <w:szCs w:val="21"/>
                      <w:lang w:val="en-US" w:eastAsia="zh-CN"/>
                    </w:rPr>
                    <w:t>突发环境事件应急预案，定期开展演练</w:t>
                  </w:r>
                  <w:r>
                    <w:rPr>
                      <w:rFonts w:hint="eastAsia" w:ascii="Times New Roman" w:hAnsi="Times New Roman" w:cs="Times New Roman"/>
                      <w:color w:val="auto"/>
                      <w:sz w:val="21"/>
                      <w:szCs w:val="21"/>
                      <w:lang w:val="en-US" w:eastAsia="zh-CN"/>
                    </w:rPr>
                    <w:t>。加强定期监测。</w:t>
                  </w:r>
                </w:p>
              </w:tc>
              <w:tc>
                <w:tcPr>
                  <w:tcW w:w="309" w:type="pct"/>
                  <w:tcBorders>
                    <w:tl2br w:val="nil"/>
                    <w:tr2bl w:val="nil"/>
                  </w:tcBorders>
                  <w:noWrap w:val="0"/>
                  <w:tcMar>
                    <w:top w:w="0" w:type="dxa"/>
                    <w:left w:w="0" w:type="dxa"/>
                    <w:bottom w:w="0" w:type="dxa"/>
                    <w:right w:w="0" w:type="dxa"/>
                  </w:tcMar>
                  <w:vAlign w:val="center"/>
                </w:tcPr>
                <w:p w14:paraId="34CE4A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相符</w:t>
                  </w:r>
                </w:p>
              </w:tc>
            </w:tr>
            <w:tr w14:paraId="395800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vMerge w:val="continue"/>
                  <w:tcBorders>
                    <w:tl2br w:val="nil"/>
                    <w:tr2bl w:val="nil"/>
                  </w:tcBorders>
                  <w:noWrap w:val="0"/>
                  <w:tcMar>
                    <w:top w:w="0" w:type="dxa"/>
                    <w:left w:w="0" w:type="dxa"/>
                    <w:bottom w:w="0" w:type="dxa"/>
                    <w:right w:w="0" w:type="dxa"/>
                  </w:tcMar>
                  <w:vAlign w:val="center"/>
                </w:tcPr>
                <w:p w14:paraId="2A42C2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2697" w:type="pct"/>
                  <w:tcBorders>
                    <w:tl2br w:val="nil"/>
                    <w:tr2bl w:val="nil"/>
                  </w:tcBorders>
                  <w:noWrap w:val="0"/>
                  <w:tcMar>
                    <w:top w:w="0" w:type="dxa"/>
                    <w:left w:w="0" w:type="dxa"/>
                    <w:bottom w:w="0" w:type="dxa"/>
                    <w:right w:w="0" w:type="dxa"/>
                  </w:tcMar>
                  <w:vAlign w:val="center"/>
                </w:tcPr>
                <w:p w14:paraId="6165D26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（2）生产、使用、储存危险化学品或其他存在环境风险的企事业单位，应当制定风险防范措施，编制完善突发环境事件应急预案，防止发生环境污染事故。</w:t>
                  </w:r>
                </w:p>
              </w:tc>
              <w:tc>
                <w:tcPr>
                  <w:tcW w:w="1632" w:type="pct"/>
                  <w:vMerge w:val="continue"/>
                  <w:tcBorders>
                    <w:tl2br w:val="nil"/>
                    <w:tr2bl w:val="nil"/>
                  </w:tcBorders>
                  <w:noWrap w:val="0"/>
                  <w:tcMar>
                    <w:top w:w="0" w:type="dxa"/>
                    <w:left w:w="0" w:type="dxa"/>
                    <w:bottom w:w="0" w:type="dxa"/>
                    <w:right w:w="0" w:type="dxa"/>
                  </w:tcMar>
                  <w:vAlign w:val="center"/>
                </w:tcPr>
                <w:p w14:paraId="3393009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kern w:val="2"/>
                      <w:sz w:val="21"/>
                      <w:szCs w:val="21"/>
                      <w:lang w:val="en-US" w:eastAsia="zh-CN" w:bidi="ar-SA"/>
                    </w:rPr>
                  </w:pPr>
                </w:p>
              </w:tc>
              <w:tc>
                <w:tcPr>
                  <w:tcW w:w="309" w:type="pct"/>
                  <w:tcBorders>
                    <w:tl2br w:val="nil"/>
                    <w:tr2bl w:val="nil"/>
                  </w:tcBorders>
                  <w:noWrap w:val="0"/>
                  <w:tcMar>
                    <w:top w:w="0" w:type="dxa"/>
                    <w:left w:w="0" w:type="dxa"/>
                    <w:bottom w:w="0" w:type="dxa"/>
                    <w:right w:w="0" w:type="dxa"/>
                  </w:tcMar>
                  <w:vAlign w:val="center"/>
                </w:tcPr>
                <w:p w14:paraId="1D5369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相符</w:t>
                  </w:r>
                </w:p>
              </w:tc>
            </w:tr>
            <w:tr w14:paraId="7D21CC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vMerge w:val="continue"/>
                  <w:tcBorders>
                    <w:tl2br w:val="nil"/>
                    <w:tr2bl w:val="nil"/>
                  </w:tcBorders>
                  <w:noWrap w:val="0"/>
                  <w:tcMar>
                    <w:top w:w="0" w:type="dxa"/>
                    <w:left w:w="0" w:type="dxa"/>
                    <w:bottom w:w="0" w:type="dxa"/>
                    <w:right w:w="0" w:type="dxa"/>
                  </w:tcMar>
                  <w:vAlign w:val="center"/>
                </w:tcPr>
                <w:p w14:paraId="417DAA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2697" w:type="pct"/>
                  <w:tcBorders>
                    <w:tl2br w:val="nil"/>
                    <w:tr2bl w:val="nil"/>
                  </w:tcBorders>
                  <w:noWrap w:val="0"/>
                  <w:tcMar>
                    <w:top w:w="0" w:type="dxa"/>
                    <w:left w:w="0" w:type="dxa"/>
                    <w:bottom w:w="0" w:type="dxa"/>
                    <w:right w:w="0" w:type="dxa"/>
                  </w:tcMar>
                  <w:vAlign w:val="center"/>
                </w:tcPr>
                <w:p w14:paraId="462131E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（3）加强环境影响跟踪监测，建立健全各环境要素监控体系，完善并落实园区日常环境监测与污染源监控计划。</w:t>
                  </w:r>
                </w:p>
              </w:tc>
              <w:tc>
                <w:tcPr>
                  <w:tcW w:w="1632" w:type="pct"/>
                  <w:vMerge w:val="continue"/>
                  <w:tcBorders>
                    <w:tl2br w:val="nil"/>
                    <w:tr2bl w:val="nil"/>
                  </w:tcBorders>
                  <w:noWrap w:val="0"/>
                  <w:tcMar>
                    <w:top w:w="0" w:type="dxa"/>
                    <w:left w:w="0" w:type="dxa"/>
                    <w:bottom w:w="0" w:type="dxa"/>
                    <w:right w:w="0" w:type="dxa"/>
                  </w:tcMar>
                  <w:vAlign w:val="center"/>
                </w:tcPr>
                <w:p w14:paraId="6683C11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kern w:val="2"/>
                      <w:sz w:val="21"/>
                      <w:szCs w:val="21"/>
                      <w:lang w:val="en-US" w:eastAsia="zh-CN" w:bidi="ar-SA"/>
                    </w:rPr>
                  </w:pPr>
                </w:p>
              </w:tc>
              <w:tc>
                <w:tcPr>
                  <w:tcW w:w="309" w:type="pct"/>
                  <w:tcBorders>
                    <w:tl2br w:val="nil"/>
                    <w:tr2bl w:val="nil"/>
                  </w:tcBorders>
                  <w:noWrap w:val="0"/>
                  <w:tcMar>
                    <w:top w:w="0" w:type="dxa"/>
                    <w:left w:w="0" w:type="dxa"/>
                    <w:bottom w:w="0" w:type="dxa"/>
                    <w:right w:w="0" w:type="dxa"/>
                  </w:tcMar>
                  <w:vAlign w:val="center"/>
                </w:tcPr>
                <w:p w14:paraId="76B0EE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相符</w:t>
                  </w:r>
                </w:p>
              </w:tc>
            </w:tr>
            <w:tr w14:paraId="4DFF9F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vMerge w:val="restart"/>
                  <w:tcBorders>
                    <w:tl2br w:val="nil"/>
                    <w:tr2bl w:val="nil"/>
                  </w:tcBorders>
                  <w:noWrap w:val="0"/>
                  <w:tcMar>
                    <w:top w:w="0" w:type="dxa"/>
                    <w:left w:w="0" w:type="dxa"/>
                    <w:bottom w:w="0" w:type="dxa"/>
                    <w:right w:w="0" w:type="dxa"/>
                  </w:tcMar>
                  <w:vAlign w:val="center"/>
                </w:tcPr>
                <w:p w14:paraId="2475D9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资源利用效率要求</w:t>
                  </w:r>
                </w:p>
              </w:tc>
              <w:tc>
                <w:tcPr>
                  <w:tcW w:w="2697" w:type="pct"/>
                  <w:tcBorders>
                    <w:tl2br w:val="nil"/>
                    <w:tr2bl w:val="nil"/>
                  </w:tcBorders>
                  <w:noWrap w:val="0"/>
                  <w:tcMar>
                    <w:top w:w="0" w:type="dxa"/>
                    <w:left w:w="0" w:type="dxa"/>
                    <w:bottom w:w="0" w:type="dxa"/>
                    <w:right w:w="0" w:type="dxa"/>
                  </w:tcMar>
                  <w:vAlign w:val="center"/>
                </w:tcPr>
                <w:p w14:paraId="7737281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（1）大力倡导使用清洁能源。</w:t>
                  </w:r>
                </w:p>
              </w:tc>
              <w:tc>
                <w:tcPr>
                  <w:tcW w:w="1632" w:type="pct"/>
                  <w:tcBorders>
                    <w:tl2br w:val="nil"/>
                    <w:tr2bl w:val="nil"/>
                  </w:tcBorders>
                  <w:noWrap w:val="0"/>
                  <w:tcMar>
                    <w:top w:w="0" w:type="dxa"/>
                    <w:left w:w="0" w:type="dxa"/>
                    <w:bottom w:w="0" w:type="dxa"/>
                    <w:right w:w="0" w:type="dxa"/>
                  </w:tcMar>
                  <w:vAlign w:val="center"/>
                </w:tcPr>
                <w:p w14:paraId="39636930">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本项目使用电作为清洁能源。</w:t>
                  </w:r>
                </w:p>
              </w:tc>
              <w:tc>
                <w:tcPr>
                  <w:tcW w:w="309" w:type="pct"/>
                  <w:tcBorders>
                    <w:tl2br w:val="nil"/>
                    <w:tr2bl w:val="nil"/>
                  </w:tcBorders>
                  <w:noWrap w:val="0"/>
                  <w:tcMar>
                    <w:top w:w="0" w:type="dxa"/>
                    <w:left w:w="0" w:type="dxa"/>
                    <w:bottom w:w="0" w:type="dxa"/>
                    <w:right w:w="0" w:type="dxa"/>
                  </w:tcMar>
                  <w:vAlign w:val="center"/>
                </w:tcPr>
                <w:p w14:paraId="78132F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14:paraId="2A0087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vMerge w:val="continue"/>
                  <w:tcBorders>
                    <w:tl2br w:val="nil"/>
                    <w:tr2bl w:val="nil"/>
                  </w:tcBorders>
                  <w:noWrap w:val="0"/>
                  <w:tcMar>
                    <w:top w:w="0" w:type="dxa"/>
                    <w:left w:w="0" w:type="dxa"/>
                    <w:bottom w:w="0" w:type="dxa"/>
                    <w:right w:w="0" w:type="dxa"/>
                  </w:tcMar>
                  <w:vAlign w:val="center"/>
                </w:tcPr>
                <w:p w14:paraId="16B362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2697" w:type="pct"/>
                  <w:tcBorders>
                    <w:tl2br w:val="nil"/>
                    <w:tr2bl w:val="nil"/>
                  </w:tcBorders>
                  <w:noWrap w:val="0"/>
                  <w:tcMar>
                    <w:top w:w="0" w:type="dxa"/>
                    <w:left w:w="0" w:type="dxa"/>
                    <w:bottom w:w="0" w:type="dxa"/>
                    <w:right w:w="0" w:type="dxa"/>
                  </w:tcMar>
                  <w:vAlign w:val="center"/>
                </w:tcPr>
                <w:p w14:paraId="7DBEEFB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（2）提升废水资源化技术，提高水资源回用率。</w:t>
                  </w:r>
                </w:p>
              </w:tc>
              <w:tc>
                <w:tcPr>
                  <w:tcW w:w="1632" w:type="pct"/>
                  <w:tcBorders>
                    <w:tl2br w:val="nil"/>
                    <w:tr2bl w:val="nil"/>
                  </w:tcBorders>
                  <w:noWrap w:val="0"/>
                  <w:tcMar>
                    <w:top w:w="0" w:type="dxa"/>
                    <w:left w:w="0" w:type="dxa"/>
                    <w:bottom w:w="0" w:type="dxa"/>
                    <w:right w:w="0" w:type="dxa"/>
                  </w:tcMar>
                  <w:vAlign w:val="center"/>
                </w:tcPr>
                <w:p w14:paraId="78A46B6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w:t>
                  </w:r>
                  <w:r>
                    <w:rPr>
                      <w:rFonts w:hint="default" w:ascii="Times New Roman" w:hAnsi="Times New Roman" w:eastAsia="宋体" w:cs="Times New Roman"/>
                      <w:color w:val="auto"/>
                      <w:sz w:val="21"/>
                      <w:szCs w:val="21"/>
                    </w:rPr>
                    <w:t>生活污水</w:t>
                  </w:r>
                  <w:r>
                    <w:rPr>
                      <w:rFonts w:hint="default" w:ascii="Times New Roman" w:hAnsi="Times New Roman" w:eastAsia="宋体" w:cs="Times New Roman"/>
                      <w:color w:val="auto"/>
                      <w:sz w:val="21"/>
                      <w:szCs w:val="21"/>
                      <w:lang w:val="en-US" w:eastAsia="zh-CN"/>
                    </w:rPr>
                    <w:t>经化粪池预处理后接管至</w:t>
                  </w:r>
                  <w:r>
                    <w:rPr>
                      <w:rFonts w:hint="default" w:ascii="Times New Roman" w:hAnsi="Times New Roman" w:eastAsia="宋体" w:cs="Times New Roman"/>
                      <w:color w:val="auto"/>
                      <w:sz w:val="21"/>
                      <w:szCs w:val="21"/>
                    </w:rPr>
                    <w:t>金坛区第二污水处理厂</w:t>
                  </w:r>
                  <w:r>
                    <w:rPr>
                      <w:rFonts w:hint="eastAsia" w:ascii="Times New Roman" w:hAnsi="Times New Roman" w:eastAsia="宋体" w:cs="Times New Roman"/>
                      <w:color w:val="auto"/>
                      <w:sz w:val="21"/>
                      <w:szCs w:val="21"/>
                      <w:lang w:eastAsia="zh-CN"/>
                    </w:rPr>
                    <w:t>，</w:t>
                  </w:r>
                  <w:r>
                    <w:rPr>
                      <w:rFonts w:hint="eastAsia" w:cs="Times New Roman"/>
                      <w:color w:val="auto"/>
                      <w:sz w:val="21"/>
                      <w:szCs w:val="21"/>
                      <w:highlight w:val="none"/>
                      <w:lang w:val="en-US" w:eastAsia="zh-CN"/>
                    </w:rPr>
                    <w:t>冷却水循环使用</w:t>
                  </w:r>
                  <w:r>
                    <w:rPr>
                      <w:rFonts w:hint="eastAsia" w:ascii="Times New Roman" w:hAnsi="Times New Roman" w:eastAsia="宋体" w:cs="Times New Roman"/>
                      <w:color w:val="auto"/>
                      <w:sz w:val="21"/>
                      <w:szCs w:val="21"/>
                      <w:highlight w:val="none"/>
                      <w:lang w:val="en-US" w:eastAsia="zh-CN"/>
                    </w:rPr>
                    <w:t>，不外排</w:t>
                  </w:r>
                  <w:r>
                    <w:rPr>
                      <w:rFonts w:hint="eastAsia" w:ascii="Times New Roman" w:hAnsi="Times New Roman" w:eastAsia="宋体" w:cs="Times New Roman"/>
                      <w:color w:val="auto"/>
                      <w:kern w:val="2"/>
                      <w:sz w:val="21"/>
                      <w:szCs w:val="21"/>
                      <w:lang w:val="en-US" w:eastAsia="zh-CN" w:bidi="ar-SA"/>
                    </w:rPr>
                    <w:t>。</w:t>
                  </w:r>
                </w:p>
              </w:tc>
              <w:tc>
                <w:tcPr>
                  <w:tcW w:w="309" w:type="pct"/>
                  <w:tcBorders>
                    <w:tl2br w:val="nil"/>
                    <w:tr2bl w:val="nil"/>
                  </w:tcBorders>
                  <w:noWrap w:val="0"/>
                  <w:tcMar>
                    <w:top w:w="0" w:type="dxa"/>
                    <w:left w:w="0" w:type="dxa"/>
                    <w:bottom w:w="0" w:type="dxa"/>
                    <w:right w:w="0" w:type="dxa"/>
                  </w:tcMar>
                  <w:vAlign w:val="center"/>
                </w:tcPr>
                <w:p w14:paraId="6515E2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14:paraId="58CD61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 w:type="pct"/>
                  <w:vMerge w:val="continue"/>
                  <w:tcBorders>
                    <w:tl2br w:val="nil"/>
                    <w:tr2bl w:val="nil"/>
                  </w:tcBorders>
                  <w:noWrap w:val="0"/>
                  <w:tcMar>
                    <w:top w:w="0" w:type="dxa"/>
                    <w:left w:w="0" w:type="dxa"/>
                    <w:bottom w:w="0" w:type="dxa"/>
                    <w:right w:w="0" w:type="dxa"/>
                  </w:tcMar>
                  <w:vAlign w:val="center"/>
                </w:tcPr>
                <w:p w14:paraId="383D0B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2697" w:type="pct"/>
                  <w:tcBorders>
                    <w:tl2br w:val="nil"/>
                    <w:tr2bl w:val="nil"/>
                  </w:tcBorders>
                  <w:noWrap w:val="0"/>
                  <w:tcMar>
                    <w:top w:w="0" w:type="dxa"/>
                    <w:left w:w="0" w:type="dxa"/>
                    <w:bottom w:w="0" w:type="dxa"/>
                    <w:right w:w="0" w:type="dxa"/>
                  </w:tcMar>
                  <w:vAlign w:val="center"/>
                </w:tcPr>
                <w:p w14:paraId="3DFEDD0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（3）严禁自建燃煤设施。</w:t>
                  </w:r>
                </w:p>
              </w:tc>
              <w:tc>
                <w:tcPr>
                  <w:tcW w:w="1632" w:type="pct"/>
                  <w:tcBorders>
                    <w:tl2br w:val="nil"/>
                    <w:tr2bl w:val="nil"/>
                  </w:tcBorders>
                  <w:noWrap w:val="0"/>
                  <w:tcMar>
                    <w:top w:w="0" w:type="dxa"/>
                    <w:left w:w="0" w:type="dxa"/>
                    <w:bottom w:w="0" w:type="dxa"/>
                    <w:right w:w="0" w:type="dxa"/>
                  </w:tcMar>
                  <w:vAlign w:val="center"/>
                </w:tcPr>
                <w:p w14:paraId="1317229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本项目不涉及。</w:t>
                  </w:r>
                </w:p>
              </w:tc>
              <w:tc>
                <w:tcPr>
                  <w:tcW w:w="309" w:type="pct"/>
                  <w:tcBorders>
                    <w:tl2br w:val="nil"/>
                    <w:tr2bl w:val="nil"/>
                  </w:tcBorders>
                  <w:noWrap w:val="0"/>
                  <w:tcMar>
                    <w:top w:w="0" w:type="dxa"/>
                    <w:left w:w="0" w:type="dxa"/>
                    <w:bottom w:w="0" w:type="dxa"/>
                    <w:right w:w="0" w:type="dxa"/>
                  </w:tcMar>
                  <w:vAlign w:val="center"/>
                </w:tcPr>
                <w:p w14:paraId="6A63BA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bl>
          <w:p w14:paraId="358322BF">
            <w:pPr>
              <w:ind w:left="0" w:leftChars="0" w:firstLine="0" w:firstLineChars="0"/>
              <w:rPr>
                <w:rFonts w:hint="eastAsia"/>
                <w:b/>
                <w:bCs/>
                <w:color w:val="auto"/>
                <w:sz w:val="24"/>
                <w:szCs w:val="24"/>
              </w:rPr>
            </w:pPr>
          </w:p>
        </w:tc>
      </w:tr>
    </w:tbl>
    <w:p w14:paraId="4609F8CA">
      <w:pPr>
        <w:pStyle w:val="2"/>
        <w:ind w:firstLine="420"/>
        <w:rPr>
          <w:color w:val="auto"/>
        </w:rPr>
        <w:sectPr>
          <w:footerReference r:id="rId7" w:type="default"/>
          <w:pgSz w:w="11907" w:h="16840"/>
          <w:pgMar w:top="1440" w:right="1080" w:bottom="1440" w:left="1080" w:header="964" w:footer="964" w:gutter="0"/>
          <w:pgBorders w:offsetFrom="page">
            <w:top w:val="none" w:sz="0" w:space="0"/>
            <w:left w:val="none" w:sz="0" w:space="0"/>
            <w:bottom w:val="none" w:sz="0" w:space="0"/>
            <w:right w:val="none" w:sz="0" w:space="0"/>
          </w:pgBorders>
          <w:pgNumType w:start="1"/>
          <w:cols w:space="720" w:num="1"/>
          <w:docGrid w:type="linesAndChars" w:linePitch="312" w:charSpace="0"/>
        </w:sectPr>
      </w:pPr>
    </w:p>
    <w:tbl>
      <w:tblPr>
        <w:tblStyle w:val="17"/>
        <w:tblW w:w="995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9481"/>
      </w:tblGrid>
      <w:tr w14:paraId="2DCE54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29" w:hRule="atLeast"/>
          <w:jc w:val="center"/>
        </w:trPr>
        <w:tc>
          <w:tcPr>
            <w:tcW w:w="469" w:type="dxa"/>
            <w:noWrap w:val="0"/>
            <w:vAlign w:val="center"/>
          </w:tcPr>
          <w:p w14:paraId="7B9370C1">
            <w:pPr>
              <w:spacing w:line="240" w:lineRule="auto"/>
              <w:ind w:firstLine="0" w:firstLineChars="0"/>
              <w:jc w:val="center"/>
              <w:rPr>
                <w:b/>
                <w:bCs/>
                <w:color w:val="auto"/>
              </w:rPr>
            </w:pPr>
            <w:r>
              <w:rPr>
                <w:rFonts w:hint="eastAsia"/>
                <w:b/>
                <w:bCs/>
                <w:color w:val="auto"/>
              </w:rPr>
              <w:t>其他相符性分析</w:t>
            </w:r>
          </w:p>
        </w:tc>
        <w:tc>
          <w:tcPr>
            <w:tcW w:w="9481" w:type="dxa"/>
            <w:noWrap w:val="0"/>
            <w:vAlign w:val="top"/>
          </w:tcPr>
          <w:p w14:paraId="69AB0696">
            <w:pPr>
              <w:keepNext w:val="0"/>
              <w:keepLines w:val="0"/>
              <w:pageBreakBefore w:val="0"/>
              <w:widowControl w:val="0"/>
              <w:kinsoku/>
              <w:wordWrap/>
              <w:overflowPunct/>
              <w:topLinePunct w:val="0"/>
              <w:bidi w:val="0"/>
              <w:snapToGrid w:val="0"/>
              <w:spacing w:line="480" w:lineRule="exact"/>
              <w:ind w:left="0" w:leftChars="0" w:firstLine="480" w:firstLineChars="200"/>
              <w:textAlignment w:val="auto"/>
              <w:rPr>
                <w:rFonts w:hint="default" w:ascii="Times New Roman" w:hAnsi="Times New Roman" w:eastAsia="宋体" w:cs="Times New Roman"/>
                <w:b/>
                <w:color w:val="auto"/>
                <w:sz w:val="24"/>
                <w:szCs w:val="24"/>
              </w:rPr>
            </w:pPr>
            <w:r>
              <w:rPr>
                <w:rFonts w:hint="eastAsia" w:cs="Times New Roman"/>
                <w:b/>
                <w:color w:val="auto"/>
                <w:sz w:val="24"/>
                <w:szCs w:val="24"/>
                <w:lang w:val="en-US" w:eastAsia="zh-CN"/>
              </w:rPr>
              <w:t>1</w:t>
            </w:r>
            <w:r>
              <w:rPr>
                <w:rFonts w:hint="default" w:ascii="Times New Roman" w:hAnsi="Times New Roman" w:eastAsia="宋体" w:cs="Times New Roman"/>
                <w:b/>
                <w:color w:val="auto"/>
                <w:sz w:val="24"/>
                <w:szCs w:val="24"/>
              </w:rPr>
              <w:t>、产业政策相符性分析</w:t>
            </w:r>
          </w:p>
          <w:p w14:paraId="3FCF78C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表1-</w:t>
            </w:r>
            <w:r>
              <w:rPr>
                <w:rFonts w:hint="eastAsia" w:ascii="Times New Roman" w:hAnsi="Times New Roman" w:eastAsia="宋体" w:cs="Times New Roman"/>
                <w:b/>
                <w:bCs/>
                <w:color w:val="auto"/>
                <w:kern w:val="2"/>
                <w:sz w:val="21"/>
                <w:szCs w:val="21"/>
                <w:lang w:val="en-US" w:eastAsia="zh-CN" w:bidi="ar-SA"/>
              </w:rPr>
              <w:t xml:space="preserve">4 </w:t>
            </w:r>
            <w:r>
              <w:rPr>
                <w:rFonts w:hint="default" w:ascii="Times New Roman" w:hAnsi="Times New Roman" w:eastAsia="宋体" w:cs="Times New Roman"/>
                <w:b/>
                <w:bCs/>
                <w:color w:val="auto"/>
                <w:kern w:val="2"/>
                <w:sz w:val="21"/>
                <w:szCs w:val="21"/>
                <w:lang w:val="en-US" w:eastAsia="zh-CN" w:bidi="ar-SA"/>
              </w:rPr>
              <w:t>与</w:t>
            </w:r>
            <w:r>
              <w:rPr>
                <w:rFonts w:hint="eastAsia" w:ascii="Times New Roman" w:hAnsi="Times New Roman" w:eastAsia="宋体" w:cs="Times New Roman"/>
                <w:b/>
                <w:bCs/>
                <w:color w:val="auto"/>
                <w:kern w:val="2"/>
                <w:sz w:val="21"/>
                <w:szCs w:val="21"/>
                <w:lang w:val="en-US" w:eastAsia="zh-CN" w:bidi="ar-SA"/>
              </w:rPr>
              <w:t>产业政策</w:t>
            </w:r>
            <w:r>
              <w:rPr>
                <w:rFonts w:hint="default" w:ascii="Times New Roman" w:hAnsi="Times New Roman" w:eastAsia="宋体" w:cs="Times New Roman"/>
                <w:b/>
                <w:bCs/>
                <w:color w:val="auto"/>
                <w:kern w:val="2"/>
                <w:sz w:val="21"/>
                <w:szCs w:val="21"/>
                <w:lang w:val="en-US" w:eastAsia="zh-CN" w:bidi="ar-SA"/>
              </w:rPr>
              <w:t>相符性分析</w:t>
            </w:r>
          </w:p>
          <w:tbl>
            <w:tblPr>
              <w:tblStyle w:val="1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776"/>
              <w:gridCol w:w="6824"/>
              <w:gridCol w:w="973"/>
            </w:tblGrid>
            <w:tr w14:paraId="60672E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tcBorders>
                    <w:tl2br w:val="nil"/>
                    <w:tr2bl w:val="nil"/>
                  </w:tcBorders>
                  <w:noWrap w:val="0"/>
                  <w:vAlign w:val="center"/>
                </w:tcPr>
                <w:p w14:paraId="44809A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序号</w:t>
                  </w:r>
                </w:p>
              </w:tc>
              <w:tc>
                <w:tcPr>
                  <w:tcW w:w="419" w:type="pct"/>
                  <w:tcBorders>
                    <w:tl2br w:val="nil"/>
                    <w:tr2bl w:val="nil"/>
                  </w:tcBorders>
                  <w:noWrap w:val="0"/>
                  <w:vAlign w:val="center"/>
                </w:tcPr>
                <w:p w14:paraId="1DB469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bCs/>
                      <w:color w:val="auto"/>
                      <w:sz w:val="21"/>
                      <w:szCs w:val="21"/>
                      <w:lang w:val="en-US" w:eastAsia="zh-CN"/>
                    </w:rPr>
                  </w:pPr>
                  <w:r>
                    <w:rPr>
                      <w:rFonts w:hint="eastAsia" w:cs="Times New Roman"/>
                      <w:b/>
                      <w:bCs/>
                      <w:color w:val="auto"/>
                      <w:sz w:val="21"/>
                      <w:szCs w:val="21"/>
                      <w:lang w:val="en-US" w:eastAsia="zh-CN"/>
                    </w:rPr>
                    <w:t>判断类型</w:t>
                  </w:r>
                </w:p>
              </w:tc>
              <w:tc>
                <w:tcPr>
                  <w:tcW w:w="3684" w:type="pct"/>
                  <w:tcBorders>
                    <w:tl2br w:val="nil"/>
                    <w:tr2bl w:val="nil"/>
                  </w:tcBorders>
                  <w:noWrap w:val="0"/>
                  <w:vAlign w:val="center"/>
                </w:tcPr>
                <w:p w14:paraId="200DDF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对照简析</w:t>
                  </w:r>
                </w:p>
              </w:tc>
              <w:tc>
                <w:tcPr>
                  <w:tcW w:w="525" w:type="pct"/>
                  <w:tcBorders>
                    <w:tl2br w:val="nil"/>
                    <w:tr2bl w:val="nil"/>
                  </w:tcBorders>
                  <w:noWrap w:val="0"/>
                  <w:vAlign w:val="center"/>
                </w:tcPr>
                <w:p w14:paraId="4AD8B22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color w:val="auto"/>
                      <w:sz w:val="21"/>
                      <w:szCs w:val="21"/>
                      <w:lang w:val="en-US" w:eastAsia="zh-CN"/>
                    </w:rPr>
                  </w:pPr>
                  <w:r>
                    <w:rPr>
                      <w:rFonts w:hint="eastAsia" w:cs="Times New Roman"/>
                      <w:b/>
                      <w:color w:val="auto"/>
                      <w:sz w:val="21"/>
                      <w:szCs w:val="21"/>
                      <w:lang w:val="en-US" w:eastAsia="zh-CN"/>
                    </w:rPr>
                    <w:t>相符性</w:t>
                  </w:r>
                </w:p>
              </w:tc>
            </w:tr>
            <w:tr w14:paraId="0C129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tcBorders>
                    <w:tl2br w:val="nil"/>
                    <w:tr2bl w:val="nil"/>
                  </w:tcBorders>
                  <w:noWrap w:val="0"/>
                  <w:vAlign w:val="center"/>
                </w:tcPr>
                <w:p w14:paraId="67E79F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w:t>
                  </w:r>
                </w:p>
              </w:tc>
              <w:tc>
                <w:tcPr>
                  <w:tcW w:w="419" w:type="pct"/>
                  <w:vMerge w:val="restart"/>
                  <w:tcBorders>
                    <w:tl2br w:val="nil"/>
                    <w:tr2bl w:val="nil"/>
                  </w:tcBorders>
                  <w:noWrap w:val="0"/>
                  <w:vAlign w:val="center"/>
                </w:tcPr>
                <w:p w14:paraId="1CCA9A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产业政策</w:t>
                  </w:r>
                </w:p>
              </w:tc>
              <w:tc>
                <w:tcPr>
                  <w:tcW w:w="3684" w:type="pct"/>
                  <w:tcBorders>
                    <w:tl2br w:val="nil"/>
                    <w:tr2bl w:val="nil"/>
                  </w:tcBorders>
                  <w:noWrap w:val="0"/>
                  <w:vAlign w:val="center"/>
                </w:tcPr>
                <w:p w14:paraId="5A5634EB">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w:t>
                  </w:r>
                  <w:r>
                    <w:rPr>
                      <w:rFonts w:hint="default" w:ascii="Times New Roman" w:hAnsi="Times New Roman" w:eastAsia="宋体" w:cs="Times New Roman"/>
                      <w:color w:val="auto"/>
                      <w:sz w:val="21"/>
                      <w:szCs w:val="21"/>
                    </w:rPr>
                    <w:t>属于</w:t>
                  </w:r>
                  <w:r>
                    <w:rPr>
                      <w:rFonts w:hint="default" w:ascii="Times New Roman" w:hAnsi="Times New Roman" w:eastAsia="宋体" w:cs="Times New Roman"/>
                      <w:color w:val="auto"/>
                      <w:szCs w:val="21"/>
                      <w:lang w:val="en-US" w:eastAsia="zh-CN"/>
                    </w:rPr>
                    <w:t>[C2929]塑料零件及其他塑料制品制造、[C3584]医疗、外科及兽医用器械制造</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采用的生产工艺、设备等均不属于《产业结构调整指导目录（2024年本）》中限制类和淘汰类项目</w:t>
                  </w:r>
                </w:p>
              </w:tc>
              <w:tc>
                <w:tcPr>
                  <w:tcW w:w="525" w:type="pct"/>
                  <w:tcBorders>
                    <w:tl2br w:val="nil"/>
                    <w:tr2bl w:val="nil"/>
                  </w:tcBorders>
                  <w:noWrap w:val="0"/>
                  <w:vAlign w:val="center"/>
                </w:tcPr>
                <w:p w14:paraId="3B4B2A2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是</w:t>
                  </w:r>
                </w:p>
              </w:tc>
            </w:tr>
            <w:tr w14:paraId="278957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tcBorders>
                    <w:tl2br w:val="nil"/>
                    <w:tr2bl w:val="nil"/>
                  </w:tcBorders>
                  <w:noWrap w:val="0"/>
                  <w:vAlign w:val="center"/>
                </w:tcPr>
                <w:p w14:paraId="7EA9F4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w:t>
                  </w:r>
                </w:p>
              </w:tc>
              <w:tc>
                <w:tcPr>
                  <w:tcW w:w="419" w:type="pct"/>
                  <w:vMerge w:val="continue"/>
                  <w:tcBorders>
                    <w:tl2br w:val="nil"/>
                    <w:tr2bl w:val="nil"/>
                  </w:tcBorders>
                  <w:noWrap w:val="0"/>
                  <w:vAlign w:val="center"/>
                </w:tcPr>
                <w:p w14:paraId="28DC59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p>
              </w:tc>
              <w:tc>
                <w:tcPr>
                  <w:tcW w:w="3684" w:type="pct"/>
                  <w:tcBorders>
                    <w:tl2br w:val="nil"/>
                    <w:tr2bl w:val="nil"/>
                  </w:tcBorders>
                  <w:noWrap w:val="0"/>
                  <w:vAlign w:val="center"/>
                </w:tcPr>
                <w:p w14:paraId="23328FD7">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本项目属于</w:t>
                  </w:r>
                  <w:r>
                    <w:rPr>
                      <w:rFonts w:hint="default" w:ascii="Times New Roman" w:hAnsi="Times New Roman" w:eastAsia="宋体" w:cs="Times New Roman"/>
                      <w:color w:val="auto"/>
                      <w:szCs w:val="21"/>
                      <w:lang w:val="en-US" w:eastAsia="zh-CN"/>
                    </w:rPr>
                    <w:t>[C2929]塑料零件及其他塑料制品制造、[C3584]医疗、外科及兽医用器械制造</w:t>
                  </w:r>
                  <w:r>
                    <w:rPr>
                      <w:rFonts w:hint="default" w:ascii="Times New Roman" w:hAnsi="Times New Roman" w:eastAsia="宋体" w:cs="Times New Roman"/>
                      <w:color w:val="auto"/>
                      <w:kern w:val="2"/>
                      <w:sz w:val="21"/>
                      <w:szCs w:val="21"/>
                      <w:lang w:val="en-US" w:eastAsia="zh-CN" w:bidi="ar-SA"/>
                    </w:rPr>
                    <w:t>，经对照不属于《江苏省产业结构调整限制、淘汰和禁止目录（2018年本）》中限制、淘汰和禁止类有关条款。</w:t>
                  </w:r>
                </w:p>
              </w:tc>
              <w:tc>
                <w:tcPr>
                  <w:tcW w:w="525" w:type="pct"/>
                  <w:tcBorders>
                    <w:tl2br w:val="nil"/>
                    <w:tr2bl w:val="nil"/>
                  </w:tcBorders>
                  <w:noWrap w:val="0"/>
                  <w:vAlign w:val="center"/>
                </w:tcPr>
                <w:p w14:paraId="3856848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是</w:t>
                  </w:r>
                </w:p>
              </w:tc>
            </w:tr>
            <w:tr w14:paraId="5612B6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tcBorders>
                    <w:tl2br w:val="nil"/>
                    <w:tr2bl w:val="nil"/>
                  </w:tcBorders>
                  <w:noWrap w:val="0"/>
                  <w:vAlign w:val="center"/>
                </w:tcPr>
                <w:p w14:paraId="38E2D4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419" w:type="pct"/>
                  <w:vMerge w:val="continue"/>
                  <w:tcBorders>
                    <w:tl2br w:val="nil"/>
                    <w:tr2bl w:val="nil"/>
                  </w:tcBorders>
                  <w:noWrap w:val="0"/>
                  <w:vAlign w:val="center"/>
                </w:tcPr>
                <w:p w14:paraId="3BD6EE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p>
              </w:tc>
              <w:tc>
                <w:tcPr>
                  <w:tcW w:w="3684" w:type="pct"/>
                  <w:tcBorders>
                    <w:tl2br w:val="nil"/>
                    <w:tr2bl w:val="nil"/>
                  </w:tcBorders>
                  <w:noWrap w:val="0"/>
                  <w:vAlign w:val="center"/>
                </w:tcPr>
                <w:p w14:paraId="18F94C95">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本项目属于</w:t>
                  </w:r>
                  <w:r>
                    <w:rPr>
                      <w:rFonts w:hint="default" w:ascii="Times New Roman" w:hAnsi="Times New Roman" w:eastAsia="宋体" w:cs="Times New Roman"/>
                      <w:color w:val="auto"/>
                      <w:szCs w:val="21"/>
                      <w:lang w:val="en-US" w:eastAsia="zh-CN"/>
                    </w:rPr>
                    <w:t>[C2929]塑料零件及其他塑料制品制造、[C3584]医疗、外科及兽医用器械制造</w:t>
                  </w:r>
                  <w:r>
                    <w:rPr>
                      <w:rFonts w:hint="default" w:ascii="Times New Roman" w:hAnsi="Times New Roman" w:eastAsia="宋体" w:cs="Times New Roman"/>
                      <w:color w:val="auto"/>
                      <w:kern w:val="2"/>
                      <w:sz w:val="21"/>
                      <w:szCs w:val="21"/>
                      <w:lang w:val="en-US" w:eastAsia="zh-CN" w:bidi="ar-SA"/>
                    </w:rPr>
                    <w:t>，不属于《长江经济带发展负面清单指南（试行，2022年版）》未列入长江经济带发展负面清单，也不属于《市场准入负面清单（202</w:t>
                  </w:r>
                  <w:r>
                    <w:rPr>
                      <w:rFonts w:hint="eastAsia" w:ascii="Times New Roman" w:hAnsi="Times New Roman" w:eastAsia="宋体" w:cs="Times New Roman"/>
                      <w:color w:val="auto"/>
                      <w:kern w:val="2"/>
                      <w:sz w:val="21"/>
                      <w:szCs w:val="21"/>
                      <w:lang w:val="en-US" w:eastAsia="zh-CN" w:bidi="ar-SA"/>
                    </w:rPr>
                    <w:t>5</w:t>
                  </w:r>
                  <w:r>
                    <w:rPr>
                      <w:rFonts w:hint="default" w:ascii="Times New Roman" w:hAnsi="Times New Roman" w:eastAsia="宋体" w:cs="Times New Roman"/>
                      <w:color w:val="auto"/>
                      <w:kern w:val="2"/>
                      <w:sz w:val="21"/>
                      <w:szCs w:val="21"/>
                      <w:lang w:val="en-US" w:eastAsia="zh-CN" w:bidi="ar-SA"/>
                    </w:rPr>
                    <w:t>年版）》中禁止准入类</w:t>
                  </w:r>
                </w:p>
              </w:tc>
              <w:tc>
                <w:tcPr>
                  <w:tcW w:w="525" w:type="pct"/>
                  <w:tcBorders>
                    <w:tl2br w:val="nil"/>
                    <w:tr2bl w:val="nil"/>
                  </w:tcBorders>
                  <w:noWrap w:val="0"/>
                  <w:vAlign w:val="center"/>
                </w:tcPr>
                <w:p w14:paraId="3970E57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是</w:t>
                  </w:r>
                </w:p>
              </w:tc>
            </w:tr>
            <w:tr w14:paraId="43C9C9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tcBorders>
                    <w:tl2br w:val="nil"/>
                    <w:tr2bl w:val="nil"/>
                  </w:tcBorders>
                  <w:noWrap w:val="0"/>
                  <w:vAlign w:val="center"/>
                </w:tcPr>
                <w:p w14:paraId="2C3382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4</w:t>
                  </w:r>
                </w:p>
              </w:tc>
              <w:tc>
                <w:tcPr>
                  <w:tcW w:w="419" w:type="pct"/>
                  <w:vMerge w:val="continue"/>
                  <w:tcBorders>
                    <w:tl2br w:val="nil"/>
                    <w:tr2bl w:val="nil"/>
                  </w:tcBorders>
                  <w:noWrap w:val="0"/>
                  <w:vAlign w:val="center"/>
                </w:tcPr>
                <w:p w14:paraId="00AAA8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p>
              </w:tc>
              <w:tc>
                <w:tcPr>
                  <w:tcW w:w="3684" w:type="pct"/>
                  <w:tcBorders>
                    <w:tl2br w:val="nil"/>
                    <w:tr2bl w:val="nil"/>
                  </w:tcBorders>
                  <w:noWrap w:val="0"/>
                  <w:vAlign w:val="center"/>
                </w:tcPr>
                <w:p w14:paraId="16A493FD">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本项目产品不在《江苏省太湖流域禁止和限制的产品目录（2024年本）》（苏发改规发〔2024〕3号）中禁止和限制的产业产品目录范围</w:t>
                  </w:r>
                  <w:r>
                    <w:rPr>
                      <w:rFonts w:hint="default" w:ascii="Times New Roman" w:hAnsi="Times New Roman" w:eastAsia="宋体" w:cs="Times New Roman"/>
                      <w:color w:val="auto"/>
                      <w:kern w:val="2"/>
                      <w:sz w:val="21"/>
                      <w:szCs w:val="21"/>
                      <w:lang w:val="en-US" w:eastAsia="zh-CN" w:bidi="ar-SA"/>
                    </w:rPr>
                    <w:tab/>
                  </w:r>
                </w:p>
              </w:tc>
              <w:tc>
                <w:tcPr>
                  <w:tcW w:w="525" w:type="pct"/>
                  <w:tcBorders>
                    <w:tl2br w:val="nil"/>
                    <w:tr2bl w:val="nil"/>
                  </w:tcBorders>
                  <w:noWrap w:val="0"/>
                  <w:vAlign w:val="center"/>
                </w:tcPr>
                <w:p w14:paraId="2532198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是</w:t>
                  </w:r>
                </w:p>
              </w:tc>
            </w:tr>
            <w:tr w14:paraId="2DF27F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tcBorders>
                    <w:tl2br w:val="nil"/>
                    <w:tr2bl w:val="nil"/>
                  </w:tcBorders>
                  <w:noWrap w:val="0"/>
                  <w:vAlign w:val="center"/>
                </w:tcPr>
                <w:p w14:paraId="08EF8D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w:t>
                  </w:r>
                </w:p>
              </w:tc>
              <w:tc>
                <w:tcPr>
                  <w:tcW w:w="419" w:type="pct"/>
                  <w:vMerge w:val="continue"/>
                  <w:tcBorders>
                    <w:tl2br w:val="nil"/>
                    <w:tr2bl w:val="nil"/>
                  </w:tcBorders>
                  <w:noWrap w:val="0"/>
                  <w:vAlign w:val="center"/>
                </w:tcPr>
                <w:p w14:paraId="1384C2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p>
              </w:tc>
              <w:tc>
                <w:tcPr>
                  <w:tcW w:w="3684" w:type="pct"/>
                  <w:tcBorders>
                    <w:tl2br w:val="nil"/>
                    <w:tr2bl w:val="nil"/>
                  </w:tcBorders>
                  <w:noWrap w:val="0"/>
                  <w:vAlign w:val="center"/>
                </w:tcPr>
                <w:p w14:paraId="76BB2B16">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本项目产品不属于《环境保护综合名录》（2021年版）中“高污染、高环境风险”产品名录范围</w:t>
                  </w:r>
                  <w:r>
                    <w:rPr>
                      <w:rFonts w:hint="default" w:ascii="Times New Roman" w:hAnsi="Times New Roman" w:eastAsia="宋体" w:cs="Times New Roman"/>
                      <w:color w:val="auto"/>
                      <w:kern w:val="2"/>
                      <w:sz w:val="21"/>
                      <w:szCs w:val="21"/>
                      <w:lang w:val="en-US" w:eastAsia="zh-CN" w:bidi="ar-SA"/>
                    </w:rPr>
                    <w:tab/>
                  </w:r>
                </w:p>
              </w:tc>
              <w:tc>
                <w:tcPr>
                  <w:tcW w:w="525" w:type="pct"/>
                  <w:tcBorders>
                    <w:tl2br w:val="nil"/>
                    <w:tr2bl w:val="nil"/>
                  </w:tcBorders>
                  <w:noWrap w:val="0"/>
                  <w:vAlign w:val="center"/>
                </w:tcPr>
                <w:p w14:paraId="648E407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是</w:t>
                  </w:r>
                </w:p>
              </w:tc>
            </w:tr>
            <w:tr w14:paraId="2FEA8F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tcBorders>
                    <w:tl2br w:val="nil"/>
                    <w:tr2bl w:val="nil"/>
                  </w:tcBorders>
                  <w:noWrap w:val="0"/>
                  <w:vAlign w:val="center"/>
                </w:tcPr>
                <w:p w14:paraId="59BEEB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6</w:t>
                  </w:r>
                </w:p>
              </w:tc>
              <w:tc>
                <w:tcPr>
                  <w:tcW w:w="419" w:type="pct"/>
                  <w:vMerge w:val="continue"/>
                  <w:tcBorders>
                    <w:tl2br w:val="nil"/>
                    <w:tr2bl w:val="nil"/>
                  </w:tcBorders>
                  <w:noWrap w:val="0"/>
                  <w:vAlign w:val="center"/>
                </w:tcPr>
                <w:p w14:paraId="57A515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p>
              </w:tc>
              <w:tc>
                <w:tcPr>
                  <w:tcW w:w="3684" w:type="pct"/>
                  <w:tcBorders>
                    <w:tl2br w:val="nil"/>
                    <w:tr2bl w:val="nil"/>
                  </w:tcBorders>
                  <w:noWrap w:val="0"/>
                  <w:vAlign w:val="center"/>
                </w:tcPr>
                <w:p w14:paraId="2DED4F99">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本项目属于</w:t>
                  </w:r>
                  <w:r>
                    <w:rPr>
                      <w:rFonts w:hint="default" w:ascii="Times New Roman" w:hAnsi="Times New Roman" w:eastAsia="宋体" w:cs="Times New Roman"/>
                      <w:color w:val="auto"/>
                      <w:szCs w:val="21"/>
                      <w:lang w:val="en-US" w:eastAsia="zh-CN"/>
                    </w:rPr>
                    <w:t>[C2929]塑料零件及其他塑料制品制造、[C3584]医疗、外科及兽医用器械制造</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不属于《江苏省 “两高” 项目管理目录（202</w:t>
                  </w:r>
                  <w:r>
                    <w:rPr>
                      <w:rFonts w:hint="eastAsia" w:ascii="Times New Roman" w:hAnsi="Times New Roman" w:eastAsia="宋体" w:cs="Times New Roman"/>
                      <w:color w:val="auto"/>
                      <w:kern w:val="2"/>
                      <w:sz w:val="21"/>
                      <w:szCs w:val="21"/>
                      <w:lang w:val="en-US" w:eastAsia="zh-CN" w:bidi="ar-SA"/>
                    </w:rPr>
                    <w:t>5</w:t>
                  </w:r>
                  <w:r>
                    <w:rPr>
                      <w:rFonts w:hint="default" w:ascii="Times New Roman" w:hAnsi="Times New Roman" w:eastAsia="宋体" w:cs="Times New Roman"/>
                      <w:color w:val="auto"/>
                      <w:kern w:val="2"/>
                      <w:sz w:val="21"/>
                      <w:szCs w:val="21"/>
                      <w:lang w:val="en-US" w:eastAsia="zh-CN" w:bidi="ar-SA"/>
                    </w:rPr>
                    <w:t>年版）》中“两高” 项目范围</w:t>
                  </w:r>
                  <w:r>
                    <w:rPr>
                      <w:rFonts w:hint="default" w:ascii="Times New Roman" w:hAnsi="Times New Roman" w:eastAsia="宋体" w:cs="Times New Roman"/>
                      <w:color w:val="auto"/>
                      <w:kern w:val="2"/>
                      <w:sz w:val="21"/>
                      <w:szCs w:val="21"/>
                      <w:lang w:val="en-US" w:eastAsia="zh-CN" w:bidi="ar-SA"/>
                    </w:rPr>
                    <w:tab/>
                  </w:r>
                </w:p>
              </w:tc>
              <w:tc>
                <w:tcPr>
                  <w:tcW w:w="525" w:type="pct"/>
                  <w:tcBorders>
                    <w:tl2br w:val="nil"/>
                    <w:tr2bl w:val="nil"/>
                  </w:tcBorders>
                  <w:noWrap w:val="0"/>
                  <w:vAlign w:val="center"/>
                </w:tcPr>
                <w:p w14:paraId="666C148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是</w:t>
                  </w:r>
                </w:p>
              </w:tc>
            </w:tr>
            <w:tr w14:paraId="1C7C61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tcBorders>
                    <w:tl2br w:val="nil"/>
                    <w:tr2bl w:val="nil"/>
                  </w:tcBorders>
                  <w:noWrap w:val="0"/>
                  <w:vAlign w:val="center"/>
                </w:tcPr>
                <w:p w14:paraId="466D0D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7</w:t>
                  </w:r>
                </w:p>
              </w:tc>
              <w:tc>
                <w:tcPr>
                  <w:tcW w:w="419" w:type="pct"/>
                  <w:vMerge w:val="continue"/>
                  <w:tcBorders>
                    <w:tl2br w:val="nil"/>
                    <w:tr2bl w:val="nil"/>
                  </w:tcBorders>
                  <w:noWrap w:val="0"/>
                  <w:vAlign w:val="center"/>
                </w:tcPr>
                <w:p w14:paraId="040E07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p>
              </w:tc>
              <w:tc>
                <w:tcPr>
                  <w:tcW w:w="3684" w:type="pct"/>
                  <w:tcBorders>
                    <w:tl2br w:val="nil"/>
                    <w:tr2bl w:val="nil"/>
                  </w:tcBorders>
                  <w:noWrap w:val="0"/>
                  <w:vAlign w:val="center"/>
                </w:tcPr>
                <w:p w14:paraId="6921753D">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本项目已</w:t>
                  </w:r>
                  <w:r>
                    <w:rPr>
                      <w:rFonts w:hint="default" w:ascii="Times New Roman" w:hAnsi="Times New Roman" w:eastAsia="宋体" w:cs="Times New Roman"/>
                      <w:b w:val="0"/>
                      <w:bCs/>
                      <w:color w:val="auto"/>
                      <w:sz w:val="21"/>
                      <w:szCs w:val="21"/>
                      <w:lang w:val="en-US" w:eastAsia="zh-CN"/>
                    </w:rPr>
                    <w:t>于</w:t>
                  </w:r>
                  <w:r>
                    <w:rPr>
                      <w:rFonts w:hint="eastAsia" w:cs="Times New Roman"/>
                      <w:color w:val="auto"/>
                      <w:sz w:val="21"/>
                      <w:szCs w:val="21"/>
                      <w:highlight w:val="none"/>
                      <w:lang w:eastAsia="zh-CN"/>
                    </w:rPr>
                    <w:t>2025年</w:t>
                  </w:r>
                  <w:r>
                    <w:rPr>
                      <w:rFonts w:hint="eastAsia" w:cs="Times New Roman"/>
                      <w:color w:val="auto"/>
                      <w:sz w:val="21"/>
                      <w:szCs w:val="21"/>
                      <w:highlight w:val="none"/>
                      <w:lang w:val="en-US" w:eastAsia="zh-CN"/>
                    </w:rPr>
                    <w:t>10</w:t>
                  </w:r>
                  <w:r>
                    <w:rPr>
                      <w:rFonts w:hint="eastAsia" w:cs="Times New Roman"/>
                      <w:color w:val="auto"/>
                      <w:sz w:val="21"/>
                      <w:szCs w:val="21"/>
                      <w:highlight w:val="none"/>
                      <w:lang w:eastAsia="zh-CN"/>
                    </w:rPr>
                    <w:t>月</w:t>
                  </w:r>
                  <w:r>
                    <w:rPr>
                      <w:rFonts w:hint="eastAsia" w:cs="Times New Roman"/>
                      <w:color w:val="auto"/>
                      <w:sz w:val="21"/>
                      <w:szCs w:val="21"/>
                      <w:highlight w:val="none"/>
                      <w:lang w:val="en-US" w:eastAsia="zh-CN"/>
                    </w:rPr>
                    <w:t>17</w:t>
                  </w:r>
                  <w:r>
                    <w:rPr>
                      <w:rFonts w:hint="eastAsia" w:cs="Times New Roman"/>
                      <w:color w:val="auto"/>
                      <w:sz w:val="21"/>
                      <w:szCs w:val="21"/>
                      <w:highlight w:val="none"/>
                      <w:lang w:eastAsia="zh-CN"/>
                    </w:rPr>
                    <w:t>日</w:t>
                  </w:r>
                  <w:r>
                    <w:rPr>
                      <w:rFonts w:hint="default" w:ascii="Times New Roman" w:hAnsi="Times New Roman" w:eastAsia="宋体" w:cs="Times New Roman"/>
                      <w:color w:val="auto"/>
                      <w:kern w:val="2"/>
                      <w:sz w:val="21"/>
                      <w:szCs w:val="21"/>
                      <w:highlight w:val="none"/>
                      <w:lang w:val="en-US" w:eastAsia="zh-CN" w:bidi="ar-SA"/>
                    </w:rPr>
                    <w:t>在</w:t>
                  </w:r>
                  <w:r>
                    <w:rPr>
                      <w:rFonts w:hint="eastAsia" w:cs="Times New Roman"/>
                      <w:b w:val="0"/>
                      <w:bCs/>
                      <w:color w:val="auto"/>
                      <w:sz w:val="21"/>
                      <w:szCs w:val="21"/>
                      <w:highlight w:val="none"/>
                      <w:lang w:val="en-US" w:eastAsia="zh-CN"/>
                    </w:rPr>
                    <w:t>江苏金坛经济开发区经济发展局</w:t>
                  </w:r>
                  <w:r>
                    <w:rPr>
                      <w:rFonts w:hint="default" w:ascii="Times New Roman" w:hAnsi="Times New Roman" w:eastAsia="宋体" w:cs="Times New Roman"/>
                      <w:color w:val="auto"/>
                      <w:kern w:val="2"/>
                      <w:sz w:val="21"/>
                      <w:szCs w:val="21"/>
                      <w:highlight w:val="none"/>
                      <w:lang w:val="en-US" w:eastAsia="zh-CN" w:bidi="ar-SA"/>
                    </w:rPr>
                    <w:t>进行了备案（</w:t>
                  </w:r>
                  <w:r>
                    <w:rPr>
                      <w:rFonts w:hint="eastAsia" w:cs="Times New Roman"/>
                      <w:color w:val="auto"/>
                      <w:sz w:val="21"/>
                      <w:szCs w:val="21"/>
                      <w:highlight w:val="none"/>
                      <w:lang w:eastAsia="zh-CN"/>
                    </w:rPr>
                    <w:t>坛开经发备字</w:t>
                  </w:r>
                  <w:r>
                    <w:rPr>
                      <w:rFonts w:hint="eastAsia" w:cs="Times New Roman"/>
                      <w:color w:val="auto"/>
                      <w:sz w:val="21"/>
                      <w:szCs w:val="21"/>
                      <w:highlight w:val="none"/>
                      <w:lang w:val="en-US" w:eastAsia="zh-CN"/>
                    </w:rPr>
                    <w:t>[</w:t>
                  </w:r>
                  <w:r>
                    <w:rPr>
                      <w:rFonts w:hint="eastAsia" w:cs="Times New Roman"/>
                      <w:color w:val="auto"/>
                      <w:sz w:val="21"/>
                      <w:szCs w:val="21"/>
                      <w:highlight w:val="none"/>
                      <w:lang w:eastAsia="zh-CN"/>
                    </w:rPr>
                    <w:t>2025</w:t>
                  </w:r>
                  <w:r>
                    <w:rPr>
                      <w:rFonts w:hint="eastAsia" w:cs="Times New Roman"/>
                      <w:color w:val="auto"/>
                      <w:sz w:val="21"/>
                      <w:szCs w:val="21"/>
                      <w:highlight w:val="none"/>
                      <w:lang w:val="en-US" w:eastAsia="zh-CN"/>
                    </w:rPr>
                    <w:t>]288</w:t>
                  </w:r>
                  <w:r>
                    <w:rPr>
                      <w:rFonts w:hint="eastAsia" w:cs="Times New Roman"/>
                      <w:color w:val="auto"/>
                      <w:sz w:val="21"/>
                      <w:szCs w:val="21"/>
                      <w:highlight w:val="none"/>
                      <w:lang w:eastAsia="zh-CN"/>
                    </w:rPr>
                    <w:t>号）</w:t>
                  </w:r>
                  <w:r>
                    <w:rPr>
                      <w:rFonts w:hint="default" w:ascii="Times New Roman" w:hAnsi="Times New Roman" w:eastAsia="宋体" w:cs="Times New Roman"/>
                      <w:color w:val="auto"/>
                      <w:kern w:val="2"/>
                      <w:sz w:val="21"/>
                      <w:szCs w:val="21"/>
                      <w:highlight w:val="none"/>
                      <w:lang w:val="en-US" w:eastAsia="zh-CN" w:bidi="ar-SA"/>
                    </w:rPr>
                    <w:t>，见附件</w:t>
                  </w:r>
                  <w:r>
                    <w:rPr>
                      <w:rFonts w:hint="eastAsia" w:cs="Times New Roman"/>
                      <w:color w:val="auto"/>
                      <w:kern w:val="2"/>
                      <w:sz w:val="21"/>
                      <w:szCs w:val="21"/>
                      <w:highlight w:val="none"/>
                      <w:lang w:val="en-US" w:eastAsia="zh-CN" w:bidi="ar-SA"/>
                    </w:rPr>
                    <w:t>4</w:t>
                  </w:r>
                  <w:r>
                    <w:rPr>
                      <w:rFonts w:hint="default" w:ascii="Times New Roman" w:hAnsi="Times New Roman" w:eastAsia="宋体" w:cs="Times New Roman"/>
                      <w:color w:val="auto"/>
                      <w:kern w:val="2"/>
                      <w:sz w:val="21"/>
                      <w:szCs w:val="21"/>
                      <w:lang w:val="en-US" w:eastAsia="zh-CN" w:bidi="ar-SA"/>
                    </w:rPr>
                    <w:t>），符合区域产业政策</w:t>
                  </w:r>
                </w:p>
              </w:tc>
              <w:tc>
                <w:tcPr>
                  <w:tcW w:w="525" w:type="pct"/>
                  <w:tcBorders>
                    <w:tl2br w:val="nil"/>
                    <w:tr2bl w:val="nil"/>
                  </w:tcBorders>
                  <w:noWrap w:val="0"/>
                  <w:vAlign w:val="center"/>
                </w:tcPr>
                <w:p w14:paraId="6F9A694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是</w:t>
                  </w:r>
                </w:p>
              </w:tc>
            </w:tr>
          </w:tbl>
          <w:p w14:paraId="31303862">
            <w:pPr>
              <w:keepNext w:val="0"/>
              <w:keepLines w:val="0"/>
              <w:pageBreakBefore w:val="0"/>
              <w:widowControl w:val="0"/>
              <w:kinsoku/>
              <w:wordWrap/>
              <w:overflowPunct/>
              <w:topLinePunct w:val="0"/>
              <w:bidi w:val="0"/>
              <w:snapToGrid w:val="0"/>
              <w:spacing w:line="480" w:lineRule="exact"/>
              <w:ind w:left="0" w:leftChars="0" w:firstLine="480" w:firstLineChars="200"/>
              <w:textAlignment w:val="auto"/>
              <w:rPr>
                <w:rFonts w:hint="default" w:cs="Times New Roman"/>
                <w:b/>
                <w:bCs w:val="0"/>
                <w:color w:val="auto"/>
                <w:sz w:val="24"/>
                <w:szCs w:val="24"/>
                <w:lang w:val="en-US" w:eastAsia="zh-CN"/>
              </w:rPr>
            </w:pPr>
            <w:r>
              <w:rPr>
                <w:rFonts w:hint="eastAsia" w:cs="Times New Roman"/>
                <w:b/>
                <w:bCs w:val="0"/>
                <w:color w:val="auto"/>
                <w:sz w:val="24"/>
                <w:szCs w:val="24"/>
                <w:lang w:val="en-US" w:eastAsia="zh-CN"/>
              </w:rPr>
              <w:t>2、用地性质相符性分析</w:t>
            </w:r>
          </w:p>
          <w:p w14:paraId="5A754940">
            <w:pPr>
              <w:keepNext w:val="0"/>
              <w:keepLines w:val="0"/>
              <w:pageBreakBefore w:val="0"/>
              <w:widowControl w:val="0"/>
              <w:kinsoku/>
              <w:wordWrap/>
              <w:overflowPunct/>
              <w:topLinePunct w:val="0"/>
              <w:bidi w:val="0"/>
              <w:snapToGrid w:val="0"/>
              <w:spacing w:line="480" w:lineRule="exact"/>
              <w:ind w:left="0" w:leftChars="0" w:firstLine="480" w:firstLineChars="200"/>
              <w:textAlignment w:val="auto"/>
              <w:rPr>
                <w:rFonts w:hint="eastAsia" w:cs="Times New Roman"/>
                <w:b w:val="0"/>
                <w:bCs/>
                <w:color w:val="auto"/>
                <w:sz w:val="24"/>
                <w:szCs w:val="24"/>
                <w:lang w:eastAsia="zh-CN"/>
              </w:rPr>
            </w:pPr>
            <w:r>
              <w:rPr>
                <w:rFonts w:hint="eastAsia" w:cs="Times New Roman"/>
                <w:b w:val="0"/>
                <w:bCs/>
                <w:color w:val="auto"/>
                <w:sz w:val="24"/>
                <w:szCs w:val="24"/>
                <w:lang w:eastAsia="zh-CN"/>
              </w:rPr>
              <w:t>（1）根据《省政府关于印发江苏省生态空间管控区域规划的通知》（苏政发〔2020〕1号），结合项目地理位置和金坛区生态红线区域保护规划图，本项目与最近的生态红线区域</w:t>
            </w:r>
            <w:r>
              <w:rPr>
                <w:rFonts w:hint="eastAsia" w:ascii="Times New Roman" w:hAnsi="Times New Roman" w:eastAsia="宋体" w:cs="Times New Roman"/>
                <w:color w:val="auto"/>
                <w:kern w:val="0"/>
                <w:sz w:val="24"/>
                <w:szCs w:val="24"/>
                <w:highlight w:val="none"/>
                <w:lang w:val="en-US" w:eastAsia="zh-CN"/>
              </w:rPr>
              <w:t>钱资荡</w:t>
            </w:r>
            <w:r>
              <w:rPr>
                <w:rFonts w:hint="default" w:ascii="Times New Roman" w:hAnsi="Times New Roman" w:eastAsia="宋体" w:cs="Times New Roman"/>
                <w:color w:val="auto"/>
                <w:kern w:val="0"/>
                <w:sz w:val="24"/>
                <w:szCs w:val="24"/>
                <w:highlight w:val="none"/>
              </w:rPr>
              <w:t>重要湿地</w:t>
            </w:r>
            <w:r>
              <w:rPr>
                <w:rFonts w:hint="eastAsia" w:cs="Times New Roman"/>
                <w:b w:val="0"/>
                <w:bCs/>
                <w:color w:val="auto"/>
                <w:sz w:val="24"/>
                <w:szCs w:val="24"/>
                <w:lang w:eastAsia="zh-CN"/>
              </w:rPr>
              <w:t>相距</w:t>
            </w:r>
            <w:r>
              <w:rPr>
                <w:rFonts w:hint="eastAsia" w:cs="Times New Roman"/>
                <w:b w:val="0"/>
                <w:bCs/>
                <w:color w:val="auto"/>
                <w:sz w:val="24"/>
                <w:szCs w:val="24"/>
                <w:lang w:val="en-US" w:eastAsia="zh-CN"/>
              </w:rPr>
              <w:t>约5.7k</w:t>
            </w:r>
            <w:r>
              <w:rPr>
                <w:rFonts w:hint="eastAsia" w:cs="Times New Roman"/>
                <w:b w:val="0"/>
                <w:bCs/>
                <w:color w:val="auto"/>
                <w:sz w:val="24"/>
                <w:szCs w:val="24"/>
                <w:lang w:eastAsia="zh-CN"/>
              </w:rPr>
              <w:t>m，不涉及生态红线一级、二级管控区，符合江苏省生态红线区域保护规划要求。</w:t>
            </w:r>
          </w:p>
          <w:p w14:paraId="1F35A582">
            <w:pPr>
              <w:keepNext w:val="0"/>
              <w:keepLines w:val="0"/>
              <w:pageBreakBefore w:val="0"/>
              <w:widowControl w:val="0"/>
              <w:kinsoku/>
              <w:wordWrap/>
              <w:overflowPunct/>
              <w:topLinePunct w:val="0"/>
              <w:bidi w:val="0"/>
              <w:snapToGrid w:val="0"/>
              <w:spacing w:line="480" w:lineRule="exact"/>
              <w:ind w:left="0" w:leftChars="0" w:firstLine="480" w:firstLineChars="200"/>
              <w:textAlignment w:val="auto"/>
              <w:rPr>
                <w:rFonts w:hint="eastAsia" w:cs="Times New Roman"/>
                <w:b w:val="0"/>
                <w:bCs/>
                <w:color w:val="auto"/>
                <w:sz w:val="24"/>
                <w:szCs w:val="24"/>
                <w:lang w:eastAsia="zh-CN"/>
              </w:rPr>
            </w:pPr>
            <w:r>
              <w:rPr>
                <w:rFonts w:hint="eastAsia" w:cs="Times New Roman"/>
                <w:b w:val="0"/>
                <w:bCs/>
                <w:color w:val="auto"/>
                <w:sz w:val="24"/>
                <w:szCs w:val="24"/>
                <w:lang w:eastAsia="zh-CN"/>
              </w:rPr>
              <w:t>（2）本项目位于江苏省常州市金坛区金坛经济开发区珠山路66号，</w:t>
            </w:r>
            <w:r>
              <w:rPr>
                <w:rFonts w:hint="eastAsia" w:cs="Times New Roman"/>
                <w:b w:val="0"/>
                <w:bCs/>
                <w:color w:val="auto"/>
                <w:sz w:val="24"/>
                <w:szCs w:val="24"/>
                <w:lang w:val="en-US" w:eastAsia="zh-CN"/>
              </w:rPr>
              <w:t>所在地</w:t>
            </w:r>
            <w:r>
              <w:rPr>
                <w:rFonts w:hint="eastAsia" w:cs="Times New Roman"/>
                <w:b w:val="0"/>
                <w:bCs/>
                <w:color w:val="auto"/>
                <w:sz w:val="24"/>
                <w:szCs w:val="24"/>
                <w:lang w:eastAsia="zh-CN"/>
              </w:rPr>
              <w:t>已取得</w:t>
            </w:r>
            <w:r>
              <w:rPr>
                <w:rFonts w:hint="eastAsia" w:cs="Times New Roman"/>
                <w:b w:val="0"/>
                <w:bCs/>
                <w:color w:val="auto"/>
                <w:sz w:val="24"/>
                <w:szCs w:val="24"/>
                <w:lang w:val="en-US" w:eastAsia="zh-CN"/>
              </w:rPr>
              <w:t>土地证</w:t>
            </w:r>
            <w:r>
              <w:rPr>
                <w:rFonts w:hint="eastAsia" w:cs="Times New Roman"/>
                <w:b w:val="0"/>
                <w:bCs/>
                <w:color w:val="auto"/>
                <w:sz w:val="24"/>
                <w:szCs w:val="24"/>
                <w:lang w:eastAsia="zh-CN"/>
              </w:rPr>
              <w:t>（</w:t>
            </w:r>
            <w:r>
              <w:rPr>
                <w:rFonts w:hint="eastAsia" w:cs="Times New Roman"/>
                <w:b w:val="0"/>
                <w:bCs/>
                <w:color w:val="auto"/>
                <w:sz w:val="24"/>
                <w:szCs w:val="24"/>
                <w:highlight w:val="none"/>
                <w:lang w:val="en-US" w:eastAsia="zh-CN"/>
              </w:rPr>
              <w:t>详见附件5</w:t>
            </w:r>
            <w:r>
              <w:rPr>
                <w:rFonts w:hint="eastAsia" w:cs="Times New Roman"/>
                <w:b w:val="0"/>
                <w:bCs/>
                <w:color w:val="auto"/>
                <w:sz w:val="24"/>
                <w:szCs w:val="24"/>
                <w:lang w:eastAsia="zh-CN"/>
              </w:rPr>
              <w:t>）。根据《</w:t>
            </w:r>
            <w:r>
              <w:rPr>
                <w:rFonts w:hint="eastAsia" w:cs="Times New Roman"/>
                <w:b w:val="0"/>
                <w:bCs/>
                <w:color w:val="auto"/>
                <w:sz w:val="24"/>
                <w:szCs w:val="24"/>
                <w:lang w:val="en-US" w:eastAsia="zh-CN"/>
              </w:rPr>
              <w:t>江苏金坛经济开发区控制性详细规划修改图</w:t>
            </w:r>
            <w:r>
              <w:rPr>
                <w:rFonts w:hint="eastAsia" w:cs="Times New Roman"/>
                <w:b w:val="0"/>
                <w:bCs/>
                <w:color w:val="auto"/>
                <w:sz w:val="24"/>
                <w:szCs w:val="24"/>
                <w:lang w:eastAsia="zh-CN"/>
              </w:rPr>
              <w:t>》（</w:t>
            </w:r>
            <w:r>
              <w:rPr>
                <w:rFonts w:hint="eastAsia" w:cs="Times New Roman"/>
                <w:b w:val="0"/>
                <w:bCs/>
                <w:color w:val="auto"/>
                <w:sz w:val="24"/>
                <w:szCs w:val="24"/>
                <w:highlight w:val="none"/>
                <w:lang w:val="en-US" w:eastAsia="zh-CN"/>
              </w:rPr>
              <w:t>详见附图4</w:t>
            </w:r>
            <w:r>
              <w:rPr>
                <w:rFonts w:hint="eastAsia" w:cs="Times New Roman"/>
                <w:b w:val="0"/>
                <w:bCs/>
                <w:color w:val="auto"/>
                <w:sz w:val="24"/>
                <w:szCs w:val="24"/>
                <w:lang w:eastAsia="zh-CN"/>
              </w:rPr>
              <w:t>），项目所在地规划为工业用地，其用地功能与规划用地性质相符。</w:t>
            </w:r>
          </w:p>
          <w:p w14:paraId="3C9C30DB">
            <w:pPr>
              <w:keepNext w:val="0"/>
              <w:keepLines w:val="0"/>
              <w:pageBreakBefore w:val="0"/>
              <w:widowControl w:val="0"/>
              <w:kinsoku/>
              <w:wordWrap/>
              <w:overflowPunct/>
              <w:topLinePunct w:val="0"/>
              <w:bidi w:val="0"/>
              <w:snapToGrid w:val="0"/>
              <w:spacing w:line="480" w:lineRule="exact"/>
              <w:ind w:left="0" w:leftChars="0" w:firstLine="480" w:firstLineChars="200"/>
              <w:textAlignment w:val="auto"/>
              <w:rPr>
                <w:rFonts w:hint="default" w:cs="Times New Roman"/>
                <w:b w:val="0"/>
                <w:bCs/>
                <w:color w:val="auto"/>
                <w:sz w:val="24"/>
                <w:szCs w:val="24"/>
                <w:lang w:val="en-US" w:eastAsia="zh-CN"/>
              </w:rPr>
            </w:pPr>
            <w:r>
              <w:rPr>
                <w:rFonts w:hint="eastAsia" w:cs="Times New Roman"/>
                <w:b w:val="0"/>
                <w:bCs/>
                <w:color w:val="auto"/>
                <w:sz w:val="24"/>
                <w:szCs w:val="24"/>
                <w:lang w:eastAsia="zh-CN"/>
              </w:rPr>
              <w:t>（</w:t>
            </w:r>
            <w:r>
              <w:rPr>
                <w:rFonts w:hint="eastAsia" w:cs="Times New Roman"/>
                <w:b w:val="0"/>
                <w:bCs/>
                <w:color w:val="auto"/>
                <w:sz w:val="24"/>
                <w:szCs w:val="24"/>
                <w:lang w:val="en-US" w:eastAsia="zh-CN"/>
              </w:rPr>
              <w:t>3</w:t>
            </w:r>
            <w:r>
              <w:rPr>
                <w:rFonts w:hint="eastAsia" w:cs="Times New Roman"/>
                <w:b w:val="0"/>
                <w:bCs/>
                <w:color w:val="auto"/>
                <w:sz w:val="24"/>
                <w:szCs w:val="24"/>
                <w:lang w:eastAsia="zh-CN"/>
              </w:rPr>
              <w:t>）</w:t>
            </w:r>
            <w:r>
              <w:rPr>
                <w:rFonts w:hint="eastAsia" w:cs="Times New Roman"/>
                <w:b w:val="0"/>
                <w:bCs/>
                <w:color w:val="auto"/>
                <w:sz w:val="24"/>
                <w:szCs w:val="24"/>
                <w:lang w:val="en-US" w:eastAsia="zh-CN"/>
              </w:rPr>
              <w:t>本项目卫生防护距离是以生产车间为边界外扩100米范围，项目卫生防护距离内无环境保护目标。</w:t>
            </w:r>
          </w:p>
          <w:p w14:paraId="6A6C0C31">
            <w:pPr>
              <w:keepNext w:val="0"/>
              <w:keepLines w:val="0"/>
              <w:pageBreakBefore w:val="0"/>
              <w:widowControl w:val="0"/>
              <w:kinsoku/>
              <w:wordWrap/>
              <w:overflowPunct/>
              <w:topLinePunct w:val="0"/>
              <w:bidi w:val="0"/>
              <w:snapToGrid w:val="0"/>
              <w:spacing w:line="480" w:lineRule="exact"/>
              <w:ind w:left="0" w:leftChars="0" w:firstLine="480" w:firstLineChars="200"/>
              <w:textAlignment w:val="auto"/>
              <w:rPr>
                <w:rFonts w:hint="eastAsia" w:ascii="Times New Roman" w:hAnsi="Times New Roman" w:eastAsia="宋体" w:cs="Times New Roman"/>
                <w:b/>
                <w:bCs w:val="0"/>
                <w:color w:val="auto"/>
                <w:sz w:val="24"/>
                <w:szCs w:val="24"/>
                <w:lang w:eastAsia="zh-CN"/>
              </w:rPr>
            </w:pPr>
            <w:r>
              <w:rPr>
                <w:rFonts w:hint="eastAsia" w:cs="Times New Roman"/>
                <w:b/>
                <w:bCs w:val="0"/>
                <w:color w:val="auto"/>
                <w:sz w:val="24"/>
                <w:szCs w:val="24"/>
                <w:lang w:val="en-US" w:eastAsia="zh-CN"/>
              </w:rPr>
              <w:t>3、</w:t>
            </w:r>
            <w:r>
              <w:rPr>
                <w:rFonts w:hint="eastAsia" w:cs="Times New Roman"/>
                <w:b/>
                <w:bCs w:val="0"/>
                <w:color w:val="auto"/>
                <w:sz w:val="24"/>
                <w:szCs w:val="24"/>
                <w:lang w:eastAsia="zh-CN"/>
              </w:rPr>
              <w:t>国土空间规划及“三区三线”相符性分析</w:t>
            </w:r>
          </w:p>
          <w:p w14:paraId="18AE1EF9">
            <w:pPr>
              <w:keepNext w:val="0"/>
              <w:keepLines w:val="0"/>
              <w:pageBreakBefore w:val="0"/>
              <w:widowControl w:val="0"/>
              <w:kinsoku/>
              <w:wordWrap/>
              <w:overflowPunct/>
              <w:topLinePunct w:val="0"/>
              <w:autoSpaceDE w:val="0"/>
              <w:autoSpaceDN w:val="0"/>
              <w:bidi w:val="0"/>
              <w:adjustRightInd w:val="0"/>
              <w:snapToGrid w:val="0"/>
              <w:spacing w:line="480" w:lineRule="exact"/>
              <w:ind w:left="0" w:leftChars="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国务院关于《江苏省国土空间规划（2021—2035年）》的批复（国函〔2023〕69号）、国务院关于《常州市国土空间总体规划（2021—2035年）》的批复（国函〔2025〕9号）、省政府关于溧阳市、金坛区、武进区、新北区、天宁区、钟楼区国土空间总体规划（2021－2035年）的批复（苏政复〔2025〕6号）。金坛区“三区三线”划定成果已正式启用，共划定耕地保护目标图斑31.3788万亩，永久基本农田28.264万亩，生态保护红线98.67平方公里，城镇开发边界115.67平方公里。</w:t>
            </w:r>
          </w:p>
          <w:p w14:paraId="009DAF8A">
            <w:pPr>
              <w:keepNext w:val="0"/>
              <w:keepLines w:val="0"/>
              <w:pageBreakBefore w:val="0"/>
              <w:widowControl w:val="0"/>
              <w:kinsoku/>
              <w:wordWrap/>
              <w:overflowPunct/>
              <w:topLinePunct w:val="0"/>
              <w:autoSpaceDE w:val="0"/>
              <w:autoSpaceDN w:val="0"/>
              <w:bidi w:val="0"/>
              <w:adjustRightInd w:val="0"/>
              <w:snapToGrid w:val="0"/>
              <w:spacing w:line="480" w:lineRule="exact"/>
              <w:ind w:left="0" w:leftChars="0" w:firstLine="480" w:firstLineChars="200"/>
              <w:textAlignment w:val="auto"/>
              <w:rPr>
                <w:rFonts w:hint="default" w:ascii="Times New Roman" w:hAnsi="Times New Roman" w:eastAsia="宋体" w:cs="Times New Roman"/>
                <w:b/>
                <w:color w:val="auto"/>
                <w:sz w:val="24"/>
                <w:szCs w:val="24"/>
                <w:lang w:val="en-US"/>
              </w:rPr>
            </w:pPr>
            <w:r>
              <w:rPr>
                <w:rFonts w:hint="eastAsia" w:ascii="Times New Roman" w:hAnsi="Times New Roman" w:eastAsia="宋体" w:cs="Times New Roman"/>
                <w:color w:val="auto"/>
                <w:sz w:val="24"/>
                <w:szCs w:val="24"/>
                <w:lang w:val="en-US" w:eastAsia="zh-CN"/>
              </w:rPr>
              <w:t>根据《常州市国土空间总体规划》（2021-2035年）</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highlight w:val="none"/>
                <w:lang w:val="en-US" w:eastAsia="zh-CN"/>
              </w:rPr>
              <w:t>详见附图</w:t>
            </w:r>
            <w:r>
              <w:rPr>
                <w:rFonts w:hint="eastAsia" w:cs="Times New Roman"/>
                <w:color w:val="auto"/>
                <w:sz w:val="24"/>
                <w:szCs w:val="24"/>
                <w:highlight w:val="none"/>
                <w:lang w:val="en-US" w:eastAsia="zh-CN"/>
              </w:rPr>
              <w:t>9</w:t>
            </w:r>
            <w:r>
              <w:rPr>
                <w:rFonts w:hint="eastAsia" w:cs="Times New Roman"/>
                <w:color w:val="auto"/>
                <w:sz w:val="24"/>
                <w:szCs w:val="24"/>
                <w:lang w:val="en-US" w:eastAsia="zh-CN"/>
              </w:rPr>
              <w:t>），本项目处于</w:t>
            </w:r>
            <w:r>
              <w:rPr>
                <w:rFonts w:hint="eastAsia" w:ascii="Times New Roman" w:hAnsi="Times New Roman" w:eastAsia="宋体" w:cs="Times New Roman"/>
                <w:color w:val="auto"/>
                <w:sz w:val="24"/>
                <w:szCs w:val="24"/>
                <w:lang w:val="en-US" w:eastAsia="zh-CN"/>
              </w:rPr>
              <w:t>城镇开发边界范围内。</w:t>
            </w:r>
          </w:p>
          <w:p w14:paraId="2FA499F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Chars="200"/>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4、“三线一单”相符性分析</w:t>
            </w:r>
          </w:p>
          <w:p w14:paraId="74FB25B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80" w:firstLineChars="200"/>
              <w:textAlignment w:val="auto"/>
              <w:rPr>
                <w:rFonts w:hint="eastAsia" w:cs="Times New Roman"/>
                <w:b/>
                <w:color w:val="auto"/>
                <w:sz w:val="24"/>
                <w:szCs w:val="24"/>
                <w:lang w:eastAsia="zh-CN"/>
              </w:rPr>
            </w:pPr>
            <w:r>
              <w:rPr>
                <w:rFonts w:hint="eastAsia" w:cs="Times New Roman"/>
                <w:b/>
                <w:color w:val="auto"/>
                <w:sz w:val="24"/>
                <w:szCs w:val="24"/>
                <w:lang w:val="en-US" w:eastAsia="zh-CN"/>
              </w:rPr>
              <w:t>（1）生态红线相符性分析</w:t>
            </w:r>
          </w:p>
          <w:p w14:paraId="57A67E2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80" w:firstLineChars="200"/>
              <w:textAlignment w:val="auto"/>
              <w:rPr>
                <w:rFonts w:hint="eastAsia" w:cs="Times New Roman"/>
                <w:b w:val="0"/>
                <w:bCs/>
                <w:color w:val="auto"/>
                <w:sz w:val="24"/>
                <w:szCs w:val="24"/>
                <w:lang w:eastAsia="zh-CN"/>
              </w:rPr>
            </w:pPr>
            <w:r>
              <w:rPr>
                <w:rFonts w:hint="eastAsia" w:cs="Times New Roman"/>
                <w:b w:val="0"/>
                <w:bCs/>
                <w:color w:val="auto"/>
                <w:sz w:val="24"/>
                <w:szCs w:val="24"/>
                <w:lang w:eastAsia="zh-CN"/>
              </w:rPr>
              <w:t>根据《省政府关于印发江苏省生态空间管控区域规划的通知》（苏政发〔2020〕1号），结合项目地理位置和金坛区生态红线区域保护规划图，本项目与最近的生态红线区域</w:t>
            </w:r>
            <w:r>
              <w:rPr>
                <w:rFonts w:hint="eastAsia" w:ascii="Times New Roman" w:hAnsi="Times New Roman" w:eastAsia="宋体" w:cs="Times New Roman"/>
                <w:color w:val="auto"/>
                <w:kern w:val="0"/>
                <w:sz w:val="24"/>
                <w:szCs w:val="24"/>
                <w:highlight w:val="none"/>
                <w:lang w:val="en-US" w:eastAsia="zh-CN"/>
              </w:rPr>
              <w:t>钱资荡</w:t>
            </w:r>
            <w:r>
              <w:rPr>
                <w:rFonts w:hint="default" w:ascii="Times New Roman" w:hAnsi="Times New Roman" w:eastAsia="宋体" w:cs="Times New Roman"/>
                <w:color w:val="auto"/>
                <w:kern w:val="0"/>
                <w:sz w:val="24"/>
                <w:szCs w:val="24"/>
                <w:highlight w:val="none"/>
              </w:rPr>
              <w:t>重要湿地</w:t>
            </w:r>
            <w:r>
              <w:rPr>
                <w:rFonts w:hint="eastAsia" w:cs="Times New Roman"/>
                <w:b w:val="0"/>
                <w:bCs/>
                <w:color w:val="auto"/>
                <w:sz w:val="24"/>
                <w:szCs w:val="24"/>
                <w:lang w:eastAsia="zh-CN"/>
              </w:rPr>
              <w:t>相距</w:t>
            </w:r>
            <w:r>
              <w:rPr>
                <w:rFonts w:hint="eastAsia" w:cs="Times New Roman"/>
                <w:b w:val="0"/>
                <w:bCs/>
                <w:color w:val="auto"/>
                <w:sz w:val="24"/>
                <w:szCs w:val="24"/>
                <w:lang w:val="en-US" w:eastAsia="zh-CN"/>
              </w:rPr>
              <w:t>5.7k</w:t>
            </w:r>
            <w:r>
              <w:rPr>
                <w:rFonts w:hint="eastAsia" w:cs="Times New Roman"/>
                <w:b w:val="0"/>
                <w:bCs/>
                <w:color w:val="auto"/>
                <w:sz w:val="24"/>
                <w:szCs w:val="24"/>
                <w:lang w:eastAsia="zh-CN"/>
              </w:rPr>
              <w:t>m，不涉及生态红线一级、二级管控区，符合江苏省生态红线区域保护规划要求。</w:t>
            </w:r>
          </w:p>
          <w:p w14:paraId="28A07D9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80" w:firstLineChars="200"/>
              <w:textAlignment w:val="auto"/>
              <w:rPr>
                <w:rFonts w:hint="eastAsia" w:ascii="Times New Roman" w:hAnsi="Times New Roman" w:eastAsia="宋体" w:cs="Times New Roman"/>
                <w:b/>
                <w:bCs w:val="0"/>
                <w:color w:val="auto"/>
                <w:sz w:val="24"/>
                <w:szCs w:val="24"/>
                <w:lang w:eastAsia="zh-CN"/>
              </w:rPr>
            </w:pPr>
            <w:r>
              <w:rPr>
                <w:rFonts w:hint="eastAsia" w:ascii="Times New Roman" w:hAnsi="Times New Roman" w:eastAsia="宋体" w:cs="Times New Roman"/>
                <w:b/>
                <w:bCs w:val="0"/>
                <w:color w:val="auto"/>
                <w:sz w:val="24"/>
                <w:szCs w:val="24"/>
                <w:lang w:eastAsia="zh-CN"/>
              </w:rPr>
              <w:t>（</w:t>
            </w:r>
            <w:r>
              <w:rPr>
                <w:rFonts w:hint="eastAsia" w:ascii="Times New Roman" w:hAnsi="Times New Roman" w:eastAsia="宋体" w:cs="Times New Roman"/>
                <w:b/>
                <w:bCs w:val="0"/>
                <w:color w:val="auto"/>
                <w:sz w:val="24"/>
                <w:szCs w:val="24"/>
                <w:lang w:val="en-US" w:eastAsia="zh-CN"/>
              </w:rPr>
              <w:t>2</w:t>
            </w:r>
            <w:r>
              <w:rPr>
                <w:rFonts w:hint="eastAsia" w:ascii="Times New Roman" w:hAnsi="Times New Roman" w:eastAsia="宋体" w:cs="Times New Roman"/>
                <w:b/>
                <w:bCs w:val="0"/>
                <w:color w:val="auto"/>
                <w:sz w:val="24"/>
                <w:szCs w:val="24"/>
                <w:lang w:eastAsia="zh-CN"/>
              </w:rPr>
              <w:t>）与环境质量底线相符性分析</w:t>
            </w:r>
          </w:p>
          <w:p w14:paraId="7401F3A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80" w:firstLineChars="200"/>
              <w:textAlignment w:val="auto"/>
              <w:rPr>
                <w:rFonts w:hint="eastAsia" w:ascii="Times New Roman" w:hAnsi="Times New Roman" w:eastAsia="宋体" w:cs="Times New Roman"/>
                <w:b w:val="0"/>
                <w:bCs/>
                <w:color w:val="auto"/>
                <w:sz w:val="24"/>
                <w:szCs w:val="24"/>
                <w:lang w:eastAsia="zh-CN"/>
              </w:rPr>
            </w:pPr>
            <w:r>
              <w:rPr>
                <w:rFonts w:hint="eastAsia" w:ascii="Times New Roman" w:hAnsi="Times New Roman" w:eastAsia="宋体" w:cs="Times New Roman"/>
                <w:b w:val="0"/>
                <w:bCs/>
                <w:color w:val="auto"/>
                <w:sz w:val="24"/>
                <w:szCs w:val="24"/>
                <w:lang w:eastAsia="zh-CN"/>
              </w:rPr>
              <w:t>根据《2024年常州市生态环境质量状况公报》，大气污染防治取得历史性成效。全年环境空气质量综合指数为3.82，同比下降6.8%。全年PM2.5浓度32.6微克/立方米，PM2.5浓度同比改善5.0%，连续三年达到国家二级标准，绝对值历史最低；优良天数比率79.8%，同比改善2.3个百分点，达到近三年最优水平，也是全省唯一一个连续三年持续提升的城市；PM10浓度53微克/立方米，同比下降10.2%；二氧化氮浓度27微克/立方米，同比下降12.9%；臭氧浓度168微克/立方米，同比下降4.5%；5项环境空气质量主要指标全部取得改善。</w:t>
            </w:r>
          </w:p>
          <w:p w14:paraId="63EFB6F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80" w:firstLineChars="200"/>
              <w:textAlignment w:val="auto"/>
              <w:rPr>
                <w:rFonts w:hint="eastAsia" w:ascii="Times New Roman" w:hAnsi="Times New Roman" w:eastAsia="宋体" w:cs="Times New Roman"/>
                <w:b w:val="0"/>
                <w:bCs/>
                <w:color w:val="auto"/>
                <w:sz w:val="24"/>
                <w:szCs w:val="24"/>
                <w:lang w:eastAsia="zh-CN"/>
              </w:rPr>
            </w:pPr>
            <w:r>
              <w:rPr>
                <w:rFonts w:hint="eastAsia" w:ascii="Times New Roman" w:hAnsi="Times New Roman" w:eastAsia="宋体" w:cs="Times New Roman"/>
                <w:b w:val="0"/>
                <w:bCs/>
                <w:color w:val="auto"/>
                <w:sz w:val="24"/>
                <w:szCs w:val="24"/>
                <w:lang w:eastAsia="zh-CN"/>
              </w:rPr>
              <w:t>水环境质量持续改善。20个国考断面中，17个水质达到Ⅲ类及以上，占比85%，51个省考断面中，48个水质达到Ⅲ类及以上，占比94.1%，均完成省定年度目标。全市河流断面水质持续全面达到Ⅲ类；太湖入湖河道通量最大的百渎港总磷同比下降17.6%。太湖水质自2007年蓝藻事件以来首次达Ⅲ、重回“良好”湖泊，其中太湖常州水域总磷同比改善24%，对全湖总磷改善幅度贡献率达182%，位列环湖城市第一；长荡湖水质稳定达到Ⅳ类，水生植物覆盖度达38.4%，由“藻型湖”逐步向“草型湖”转变；滆湖常州水域水质首次达到Ⅳ类，总磷同比改善27.9%，营养状态从“中度”改善至“轻度”。全市集中式饮用水源地水质总体状况良好，魏村、沙河水库、大溪水库等5个集中式饮用水源地水质均达到或优于Ⅲ类水标准。</w:t>
            </w:r>
          </w:p>
          <w:p w14:paraId="4D3A86F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80" w:firstLineChars="200"/>
              <w:textAlignment w:val="auto"/>
              <w:rPr>
                <w:rFonts w:hint="eastAsia" w:ascii="Times New Roman" w:hAnsi="Times New Roman" w:eastAsia="宋体" w:cs="Times New Roman"/>
                <w:b w:val="0"/>
                <w:bCs/>
                <w:color w:val="auto"/>
                <w:sz w:val="24"/>
                <w:szCs w:val="24"/>
                <w:lang w:eastAsia="zh-CN"/>
              </w:rPr>
            </w:pPr>
            <w:r>
              <w:rPr>
                <w:rFonts w:hint="eastAsia" w:ascii="Times New Roman" w:hAnsi="Times New Roman" w:eastAsia="宋体" w:cs="Times New Roman"/>
                <w:b w:val="0"/>
                <w:bCs/>
                <w:color w:val="auto"/>
                <w:sz w:val="24"/>
                <w:szCs w:val="24"/>
                <w:lang w:eastAsia="zh-CN"/>
              </w:rPr>
              <w:t>土壤环境质量总体状况较稳定。2024年常州市对7个国家网土壤环境一般风险点位开展监测，总达标率为85.7%。</w:t>
            </w:r>
          </w:p>
          <w:p w14:paraId="3DA2004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80" w:firstLineChars="200"/>
              <w:textAlignment w:val="auto"/>
              <w:rPr>
                <w:rFonts w:hint="eastAsia" w:ascii="Times New Roman" w:hAnsi="Times New Roman" w:eastAsia="宋体" w:cs="Times New Roman"/>
                <w:b w:val="0"/>
                <w:bCs/>
                <w:color w:val="auto"/>
                <w:sz w:val="24"/>
                <w:szCs w:val="24"/>
                <w:lang w:eastAsia="zh-CN"/>
              </w:rPr>
            </w:pPr>
            <w:r>
              <w:rPr>
                <w:rFonts w:hint="eastAsia" w:ascii="Times New Roman" w:hAnsi="Times New Roman" w:eastAsia="宋体" w:cs="Times New Roman"/>
                <w:b w:val="0"/>
                <w:bCs/>
                <w:color w:val="auto"/>
                <w:sz w:val="24"/>
                <w:szCs w:val="24"/>
                <w:lang w:eastAsia="zh-CN"/>
              </w:rPr>
              <w:t>2024年，常州市声环境质量总体处于较好水平；电离辐射水平未有异常变化，空气及土壤中的放射性水平保持在天然本底范围内；全市农村环境空气质量日均值达标率80.3%，64条农村黑臭水体完成整治，基本消除农村较大面积黑臭水体。全市的生态环境状况指数为55.98，属于“二类”生态质量地区。</w:t>
            </w:r>
          </w:p>
          <w:p w14:paraId="37DC822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80" w:firstLineChars="200"/>
              <w:textAlignment w:val="auto"/>
              <w:rPr>
                <w:rFonts w:hint="eastAsia" w:ascii="Times New Roman" w:hAnsi="Times New Roman" w:eastAsia="宋体" w:cs="Times New Roman"/>
                <w:b w:val="0"/>
                <w:bCs/>
                <w:color w:val="auto"/>
                <w:sz w:val="24"/>
                <w:szCs w:val="24"/>
                <w:lang w:eastAsia="zh-CN"/>
              </w:rPr>
            </w:pPr>
            <w:r>
              <w:rPr>
                <w:rFonts w:hint="eastAsia" w:ascii="Times New Roman" w:hAnsi="Times New Roman" w:eastAsia="宋体" w:cs="Times New Roman"/>
                <w:b w:val="0"/>
                <w:bCs/>
                <w:color w:val="auto"/>
                <w:sz w:val="24"/>
                <w:szCs w:val="24"/>
                <w:lang w:eastAsia="zh-CN"/>
              </w:rPr>
              <w:t>经多年引导培育，全市已经形成资源化利用优先、无害化处置托底的危险废物处置体系。截至2024年底，全市危险废物经营许可单位75家，经营范围涉及《国家危险废物名录》46大类中的39种，利用处置能力超250万吨/年，满足处置需求。</w:t>
            </w:r>
          </w:p>
          <w:p w14:paraId="75303B24">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环境空气：</w:t>
            </w:r>
            <w:r>
              <w:rPr>
                <w:rFonts w:hint="default" w:ascii="Times New Roman" w:hAnsi="Times New Roman" w:eastAsia="宋体" w:cs="Times New Roman"/>
                <w:color w:val="auto"/>
                <w:sz w:val="24"/>
                <w:szCs w:val="24"/>
                <w:lang w:val="en-US" w:eastAsia="zh-CN"/>
              </w:rPr>
              <w:t>2024</w:t>
            </w:r>
            <w:r>
              <w:rPr>
                <w:rFonts w:hint="default" w:ascii="Times New Roman" w:hAnsi="Times New Roman" w:eastAsia="宋体" w:cs="Times New Roman"/>
                <w:color w:val="auto"/>
                <w:sz w:val="24"/>
                <w:szCs w:val="24"/>
              </w:rPr>
              <w:t>年常州市环境空气中SO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年平均值及SO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日平均值均满足《环境空气质量标准》（GB3095-2012）中二级标准，NO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lang w:val="en-US" w:eastAsia="zh-CN"/>
              </w:rPr>
              <w:t>日平均值浓度达标率满足评价要求；</w:t>
            </w:r>
            <w:r>
              <w:rPr>
                <w:rFonts w:hint="default" w:ascii="Times New Roman" w:hAnsi="Times New Roman" w:eastAsia="宋体" w:cs="Times New Roman"/>
                <w:color w:val="auto"/>
                <w:sz w:val="24"/>
                <w:szCs w:val="24"/>
              </w:rPr>
              <w:t>CO的日均值的第95百分位数及日平均值浓度范围满足《环境空气质量标准》（GB3095-2012）中二级标准，PM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日均值</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日最大8小时滑动平均值的第90百分位数</w:t>
            </w:r>
            <w:r>
              <w:rPr>
                <w:rFonts w:hint="default" w:ascii="Times New Roman" w:hAnsi="Times New Roman" w:eastAsia="宋体" w:cs="Times New Roman"/>
                <w:color w:val="auto"/>
                <w:sz w:val="24"/>
                <w:szCs w:val="24"/>
                <w:lang w:val="en-US" w:eastAsia="zh-CN"/>
              </w:rPr>
              <w:t>及日平均值浓度范围</w:t>
            </w:r>
            <w:r>
              <w:rPr>
                <w:rFonts w:hint="default" w:ascii="Times New Roman" w:hAnsi="Times New Roman" w:eastAsia="宋体" w:cs="Times New Roman"/>
                <w:color w:val="auto"/>
                <w:sz w:val="24"/>
                <w:szCs w:val="24"/>
              </w:rPr>
              <w:t>超过《环境空气质量标准》（GB3095-2012）中二级标准，因此判定为非达标区域</w:t>
            </w:r>
            <w:r>
              <w:rPr>
                <w:rFonts w:hint="default" w:ascii="Times New Roman" w:hAnsi="Times New Roman" w:eastAsia="宋体" w:cs="Times New Roman"/>
                <w:color w:val="auto"/>
                <w:sz w:val="24"/>
                <w:szCs w:val="24"/>
                <w:lang w:eastAsia="zh-CN"/>
              </w:rPr>
              <w:t>。</w:t>
            </w:r>
          </w:p>
          <w:p w14:paraId="367C7C83">
            <w:pPr>
              <w:pStyle w:val="35"/>
              <w:keepNext w:val="0"/>
              <w:keepLines w:val="0"/>
              <w:pageBreakBefore w:val="0"/>
              <w:widowControl w:val="0"/>
              <w:kinsoku/>
              <w:wordWrap/>
              <w:overflowPunct/>
              <w:topLinePunct w:val="0"/>
              <w:bidi w:val="0"/>
              <w:spacing w:after="0" w:line="480" w:lineRule="exact"/>
              <w:ind w:firstLine="480" w:firstLineChars="200"/>
              <w:jc w:val="both"/>
              <w:textAlignment w:val="auto"/>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b w:val="0"/>
                <w:bCs/>
                <w:color w:val="auto"/>
                <w:sz w:val="24"/>
                <w:szCs w:val="24"/>
              </w:rPr>
              <w:t>根据《常州市空气质量持续改善行动计划实施方案》（常政发〔2024〕51号），通过调整优化产业结构、推进能源高效利用、加强面源污染治理、强化协同减排、健全大气环境管理体系等污染防治措施，大气环境质量状况可以得到进一步改善</w:t>
            </w:r>
            <w:r>
              <w:rPr>
                <w:rFonts w:hint="default" w:ascii="Times New Roman" w:hAnsi="Times New Roman" w:eastAsia="宋体" w:cs="Times New Roman"/>
                <w:b w:val="0"/>
                <w:bCs/>
                <w:color w:val="auto"/>
                <w:sz w:val="24"/>
                <w:szCs w:val="24"/>
                <w:lang w:eastAsia="zh-CN"/>
              </w:rPr>
              <w:t>。</w:t>
            </w:r>
          </w:p>
          <w:p w14:paraId="0F46EA62">
            <w:pPr>
              <w:pStyle w:val="35"/>
              <w:keepNext w:val="0"/>
              <w:keepLines w:val="0"/>
              <w:pageBreakBefore w:val="0"/>
              <w:widowControl w:val="0"/>
              <w:kinsoku/>
              <w:wordWrap/>
              <w:overflowPunct/>
              <w:topLinePunct w:val="0"/>
              <w:bidi w:val="0"/>
              <w:spacing w:after="0" w:line="48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val="0"/>
                <w:bCs/>
                <w:color w:val="auto"/>
                <w:sz w:val="24"/>
                <w:szCs w:val="24"/>
              </w:rPr>
              <w:t>水环境：本项目污水受纳水体尧塘河2个断面各监测因子均能满足《地表水环境质量标准》（GB3838-2002）III类水标准要求。</w:t>
            </w:r>
          </w:p>
          <w:p w14:paraId="2BBBBC2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80" w:firstLineChars="20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声环境：本项目所在区域声环境质量现状划分为《声环境质量标准》（GB3096-2008）中</w:t>
            </w:r>
            <w:r>
              <w:rPr>
                <w:rFonts w:hint="default" w:ascii="Times New Roman" w:hAnsi="Times New Roman" w:eastAsia="宋体" w:cs="Times New Roman"/>
                <w:b w:val="0"/>
                <w:bCs/>
                <w:color w:val="auto"/>
                <w:sz w:val="24"/>
                <w:szCs w:val="24"/>
                <w:lang w:val="en-US" w:eastAsia="zh-CN"/>
              </w:rPr>
              <w:t>2</w:t>
            </w:r>
            <w:r>
              <w:rPr>
                <w:rFonts w:hint="default" w:ascii="Times New Roman" w:hAnsi="Times New Roman" w:eastAsia="宋体" w:cs="Times New Roman"/>
                <w:b w:val="0"/>
                <w:bCs/>
                <w:color w:val="auto"/>
                <w:sz w:val="24"/>
                <w:szCs w:val="24"/>
              </w:rPr>
              <w:t>类标准。</w:t>
            </w:r>
          </w:p>
          <w:p w14:paraId="48537BC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80" w:firstLineChars="200"/>
              <w:textAlignment w:val="auto"/>
              <w:rPr>
                <w:rFonts w:hint="eastAsia" w:ascii="Times New Roman" w:hAnsi="Times New Roman" w:eastAsia="宋体" w:cs="Times New Roman"/>
                <w:b w:val="0"/>
                <w:bCs/>
                <w:color w:val="auto"/>
                <w:sz w:val="24"/>
                <w:szCs w:val="24"/>
                <w:lang w:eastAsia="zh-CN"/>
              </w:rPr>
            </w:pPr>
            <w:r>
              <w:rPr>
                <w:rFonts w:hint="eastAsia" w:ascii="Times New Roman" w:hAnsi="Times New Roman" w:eastAsia="宋体" w:cs="Times New Roman"/>
                <w:bCs/>
                <w:color w:val="auto"/>
                <w:sz w:val="24"/>
                <w:highlight w:val="none"/>
                <w:lang w:val="en-US" w:eastAsia="zh-CN"/>
              </w:rPr>
              <w:t>本项目</w:t>
            </w:r>
            <w:r>
              <w:rPr>
                <w:rFonts w:hint="default" w:ascii="Times New Roman" w:hAnsi="Times New Roman" w:eastAsia="宋体" w:cs="Times New Roman"/>
                <w:bCs/>
                <w:color w:val="auto"/>
                <w:sz w:val="24"/>
                <w:highlight w:val="none"/>
                <w:lang w:val="en-US" w:eastAsia="zh-CN"/>
              </w:rPr>
              <w:t>特征因子非甲烷总烃</w:t>
            </w:r>
            <w:r>
              <w:rPr>
                <w:rFonts w:hint="eastAsia" w:ascii="Times New Roman" w:hAnsi="Times New Roman" w:eastAsia="宋体" w:cs="Times New Roman"/>
                <w:bCs/>
                <w:color w:val="auto"/>
                <w:sz w:val="24"/>
                <w:highlight w:val="none"/>
                <w:lang w:val="en-US" w:eastAsia="zh-CN"/>
              </w:rPr>
              <w:t>引用数据</w:t>
            </w:r>
            <w:r>
              <w:rPr>
                <w:rFonts w:hint="default" w:ascii="Times New Roman" w:hAnsi="Times New Roman" w:eastAsia="宋体" w:cs="Times New Roman"/>
                <w:bCs/>
                <w:color w:val="auto"/>
                <w:sz w:val="24"/>
                <w:highlight w:val="none"/>
                <w:lang w:val="en-US" w:eastAsia="zh-CN"/>
              </w:rPr>
              <w:t>符合</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大气污染物综合排放标准详解</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标准</w:t>
            </w:r>
            <w:r>
              <w:rPr>
                <w:rFonts w:hint="default" w:ascii="Times New Roman" w:hAnsi="Times New Roman" w:eastAsia="宋体" w:cs="Times New Roman"/>
                <w:color w:val="auto"/>
                <w:sz w:val="24"/>
                <w:szCs w:val="22"/>
                <w:lang w:val="en-US" w:eastAsia="zh-CN"/>
              </w:rPr>
              <w:t>，满足项目所在地区的环境功能区划要求。</w:t>
            </w:r>
            <w:r>
              <w:rPr>
                <w:rFonts w:hint="eastAsia" w:ascii="Times New Roman" w:hAnsi="Times New Roman" w:eastAsia="宋体" w:cs="Times New Roman"/>
                <w:b w:val="0"/>
                <w:bCs/>
                <w:color w:val="auto"/>
                <w:sz w:val="24"/>
                <w:szCs w:val="24"/>
                <w:lang w:eastAsia="zh-CN"/>
              </w:rPr>
              <w:t>本项目建成后采取严格的污染防治措施，废水、</w:t>
            </w:r>
            <w:r>
              <w:rPr>
                <w:rFonts w:hint="eastAsia" w:cs="Times New Roman"/>
                <w:b w:val="0"/>
                <w:bCs/>
                <w:color w:val="auto"/>
                <w:sz w:val="24"/>
                <w:szCs w:val="24"/>
                <w:lang w:val="en-US" w:eastAsia="zh-CN"/>
              </w:rPr>
              <w:t>废气、</w:t>
            </w:r>
            <w:r>
              <w:rPr>
                <w:rFonts w:hint="eastAsia" w:ascii="Times New Roman" w:hAnsi="Times New Roman" w:eastAsia="宋体" w:cs="Times New Roman"/>
                <w:b w:val="0"/>
                <w:bCs/>
                <w:color w:val="auto"/>
                <w:sz w:val="24"/>
                <w:szCs w:val="24"/>
                <w:lang w:eastAsia="zh-CN"/>
              </w:rPr>
              <w:t>厂界噪声均可达标排放，固废合理处置，不会使区域环境质量恶化。因此，本项目的建设符合环境质量底线要求。</w:t>
            </w:r>
          </w:p>
          <w:p w14:paraId="4709479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80" w:firstLineChars="200"/>
              <w:textAlignment w:val="auto"/>
              <w:rPr>
                <w:rFonts w:hint="eastAsia" w:ascii="Times New Roman" w:hAnsi="Times New Roman" w:eastAsia="宋体" w:cs="Times New Roman"/>
                <w:b/>
                <w:color w:val="auto"/>
                <w:sz w:val="24"/>
                <w:szCs w:val="24"/>
                <w:lang w:eastAsia="zh-CN"/>
              </w:rPr>
            </w:pPr>
            <w:r>
              <w:rPr>
                <w:rFonts w:hint="eastAsia" w:ascii="Times New Roman" w:hAnsi="Times New Roman" w:eastAsia="宋体" w:cs="Times New Roman"/>
                <w:b/>
                <w:color w:val="auto"/>
                <w:sz w:val="24"/>
                <w:szCs w:val="24"/>
                <w:lang w:eastAsia="zh-CN"/>
              </w:rPr>
              <w:t>（</w:t>
            </w:r>
            <w:r>
              <w:rPr>
                <w:rFonts w:hint="eastAsia" w:ascii="Times New Roman" w:hAnsi="Times New Roman" w:eastAsia="宋体" w:cs="Times New Roman"/>
                <w:b/>
                <w:color w:val="auto"/>
                <w:sz w:val="24"/>
                <w:szCs w:val="24"/>
                <w:lang w:val="en-US" w:eastAsia="zh-CN"/>
              </w:rPr>
              <w:t>3</w:t>
            </w:r>
            <w:r>
              <w:rPr>
                <w:rFonts w:hint="eastAsia" w:ascii="Times New Roman" w:hAnsi="Times New Roman" w:eastAsia="宋体" w:cs="Times New Roman"/>
                <w:b/>
                <w:color w:val="auto"/>
                <w:sz w:val="24"/>
                <w:szCs w:val="24"/>
                <w:lang w:eastAsia="zh-CN"/>
              </w:rPr>
              <w:t>）资源利用上线相符性</w:t>
            </w:r>
          </w:p>
          <w:p w14:paraId="0B22D6A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80" w:firstLineChars="200"/>
              <w:textAlignment w:val="auto"/>
              <w:rPr>
                <w:rFonts w:hint="eastAsia" w:ascii="Times New Roman" w:hAnsi="Times New Roman" w:eastAsia="宋体" w:cs="Times New Roman"/>
                <w:b w:val="0"/>
                <w:bCs/>
                <w:color w:val="auto"/>
                <w:sz w:val="24"/>
                <w:szCs w:val="24"/>
                <w:lang w:eastAsia="zh-CN"/>
              </w:rPr>
            </w:pPr>
            <w:r>
              <w:rPr>
                <w:rFonts w:hint="eastAsia" w:ascii="Times New Roman" w:hAnsi="Times New Roman" w:eastAsia="宋体" w:cs="Times New Roman"/>
                <w:b w:val="0"/>
                <w:bCs/>
                <w:color w:val="auto"/>
                <w:sz w:val="24"/>
                <w:szCs w:val="24"/>
                <w:lang w:eastAsia="zh-CN"/>
              </w:rPr>
              <w:t>本项目用水来自市政供水管网，用电由市政供电管网提供，项目用地为工业用地，符合当地土地规划要求，项目资源消耗量相对区域资源利用总量较少，符合资源利用上线要求。</w:t>
            </w:r>
          </w:p>
          <w:p w14:paraId="544CC758">
            <w:pPr>
              <w:adjustRightInd w:val="0"/>
              <w:snapToGrid w:val="0"/>
              <w:spacing w:line="500" w:lineRule="exact"/>
              <w:ind w:firstLine="480"/>
              <w:rPr>
                <w:rFonts w:hint="default" w:ascii="Times New Roman" w:hAnsi="Times New Roman" w:eastAsia="宋体" w:cs="Times New Roman"/>
                <w:color w:val="auto"/>
                <w:kern w:val="0"/>
                <w:sz w:val="24"/>
                <w:szCs w:val="24"/>
                <w:highlight w:val="none"/>
              </w:rPr>
            </w:pPr>
            <w:r>
              <w:rPr>
                <w:rFonts w:hint="eastAsia" w:ascii="Times New Roman" w:hAnsi="Times New Roman" w:eastAsia="宋体" w:cs="Times New Roman"/>
                <w:b/>
                <w:color w:val="auto"/>
                <w:sz w:val="24"/>
                <w:szCs w:val="24"/>
                <w:lang w:eastAsia="zh-CN"/>
              </w:rPr>
              <w:t>（</w:t>
            </w:r>
            <w:r>
              <w:rPr>
                <w:rFonts w:hint="eastAsia" w:ascii="Times New Roman" w:hAnsi="Times New Roman" w:eastAsia="宋体" w:cs="Times New Roman"/>
                <w:b/>
                <w:bCs w:val="0"/>
                <w:color w:val="auto"/>
                <w:sz w:val="24"/>
                <w:szCs w:val="24"/>
                <w:lang w:val="en-US" w:eastAsia="zh-CN"/>
              </w:rPr>
              <w:t>4</w:t>
            </w:r>
            <w:r>
              <w:rPr>
                <w:rFonts w:hint="eastAsia" w:ascii="Times New Roman" w:hAnsi="Times New Roman" w:eastAsia="宋体" w:cs="Times New Roman"/>
                <w:b/>
                <w:bCs w:val="0"/>
                <w:color w:val="auto"/>
                <w:sz w:val="24"/>
                <w:szCs w:val="24"/>
                <w:lang w:eastAsia="zh-CN"/>
              </w:rPr>
              <w:t>）</w:t>
            </w:r>
            <w:r>
              <w:rPr>
                <w:rFonts w:hint="default" w:ascii="Times New Roman" w:hAnsi="Times New Roman" w:eastAsia="宋体" w:cs="Times New Roman"/>
                <w:b/>
                <w:bCs w:val="0"/>
                <w:color w:val="auto"/>
                <w:kern w:val="0"/>
                <w:sz w:val="24"/>
                <w:szCs w:val="24"/>
                <w:highlight w:val="none"/>
              </w:rPr>
              <w:t>生态环境准入清单</w:t>
            </w:r>
          </w:p>
          <w:p w14:paraId="6B89DB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表1-</w:t>
            </w:r>
            <w:r>
              <w:rPr>
                <w:rFonts w:hint="eastAsia" w:ascii="Times New Roman" w:hAnsi="Times New Roman" w:eastAsia="宋体" w:cs="Times New Roman"/>
                <w:b/>
                <w:bCs/>
                <w:color w:val="auto"/>
                <w:kern w:val="0"/>
                <w:sz w:val="21"/>
                <w:szCs w:val="21"/>
                <w:highlight w:val="none"/>
                <w:lang w:val="en-US" w:eastAsia="zh-CN"/>
              </w:rPr>
              <w:t>5</w:t>
            </w:r>
            <w:r>
              <w:rPr>
                <w:rFonts w:hint="eastAsia" w:ascii="Times New Roman" w:hAnsi="Times New Roman" w:eastAsia="宋体" w:cs="Times New Roman"/>
                <w:b/>
                <w:bCs/>
                <w:color w:val="auto"/>
                <w:kern w:val="0"/>
                <w:sz w:val="21"/>
                <w:szCs w:val="21"/>
                <w:highlight w:val="none"/>
              </w:rPr>
              <w:t xml:space="preserve"> </w:t>
            </w:r>
            <w:r>
              <w:rPr>
                <w:rFonts w:hint="default" w:ascii="Times New Roman" w:hAnsi="Times New Roman" w:eastAsia="宋体" w:cs="Times New Roman"/>
                <w:b/>
                <w:bCs/>
                <w:color w:val="auto"/>
                <w:kern w:val="0"/>
                <w:sz w:val="21"/>
                <w:szCs w:val="21"/>
                <w:highlight w:val="none"/>
              </w:rPr>
              <w:t>项目与国家及地方产业政策相符性分析</w:t>
            </w:r>
          </w:p>
          <w:tbl>
            <w:tblPr>
              <w:tblStyle w:val="17"/>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28"/>
              <w:gridCol w:w="2454"/>
              <w:gridCol w:w="4901"/>
              <w:gridCol w:w="1275"/>
            </w:tblGrid>
            <w:tr w14:paraId="1C8429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9" w:type="pct"/>
                  <w:noWrap w:val="0"/>
                  <w:vAlign w:val="center"/>
                </w:tcPr>
                <w:p w14:paraId="35F4A858">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序号</w:t>
                  </w:r>
                </w:p>
              </w:tc>
              <w:tc>
                <w:tcPr>
                  <w:tcW w:w="1325" w:type="pct"/>
                  <w:noWrap w:val="0"/>
                  <w:vAlign w:val="center"/>
                </w:tcPr>
                <w:p w14:paraId="6D40A3F7">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内容</w:t>
                  </w:r>
                </w:p>
              </w:tc>
              <w:tc>
                <w:tcPr>
                  <w:tcW w:w="2646" w:type="pct"/>
                  <w:noWrap w:val="0"/>
                  <w:vAlign w:val="center"/>
                </w:tcPr>
                <w:p w14:paraId="203D80C7">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相关性分析</w:t>
                  </w:r>
                </w:p>
              </w:tc>
              <w:tc>
                <w:tcPr>
                  <w:tcW w:w="688" w:type="pct"/>
                  <w:noWrap w:val="0"/>
                  <w:vAlign w:val="center"/>
                </w:tcPr>
                <w:p w14:paraId="690F7349">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相符性</w:t>
                  </w:r>
                </w:p>
              </w:tc>
            </w:tr>
            <w:tr w14:paraId="14E49B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9" w:type="pct"/>
                  <w:noWrap w:val="0"/>
                  <w:vAlign w:val="center"/>
                </w:tcPr>
                <w:p w14:paraId="488D8E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325" w:type="pct"/>
                  <w:noWrap w:val="0"/>
                  <w:vAlign w:val="center"/>
                </w:tcPr>
                <w:p w14:paraId="600CD5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《产业结构调整指导目录》（20</w:t>
                  </w:r>
                  <w:r>
                    <w:rPr>
                      <w:rFonts w:hint="eastAsia" w:ascii="Times New Roman" w:hAnsi="Times New Roman" w:eastAsia="宋体"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lang w:val="en-US" w:eastAsia="zh-CN"/>
                    </w:rPr>
                    <w:t>年本）</w:t>
                  </w:r>
                </w:p>
              </w:tc>
              <w:tc>
                <w:tcPr>
                  <w:tcW w:w="2646" w:type="pct"/>
                  <w:noWrap w:val="0"/>
                  <w:vAlign w:val="center"/>
                </w:tcPr>
                <w:p w14:paraId="14F6A0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本项目属于</w:t>
                  </w:r>
                  <w:r>
                    <w:rPr>
                      <w:rFonts w:hint="default" w:ascii="Times New Roman" w:hAnsi="Times New Roman" w:eastAsia="宋体" w:cs="Times New Roman"/>
                      <w:color w:val="auto"/>
                      <w:szCs w:val="21"/>
                      <w:lang w:val="en-US" w:eastAsia="zh-CN"/>
                    </w:rPr>
                    <w:t>[C2929]塑料零件及其他塑料制品制造、[C3584]医疗、外科及兽医用器械制造</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生产</w:t>
                  </w:r>
                  <w:r>
                    <w:rPr>
                      <w:rFonts w:hint="eastAsia" w:cs="Times New Roman"/>
                      <w:color w:val="auto"/>
                      <w:sz w:val="21"/>
                      <w:szCs w:val="21"/>
                      <w:highlight w:val="none"/>
                      <w:lang w:val="en-US" w:eastAsia="zh-CN"/>
                    </w:rPr>
                    <w:t>塑料配件</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采用的生产工艺、设备等均不属于《产业结构调整指导目录（2024年本）》中限制类和淘汰类项目</w:t>
                  </w:r>
                </w:p>
              </w:tc>
              <w:tc>
                <w:tcPr>
                  <w:tcW w:w="688" w:type="pct"/>
                  <w:noWrap w:val="0"/>
                  <w:vAlign w:val="center"/>
                </w:tcPr>
                <w:p w14:paraId="75FEC7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相符</w:t>
                  </w:r>
                </w:p>
              </w:tc>
            </w:tr>
            <w:tr w14:paraId="587B5D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9" w:type="pct"/>
                  <w:noWrap w:val="0"/>
                  <w:vAlign w:val="center"/>
                </w:tcPr>
                <w:p w14:paraId="49D922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325" w:type="pct"/>
                  <w:noWrap w:val="0"/>
                  <w:vAlign w:val="center"/>
                </w:tcPr>
                <w:p w14:paraId="668C88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《自然资源要素支撑产业高质量发展指导目录（2024年本）》</w:t>
                  </w:r>
                </w:p>
              </w:tc>
              <w:tc>
                <w:tcPr>
                  <w:tcW w:w="2646" w:type="pct"/>
                  <w:noWrap w:val="0"/>
                  <w:vAlign w:val="center"/>
                </w:tcPr>
                <w:p w14:paraId="556F56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w:t>
                  </w:r>
                  <w:r>
                    <w:rPr>
                      <w:rFonts w:hint="eastAsia" w:ascii="Times New Roman" w:hAnsi="Times New Roman" w:eastAsia="宋体" w:cs="Times New Roman"/>
                      <w:color w:val="auto"/>
                      <w:sz w:val="21"/>
                      <w:szCs w:val="21"/>
                      <w:highlight w:val="none"/>
                      <w:lang w:val="en-US" w:eastAsia="zh-CN"/>
                    </w:rPr>
                    <w:t>属于其中</w:t>
                  </w:r>
                  <w:r>
                    <w:rPr>
                      <w:rFonts w:hint="default" w:ascii="Times New Roman" w:hAnsi="Times New Roman" w:eastAsia="宋体" w:cs="Times New Roman"/>
                      <w:color w:val="auto"/>
                      <w:sz w:val="21"/>
                      <w:szCs w:val="21"/>
                      <w:highlight w:val="none"/>
                      <w:lang w:val="en-US" w:eastAsia="zh-CN"/>
                    </w:rPr>
                    <w:t>限制类和禁止类项目</w:t>
                  </w:r>
                </w:p>
              </w:tc>
              <w:tc>
                <w:tcPr>
                  <w:tcW w:w="688" w:type="pct"/>
                  <w:noWrap w:val="0"/>
                  <w:vAlign w:val="center"/>
                </w:tcPr>
                <w:p w14:paraId="315E7F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相符</w:t>
                  </w:r>
                </w:p>
              </w:tc>
            </w:tr>
            <w:tr w14:paraId="000D16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9" w:type="pct"/>
                  <w:noWrap w:val="0"/>
                  <w:vAlign w:val="center"/>
                </w:tcPr>
                <w:p w14:paraId="7883AA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1325" w:type="pct"/>
                  <w:noWrap w:val="0"/>
                  <w:vAlign w:val="center"/>
                </w:tcPr>
                <w:p w14:paraId="516D90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《江苏省限制用地项目目录（2013年本）》、《江苏省禁止用地项目目录（2013年本）》</w:t>
                  </w:r>
                </w:p>
              </w:tc>
              <w:tc>
                <w:tcPr>
                  <w:tcW w:w="2646" w:type="pct"/>
                  <w:noWrap w:val="0"/>
                  <w:vAlign w:val="center"/>
                </w:tcPr>
                <w:p w14:paraId="321E11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本项目不在《江苏省限制用地项目目录（2013年本）》、《江苏省禁止用地项目目录（2013年）》中</w:t>
                  </w:r>
                </w:p>
              </w:tc>
              <w:tc>
                <w:tcPr>
                  <w:tcW w:w="688" w:type="pct"/>
                  <w:noWrap w:val="0"/>
                  <w:vAlign w:val="center"/>
                </w:tcPr>
                <w:p w14:paraId="31A35F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相符</w:t>
                  </w:r>
                </w:p>
              </w:tc>
            </w:tr>
            <w:tr w14:paraId="62C9C5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9" w:type="pct"/>
                  <w:noWrap w:val="0"/>
                  <w:vAlign w:val="center"/>
                </w:tcPr>
                <w:p w14:paraId="1BF6DD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1325" w:type="pct"/>
                  <w:noWrap w:val="0"/>
                  <w:vAlign w:val="center"/>
                </w:tcPr>
                <w:p w14:paraId="341FBE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《长江经济带发展负面清单指南》（试行，2022年版）及《关于印发〈长江经济带发展负面清单指南（试行，2022年版）〉江苏省实施细则的通知》（苏长江办发〔2022〕55号）</w:t>
                  </w:r>
                </w:p>
              </w:tc>
              <w:tc>
                <w:tcPr>
                  <w:tcW w:w="2646" w:type="pct"/>
                  <w:noWrap w:val="0"/>
                  <w:vAlign w:val="center"/>
                </w:tcPr>
                <w:p w14:paraId="50C9B8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本项目不属于《长江经济带发展负面清单指南》（试行，2022年版）及《关于印发〈长江经济带发展负面清单指南（试行，2022年版）〉江苏省实施细则的通知》（苏长江办发〔2022〕55号）中的禁止入驻类项目。</w:t>
                  </w:r>
                </w:p>
              </w:tc>
              <w:tc>
                <w:tcPr>
                  <w:tcW w:w="688" w:type="pct"/>
                  <w:noWrap w:val="0"/>
                  <w:vAlign w:val="center"/>
                </w:tcPr>
                <w:p w14:paraId="7EEB77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相符</w:t>
                  </w:r>
                </w:p>
              </w:tc>
            </w:tr>
            <w:tr w14:paraId="21C82F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9" w:type="pct"/>
                  <w:noWrap w:val="0"/>
                  <w:vAlign w:val="center"/>
                </w:tcPr>
                <w:p w14:paraId="1F5F7D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1325" w:type="pct"/>
                  <w:noWrap w:val="0"/>
                  <w:vAlign w:val="center"/>
                </w:tcPr>
                <w:p w14:paraId="6B2A1F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《市场准入负面清单（202</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年版）》</w:t>
                  </w:r>
                </w:p>
              </w:tc>
              <w:tc>
                <w:tcPr>
                  <w:tcW w:w="2646" w:type="pct"/>
                  <w:noWrap w:val="0"/>
                  <w:vAlign w:val="center"/>
                </w:tcPr>
                <w:p w14:paraId="26CA51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经查市场准入负面清单（202</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年版），本项目不在其禁止准入类中</w:t>
                  </w:r>
                </w:p>
              </w:tc>
              <w:tc>
                <w:tcPr>
                  <w:tcW w:w="688" w:type="pct"/>
                  <w:noWrap w:val="0"/>
                  <w:vAlign w:val="center"/>
                </w:tcPr>
                <w:p w14:paraId="78A1F6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相符</w:t>
                  </w:r>
                </w:p>
              </w:tc>
            </w:tr>
            <w:tr w14:paraId="547B3C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9" w:type="pct"/>
                  <w:noWrap w:val="0"/>
                  <w:vAlign w:val="center"/>
                </w:tcPr>
                <w:p w14:paraId="56373A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1325" w:type="pct"/>
                  <w:noWrap w:val="0"/>
                  <w:vAlign w:val="center"/>
                </w:tcPr>
                <w:p w14:paraId="1B9180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《江苏省太湖流域禁止和限制的产业产品目录》（2024年本）</w:t>
                  </w:r>
                </w:p>
              </w:tc>
              <w:tc>
                <w:tcPr>
                  <w:tcW w:w="2646" w:type="pct"/>
                  <w:noWrap w:val="0"/>
                  <w:vAlign w:val="center"/>
                </w:tcPr>
                <w:p w14:paraId="1E2F5A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本项目不在</w:t>
                  </w:r>
                  <w:r>
                    <w:rPr>
                      <w:rFonts w:hint="default" w:ascii="Times New Roman" w:hAnsi="Times New Roman" w:eastAsia="宋体" w:cs="Times New Roman"/>
                      <w:color w:val="auto"/>
                      <w:sz w:val="21"/>
                      <w:szCs w:val="21"/>
                      <w:highlight w:val="none"/>
                      <w:lang w:val="en-US" w:eastAsia="zh-CN"/>
                    </w:rPr>
                    <w:t>《江苏省太湖流域禁止和限制的产业产品目录（2024年本）》</w:t>
                  </w:r>
                  <w:r>
                    <w:rPr>
                      <w:rFonts w:hint="eastAsia" w:ascii="Times New Roman" w:hAnsi="Times New Roman" w:eastAsia="宋体" w:cs="Times New Roman"/>
                      <w:color w:val="auto"/>
                      <w:sz w:val="21"/>
                      <w:szCs w:val="21"/>
                      <w:highlight w:val="none"/>
                      <w:lang w:val="en-US" w:eastAsia="zh-CN"/>
                    </w:rPr>
                    <w:t>中的限制、禁止、淘汰类中</w:t>
                  </w:r>
                </w:p>
              </w:tc>
              <w:tc>
                <w:tcPr>
                  <w:tcW w:w="688" w:type="pct"/>
                  <w:noWrap w:val="0"/>
                  <w:vAlign w:val="center"/>
                </w:tcPr>
                <w:p w14:paraId="37071B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相符</w:t>
                  </w:r>
                </w:p>
              </w:tc>
            </w:tr>
            <w:tr w14:paraId="2439E0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9" w:type="pct"/>
                  <w:noWrap w:val="0"/>
                  <w:vAlign w:val="center"/>
                </w:tcPr>
                <w:p w14:paraId="00909D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w:t>
                  </w:r>
                </w:p>
              </w:tc>
              <w:tc>
                <w:tcPr>
                  <w:tcW w:w="1325" w:type="pct"/>
                  <w:noWrap w:val="0"/>
                  <w:vAlign w:val="center"/>
                </w:tcPr>
                <w:p w14:paraId="7724B3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规划及产业定位相符性分析</w:t>
                  </w:r>
                </w:p>
              </w:tc>
              <w:tc>
                <w:tcPr>
                  <w:tcW w:w="2646" w:type="pct"/>
                  <w:noWrap w:val="0"/>
                  <w:vAlign w:val="center"/>
                </w:tcPr>
                <w:p w14:paraId="012E66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本项目从事吻合器零配件、电器零配件的生产，属于[C2929]塑料零件及其他塑料制品制造、[C3584]医疗、外科及兽医用器械制造。</w:t>
                  </w:r>
                  <w:r>
                    <w:rPr>
                      <w:rFonts w:hint="default"/>
                      <w:color w:val="auto"/>
                      <w:highlight w:val="none"/>
                    </w:rPr>
                    <w:t>吻合器是一种精密的外科手术器械，电器零配件是构成所有复杂电器和系统的基础，分别属于高端装备制造和机械电子的配套产业。</w:t>
                  </w:r>
                  <w:r>
                    <w:rPr>
                      <w:rFonts w:hint="default" w:ascii="Times New Roman" w:hAnsi="Times New Roman" w:eastAsia="宋体" w:cs="Times New Roman"/>
                      <w:color w:val="auto"/>
                      <w:sz w:val="21"/>
                      <w:szCs w:val="21"/>
                      <w:highlight w:val="none"/>
                      <w:lang w:val="en-US" w:eastAsia="zh-CN"/>
                    </w:rPr>
                    <w:t>符合开发区产业定位。</w:t>
                  </w:r>
                </w:p>
              </w:tc>
              <w:tc>
                <w:tcPr>
                  <w:tcW w:w="688" w:type="pct"/>
                  <w:noWrap w:val="0"/>
                  <w:vAlign w:val="center"/>
                </w:tcPr>
                <w:p w14:paraId="412CDD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相符</w:t>
                  </w:r>
                </w:p>
              </w:tc>
            </w:tr>
          </w:tbl>
          <w:p w14:paraId="3F98191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80" w:firstLineChars="200"/>
              <w:textAlignment w:val="auto"/>
              <w:rPr>
                <w:rFonts w:hint="default"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5、</w:t>
            </w:r>
            <w:r>
              <w:rPr>
                <w:rFonts w:hint="default" w:ascii="Times New Roman" w:hAnsi="Times New Roman" w:eastAsia="宋体" w:cs="Times New Roman"/>
                <w:b/>
                <w:color w:val="auto"/>
                <w:sz w:val="24"/>
                <w:szCs w:val="24"/>
              </w:rPr>
              <w:t>与</w:t>
            </w:r>
            <w:r>
              <w:rPr>
                <w:rFonts w:hint="default" w:ascii="Times New Roman" w:hAnsi="Times New Roman" w:cs="Times New Roman"/>
                <w:b/>
                <w:color w:val="auto"/>
                <w:sz w:val="24"/>
                <w:szCs w:val="24"/>
                <w:lang w:eastAsia="zh-CN"/>
              </w:rPr>
              <w:t>《</w:t>
            </w:r>
            <w:r>
              <w:rPr>
                <w:rFonts w:hint="default" w:ascii="Times New Roman" w:hAnsi="Times New Roman" w:cs="Times New Roman"/>
                <w:b/>
                <w:bCs w:val="0"/>
                <w:color w:val="auto"/>
                <w:sz w:val="24"/>
                <w:szCs w:val="24"/>
                <w:lang w:eastAsia="zh-CN"/>
              </w:rPr>
              <w:t>江苏省2023年度生态环境分区管控动态更新成果公告》、</w:t>
            </w:r>
            <w:r>
              <w:rPr>
                <w:rFonts w:hint="default" w:ascii="Times New Roman" w:hAnsi="Times New Roman" w:eastAsia="宋体" w:cs="Times New Roman"/>
                <w:b/>
                <w:bCs w:val="0"/>
                <w:color w:val="auto"/>
                <w:sz w:val="24"/>
                <w:szCs w:val="24"/>
              </w:rPr>
              <w:t>《江苏省政府关于印发江苏省“三线一单”生态环境分区管控方案的通知》（苏政发</w:t>
            </w:r>
            <w:r>
              <w:rPr>
                <w:rFonts w:hint="eastAsia" w:cs="Times New Roman"/>
                <w:b/>
                <w:bCs w:val="0"/>
                <w:color w:val="auto"/>
                <w:sz w:val="24"/>
                <w:szCs w:val="24"/>
                <w:lang w:eastAsia="zh-CN"/>
              </w:rPr>
              <w:t>〔2020〕49号</w:t>
            </w:r>
            <w:r>
              <w:rPr>
                <w:rFonts w:hint="default" w:ascii="Times New Roman" w:hAnsi="Times New Roman" w:eastAsia="宋体" w:cs="Times New Roman"/>
                <w:b/>
                <w:bCs w:val="0"/>
                <w:color w:val="auto"/>
                <w:sz w:val="24"/>
                <w:szCs w:val="24"/>
              </w:rPr>
              <w:t>）相符性分析</w:t>
            </w:r>
          </w:p>
          <w:p w14:paraId="13A0DF8E">
            <w:pPr>
              <w:keepNext w:val="0"/>
              <w:keepLines w:val="0"/>
              <w:pageBreakBefore w:val="0"/>
              <w:widowControl w:val="0"/>
              <w:kinsoku/>
              <w:wordWrap/>
              <w:overflowPunct/>
              <w:topLinePunct w:val="0"/>
              <w:autoSpaceDE w:val="0"/>
              <w:autoSpaceDN w:val="0"/>
              <w:bidi w:val="0"/>
              <w:adjustRightInd w:val="0"/>
              <w:snapToGrid w:val="0"/>
              <w:spacing w:line="480" w:lineRule="exact"/>
              <w:ind w:left="0" w:leftChars="0" w:firstLine="480" w:firstLineChars="20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4"/>
                <w:szCs w:val="24"/>
              </w:rPr>
              <w:t>本项目位于</w:t>
            </w:r>
            <w:r>
              <w:rPr>
                <w:rFonts w:hint="eastAsia" w:ascii="Times New Roman" w:hAnsi="Times New Roman" w:cs="Times New Roman"/>
                <w:color w:val="auto"/>
                <w:sz w:val="24"/>
                <w:szCs w:val="24"/>
                <w:lang w:eastAsia="zh-CN"/>
              </w:rPr>
              <w:t>江苏省常州市</w:t>
            </w:r>
            <w:r>
              <w:rPr>
                <w:rFonts w:hint="eastAsia" w:cs="Times New Roman"/>
                <w:color w:val="auto"/>
                <w:sz w:val="24"/>
                <w:szCs w:val="24"/>
                <w:lang w:eastAsia="zh-CN"/>
              </w:rPr>
              <w:t>金坛区金坛经济开发区珠山路66号</w:t>
            </w:r>
            <w:r>
              <w:rPr>
                <w:rFonts w:hint="default" w:ascii="Times New Roman" w:hAnsi="Times New Roman" w:eastAsia="宋体" w:cs="Times New Roman"/>
                <w:bCs/>
                <w:color w:val="auto"/>
                <w:sz w:val="24"/>
                <w:szCs w:val="24"/>
              </w:rPr>
              <w:t>，对照</w:t>
            </w:r>
            <w:r>
              <w:rPr>
                <w:rFonts w:hint="default" w:ascii="Times New Roman" w:hAnsi="Times New Roman" w:cs="Times New Roman"/>
                <w:bCs/>
                <w:color w:val="auto"/>
                <w:sz w:val="24"/>
                <w:szCs w:val="24"/>
                <w:lang w:eastAsia="zh-CN"/>
              </w:rPr>
              <w:t>《江苏省2023年度生态环境分区管控动态更新成果公告</w:t>
            </w:r>
            <w:r>
              <w:rPr>
                <w:rFonts w:hint="default" w:ascii="Times New Roman" w:hAnsi="Times New Roman" w:cs="Times New Roman"/>
                <w:b w:val="0"/>
                <w:bCs/>
                <w:color w:val="auto"/>
                <w:sz w:val="24"/>
                <w:szCs w:val="24"/>
                <w:lang w:eastAsia="zh-CN"/>
              </w:rPr>
              <w:t>》、</w:t>
            </w:r>
            <w:r>
              <w:rPr>
                <w:rFonts w:hint="default" w:ascii="Times New Roman" w:hAnsi="Times New Roman" w:eastAsia="宋体" w:cs="Times New Roman"/>
                <w:b w:val="0"/>
                <w:bCs/>
                <w:color w:val="auto"/>
                <w:sz w:val="24"/>
                <w:szCs w:val="24"/>
              </w:rPr>
              <w:t>《江苏省政府关于印发江苏省“三线一单”生态环境分区管控方案的通知》（苏政发</w:t>
            </w:r>
            <w:r>
              <w:rPr>
                <w:rFonts w:hint="eastAsia" w:cs="Times New Roman"/>
                <w:b w:val="0"/>
                <w:bCs/>
                <w:color w:val="auto"/>
                <w:sz w:val="24"/>
                <w:szCs w:val="24"/>
                <w:lang w:eastAsia="zh-CN"/>
              </w:rPr>
              <w:t>〔2020〕49号</w:t>
            </w:r>
            <w:r>
              <w:rPr>
                <w:rFonts w:hint="default" w:ascii="Times New Roman" w:hAnsi="Times New Roman" w:eastAsia="宋体" w:cs="Times New Roman"/>
                <w:b w:val="0"/>
                <w:bCs/>
                <w:color w:val="auto"/>
                <w:sz w:val="24"/>
                <w:szCs w:val="24"/>
              </w:rPr>
              <w:t>）可</w:t>
            </w:r>
            <w:r>
              <w:rPr>
                <w:rFonts w:hint="default" w:ascii="Times New Roman" w:hAnsi="Times New Roman" w:eastAsia="宋体" w:cs="Times New Roman"/>
                <w:bCs/>
                <w:color w:val="auto"/>
                <w:sz w:val="24"/>
                <w:szCs w:val="24"/>
              </w:rPr>
              <w:t>知，项目</w:t>
            </w:r>
            <w:r>
              <w:rPr>
                <w:rFonts w:hint="eastAsia" w:ascii="Times New Roman" w:hAnsi="Times New Roman" w:eastAsia="宋体" w:cs="Times New Roman"/>
                <w:bCs/>
                <w:color w:val="auto"/>
                <w:sz w:val="24"/>
                <w:szCs w:val="24"/>
                <w:lang w:val="en-US" w:eastAsia="zh-CN"/>
              </w:rPr>
              <w:t>属于</w:t>
            </w:r>
            <w:r>
              <w:rPr>
                <w:rFonts w:hint="eastAsia" w:cs="Times New Roman"/>
                <w:bCs/>
                <w:color w:val="auto"/>
                <w:sz w:val="24"/>
                <w:szCs w:val="24"/>
                <w:lang w:val="en-US" w:eastAsia="zh-CN"/>
              </w:rPr>
              <w:t>金坛经济</w:t>
            </w:r>
            <w:r>
              <w:rPr>
                <w:rFonts w:hint="eastAsia" w:ascii="Times New Roman" w:hAnsi="Times New Roman" w:eastAsia="宋体" w:cs="Times New Roman"/>
                <w:bCs/>
                <w:color w:val="auto"/>
                <w:sz w:val="24"/>
                <w:szCs w:val="24"/>
                <w:lang w:val="en-US" w:eastAsia="zh-CN"/>
              </w:rPr>
              <w:t>开发区，</w:t>
            </w:r>
            <w:r>
              <w:rPr>
                <w:rFonts w:hint="default" w:ascii="Times New Roman" w:hAnsi="Times New Roman" w:eastAsia="宋体" w:cs="Times New Roman"/>
                <w:bCs/>
                <w:color w:val="auto"/>
                <w:sz w:val="24"/>
                <w:szCs w:val="24"/>
              </w:rPr>
              <w:t>位于</w:t>
            </w:r>
            <w:r>
              <w:rPr>
                <w:rFonts w:hint="default" w:ascii="Times New Roman" w:hAnsi="Times New Roman" w:eastAsia="宋体" w:cs="Times New Roman"/>
                <w:bCs/>
                <w:color w:val="auto"/>
                <w:sz w:val="24"/>
                <w:szCs w:val="24"/>
                <w:highlight w:val="none"/>
              </w:rPr>
              <w:t>重点管控单元，</w:t>
            </w:r>
            <w:r>
              <w:rPr>
                <w:rFonts w:hint="default" w:ascii="Times New Roman" w:hAnsi="Times New Roman" w:eastAsia="宋体" w:cs="Times New Roman"/>
                <w:bCs/>
                <w:color w:val="auto"/>
                <w:sz w:val="24"/>
                <w:szCs w:val="24"/>
              </w:rPr>
              <w:t>其重点管控要求与本项目的相符性分析见</w:t>
            </w:r>
            <w:r>
              <w:rPr>
                <w:rFonts w:hint="default" w:ascii="Times New Roman" w:hAnsi="Times New Roman" w:eastAsia="宋体" w:cs="Times New Roman"/>
                <w:bCs/>
                <w:color w:val="auto"/>
                <w:sz w:val="24"/>
                <w:szCs w:val="24"/>
                <w:lang w:val="en-US" w:eastAsia="zh-CN"/>
              </w:rPr>
              <w:t>下表</w:t>
            </w:r>
            <w:r>
              <w:rPr>
                <w:rFonts w:hint="default" w:ascii="Times New Roman" w:hAnsi="Times New Roman" w:eastAsia="宋体" w:cs="Times New Roman"/>
                <w:bCs/>
                <w:color w:val="auto"/>
                <w:sz w:val="24"/>
                <w:szCs w:val="24"/>
              </w:rPr>
              <w:t>。</w:t>
            </w:r>
          </w:p>
          <w:p w14:paraId="335C08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6 </w:t>
            </w:r>
            <w:r>
              <w:rPr>
                <w:rFonts w:hint="default" w:ascii="Times New Roman" w:hAnsi="Times New Roman" w:eastAsia="宋体" w:cs="Times New Roman"/>
                <w:b/>
                <w:bCs/>
                <w:color w:val="auto"/>
                <w:sz w:val="21"/>
                <w:szCs w:val="21"/>
              </w:rPr>
              <w:t>与</w:t>
            </w:r>
            <w:r>
              <w:rPr>
                <w:rFonts w:hint="default" w:ascii="Times New Roman" w:hAnsi="Times New Roman" w:eastAsia="宋体" w:cs="Times New Roman"/>
                <w:b/>
                <w:bCs/>
                <w:color w:val="auto"/>
                <w:sz w:val="21"/>
                <w:szCs w:val="21"/>
                <w:lang w:eastAsia="zh-CN"/>
              </w:rPr>
              <w:t>《江苏省2023年度生态环境分区管控动态更新成果公告》</w:t>
            </w:r>
            <w:r>
              <w:rPr>
                <w:rFonts w:hint="default" w:ascii="Times New Roman" w:hAnsi="Times New Roman" w:eastAsia="宋体" w:cs="Times New Roman"/>
                <w:b/>
                <w:bCs/>
                <w:color w:val="auto"/>
                <w:sz w:val="21"/>
                <w:szCs w:val="21"/>
              </w:rPr>
              <w:t>相符性分析</w:t>
            </w:r>
          </w:p>
          <w:tbl>
            <w:tblPr>
              <w:tblStyle w:val="1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4993"/>
              <w:gridCol w:w="2825"/>
              <w:gridCol w:w="773"/>
            </w:tblGrid>
            <w:tr w14:paraId="5FA31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6" w:type="pct"/>
                  <w:gridSpan w:val="2"/>
                  <w:tcBorders>
                    <w:tl2br w:val="nil"/>
                    <w:tr2bl w:val="nil"/>
                  </w:tcBorders>
                  <w:noWrap w:val="0"/>
                  <w:tcMar>
                    <w:top w:w="0" w:type="dxa"/>
                    <w:left w:w="0" w:type="dxa"/>
                    <w:bottom w:w="0" w:type="dxa"/>
                    <w:right w:w="0" w:type="dxa"/>
                  </w:tcMar>
                  <w:vAlign w:val="center"/>
                </w:tcPr>
                <w:p w14:paraId="7606CB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管控要求</w:t>
                  </w:r>
                </w:p>
              </w:tc>
              <w:tc>
                <w:tcPr>
                  <w:tcW w:w="1525" w:type="pct"/>
                  <w:tcBorders>
                    <w:tl2br w:val="nil"/>
                    <w:tr2bl w:val="nil"/>
                  </w:tcBorders>
                  <w:noWrap w:val="0"/>
                  <w:tcMar>
                    <w:top w:w="0" w:type="dxa"/>
                    <w:left w:w="0" w:type="dxa"/>
                    <w:bottom w:w="0" w:type="dxa"/>
                    <w:right w:w="0" w:type="dxa"/>
                  </w:tcMar>
                  <w:vAlign w:val="center"/>
                </w:tcPr>
                <w:p w14:paraId="739933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本项目</w:t>
                  </w:r>
                </w:p>
              </w:tc>
              <w:tc>
                <w:tcPr>
                  <w:tcW w:w="417" w:type="pct"/>
                  <w:tcBorders>
                    <w:tl2br w:val="nil"/>
                    <w:tr2bl w:val="nil"/>
                  </w:tcBorders>
                  <w:noWrap w:val="0"/>
                  <w:tcMar>
                    <w:top w:w="0" w:type="dxa"/>
                    <w:left w:w="0" w:type="dxa"/>
                    <w:bottom w:w="0" w:type="dxa"/>
                    <w:right w:w="0" w:type="dxa"/>
                  </w:tcMar>
                  <w:vAlign w:val="center"/>
                </w:tcPr>
                <w:p w14:paraId="05C7E2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相符性</w:t>
                  </w:r>
                </w:p>
              </w:tc>
            </w:tr>
            <w:tr w14:paraId="7DCCB8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361" w:type="pct"/>
                  <w:vMerge w:val="restart"/>
                  <w:tcBorders>
                    <w:tl2br w:val="nil"/>
                    <w:tr2bl w:val="nil"/>
                  </w:tcBorders>
                  <w:noWrap w:val="0"/>
                  <w:tcMar>
                    <w:top w:w="0" w:type="dxa"/>
                    <w:left w:w="0" w:type="dxa"/>
                    <w:bottom w:w="0" w:type="dxa"/>
                    <w:right w:w="0" w:type="dxa"/>
                  </w:tcMar>
                  <w:vAlign w:val="center"/>
                </w:tcPr>
                <w:p w14:paraId="044619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空间布局约束</w:t>
                  </w:r>
                </w:p>
              </w:tc>
              <w:tc>
                <w:tcPr>
                  <w:tcW w:w="2695" w:type="pct"/>
                  <w:tcBorders>
                    <w:tl2br w:val="nil"/>
                    <w:tr2bl w:val="nil"/>
                  </w:tcBorders>
                  <w:noWrap w:val="0"/>
                  <w:tcMar>
                    <w:top w:w="0" w:type="dxa"/>
                    <w:left w:w="0" w:type="dxa"/>
                    <w:bottom w:w="0" w:type="dxa"/>
                    <w:right w:w="0" w:type="dxa"/>
                  </w:tcMar>
                  <w:vAlign w:val="center"/>
                </w:tcPr>
                <w:p w14:paraId="1C317E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按照《自然资源部生态环境部国家林业和草原局关于加强生态保护红线管理的通知（试行）》（自然资发〔2022〕142号）、《省政府关于印发江苏省生态空间管控区域规划的通知》（苏政发〔2020〕1号）、《关于进一步加强生态保护红线监督管理的通知》（苏自然函</w:t>
                  </w:r>
                  <w:r>
                    <w:rPr>
                      <w:rFonts w:hint="eastAsia" w:cs="Times New Roman"/>
                      <w:color w:val="auto"/>
                      <w:sz w:val="21"/>
                      <w:szCs w:val="21"/>
                      <w:lang w:eastAsia="zh-CN"/>
                    </w:rPr>
                    <w:t>〔2023〕880号</w:t>
                  </w:r>
                  <w:r>
                    <w:rPr>
                      <w:rFonts w:hint="default" w:ascii="Times New Roman" w:hAnsi="Times New Roman" w:cs="Times New Roman"/>
                      <w:color w:val="auto"/>
                      <w:sz w:val="21"/>
                      <w:szCs w:val="21"/>
                    </w:rPr>
                    <w:t>）、《江苏省国土空间规划（2021—2035年）》（国函〔2023〕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tc>
              <w:tc>
                <w:tcPr>
                  <w:tcW w:w="1525" w:type="pct"/>
                  <w:tcBorders>
                    <w:tl2br w:val="nil"/>
                    <w:tr2bl w:val="nil"/>
                  </w:tcBorders>
                  <w:noWrap w:val="0"/>
                  <w:tcMar>
                    <w:top w:w="0" w:type="dxa"/>
                    <w:left w:w="0" w:type="dxa"/>
                    <w:bottom w:w="0" w:type="dxa"/>
                    <w:right w:w="0" w:type="dxa"/>
                  </w:tcMar>
                  <w:vAlign w:val="center"/>
                </w:tcPr>
                <w:p w14:paraId="435E51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本项目不在生态保护红线范围内，项目实施后，不会使生态</w:t>
                  </w:r>
                  <w:r>
                    <w:rPr>
                      <w:rFonts w:hint="eastAsia" w:cs="Times New Roman"/>
                      <w:color w:val="auto"/>
                      <w:sz w:val="21"/>
                      <w:szCs w:val="21"/>
                      <w:lang w:eastAsia="zh-CN"/>
                    </w:rPr>
                    <w:t>功能</w:t>
                  </w:r>
                  <w:r>
                    <w:rPr>
                      <w:rFonts w:hint="default" w:ascii="Times New Roman" w:hAnsi="Times New Roman" w:cs="Times New Roman"/>
                      <w:color w:val="auto"/>
                      <w:sz w:val="21"/>
                      <w:szCs w:val="21"/>
                    </w:rPr>
                    <w:t>降低、不会影响生态空间面积、不会改变生态空间性质。</w:t>
                  </w:r>
                </w:p>
              </w:tc>
              <w:tc>
                <w:tcPr>
                  <w:tcW w:w="417" w:type="pct"/>
                  <w:tcBorders>
                    <w:tl2br w:val="nil"/>
                    <w:tr2bl w:val="nil"/>
                  </w:tcBorders>
                  <w:noWrap w:val="0"/>
                  <w:tcMar>
                    <w:top w:w="0" w:type="dxa"/>
                    <w:left w:w="0" w:type="dxa"/>
                    <w:bottom w:w="0" w:type="dxa"/>
                    <w:right w:w="0" w:type="dxa"/>
                  </w:tcMar>
                  <w:vAlign w:val="center"/>
                </w:tcPr>
                <w:p w14:paraId="638212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14:paraId="57A763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361" w:type="pct"/>
                  <w:vMerge w:val="continue"/>
                  <w:tcBorders>
                    <w:tl2br w:val="nil"/>
                    <w:tr2bl w:val="nil"/>
                  </w:tcBorders>
                  <w:noWrap w:val="0"/>
                  <w:tcMar>
                    <w:top w:w="0" w:type="dxa"/>
                    <w:left w:w="0" w:type="dxa"/>
                    <w:bottom w:w="0" w:type="dxa"/>
                    <w:right w:w="0" w:type="dxa"/>
                  </w:tcMar>
                  <w:vAlign w:val="center"/>
                </w:tcPr>
                <w:p w14:paraId="44CB1D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2695" w:type="pct"/>
                  <w:tcBorders>
                    <w:tl2br w:val="nil"/>
                    <w:tr2bl w:val="nil"/>
                  </w:tcBorders>
                  <w:noWrap w:val="0"/>
                  <w:tcMar>
                    <w:top w:w="0" w:type="dxa"/>
                    <w:left w:w="0" w:type="dxa"/>
                    <w:bottom w:w="0" w:type="dxa"/>
                    <w:right w:w="0" w:type="dxa"/>
                  </w:tcMar>
                  <w:vAlign w:val="center"/>
                </w:tcPr>
                <w:p w14:paraId="7E37EA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牢牢把握推动长江经济带发展“共抓大保护，不搞大开发”战略导向，对省域范围内需要重点保护的岸线、河段和区域实行严格管控，管住控好排放量大、耗能高、产能过剩的产业，推动长江经济带高质量发展。</w:t>
                  </w:r>
                </w:p>
              </w:tc>
              <w:tc>
                <w:tcPr>
                  <w:tcW w:w="1525" w:type="pct"/>
                  <w:tcBorders>
                    <w:tl2br w:val="nil"/>
                    <w:tr2bl w:val="nil"/>
                  </w:tcBorders>
                  <w:noWrap w:val="0"/>
                  <w:tcMar>
                    <w:top w:w="0" w:type="dxa"/>
                    <w:left w:w="0" w:type="dxa"/>
                    <w:bottom w:w="0" w:type="dxa"/>
                    <w:right w:w="0" w:type="dxa"/>
                  </w:tcMar>
                  <w:vAlign w:val="center"/>
                </w:tcPr>
                <w:p w14:paraId="3A60D9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本项目不在重点保护的岸线、河段、区域范围内，不属于排放量大、</w:t>
                  </w:r>
                  <w:r>
                    <w:rPr>
                      <w:rFonts w:hint="default" w:ascii="Times New Roman" w:hAnsi="Times New Roman" w:cs="Times New Roman"/>
                      <w:color w:val="auto"/>
                      <w:sz w:val="21"/>
                      <w:szCs w:val="21"/>
                    </w:rPr>
                    <w:t>耗能高</w:t>
                  </w:r>
                  <w:r>
                    <w:rPr>
                      <w:rFonts w:hint="default" w:ascii="Times New Roman" w:hAnsi="Times New Roman" w:cs="Times New Roman"/>
                      <w:color w:val="auto"/>
                      <w:sz w:val="21"/>
                      <w:szCs w:val="21"/>
                      <w:lang w:val="en-US" w:eastAsia="zh-CN"/>
                    </w:rPr>
                    <w:t>、产能过剩的产业。</w:t>
                  </w:r>
                </w:p>
              </w:tc>
              <w:tc>
                <w:tcPr>
                  <w:tcW w:w="417" w:type="pct"/>
                  <w:tcBorders>
                    <w:tl2br w:val="nil"/>
                    <w:tr2bl w:val="nil"/>
                  </w:tcBorders>
                  <w:noWrap w:val="0"/>
                  <w:tcMar>
                    <w:top w:w="0" w:type="dxa"/>
                    <w:left w:w="0" w:type="dxa"/>
                    <w:bottom w:w="0" w:type="dxa"/>
                    <w:right w:w="0" w:type="dxa"/>
                  </w:tcMar>
                  <w:vAlign w:val="center"/>
                </w:tcPr>
                <w:p w14:paraId="2E8809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14:paraId="2C717C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361" w:type="pct"/>
                  <w:vMerge w:val="continue"/>
                  <w:tcBorders>
                    <w:tl2br w:val="nil"/>
                    <w:tr2bl w:val="nil"/>
                  </w:tcBorders>
                  <w:noWrap w:val="0"/>
                  <w:tcMar>
                    <w:top w:w="0" w:type="dxa"/>
                    <w:left w:w="0" w:type="dxa"/>
                    <w:bottom w:w="0" w:type="dxa"/>
                    <w:right w:w="0" w:type="dxa"/>
                  </w:tcMar>
                  <w:vAlign w:val="center"/>
                </w:tcPr>
                <w:p w14:paraId="0BC9CA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2695" w:type="pct"/>
                  <w:tcBorders>
                    <w:tl2br w:val="nil"/>
                    <w:tr2bl w:val="nil"/>
                  </w:tcBorders>
                  <w:noWrap w:val="0"/>
                  <w:tcMar>
                    <w:top w:w="0" w:type="dxa"/>
                    <w:left w:w="0" w:type="dxa"/>
                    <w:bottom w:w="0" w:type="dxa"/>
                    <w:right w:w="0" w:type="dxa"/>
                  </w:tcMar>
                  <w:vAlign w:val="center"/>
                </w:tcPr>
                <w:p w14:paraId="5057E8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大幅压减沿长江干支流两侧1公里范围内、环境敏感区域、城镇人口密集区、化工园区外和规模以下化工生产企业，着力破解“重化围江”突出问题，高起点同步推进沿江地区战略性转型和沿海地区战略性布局。</w:t>
                  </w:r>
                </w:p>
              </w:tc>
              <w:tc>
                <w:tcPr>
                  <w:tcW w:w="1525" w:type="pct"/>
                  <w:tcBorders>
                    <w:tl2br w:val="nil"/>
                    <w:tr2bl w:val="nil"/>
                  </w:tcBorders>
                  <w:noWrap w:val="0"/>
                  <w:tcMar>
                    <w:top w:w="0" w:type="dxa"/>
                    <w:left w:w="0" w:type="dxa"/>
                    <w:bottom w:w="0" w:type="dxa"/>
                    <w:right w:w="0" w:type="dxa"/>
                  </w:tcMar>
                  <w:vAlign w:val="center"/>
                </w:tcPr>
                <w:p w14:paraId="7EA8E5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本项目不在长江干支流两侧1公里范围内。</w:t>
                  </w:r>
                </w:p>
              </w:tc>
              <w:tc>
                <w:tcPr>
                  <w:tcW w:w="417" w:type="pct"/>
                  <w:tcBorders>
                    <w:tl2br w:val="nil"/>
                    <w:tr2bl w:val="nil"/>
                  </w:tcBorders>
                  <w:noWrap w:val="0"/>
                  <w:tcMar>
                    <w:top w:w="0" w:type="dxa"/>
                    <w:left w:w="0" w:type="dxa"/>
                    <w:bottom w:w="0" w:type="dxa"/>
                    <w:right w:w="0" w:type="dxa"/>
                  </w:tcMar>
                  <w:vAlign w:val="center"/>
                </w:tcPr>
                <w:p w14:paraId="122C4E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14:paraId="60D852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361" w:type="pct"/>
                  <w:vMerge w:val="continue"/>
                  <w:tcBorders>
                    <w:tl2br w:val="nil"/>
                    <w:tr2bl w:val="nil"/>
                  </w:tcBorders>
                  <w:noWrap w:val="0"/>
                  <w:tcMar>
                    <w:top w:w="0" w:type="dxa"/>
                    <w:left w:w="0" w:type="dxa"/>
                    <w:bottom w:w="0" w:type="dxa"/>
                    <w:right w:w="0" w:type="dxa"/>
                  </w:tcMar>
                  <w:vAlign w:val="center"/>
                </w:tcPr>
                <w:p w14:paraId="19194F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2695" w:type="pct"/>
                  <w:tcBorders>
                    <w:tl2br w:val="nil"/>
                    <w:tr2bl w:val="nil"/>
                  </w:tcBorders>
                  <w:noWrap w:val="0"/>
                  <w:tcMar>
                    <w:top w:w="0" w:type="dxa"/>
                    <w:left w:w="0" w:type="dxa"/>
                    <w:bottom w:w="0" w:type="dxa"/>
                    <w:right w:w="0" w:type="dxa"/>
                  </w:tcMar>
                  <w:vAlign w:val="center"/>
                </w:tcPr>
                <w:p w14:paraId="32135F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tc>
              <w:tc>
                <w:tcPr>
                  <w:tcW w:w="1525" w:type="pct"/>
                  <w:tcBorders>
                    <w:tl2br w:val="nil"/>
                    <w:tr2bl w:val="nil"/>
                  </w:tcBorders>
                  <w:noWrap w:val="0"/>
                  <w:tcMar>
                    <w:top w:w="0" w:type="dxa"/>
                    <w:left w:w="0" w:type="dxa"/>
                    <w:bottom w:w="0" w:type="dxa"/>
                    <w:right w:w="0" w:type="dxa"/>
                  </w:tcMar>
                  <w:vAlign w:val="center"/>
                </w:tcPr>
                <w:p w14:paraId="70E441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本项目不属于钢铁行业。</w:t>
                  </w:r>
                </w:p>
              </w:tc>
              <w:tc>
                <w:tcPr>
                  <w:tcW w:w="417" w:type="pct"/>
                  <w:tcBorders>
                    <w:tl2br w:val="nil"/>
                    <w:tr2bl w:val="nil"/>
                  </w:tcBorders>
                  <w:noWrap w:val="0"/>
                  <w:tcMar>
                    <w:top w:w="0" w:type="dxa"/>
                    <w:left w:w="0" w:type="dxa"/>
                    <w:bottom w:w="0" w:type="dxa"/>
                    <w:right w:w="0" w:type="dxa"/>
                  </w:tcMar>
                  <w:vAlign w:val="center"/>
                </w:tcPr>
                <w:p w14:paraId="42B3D4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14:paraId="193515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Merge w:val="continue"/>
                  <w:tcBorders>
                    <w:tl2br w:val="nil"/>
                    <w:tr2bl w:val="nil"/>
                  </w:tcBorders>
                  <w:noWrap w:val="0"/>
                  <w:tcMar>
                    <w:top w:w="0" w:type="dxa"/>
                    <w:left w:w="0" w:type="dxa"/>
                    <w:bottom w:w="0" w:type="dxa"/>
                    <w:right w:w="0" w:type="dxa"/>
                  </w:tcMar>
                  <w:vAlign w:val="center"/>
                </w:tcPr>
                <w:p w14:paraId="4936B9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2695" w:type="pct"/>
                  <w:tcBorders>
                    <w:tl2br w:val="nil"/>
                    <w:tr2bl w:val="nil"/>
                  </w:tcBorders>
                  <w:noWrap w:val="0"/>
                  <w:tcMar>
                    <w:top w:w="0" w:type="dxa"/>
                    <w:left w:w="0" w:type="dxa"/>
                    <w:bottom w:w="0" w:type="dxa"/>
                    <w:right w:w="0" w:type="dxa"/>
                  </w:tcMar>
                  <w:vAlign w:val="center"/>
                </w:tcPr>
                <w:p w14:paraId="032612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5．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r>
                    <w:rPr>
                      <w:rFonts w:hint="default" w:ascii="Times New Roman" w:hAnsi="Times New Roman" w:cs="Times New Roman"/>
                      <w:color w:val="auto"/>
                      <w:sz w:val="21"/>
                      <w:szCs w:val="21"/>
                      <w:lang w:eastAsia="zh-CN"/>
                    </w:rPr>
                    <w:t>。</w:t>
                  </w:r>
                </w:p>
              </w:tc>
              <w:tc>
                <w:tcPr>
                  <w:tcW w:w="1525" w:type="pct"/>
                  <w:tcBorders>
                    <w:tl2br w:val="nil"/>
                    <w:tr2bl w:val="nil"/>
                  </w:tcBorders>
                  <w:noWrap w:val="0"/>
                  <w:tcMar>
                    <w:top w:w="0" w:type="dxa"/>
                    <w:left w:w="0" w:type="dxa"/>
                    <w:bottom w:w="0" w:type="dxa"/>
                    <w:right w:w="0" w:type="dxa"/>
                  </w:tcMar>
                  <w:vAlign w:val="center"/>
                </w:tcPr>
                <w:p w14:paraId="2FF0BB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w:t>
                  </w:r>
                  <w:r>
                    <w:rPr>
                      <w:rFonts w:hint="default" w:ascii="Times New Roman" w:hAnsi="Times New Roman" w:cs="Times New Roman"/>
                      <w:color w:val="auto"/>
                      <w:sz w:val="21"/>
                      <w:szCs w:val="21"/>
                      <w:lang w:val="en-US" w:eastAsia="zh-CN"/>
                    </w:rPr>
                    <w:t>不涉及</w:t>
                  </w:r>
                  <w:r>
                    <w:rPr>
                      <w:rFonts w:hint="default" w:ascii="Times New Roman" w:hAnsi="Times New Roman" w:cs="Times New Roman"/>
                      <w:color w:val="auto"/>
                      <w:sz w:val="21"/>
                      <w:szCs w:val="21"/>
                    </w:rPr>
                    <w:t>生态保护红线</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相关法定保护区的重大民生项目、</w:t>
                  </w:r>
                  <w:r>
                    <w:rPr>
                      <w:rFonts w:hint="default" w:ascii="Times New Roman" w:hAnsi="Times New Roman" w:cs="Times New Roman"/>
                      <w:color w:val="auto"/>
                      <w:sz w:val="21"/>
                      <w:szCs w:val="21"/>
                    </w:rPr>
                    <w:t>重大基础设施项目</w:t>
                  </w:r>
                  <w:r>
                    <w:rPr>
                      <w:rFonts w:hint="default" w:ascii="Times New Roman" w:hAnsi="Times New Roman" w:cs="Times New Roman"/>
                      <w:color w:val="auto"/>
                      <w:sz w:val="21"/>
                      <w:szCs w:val="21"/>
                      <w:lang w:eastAsia="zh-CN"/>
                    </w:rPr>
                    <w:t>。</w:t>
                  </w:r>
                </w:p>
              </w:tc>
              <w:tc>
                <w:tcPr>
                  <w:tcW w:w="417" w:type="pct"/>
                  <w:tcBorders>
                    <w:tl2br w:val="nil"/>
                    <w:tr2bl w:val="nil"/>
                  </w:tcBorders>
                  <w:noWrap w:val="0"/>
                  <w:tcMar>
                    <w:top w:w="0" w:type="dxa"/>
                    <w:left w:w="0" w:type="dxa"/>
                    <w:bottom w:w="0" w:type="dxa"/>
                    <w:right w:w="0" w:type="dxa"/>
                  </w:tcMar>
                  <w:vAlign w:val="center"/>
                </w:tcPr>
                <w:p w14:paraId="1560A9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14:paraId="380A26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Merge w:val="restart"/>
                  <w:tcBorders>
                    <w:tl2br w:val="nil"/>
                    <w:tr2bl w:val="nil"/>
                  </w:tcBorders>
                  <w:noWrap w:val="0"/>
                  <w:tcMar>
                    <w:top w:w="0" w:type="dxa"/>
                    <w:left w:w="0" w:type="dxa"/>
                    <w:bottom w:w="0" w:type="dxa"/>
                    <w:right w:w="0" w:type="dxa"/>
                  </w:tcMar>
                  <w:vAlign w:val="center"/>
                </w:tcPr>
                <w:p w14:paraId="0D8F8B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污染物排放管控</w:t>
                  </w:r>
                </w:p>
              </w:tc>
              <w:tc>
                <w:tcPr>
                  <w:tcW w:w="2695" w:type="pct"/>
                  <w:tcBorders>
                    <w:tl2br w:val="nil"/>
                    <w:tr2bl w:val="nil"/>
                  </w:tcBorders>
                  <w:noWrap w:val="0"/>
                  <w:tcMar>
                    <w:top w:w="0" w:type="dxa"/>
                    <w:left w:w="0" w:type="dxa"/>
                    <w:bottom w:w="0" w:type="dxa"/>
                    <w:right w:w="0" w:type="dxa"/>
                  </w:tcMar>
                  <w:vAlign w:val="center"/>
                </w:tcPr>
                <w:p w14:paraId="2B8FA0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1．坚持生态环境质量只能更好、不能变坏，实施污染物总量控制，以环境容量定产业、定项目、定规模，确保开发建设行为不突破生态环境承载力。</w:t>
                  </w:r>
                </w:p>
              </w:tc>
              <w:tc>
                <w:tcPr>
                  <w:tcW w:w="1525" w:type="pct"/>
                  <w:tcBorders>
                    <w:tl2br w:val="nil"/>
                    <w:tr2bl w:val="nil"/>
                  </w:tcBorders>
                  <w:noWrap w:val="0"/>
                  <w:tcMar>
                    <w:top w:w="0" w:type="dxa"/>
                    <w:left w:w="0" w:type="dxa"/>
                    <w:bottom w:w="0" w:type="dxa"/>
                    <w:right w:w="0" w:type="dxa"/>
                  </w:tcMar>
                  <w:vAlign w:val="center"/>
                </w:tcPr>
                <w:p w14:paraId="36D28C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本项目应按要求向常州市金坛生态环境局申请总量。</w:t>
                  </w:r>
                </w:p>
              </w:tc>
              <w:tc>
                <w:tcPr>
                  <w:tcW w:w="417" w:type="pct"/>
                  <w:tcBorders>
                    <w:tl2br w:val="nil"/>
                    <w:tr2bl w:val="nil"/>
                  </w:tcBorders>
                  <w:noWrap w:val="0"/>
                  <w:tcMar>
                    <w:top w:w="0" w:type="dxa"/>
                    <w:left w:w="0" w:type="dxa"/>
                    <w:bottom w:w="0" w:type="dxa"/>
                    <w:right w:w="0" w:type="dxa"/>
                  </w:tcMar>
                  <w:vAlign w:val="center"/>
                </w:tcPr>
                <w:p w14:paraId="240895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14:paraId="5D25AB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Merge w:val="continue"/>
                  <w:tcBorders>
                    <w:tl2br w:val="nil"/>
                    <w:tr2bl w:val="nil"/>
                  </w:tcBorders>
                  <w:noWrap w:val="0"/>
                  <w:tcMar>
                    <w:top w:w="0" w:type="dxa"/>
                    <w:left w:w="0" w:type="dxa"/>
                    <w:bottom w:w="0" w:type="dxa"/>
                    <w:right w:w="0" w:type="dxa"/>
                  </w:tcMar>
                  <w:vAlign w:val="center"/>
                </w:tcPr>
                <w:p w14:paraId="694776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2695" w:type="pct"/>
                  <w:tcBorders>
                    <w:tl2br w:val="nil"/>
                    <w:tr2bl w:val="nil"/>
                  </w:tcBorders>
                  <w:noWrap w:val="0"/>
                  <w:tcMar>
                    <w:top w:w="0" w:type="dxa"/>
                    <w:left w:w="0" w:type="dxa"/>
                    <w:bottom w:w="0" w:type="dxa"/>
                    <w:right w:w="0" w:type="dxa"/>
                  </w:tcMar>
                  <w:vAlign w:val="center"/>
                </w:tcPr>
                <w:p w14:paraId="3AA5B1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2025年，主要污染物排放减排完成国家下达任务，单位工业增加值二氧化碳排放量下降20%，主要高耗能行业单位产品二氧化碳排放达到世界先进水平。实施氮氧化物（NOx）和VOCs协同减排，推进多污染物和关联区域</w:t>
                  </w:r>
                  <w:r>
                    <w:rPr>
                      <w:rFonts w:hint="eastAsia" w:ascii="Times New Roman" w:hAnsi="Times New Roman" w:cs="Times New Roman"/>
                      <w:color w:val="auto"/>
                      <w:sz w:val="21"/>
                      <w:szCs w:val="21"/>
                      <w:lang w:val="en-US" w:eastAsia="zh-CN"/>
                    </w:rPr>
                    <w:t>联防</w:t>
                  </w:r>
                  <w:r>
                    <w:rPr>
                      <w:rFonts w:hint="default" w:ascii="Times New Roman" w:hAnsi="Times New Roman" w:cs="Times New Roman"/>
                      <w:color w:val="auto"/>
                      <w:sz w:val="21"/>
                      <w:szCs w:val="21"/>
                      <w:lang w:val="en-US" w:eastAsia="zh-CN"/>
                    </w:rPr>
                    <w:t>联控。</w:t>
                  </w:r>
                </w:p>
              </w:tc>
              <w:tc>
                <w:tcPr>
                  <w:tcW w:w="1525" w:type="pct"/>
                  <w:tcBorders>
                    <w:tl2br w:val="nil"/>
                    <w:tr2bl w:val="nil"/>
                  </w:tcBorders>
                  <w:noWrap w:val="0"/>
                  <w:tcMar>
                    <w:top w:w="0" w:type="dxa"/>
                    <w:left w:w="0" w:type="dxa"/>
                    <w:bottom w:w="0" w:type="dxa"/>
                    <w:right w:w="0" w:type="dxa"/>
                  </w:tcMar>
                  <w:vAlign w:val="center"/>
                </w:tcPr>
                <w:p w14:paraId="4B6418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本项目不属于</w:t>
                  </w:r>
                  <w:r>
                    <w:rPr>
                      <w:rFonts w:hint="default" w:ascii="Times New Roman" w:hAnsi="Times New Roman" w:cs="Times New Roman"/>
                      <w:color w:val="auto"/>
                      <w:sz w:val="21"/>
                      <w:szCs w:val="21"/>
                      <w:lang w:val="en-US" w:eastAsia="zh-CN"/>
                    </w:rPr>
                    <w:t>高能耗</w:t>
                  </w:r>
                  <w:r>
                    <w:rPr>
                      <w:rFonts w:hint="default" w:ascii="Times New Roman" w:hAnsi="Times New Roman" w:cs="Times New Roman"/>
                      <w:color w:val="auto"/>
                      <w:sz w:val="21"/>
                      <w:szCs w:val="21"/>
                    </w:rPr>
                    <w:t>工业，</w:t>
                  </w:r>
                  <w:r>
                    <w:rPr>
                      <w:rFonts w:hint="default" w:ascii="Times New Roman" w:hAnsi="Times New Roman" w:cs="Times New Roman"/>
                      <w:color w:val="auto"/>
                      <w:sz w:val="21"/>
                      <w:szCs w:val="21"/>
                      <w:lang w:val="en-US" w:eastAsia="zh-CN"/>
                    </w:rPr>
                    <w:t>项目</w:t>
                  </w:r>
                  <w:r>
                    <w:rPr>
                      <w:rFonts w:hint="eastAsia" w:cs="Times New Roman"/>
                      <w:color w:val="auto"/>
                      <w:sz w:val="21"/>
                      <w:szCs w:val="21"/>
                      <w:lang w:val="en-US" w:eastAsia="zh-CN"/>
                    </w:rPr>
                    <w:t>有机废气排放量较低，在金坛区内平衡</w:t>
                  </w:r>
                  <w:r>
                    <w:rPr>
                      <w:rFonts w:hint="default" w:ascii="Times New Roman" w:hAnsi="Times New Roman" w:cs="Times New Roman"/>
                      <w:color w:val="auto"/>
                      <w:sz w:val="21"/>
                      <w:szCs w:val="21"/>
                    </w:rPr>
                    <w:t>。</w:t>
                  </w:r>
                </w:p>
              </w:tc>
              <w:tc>
                <w:tcPr>
                  <w:tcW w:w="417" w:type="pct"/>
                  <w:tcBorders>
                    <w:tl2br w:val="nil"/>
                    <w:tr2bl w:val="nil"/>
                  </w:tcBorders>
                  <w:noWrap w:val="0"/>
                  <w:tcMar>
                    <w:top w:w="0" w:type="dxa"/>
                    <w:left w:w="0" w:type="dxa"/>
                    <w:bottom w:w="0" w:type="dxa"/>
                    <w:right w:w="0" w:type="dxa"/>
                  </w:tcMar>
                  <w:vAlign w:val="center"/>
                </w:tcPr>
                <w:p w14:paraId="0DF896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14:paraId="6FB2DC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Merge w:val="restart"/>
                  <w:tcBorders>
                    <w:tl2br w:val="nil"/>
                    <w:tr2bl w:val="nil"/>
                  </w:tcBorders>
                  <w:noWrap w:val="0"/>
                  <w:tcMar>
                    <w:top w:w="0" w:type="dxa"/>
                    <w:left w:w="0" w:type="dxa"/>
                    <w:bottom w:w="0" w:type="dxa"/>
                    <w:right w:w="0" w:type="dxa"/>
                  </w:tcMar>
                  <w:vAlign w:val="center"/>
                </w:tcPr>
                <w:p w14:paraId="237186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环境风险防控</w:t>
                  </w:r>
                </w:p>
              </w:tc>
              <w:tc>
                <w:tcPr>
                  <w:tcW w:w="2695" w:type="pct"/>
                  <w:tcBorders>
                    <w:tl2br w:val="nil"/>
                    <w:tr2bl w:val="nil"/>
                  </w:tcBorders>
                  <w:noWrap w:val="0"/>
                  <w:tcMar>
                    <w:top w:w="0" w:type="dxa"/>
                    <w:left w:w="0" w:type="dxa"/>
                    <w:bottom w:w="0" w:type="dxa"/>
                    <w:right w:w="0" w:type="dxa"/>
                  </w:tcMar>
                  <w:vAlign w:val="center"/>
                </w:tcPr>
                <w:p w14:paraId="1DAEA2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tc>
              <w:tc>
                <w:tcPr>
                  <w:tcW w:w="1525" w:type="pct"/>
                  <w:tcBorders>
                    <w:tl2br w:val="nil"/>
                    <w:tr2bl w:val="nil"/>
                  </w:tcBorders>
                  <w:noWrap w:val="0"/>
                  <w:tcMar>
                    <w:top w:w="0" w:type="dxa"/>
                    <w:left w:w="0" w:type="dxa"/>
                    <w:bottom w:w="0" w:type="dxa"/>
                    <w:right w:w="0" w:type="dxa"/>
                  </w:tcMar>
                  <w:vAlign w:val="center"/>
                </w:tcPr>
                <w:p w14:paraId="2E983F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本项目不运输剧毒物质和危险化学品；</w:t>
                  </w:r>
                  <w:r>
                    <w:rPr>
                      <w:rFonts w:hint="default" w:ascii="Times New Roman" w:hAnsi="Times New Roman" w:cs="Times New Roman"/>
                      <w:color w:val="auto"/>
                      <w:sz w:val="21"/>
                      <w:szCs w:val="21"/>
                      <w:lang w:val="en-US" w:eastAsia="zh-CN"/>
                    </w:rPr>
                    <w:t>本项目</w:t>
                  </w:r>
                  <w:r>
                    <w:rPr>
                      <w:rFonts w:hint="default" w:ascii="Times New Roman" w:hAnsi="Times New Roman" w:cs="Times New Roman"/>
                      <w:color w:val="auto"/>
                      <w:sz w:val="21"/>
                      <w:szCs w:val="21"/>
                    </w:rPr>
                    <w:t>产生的危险废物交由有资质单位处置，</w:t>
                  </w:r>
                  <w:r>
                    <w:rPr>
                      <w:rFonts w:hint="default" w:ascii="Times New Roman" w:hAnsi="Times New Roman" w:cs="Times New Roman"/>
                      <w:color w:val="auto"/>
                      <w:sz w:val="21"/>
                      <w:szCs w:val="21"/>
                      <w:lang w:val="en-US" w:eastAsia="zh-CN"/>
                    </w:rPr>
                    <w:t>零</w:t>
                  </w:r>
                  <w:r>
                    <w:rPr>
                      <w:rFonts w:hint="default" w:ascii="Times New Roman" w:hAnsi="Times New Roman" w:cs="Times New Roman"/>
                      <w:color w:val="auto"/>
                      <w:sz w:val="21"/>
                      <w:szCs w:val="21"/>
                    </w:rPr>
                    <w:t>排放。</w:t>
                  </w:r>
                </w:p>
              </w:tc>
              <w:tc>
                <w:tcPr>
                  <w:tcW w:w="417" w:type="pct"/>
                  <w:tcBorders>
                    <w:tl2br w:val="nil"/>
                    <w:tr2bl w:val="nil"/>
                  </w:tcBorders>
                  <w:noWrap w:val="0"/>
                  <w:tcMar>
                    <w:top w:w="0" w:type="dxa"/>
                    <w:left w:w="0" w:type="dxa"/>
                    <w:bottom w:w="0" w:type="dxa"/>
                    <w:right w:w="0" w:type="dxa"/>
                  </w:tcMar>
                  <w:vAlign w:val="center"/>
                </w:tcPr>
                <w:p w14:paraId="55691C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相符</w:t>
                  </w:r>
                </w:p>
              </w:tc>
            </w:tr>
            <w:tr w14:paraId="330E7B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Merge w:val="continue"/>
                  <w:tcBorders>
                    <w:tl2br w:val="nil"/>
                    <w:tr2bl w:val="nil"/>
                  </w:tcBorders>
                  <w:noWrap w:val="0"/>
                  <w:tcMar>
                    <w:top w:w="0" w:type="dxa"/>
                    <w:left w:w="0" w:type="dxa"/>
                    <w:bottom w:w="0" w:type="dxa"/>
                    <w:right w:w="0" w:type="dxa"/>
                  </w:tcMar>
                  <w:vAlign w:val="center"/>
                </w:tcPr>
                <w:p w14:paraId="3CAF46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2695" w:type="pct"/>
                  <w:tcBorders>
                    <w:tl2br w:val="nil"/>
                    <w:tr2bl w:val="nil"/>
                  </w:tcBorders>
                  <w:noWrap w:val="0"/>
                  <w:tcMar>
                    <w:top w:w="0" w:type="dxa"/>
                    <w:left w:w="0" w:type="dxa"/>
                    <w:bottom w:w="0" w:type="dxa"/>
                    <w:right w:w="0" w:type="dxa"/>
                  </w:tcMar>
                  <w:vAlign w:val="center"/>
                </w:tcPr>
                <w:p w14:paraId="71EC4E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2．强化环境事故应急管理。深化跨部门、跨区域环境应急协调联动，分区域建立环境应急物资储备库。各级工业园区（集聚区）和企业的环境应急装备和储备物资应纳入储备体系。</w:t>
                  </w:r>
                </w:p>
              </w:tc>
              <w:tc>
                <w:tcPr>
                  <w:tcW w:w="1525" w:type="pct"/>
                  <w:tcBorders>
                    <w:tl2br w:val="nil"/>
                    <w:tr2bl w:val="nil"/>
                  </w:tcBorders>
                  <w:noWrap w:val="0"/>
                  <w:tcMar>
                    <w:top w:w="0" w:type="dxa"/>
                    <w:left w:w="0" w:type="dxa"/>
                    <w:bottom w:w="0" w:type="dxa"/>
                    <w:right w:w="0" w:type="dxa"/>
                  </w:tcMar>
                  <w:vAlign w:val="center"/>
                </w:tcPr>
                <w:p w14:paraId="0A184A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项目实施后，按要求</w:t>
                  </w:r>
                  <w:r>
                    <w:rPr>
                      <w:rFonts w:hint="default" w:ascii="Times New Roman" w:hAnsi="Times New Roman" w:cs="Times New Roman"/>
                      <w:color w:val="auto"/>
                      <w:sz w:val="21"/>
                      <w:szCs w:val="21"/>
                      <w:lang w:val="en-US" w:eastAsia="zh-CN"/>
                    </w:rPr>
                    <w:t>配备环境应急装备、储备应急物资</w:t>
                  </w:r>
                  <w:r>
                    <w:rPr>
                      <w:rFonts w:hint="default" w:ascii="Times New Roman" w:hAnsi="Times New Roman" w:cs="Times New Roman"/>
                      <w:color w:val="auto"/>
                      <w:sz w:val="21"/>
                      <w:szCs w:val="21"/>
                    </w:rPr>
                    <w:t>。</w:t>
                  </w:r>
                </w:p>
              </w:tc>
              <w:tc>
                <w:tcPr>
                  <w:tcW w:w="417" w:type="pct"/>
                  <w:tcBorders>
                    <w:tl2br w:val="nil"/>
                    <w:tr2bl w:val="nil"/>
                  </w:tcBorders>
                  <w:noWrap w:val="0"/>
                  <w:tcMar>
                    <w:top w:w="0" w:type="dxa"/>
                    <w:left w:w="0" w:type="dxa"/>
                    <w:bottom w:w="0" w:type="dxa"/>
                    <w:right w:w="0" w:type="dxa"/>
                  </w:tcMar>
                  <w:vAlign w:val="center"/>
                </w:tcPr>
                <w:p w14:paraId="7BF671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相符</w:t>
                  </w:r>
                </w:p>
              </w:tc>
            </w:tr>
            <w:tr w14:paraId="28B005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Merge w:val="continue"/>
                  <w:tcBorders>
                    <w:tl2br w:val="nil"/>
                    <w:tr2bl w:val="nil"/>
                  </w:tcBorders>
                  <w:noWrap w:val="0"/>
                  <w:tcMar>
                    <w:top w:w="0" w:type="dxa"/>
                    <w:left w:w="0" w:type="dxa"/>
                    <w:bottom w:w="0" w:type="dxa"/>
                    <w:right w:w="0" w:type="dxa"/>
                  </w:tcMar>
                  <w:vAlign w:val="center"/>
                </w:tcPr>
                <w:p w14:paraId="13C6EB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2695" w:type="pct"/>
                  <w:tcBorders>
                    <w:tl2br w:val="nil"/>
                    <w:tr2bl w:val="nil"/>
                  </w:tcBorders>
                  <w:noWrap w:val="0"/>
                  <w:tcMar>
                    <w:top w:w="0" w:type="dxa"/>
                    <w:left w:w="0" w:type="dxa"/>
                    <w:bottom w:w="0" w:type="dxa"/>
                    <w:right w:w="0" w:type="dxa"/>
                  </w:tcMar>
                  <w:vAlign w:val="center"/>
                </w:tcPr>
                <w:p w14:paraId="368211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525" w:type="pct"/>
                  <w:tcBorders>
                    <w:tl2br w:val="nil"/>
                    <w:tr2bl w:val="nil"/>
                  </w:tcBorders>
                  <w:noWrap w:val="0"/>
                  <w:tcMar>
                    <w:top w:w="0" w:type="dxa"/>
                    <w:left w:w="0" w:type="dxa"/>
                    <w:bottom w:w="0" w:type="dxa"/>
                    <w:right w:w="0" w:type="dxa"/>
                  </w:tcMar>
                  <w:vAlign w:val="center"/>
                </w:tcPr>
                <w:p w14:paraId="1CC908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项目实施后，按要求</w:t>
                  </w:r>
                  <w:r>
                    <w:rPr>
                      <w:rFonts w:hint="eastAsia" w:cs="Times New Roman"/>
                      <w:color w:val="auto"/>
                      <w:sz w:val="21"/>
                      <w:szCs w:val="21"/>
                      <w:lang w:val="en-US" w:eastAsia="zh-CN"/>
                    </w:rPr>
                    <w:t>编制</w:t>
                  </w:r>
                  <w:r>
                    <w:rPr>
                      <w:rFonts w:hint="default" w:ascii="Times New Roman" w:hAnsi="Times New Roman" w:cs="Times New Roman"/>
                      <w:color w:val="auto"/>
                      <w:sz w:val="21"/>
                      <w:szCs w:val="21"/>
                    </w:rPr>
                    <w:t>突发环境事件应急预案并报相关部门备案。</w:t>
                  </w:r>
                </w:p>
              </w:tc>
              <w:tc>
                <w:tcPr>
                  <w:tcW w:w="417" w:type="pct"/>
                  <w:tcBorders>
                    <w:tl2br w:val="nil"/>
                    <w:tr2bl w:val="nil"/>
                  </w:tcBorders>
                  <w:noWrap w:val="0"/>
                  <w:tcMar>
                    <w:top w:w="0" w:type="dxa"/>
                    <w:left w:w="0" w:type="dxa"/>
                    <w:bottom w:w="0" w:type="dxa"/>
                    <w:right w:w="0" w:type="dxa"/>
                  </w:tcMar>
                  <w:vAlign w:val="center"/>
                </w:tcPr>
                <w:p w14:paraId="639F30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相符</w:t>
                  </w:r>
                </w:p>
              </w:tc>
            </w:tr>
            <w:tr w14:paraId="7132AE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Merge w:val="restart"/>
                  <w:tcBorders>
                    <w:tl2br w:val="nil"/>
                    <w:tr2bl w:val="nil"/>
                  </w:tcBorders>
                  <w:noWrap w:val="0"/>
                  <w:tcMar>
                    <w:top w:w="0" w:type="dxa"/>
                    <w:left w:w="0" w:type="dxa"/>
                    <w:bottom w:w="0" w:type="dxa"/>
                    <w:right w:w="0" w:type="dxa"/>
                  </w:tcMar>
                  <w:vAlign w:val="center"/>
                </w:tcPr>
                <w:p w14:paraId="327231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资源利用效率要求</w:t>
                  </w:r>
                </w:p>
              </w:tc>
              <w:tc>
                <w:tcPr>
                  <w:tcW w:w="2695" w:type="pct"/>
                  <w:tcBorders>
                    <w:tl2br w:val="nil"/>
                    <w:tr2bl w:val="nil"/>
                  </w:tcBorders>
                  <w:noWrap w:val="0"/>
                  <w:tcMar>
                    <w:top w:w="0" w:type="dxa"/>
                    <w:left w:w="0" w:type="dxa"/>
                    <w:bottom w:w="0" w:type="dxa"/>
                    <w:right w:w="0" w:type="dxa"/>
                  </w:tcMar>
                  <w:vAlign w:val="center"/>
                </w:tcPr>
                <w:p w14:paraId="03CCF2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1．水资源利用总量及效率要求：到2025年，全省用水总量控制在525.9亿立方米以内，万元地区生产总值用水量、万元工业增加值用水量下降完成国家下达目标，农田灌溉水有效利用系数提高到0.625。</w:t>
                  </w:r>
                </w:p>
              </w:tc>
              <w:tc>
                <w:tcPr>
                  <w:tcW w:w="1525" w:type="pct"/>
                  <w:vMerge w:val="restart"/>
                  <w:tcBorders>
                    <w:tl2br w:val="nil"/>
                    <w:tr2bl w:val="nil"/>
                  </w:tcBorders>
                  <w:noWrap w:val="0"/>
                  <w:tcMar>
                    <w:top w:w="0" w:type="dxa"/>
                    <w:left w:w="0" w:type="dxa"/>
                    <w:bottom w:w="0" w:type="dxa"/>
                    <w:right w:w="0" w:type="dxa"/>
                  </w:tcMar>
                  <w:vAlign w:val="center"/>
                </w:tcPr>
                <w:p w14:paraId="19A5DA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本项目不新增工业用地</w:t>
                  </w:r>
                  <w:r>
                    <w:rPr>
                      <w:rFonts w:hint="eastAsia" w:ascii="Times New Roman" w:hAnsi="Times New Roman" w:cs="Times New Roman"/>
                      <w:color w:val="auto"/>
                      <w:sz w:val="21"/>
                      <w:szCs w:val="21"/>
                      <w:lang w:val="en-US" w:eastAsia="zh-CN"/>
                    </w:rPr>
                    <w:t>，</w:t>
                  </w:r>
                </w:p>
                <w:p w14:paraId="4835CA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本项目使用</w:t>
                  </w:r>
                  <w:r>
                    <w:rPr>
                      <w:rFonts w:hint="default" w:ascii="Times New Roman" w:hAnsi="Times New Roman" w:cs="Times New Roman"/>
                      <w:color w:val="auto"/>
                      <w:sz w:val="21"/>
                      <w:szCs w:val="21"/>
                      <w:lang w:val="en-US" w:eastAsia="zh-CN"/>
                    </w:rPr>
                    <w:t>电</w:t>
                  </w:r>
                  <w:r>
                    <w:rPr>
                      <w:rFonts w:hint="eastAsia" w:ascii="Times New Roman" w:hAnsi="Times New Roman" w:cs="Times New Roman"/>
                      <w:color w:val="auto"/>
                      <w:sz w:val="21"/>
                      <w:szCs w:val="21"/>
                      <w:lang w:val="en-US" w:eastAsia="zh-CN"/>
                    </w:rPr>
                    <w:t>作为</w:t>
                  </w:r>
                  <w:r>
                    <w:rPr>
                      <w:rFonts w:hint="default" w:ascii="Times New Roman" w:hAnsi="Times New Roman" w:cs="Times New Roman"/>
                      <w:color w:val="auto"/>
                      <w:sz w:val="21"/>
                      <w:szCs w:val="21"/>
                      <w:lang w:val="en-US" w:eastAsia="zh-CN"/>
                    </w:rPr>
                    <w:t>清洁能源</w:t>
                  </w:r>
                  <w:r>
                    <w:rPr>
                      <w:rFonts w:hint="default" w:ascii="Times New Roman" w:hAnsi="Times New Roman" w:cs="Times New Roman"/>
                      <w:color w:val="auto"/>
                      <w:sz w:val="21"/>
                      <w:szCs w:val="21"/>
                    </w:rPr>
                    <w:t>。</w:t>
                  </w:r>
                </w:p>
              </w:tc>
              <w:tc>
                <w:tcPr>
                  <w:tcW w:w="417" w:type="pct"/>
                  <w:tcBorders>
                    <w:tl2br w:val="nil"/>
                    <w:tr2bl w:val="nil"/>
                  </w:tcBorders>
                  <w:noWrap w:val="0"/>
                  <w:tcMar>
                    <w:top w:w="0" w:type="dxa"/>
                    <w:left w:w="0" w:type="dxa"/>
                    <w:bottom w:w="0" w:type="dxa"/>
                    <w:right w:w="0" w:type="dxa"/>
                  </w:tcMar>
                  <w:vAlign w:val="center"/>
                </w:tcPr>
                <w:p w14:paraId="6141DE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14:paraId="0F194B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Merge w:val="continue"/>
                  <w:tcBorders>
                    <w:tl2br w:val="nil"/>
                    <w:tr2bl w:val="nil"/>
                  </w:tcBorders>
                  <w:noWrap w:val="0"/>
                  <w:tcMar>
                    <w:top w:w="0" w:type="dxa"/>
                    <w:left w:w="0" w:type="dxa"/>
                    <w:bottom w:w="0" w:type="dxa"/>
                    <w:right w:w="0" w:type="dxa"/>
                  </w:tcMar>
                  <w:vAlign w:val="center"/>
                </w:tcPr>
                <w:p w14:paraId="7AE226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2695" w:type="pct"/>
                  <w:tcBorders>
                    <w:tl2br w:val="nil"/>
                    <w:tr2bl w:val="nil"/>
                  </w:tcBorders>
                  <w:noWrap w:val="0"/>
                  <w:tcMar>
                    <w:top w:w="0" w:type="dxa"/>
                    <w:left w:w="0" w:type="dxa"/>
                    <w:bottom w:w="0" w:type="dxa"/>
                    <w:right w:w="0" w:type="dxa"/>
                  </w:tcMar>
                  <w:vAlign w:val="center"/>
                </w:tcPr>
                <w:p w14:paraId="562AD2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2．土地资源总量要求：到2025年，江苏省耕地保有量不低于5977万亩，其中永久基本农田保护面积不低于5344万亩。</w:t>
                  </w:r>
                </w:p>
              </w:tc>
              <w:tc>
                <w:tcPr>
                  <w:tcW w:w="1525" w:type="pct"/>
                  <w:vMerge w:val="continue"/>
                  <w:tcBorders>
                    <w:tl2br w:val="nil"/>
                    <w:tr2bl w:val="nil"/>
                  </w:tcBorders>
                  <w:noWrap w:val="0"/>
                  <w:tcMar>
                    <w:top w:w="0" w:type="dxa"/>
                    <w:left w:w="0" w:type="dxa"/>
                    <w:bottom w:w="0" w:type="dxa"/>
                    <w:right w:w="0" w:type="dxa"/>
                  </w:tcMar>
                  <w:vAlign w:val="center"/>
                </w:tcPr>
                <w:p w14:paraId="6C072C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417" w:type="pct"/>
                  <w:tcBorders>
                    <w:tl2br w:val="nil"/>
                    <w:tr2bl w:val="nil"/>
                  </w:tcBorders>
                  <w:noWrap w:val="0"/>
                  <w:tcMar>
                    <w:top w:w="0" w:type="dxa"/>
                    <w:left w:w="0" w:type="dxa"/>
                    <w:bottom w:w="0" w:type="dxa"/>
                    <w:right w:w="0" w:type="dxa"/>
                  </w:tcMar>
                  <w:vAlign w:val="center"/>
                </w:tcPr>
                <w:p w14:paraId="0133FC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14:paraId="051AE3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Merge w:val="continue"/>
                  <w:tcBorders>
                    <w:tl2br w:val="nil"/>
                    <w:tr2bl w:val="nil"/>
                  </w:tcBorders>
                  <w:noWrap w:val="0"/>
                  <w:tcMar>
                    <w:top w:w="0" w:type="dxa"/>
                    <w:left w:w="0" w:type="dxa"/>
                    <w:bottom w:w="0" w:type="dxa"/>
                    <w:right w:w="0" w:type="dxa"/>
                  </w:tcMar>
                  <w:vAlign w:val="center"/>
                </w:tcPr>
                <w:p w14:paraId="00CB7F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2695" w:type="pct"/>
                  <w:tcBorders>
                    <w:tl2br w:val="nil"/>
                    <w:tr2bl w:val="nil"/>
                  </w:tcBorders>
                  <w:noWrap w:val="0"/>
                  <w:tcMar>
                    <w:top w:w="0" w:type="dxa"/>
                    <w:left w:w="0" w:type="dxa"/>
                    <w:bottom w:w="0" w:type="dxa"/>
                    <w:right w:w="0" w:type="dxa"/>
                  </w:tcMar>
                  <w:vAlign w:val="center"/>
                </w:tcPr>
                <w:p w14:paraId="2AB515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3．禁燃区要求：在禁燃区内，禁止销售、燃用高污染燃料；禁止新建、扩建燃用高污染燃料的设施，已建成的，应当在城市人民政府规定的期限内改用天然气、页岩气、液化石油气、电或者其他清洁能源。</w:t>
                  </w:r>
                </w:p>
              </w:tc>
              <w:tc>
                <w:tcPr>
                  <w:tcW w:w="1525" w:type="pct"/>
                  <w:vMerge w:val="continue"/>
                  <w:tcBorders>
                    <w:tl2br w:val="nil"/>
                    <w:tr2bl w:val="nil"/>
                  </w:tcBorders>
                  <w:noWrap w:val="0"/>
                  <w:tcMar>
                    <w:top w:w="0" w:type="dxa"/>
                    <w:left w:w="0" w:type="dxa"/>
                    <w:bottom w:w="0" w:type="dxa"/>
                    <w:right w:w="0" w:type="dxa"/>
                  </w:tcMar>
                  <w:vAlign w:val="center"/>
                </w:tcPr>
                <w:p w14:paraId="310386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417" w:type="pct"/>
                  <w:tcBorders>
                    <w:tl2br w:val="nil"/>
                    <w:tr2bl w:val="nil"/>
                  </w:tcBorders>
                  <w:noWrap w:val="0"/>
                  <w:tcMar>
                    <w:top w:w="0" w:type="dxa"/>
                    <w:left w:w="0" w:type="dxa"/>
                    <w:bottom w:w="0" w:type="dxa"/>
                    <w:right w:w="0" w:type="dxa"/>
                  </w:tcMar>
                  <w:vAlign w:val="center"/>
                </w:tcPr>
                <w:p w14:paraId="397989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bl>
          <w:p w14:paraId="7874E9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ascii="Times New Roman" w:hAnsi="Times New Roman" w:eastAsia="宋体" w:cs="Times New Roman"/>
                <w:b/>
                <w:bCs/>
                <w:color w:val="auto"/>
                <w:sz w:val="21"/>
                <w:szCs w:val="21"/>
                <w:lang w:val="en-US" w:eastAsia="zh-CN"/>
              </w:rPr>
              <w:t xml:space="preserve">7 </w:t>
            </w:r>
            <w:r>
              <w:rPr>
                <w:rFonts w:hint="default" w:ascii="Times New Roman" w:hAnsi="Times New Roman" w:eastAsia="宋体" w:cs="Times New Roman"/>
                <w:b/>
                <w:bCs/>
                <w:color w:val="auto"/>
                <w:sz w:val="21"/>
                <w:szCs w:val="21"/>
              </w:rPr>
              <w:t>项目与《江苏省政府关于印发江苏省“三线一单”生态环境分区管控方案的通知》相符性分析</w:t>
            </w:r>
          </w:p>
          <w:tbl>
            <w:tblPr>
              <w:tblStyle w:val="1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108" w:type="dxa"/>
                <w:bottom w:w="28" w:type="dxa"/>
                <w:right w:w="108" w:type="dxa"/>
              </w:tblCellMar>
            </w:tblPr>
            <w:tblGrid>
              <w:gridCol w:w="674"/>
              <w:gridCol w:w="5818"/>
              <w:gridCol w:w="1980"/>
              <w:gridCol w:w="787"/>
            </w:tblGrid>
            <w:tr w14:paraId="06D152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4" w:type="pct"/>
                  <w:tcBorders>
                    <w:tl2br w:val="nil"/>
                    <w:tr2bl w:val="nil"/>
                  </w:tcBorders>
                  <w:noWrap w:val="0"/>
                  <w:vAlign w:val="center"/>
                </w:tcPr>
                <w:p w14:paraId="180F122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管控类别</w:t>
                  </w:r>
                </w:p>
              </w:tc>
              <w:tc>
                <w:tcPr>
                  <w:tcW w:w="3142" w:type="pct"/>
                  <w:tcBorders>
                    <w:tl2br w:val="nil"/>
                    <w:tr2bl w:val="nil"/>
                  </w:tcBorders>
                  <w:noWrap w:val="0"/>
                  <w:vAlign w:val="center"/>
                </w:tcPr>
                <w:p w14:paraId="7C7070A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重点管控要求</w:t>
                  </w:r>
                </w:p>
              </w:tc>
              <w:tc>
                <w:tcPr>
                  <w:tcW w:w="1069" w:type="pct"/>
                  <w:tcBorders>
                    <w:tl2br w:val="nil"/>
                    <w:tr2bl w:val="nil"/>
                  </w:tcBorders>
                  <w:noWrap w:val="0"/>
                  <w:vAlign w:val="center"/>
                </w:tcPr>
                <w:p w14:paraId="4C4F50E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cs="Times New Roman"/>
                      <w:b/>
                      <w:bCs/>
                      <w:color w:val="auto"/>
                      <w:sz w:val="21"/>
                      <w:szCs w:val="21"/>
                    </w:rPr>
                    <w:t>本项目</w:t>
                  </w:r>
                </w:p>
              </w:tc>
              <w:tc>
                <w:tcPr>
                  <w:tcW w:w="423" w:type="pct"/>
                  <w:tcBorders>
                    <w:tl2br w:val="nil"/>
                    <w:tr2bl w:val="nil"/>
                  </w:tcBorders>
                  <w:noWrap w:val="0"/>
                  <w:vAlign w:val="center"/>
                </w:tcPr>
                <w:p w14:paraId="7BFC1CB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cs="Times New Roman"/>
                      <w:b/>
                      <w:bCs/>
                      <w:color w:val="auto"/>
                      <w:sz w:val="21"/>
                      <w:szCs w:val="21"/>
                    </w:rPr>
                    <w:t>相符性</w:t>
                  </w:r>
                </w:p>
              </w:tc>
            </w:tr>
            <w:tr w14:paraId="30D0E0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000" w:type="pct"/>
                  <w:gridSpan w:val="4"/>
                  <w:tcBorders>
                    <w:tl2br w:val="nil"/>
                    <w:tr2bl w:val="nil"/>
                  </w:tcBorders>
                  <w:noWrap w:val="0"/>
                  <w:vAlign w:val="center"/>
                </w:tcPr>
                <w:p w14:paraId="324A603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长江流域</w:t>
                  </w:r>
                </w:p>
              </w:tc>
            </w:tr>
            <w:tr w14:paraId="49BF45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4" w:type="pct"/>
                  <w:tcBorders>
                    <w:tl2br w:val="nil"/>
                    <w:tr2bl w:val="nil"/>
                  </w:tcBorders>
                  <w:noWrap w:val="0"/>
                  <w:vAlign w:val="center"/>
                </w:tcPr>
                <w:p w14:paraId="69BA75B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3142" w:type="pct"/>
                  <w:tcBorders>
                    <w:tl2br w:val="nil"/>
                    <w:tr2bl w:val="nil"/>
                  </w:tcBorders>
                  <w:noWrap w:val="0"/>
                  <w:vAlign w:val="center"/>
                </w:tcPr>
                <w:p w14:paraId="3BC964EF">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1、始终把长江生态修复放在首位，坚持共抓大保护、不搞大开发，引导长江流域产业转型升级和布局优化调整，实现科学发展、有序发展、高质量发展。</w:t>
                  </w:r>
                </w:p>
                <w:p w14:paraId="3F2385A1">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44F2F2E7">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3、禁止在沿江地区新建或扩建化学工业园区，禁止新建或扩建以大宗进口油气资源为原料的石油加工、石油化工、基础有机无机化工、煤化工项目；禁止在长江干流和主要支流岸线1公里范围内新建危化品码头。</w:t>
                  </w:r>
                </w:p>
                <w:p w14:paraId="7B4774A8">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4、强化港口布局优化，禁止建设不符合国家港口布局规划和《江苏省沿江沿海港口布局规划（2015-2030年）》《江苏省内河港口布局规划（2017-2035年）》的码头项</w:t>
                  </w:r>
                  <w:r>
                    <w:rPr>
                      <w:rFonts w:hint="default" w:ascii="Times New Roman" w:hAnsi="Times New Roman" w:cs="Times New Roman"/>
                      <w:color w:val="auto"/>
                      <w:sz w:val="21"/>
                      <w:szCs w:val="21"/>
                      <w:lang w:eastAsia="zh-CN"/>
                    </w:rPr>
                    <w:t>目</w:t>
                  </w:r>
                  <w:r>
                    <w:rPr>
                      <w:rFonts w:hint="default" w:ascii="Times New Roman" w:hAnsi="Times New Roman" w:cs="Times New Roman"/>
                      <w:color w:val="auto"/>
                      <w:sz w:val="21"/>
                      <w:szCs w:val="21"/>
                      <w:lang w:val="en-US" w:eastAsia="zh-CN"/>
                    </w:rPr>
                    <w:t>，禁止建设未纳入《长江干线过江通道布局规划》的过江干线通道项目</w:t>
                  </w:r>
                  <w:r>
                    <w:rPr>
                      <w:rFonts w:hint="default" w:ascii="Times New Roman" w:hAnsi="Times New Roman" w:eastAsia="宋体" w:cs="Times New Roman"/>
                      <w:color w:val="auto"/>
                      <w:sz w:val="21"/>
                      <w:szCs w:val="21"/>
                    </w:rPr>
                    <w:t>。</w:t>
                  </w:r>
                </w:p>
                <w:p w14:paraId="7587680A">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5、禁止新建独立焦化项目。</w:t>
                  </w:r>
                </w:p>
              </w:tc>
              <w:tc>
                <w:tcPr>
                  <w:tcW w:w="1069" w:type="pct"/>
                  <w:tcBorders>
                    <w:tl2br w:val="nil"/>
                    <w:tr2bl w:val="nil"/>
                  </w:tcBorders>
                  <w:noWrap w:val="0"/>
                  <w:vAlign w:val="center"/>
                </w:tcPr>
                <w:p w14:paraId="3BE028C1">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eastAsia" w:ascii="Times New Roman" w:hAnsi="Times New Roman" w:cs="Times New Roman"/>
                      <w:color w:val="auto"/>
                      <w:sz w:val="21"/>
                      <w:szCs w:val="21"/>
                      <w:lang w:eastAsia="zh-CN"/>
                    </w:rPr>
                    <w:t>江苏省常州市</w:t>
                  </w:r>
                  <w:r>
                    <w:rPr>
                      <w:rFonts w:hint="eastAsia" w:cs="Times New Roman"/>
                      <w:color w:val="auto"/>
                      <w:sz w:val="21"/>
                      <w:szCs w:val="21"/>
                      <w:lang w:eastAsia="zh-CN"/>
                    </w:rPr>
                    <w:t>金坛区金坛经济开发区珠山路66号</w:t>
                  </w:r>
                  <w:r>
                    <w:rPr>
                      <w:rFonts w:hint="default" w:ascii="Times New Roman" w:hAnsi="Times New Roman" w:eastAsia="宋体" w:cs="Times New Roman"/>
                      <w:color w:val="auto"/>
                      <w:sz w:val="21"/>
                      <w:szCs w:val="21"/>
                    </w:rPr>
                    <w:t>，</w:t>
                  </w:r>
                  <w:r>
                    <w:rPr>
                      <w:rFonts w:hint="default" w:ascii="Times New Roman" w:hAnsi="Times New Roman" w:eastAsia="宋体" w:cs="Times New Roman"/>
                      <w:b w:val="0"/>
                      <w:bCs w:val="0"/>
                      <w:color w:val="auto"/>
                      <w:sz w:val="21"/>
                      <w:szCs w:val="21"/>
                      <w:lang w:eastAsia="zh-CN"/>
                    </w:rPr>
                    <w:t>属于长江流域内</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本项目不属于上述禁止建设的项目。</w:t>
                  </w:r>
                </w:p>
              </w:tc>
              <w:tc>
                <w:tcPr>
                  <w:tcW w:w="423" w:type="pct"/>
                  <w:tcBorders>
                    <w:tl2br w:val="nil"/>
                    <w:tr2bl w:val="nil"/>
                  </w:tcBorders>
                  <w:noWrap w:val="0"/>
                  <w:vAlign w:val="center"/>
                </w:tcPr>
                <w:p w14:paraId="29C3EC7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相符</w:t>
                  </w:r>
                </w:p>
              </w:tc>
            </w:tr>
            <w:tr w14:paraId="3499FA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4" w:type="pct"/>
                  <w:tcBorders>
                    <w:tl2br w:val="nil"/>
                    <w:tr2bl w:val="nil"/>
                  </w:tcBorders>
                  <w:noWrap w:val="0"/>
                  <w:vAlign w:val="center"/>
                </w:tcPr>
                <w:p w14:paraId="3F21FA7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3142" w:type="pct"/>
                  <w:tcBorders>
                    <w:tl2br w:val="nil"/>
                    <w:tr2bl w:val="nil"/>
                  </w:tcBorders>
                  <w:noWrap w:val="0"/>
                  <w:vAlign w:val="center"/>
                </w:tcPr>
                <w:p w14:paraId="0882A7DE">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1、根据《江苏省长江水污染防治条例》实施污染物总量控制制度。</w:t>
                  </w:r>
                </w:p>
                <w:p w14:paraId="70B1A36A">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2、全面加强和规范长江入河排污口管理，有效管控入河污染物排放，形成权责清晰、监控到位、管理规范的长江入河排污口监管体系，加快改善长江水环境质量。</w:t>
                  </w:r>
                </w:p>
              </w:tc>
              <w:tc>
                <w:tcPr>
                  <w:tcW w:w="1069" w:type="pct"/>
                  <w:tcBorders>
                    <w:tl2br w:val="nil"/>
                    <w:tr2bl w:val="nil"/>
                  </w:tcBorders>
                  <w:noWrap w:val="0"/>
                  <w:vAlign w:val="center"/>
                </w:tcPr>
                <w:p w14:paraId="7C97BD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本项目</w:t>
                  </w:r>
                  <w:r>
                    <w:rPr>
                      <w:rFonts w:hint="default" w:ascii="Times New Roman" w:hAnsi="Times New Roman" w:eastAsia="宋体" w:cs="Times New Roman"/>
                      <w:b w:val="0"/>
                      <w:bCs w:val="0"/>
                      <w:color w:val="auto"/>
                      <w:sz w:val="21"/>
                      <w:szCs w:val="21"/>
                      <w:lang w:val="en-US" w:eastAsia="zh-CN"/>
                    </w:rPr>
                    <w:t>实施总量控制，不涉及长江入河排污口。</w:t>
                  </w:r>
                </w:p>
              </w:tc>
              <w:tc>
                <w:tcPr>
                  <w:tcW w:w="423" w:type="pct"/>
                  <w:tcBorders>
                    <w:tl2br w:val="nil"/>
                    <w:tr2bl w:val="nil"/>
                  </w:tcBorders>
                  <w:noWrap w:val="0"/>
                  <w:vAlign w:val="center"/>
                </w:tcPr>
                <w:p w14:paraId="2AB033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color w:val="auto"/>
                      <w:sz w:val="21"/>
                      <w:szCs w:val="21"/>
                    </w:rPr>
                    <w:t>相符</w:t>
                  </w:r>
                </w:p>
              </w:tc>
            </w:tr>
            <w:tr w14:paraId="3549D0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4" w:type="pct"/>
                  <w:tcBorders>
                    <w:tl2br w:val="nil"/>
                    <w:tr2bl w:val="nil"/>
                  </w:tcBorders>
                  <w:noWrap w:val="0"/>
                  <w:vAlign w:val="center"/>
                </w:tcPr>
                <w:p w14:paraId="3A51504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环境风险防控</w:t>
                  </w:r>
                </w:p>
              </w:tc>
              <w:tc>
                <w:tcPr>
                  <w:tcW w:w="3142" w:type="pct"/>
                  <w:tcBorders>
                    <w:tl2br w:val="nil"/>
                    <w:tr2bl w:val="nil"/>
                  </w:tcBorders>
                  <w:noWrap w:val="0"/>
                  <w:vAlign w:val="center"/>
                </w:tcPr>
                <w:p w14:paraId="7F689785">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1、防范沿江环境风险。深化沿江石化、化工、医药、纺织、印染、化纤、危化品和石油类仓储、涉重金属和危险废物处置等重点企业环境风险防控。</w:t>
                  </w:r>
                </w:p>
                <w:p w14:paraId="717D3D36">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2、加强饮用水水源保护。优化水源保护区划定，推动饮用水水源地规范化建设。</w:t>
                  </w:r>
                </w:p>
              </w:tc>
              <w:tc>
                <w:tcPr>
                  <w:tcW w:w="1069" w:type="pct"/>
                  <w:tcBorders>
                    <w:tl2br w:val="nil"/>
                    <w:tr2bl w:val="nil"/>
                  </w:tcBorders>
                  <w:noWrap w:val="0"/>
                  <w:vAlign w:val="center"/>
                </w:tcPr>
                <w:p w14:paraId="4E5BC1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本项目建设单位不属于环境风险防控重点企业。</w:t>
                  </w:r>
                </w:p>
              </w:tc>
              <w:tc>
                <w:tcPr>
                  <w:tcW w:w="423" w:type="pct"/>
                  <w:tcBorders>
                    <w:tl2br w:val="nil"/>
                    <w:tr2bl w:val="nil"/>
                  </w:tcBorders>
                  <w:noWrap w:val="0"/>
                  <w:vAlign w:val="center"/>
                </w:tcPr>
                <w:p w14:paraId="0A7461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color w:val="auto"/>
                      <w:sz w:val="21"/>
                      <w:szCs w:val="21"/>
                    </w:rPr>
                    <w:t>相符</w:t>
                  </w:r>
                </w:p>
              </w:tc>
            </w:tr>
            <w:tr w14:paraId="57B44D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4" w:type="pct"/>
                  <w:tcBorders>
                    <w:tl2br w:val="nil"/>
                    <w:tr2bl w:val="nil"/>
                  </w:tcBorders>
                  <w:noWrap w:val="0"/>
                  <w:vAlign w:val="center"/>
                </w:tcPr>
                <w:p w14:paraId="35C6150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资源利用效率要求</w:t>
                  </w:r>
                </w:p>
              </w:tc>
              <w:tc>
                <w:tcPr>
                  <w:tcW w:w="3142" w:type="pct"/>
                  <w:tcBorders>
                    <w:tl2br w:val="nil"/>
                    <w:tr2bl w:val="nil"/>
                  </w:tcBorders>
                  <w:noWrap w:val="0"/>
                  <w:vAlign w:val="center"/>
                </w:tcPr>
                <w:p w14:paraId="234B9551">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禁止在长江干支流岸线管控范围内新建、扩建化工园区和化工项目。禁止在长江干流岸线和重要支流岸线管控范围内新建、改建、扩建尾矿库，但是以提升安全、生态环境保护水平为目的的改建除外。</w:t>
                  </w:r>
                </w:p>
              </w:tc>
              <w:tc>
                <w:tcPr>
                  <w:tcW w:w="1069" w:type="pct"/>
                  <w:tcBorders>
                    <w:tl2br w:val="nil"/>
                    <w:tr2bl w:val="nil"/>
                  </w:tcBorders>
                  <w:noWrap w:val="0"/>
                  <w:vAlign w:val="center"/>
                </w:tcPr>
                <w:p w14:paraId="116D14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本项目</w:t>
                  </w:r>
                  <w:r>
                    <w:rPr>
                      <w:rFonts w:hint="eastAsia" w:cs="Times New Roman"/>
                      <w:b w:val="0"/>
                      <w:bCs w:val="0"/>
                      <w:color w:val="auto"/>
                      <w:sz w:val="21"/>
                      <w:szCs w:val="21"/>
                      <w:lang w:val="en-US" w:eastAsia="zh-CN"/>
                    </w:rPr>
                    <w:t>不属于</w:t>
                  </w:r>
                  <w:r>
                    <w:rPr>
                      <w:rFonts w:hint="default" w:ascii="Times New Roman" w:hAnsi="Times New Roman" w:eastAsia="宋体" w:cs="Times New Roman"/>
                      <w:color w:val="auto"/>
                      <w:sz w:val="21"/>
                      <w:szCs w:val="21"/>
                    </w:rPr>
                    <w:t>化工项目</w:t>
                  </w:r>
                  <w:r>
                    <w:rPr>
                      <w:rFonts w:hint="eastAsia" w:cs="Times New Roman"/>
                      <w:color w:val="auto"/>
                      <w:sz w:val="21"/>
                      <w:szCs w:val="21"/>
                      <w:lang w:val="en-US" w:eastAsia="zh-CN"/>
                    </w:rPr>
                    <w:t>和</w:t>
                  </w:r>
                  <w:r>
                    <w:rPr>
                      <w:rFonts w:hint="default" w:ascii="Times New Roman" w:hAnsi="Times New Roman" w:eastAsia="宋体" w:cs="Times New Roman"/>
                      <w:color w:val="auto"/>
                      <w:sz w:val="21"/>
                      <w:szCs w:val="21"/>
                    </w:rPr>
                    <w:t>尾矿库</w:t>
                  </w:r>
                  <w:r>
                    <w:rPr>
                      <w:rFonts w:hint="eastAsia" w:cs="Times New Roman"/>
                      <w:color w:val="auto"/>
                      <w:sz w:val="21"/>
                      <w:szCs w:val="21"/>
                      <w:lang w:val="en-US" w:eastAsia="zh-CN"/>
                    </w:rPr>
                    <w:t>项目</w:t>
                  </w:r>
                  <w:r>
                    <w:rPr>
                      <w:rFonts w:hint="default" w:ascii="Times New Roman" w:hAnsi="Times New Roman" w:eastAsia="宋体" w:cs="Times New Roman"/>
                      <w:b w:val="0"/>
                      <w:bCs w:val="0"/>
                      <w:color w:val="auto"/>
                      <w:sz w:val="21"/>
                      <w:szCs w:val="21"/>
                      <w:lang w:eastAsia="zh-CN"/>
                    </w:rPr>
                    <w:t>。</w:t>
                  </w:r>
                </w:p>
              </w:tc>
              <w:tc>
                <w:tcPr>
                  <w:tcW w:w="423" w:type="pct"/>
                  <w:tcBorders>
                    <w:tl2br w:val="nil"/>
                    <w:tr2bl w:val="nil"/>
                  </w:tcBorders>
                  <w:noWrap w:val="0"/>
                  <w:vAlign w:val="center"/>
                </w:tcPr>
                <w:p w14:paraId="4C2BAE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color w:val="auto"/>
                      <w:sz w:val="21"/>
                      <w:szCs w:val="21"/>
                    </w:rPr>
                    <w:t>相符</w:t>
                  </w:r>
                </w:p>
              </w:tc>
            </w:tr>
            <w:tr w14:paraId="7F82B9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000" w:type="pct"/>
                  <w:gridSpan w:val="4"/>
                  <w:tcBorders>
                    <w:tl2br w:val="nil"/>
                    <w:tr2bl w:val="nil"/>
                  </w:tcBorders>
                  <w:noWrap w:val="0"/>
                  <w:vAlign w:val="center"/>
                </w:tcPr>
                <w:p w14:paraId="07AD28D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太湖流域</w:t>
                  </w:r>
                </w:p>
              </w:tc>
            </w:tr>
            <w:tr w14:paraId="06994F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4" w:type="pct"/>
                  <w:tcBorders>
                    <w:tl2br w:val="nil"/>
                    <w:tr2bl w:val="nil"/>
                  </w:tcBorders>
                  <w:noWrap w:val="0"/>
                  <w:vAlign w:val="center"/>
                </w:tcPr>
                <w:p w14:paraId="4F81759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3142" w:type="pct"/>
                  <w:tcBorders>
                    <w:tl2br w:val="nil"/>
                    <w:tr2bl w:val="nil"/>
                  </w:tcBorders>
                  <w:noWrap w:val="0"/>
                  <w:vAlign w:val="center"/>
                </w:tcPr>
                <w:p w14:paraId="06C51C37">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0C811258">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在</w:t>
                  </w:r>
                  <w:r>
                    <w:rPr>
                      <w:rFonts w:hint="eastAsia" w:ascii="Times New Roman" w:hAnsi="Times New Roman" w:eastAsia="宋体" w:cs="Times New Roman"/>
                      <w:color w:val="auto"/>
                      <w:sz w:val="21"/>
                      <w:szCs w:val="21"/>
                      <w:lang w:eastAsia="zh-CN"/>
                    </w:rPr>
                    <w:t>太湖流域</w:t>
                  </w:r>
                  <w:r>
                    <w:rPr>
                      <w:rFonts w:hint="default" w:ascii="Times New Roman" w:hAnsi="Times New Roman" w:eastAsia="宋体" w:cs="Times New Roman"/>
                      <w:color w:val="auto"/>
                      <w:sz w:val="21"/>
                      <w:szCs w:val="21"/>
                    </w:rPr>
                    <w:t>一级保护区，禁止新建、扩建向水体排放污染物的建设项目，禁止新建、扩建畜禽养殖场，禁止新建、扩建高尔夫球场、水上游乐等开发项目以及设置水上餐饮经营设施。</w:t>
                  </w:r>
                </w:p>
                <w:p w14:paraId="3F4A4DE3">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在太湖流域二级保护区，禁止新建、扩建化工、医药生产项目，禁止新建、扩建污水集中处理设施排污口以外的排污口。</w:t>
                  </w:r>
                </w:p>
              </w:tc>
              <w:tc>
                <w:tcPr>
                  <w:tcW w:w="1069" w:type="pct"/>
                  <w:tcBorders>
                    <w:tl2br w:val="nil"/>
                    <w:tr2bl w:val="nil"/>
                  </w:tcBorders>
                  <w:noWrap w:val="0"/>
                  <w:vAlign w:val="center"/>
                </w:tcPr>
                <w:p w14:paraId="6B4C3F0A">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eastAsia" w:ascii="Times New Roman" w:hAnsi="Times New Roman" w:cs="Times New Roman"/>
                      <w:color w:val="auto"/>
                      <w:sz w:val="21"/>
                      <w:szCs w:val="21"/>
                      <w:lang w:eastAsia="zh-CN"/>
                    </w:rPr>
                    <w:t>江苏省常州市</w:t>
                  </w:r>
                  <w:r>
                    <w:rPr>
                      <w:rFonts w:hint="eastAsia" w:cs="Times New Roman"/>
                      <w:color w:val="auto"/>
                      <w:sz w:val="21"/>
                      <w:szCs w:val="21"/>
                      <w:lang w:eastAsia="zh-CN"/>
                    </w:rPr>
                    <w:t>金坛区金坛经济开发区珠山路66号，</w:t>
                  </w:r>
                  <w:r>
                    <w:rPr>
                      <w:rFonts w:hint="default" w:ascii="Times New Roman" w:hAnsi="Times New Roman" w:eastAsia="宋体" w:cs="Times New Roman"/>
                      <w:color w:val="auto"/>
                      <w:sz w:val="21"/>
                      <w:szCs w:val="21"/>
                    </w:rPr>
                    <w:t>属于太湖流域三级保护区；本项目</w:t>
                  </w:r>
                  <w:r>
                    <w:rPr>
                      <w:rFonts w:hint="default" w:ascii="Times New Roman" w:hAnsi="Times New Roman" w:eastAsia="宋体" w:cs="Times New Roman"/>
                      <w:b w:val="0"/>
                      <w:bCs w:val="0"/>
                      <w:color w:val="auto"/>
                      <w:sz w:val="21"/>
                      <w:szCs w:val="21"/>
                      <w:lang w:val="en-US" w:eastAsia="zh-CN"/>
                    </w:rPr>
                    <w:t>不属于禁止新建的行业</w:t>
                  </w:r>
                  <w:r>
                    <w:rPr>
                      <w:rFonts w:hint="default" w:ascii="Times New Roman" w:hAnsi="Times New Roman" w:eastAsia="宋体" w:cs="Times New Roman"/>
                      <w:color w:val="auto"/>
                      <w:sz w:val="21"/>
                      <w:szCs w:val="21"/>
                    </w:rPr>
                    <w:t>，</w:t>
                  </w:r>
                  <w:r>
                    <w:rPr>
                      <w:rFonts w:hint="default" w:ascii="Times New Roman" w:hAnsi="Times New Roman" w:eastAsia="宋体" w:cs="Times New Roman"/>
                      <w:b w:val="0"/>
                      <w:bCs w:val="0"/>
                      <w:color w:val="auto"/>
                      <w:sz w:val="21"/>
                      <w:szCs w:val="21"/>
                      <w:lang w:val="en-US" w:eastAsia="zh-CN"/>
                    </w:rPr>
                    <w:t>无含磷、氮生产废水排放</w:t>
                  </w:r>
                  <w:r>
                    <w:rPr>
                      <w:rFonts w:hint="default" w:ascii="Times New Roman" w:hAnsi="Times New Roman" w:eastAsia="宋体" w:cs="Times New Roman"/>
                      <w:color w:val="auto"/>
                      <w:sz w:val="21"/>
                      <w:szCs w:val="21"/>
                    </w:rPr>
                    <w:t>。</w:t>
                  </w:r>
                </w:p>
              </w:tc>
              <w:tc>
                <w:tcPr>
                  <w:tcW w:w="423" w:type="pct"/>
                  <w:tcBorders>
                    <w:tl2br w:val="nil"/>
                    <w:tr2bl w:val="nil"/>
                  </w:tcBorders>
                  <w:noWrap w:val="0"/>
                  <w:vAlign w:val="center"/>
                </w:tcPr>
                <w:p w14:paraId="07E4AF7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相符</w:t>
                  </w:r>
                </w:p>
              </w:tc>
            </w:tr>
            <w:tr w14:paraId="01E715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4" w:type="pct"/>
                  <w:tcBorders>
                    <w:tl2br w:val="nil"/>
                    <w:tr2bl w:val="nil"/>
                  </w:tcBorders>
                  <w:noWrap w:val="0"/>
                  <w:vAlign w:val="center"/>
                </w:tcPr>
                <w:p w14:paraId="67ED204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3142" w:type="pct"/>
                  <w:tcBorders>
                    <w:tl2br w:val="nil"/>
                    <w:tr2bl w:val="nil"/>
                  </w:tcBorders>
                  <w:noWrap w:val="0"/>
                  <w:vAlign w:val="center"/>
                </w:tcPr>
                <w:p w14:paraId="65987311">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城镇污水处理厂、纺织工业、化学工业、造纸工业、钢铁工业、电镀工业和食品工业的污水处理设施执行《太湖地区城镇污水处理厂及重点工业行业主要水污染物排放限值》。</w:t>
                  </w:r>
                </w:p>
              </w:tc>
              <w:tc>
                <w:tcPr>
                  <w:tcW w:w="1069" w:type="pct"/>
                  <w:tcBorders>
                    <w:tl2br w:val="nil"/>
                    <w:tr2bl w:val="nil"/>
                  </w:tcBorders>
                  <w:noWrap w:val="0"/>
                  <w:vAlign w:val="center"/>
                </w:tcPr>
                <w:p w14:paraId="01A878ED">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本项目不属于上述行业。</w:t>
                  </w:r>
                </w:p>
              </w:tc>
              <w:tc>
                <w:tcPr>
                  <w:tcW w:w="423" w:type="pct"/>
                  <w:tcBorders>
                    <w:tl2br w:val="nil"/>
                    <w:tr2bl w:val="nil"/>
                  </w:tcBorders>
                  <w:noWrap w:val="0"/>
                  <w:vAlign w:val="center"/>
                </w:tcPr>
                <w:p w14:paraId="66B62BF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相符</w:t>
                  </w:r>
                </w:p>
              </w:tc>
            </w:tr>
            <w:tr w14:paraId="67BEB9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4" w:type="pct"/>
                  <w:tcBorders>
                    <w:tl2br w:val="nil"/>
                    <w:tr2bl w:val="nil"/>
                  </w:tcBorders>
                  <w:noWrap w:val="0"/>
                  <w:vAlign w:val="center"/>
                </w:tcPr>
                <w:p w14:paraId="6E3BEA3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环境风险防控</w:t>
                  </w:r>
                </w:p>
              </w:tc>
              <w:tc>
                <w:tcPr>
                  <w:tcW w:w="3142" w:type="pct"/>
                  <w:tcBorders>
                    <w:tl2br w:val="nil"/>
                    <w:tr2bl w:val="nil"/>
                  </w:tcBorders>
                  <w:noWrap w:val="0"/>
                  <w:vAlign w:val="center"/>
                </w:tcPr>
                <w:p w14:paraId="5B269EB7">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1、运输剧毒物质、危险化学品的船舶不得进入太湖。</w:t>
                  </w:r>
                </w:p>
                <w:p w14:paraId="370E19C6">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2、禁止向太湖流域水体排放或者倾倒油类、酸液、碱液、剧毒废渣废液、含放射性废渣废液、含病原体污水、工业废渣以及其他废弃物。</w:t>
                  </w:r>
                </w:p>
                <w:p w14:paraId="6169DF53">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3、加强太湖流域生态环境风险应急管控，着力提高防控太湖蓝藻水华风险预警和应急处置能力。</w:t>
                  </w:r>
                </w:p>
              </w:tc>
              <w:tc>
                <w:tcPr>
                  <w:tcW w:w="1069" w:type="pct"/>
                  <w:tcBorders>
                    <w:tl2br w:val="nil"/>
                    <w:tr2bl w:val="nil"/>
                  </w:tcBorders>
                  <w:noWrap w:val="0"/>
                  <w:vAlign w:val="center"/>
                </w:tcPr>
                <w:p w14:paraId="7079E1AE">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本项目</w:t>
                  </w:r>
                  <w:r>
                    <w:rPr>
                      <w:rFonts w:hint="default" w:ascii="Times New Roman" w:hAnsi="Times New Roman" w:eastAsia="宋体" w:cs="Times New Roman"/>
                      <w:b w:val="0"/>
                      <w:bCs w:val="0"/>
                      <w:color w:val="auto"/>
                      <w:sz w:val="21"/>
                      <w:szCs w:val="21"/>
                      <w:lang w:val="en-US" w:eastAsia="zh-CN"/>
                    </w:rPr>
                    <w:t>不涉及文件中相关行为</w:t>
                  </w:r>
                  <w:r>
                    <w:rPr>
                      <w:rFonts w:hint="default" w:ascii="Times New Roman" w:hAnsi="Times New Roman" w:eastAsia="宋体" w:cs="Times New Roman"/>
                      <w:color w:val="auto"/>
                      <w:sz w:val="21"/>
                      <w:szCs w:val="21"/>
                    </w:rPr>
                    <w:t>。</w:t>
                  </w:r>
                </w:p>
              </w:tc>
              <w:tc>
                <w:tcPr>
                  <w:tcW w:w="423" w:type="pct"/>
                  <w:tcBorders>
                    <w:tl2br w:val="nil"/>
                    <w:tr2bl w:val="nil"/>
                  </w:tcBorders>
                  <w:noWrap w:val="0"/>
                  <w:vAlign w:val="center"/>
                </w:tcPr>
                <w:p w14:paraId="32EF39F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color w:val="auto"/>
                      <w:sz w:val="21"/>
                      <w:szCs w:val="21"/>
                    </w:rPr>
                    <w:t>相符</w:t>
                  </w:r>
                </w:p>
              </w:tc>
            </w:tr>
            <w:tr w14:paraId="36D821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64" w:type="pct"/>
                  <w:tcBorders>
                    <w:tl2br w:val="nil"/>
                    <w:tr2bl w:val="nil"/>
                  </w:tcBorders>
                  <w:noWrap w:val="0"/>
                  <w:vAlign w:val="center"/>
                </w:tcPr>
                <w:p w14:paraId="5D908A4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资源利用效率要求</w:t>
                  </w:r>
                </w:p>
              </w:tc>
              <w:tc>
                <w:tcPr>
                  <w:tcW w:w="3142" w:type="pct"/>
                  <w:tcBorders>
                    <w:tl2br w:val="nil"/>
                    <w:tr2bl w:val="nil"/>
                  </w:tcBorders>
                  <w:noWrap w:val="0"/>
                  <w:vAlign w:val="center"/>
                </w:tcPr>
                <w:p w14:paraId="3DF3E9B3">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1.严格用水定额管理制度，推进取用水规范化管理，科学制定用水定额并动态调整，对超过用水定额标准的企业分类分步先期实施节水改造，鼓励重点用水企业、园区建立智慧用水管理系统。</w:t>
                  </w:r>
                </w:p>
                <w:p w14:paraId="77BAAE3C">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 推进新孟河、新沟河、望虞河、走马塘等河道联合调度，科学调控太湖水位。</w:t>
                  </w:r>
                </w:p>
              </w:tc>
              <w:tc>
                <w:tcPr>
                  <w:tcW w:w="1069" w:type="pct"/>
                  <w:tcBorders>
                    <w:tl2br w:val="nil"/>
                    <w:tr2bl w:val="nil"/>
                  </w:tcBorders>
                  <w:noWrap w:val="0"/>
                  <w:vAlign w:val="center"/>
                </w:tcPr>
                <w:p w14:paraId="6344BC2A">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当地自来水厂能够满足本项目用水需求</w:t>
                  </w:r>
                  <w:r>
                    <w:rPr>
                      <w:rFonts w:hint="default" w:ascii="Times New Roman" w:hAnsi="Times New Roman" w:eastAsia="宋体" w:cs="Times New Roman"/>
                      <w:color w:val="auto"/>
                      <w:sz w:val="21"/>
                      <w:szCs w:val="21"/>
                    </w:rPr>
                    <w:t>。</w:t>
                  </w:r>
                </w:p>
              </w:tc>
              <w:tc>
                <w:tcPr>
                  <w:tcW w:w="423" w:type="pct"/>
                  <w:tcBorders>
                    <w:tl2br w:val="nil"/>
                    <w:tr2bl w:val="nil"/>
                  </w:tcBorders>
                  <w:noWrap w:val="0"/>
                  <w:vAlign w:val="center"/>
                </w:tcPr>
                <w:p w14:paraId="72504B3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s="Times New Roman"/>
                      <w:b w:val="0"/>
                      <w:bCs w:val="0"/>
                      <w:color w:val="auto"/>
                      <w:sz w:val="21"/>
                      <w:szCs w:val="21"/>
                      <w:lang w:val="en-US" w:eastAsia="zh-CN"/>
                    </w:rPr>
                  </w:pPr>
                  <w:r>
                    <w:rPr>
                      <w:rFonts w:hint="default" w:ascii="Times New Roman" w:hAnsi="Times New Roman" w:cs="Times New Roman"/>
                      <w:color w:val="auto"/>
                      <w:sz w:val="21"/>
                      <w:szCs w:val="21"/>
                    </w:rPr>
                    <w:t>相符</w:t>
                  </w:r>
                </w:p>
              </w:tc>
            </w:tr>
          </w:tbl>
          <w:p w14:paraId="67436BE7">
            <w:pPr>
              <w:keepNext w:val="0"/>
              <w:keepLines w:val="0"/>
              <w:pageBreakBefore w:val="0"/>
              <w:widowControl w:val="0"/>
              <w:kinsoku/>
              <w:wordWrap/>
              <w:overflowPunct/>
              <w:topLinePunct w:val="0"/>
              <w:autoSpaceDE w:val="0"/>
              <w:autoSpaceDN w:val="0"/>
              <w:bidi w:val="0"/>
              <w:snapToGrid w:val="0"/>
              <w:spacing w:line="480" w:lineRule="exact"/>
              <w:textAlignment w:val="auto"/>
              <w:rPr>
                <w:rFonts w:hint="default"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6、</w:t>
            </w:r>
            <w:r>
              <w:rPr>
                <w:rFonts w:hint="default" w:ascii="Times New Roman" w:hAnsi="Times New Roman" w:eastAsia="宋体" w:cs="Times New Roman"/>
                <w:b/>
                <w:color w:val="auto"/>
                <w:sz w:val="24"/>
                <w:szCs w:val="24"/>
              </w:rPr>
              <w:t>与</w:t>
            </w:r>
            <w:r>
              <w:rPr>
                <w:rFonts w:hint="default" w:ascii="Times New Roman" w:hAnsi="Times New Roman" w:cs="Times New Roman"/>
                <w:b/>
                <w:color w:val="auto"/>
                <w:sz w:val="24"/>
                <w:szCs w:val="24"/>
                <w:lang w:eastAsia="zh-CN"/>
              </w:rPr>
              <w:t>《常州市生态环境分区管控动态更新成果》（2023年版）</w:t>
            </w:r>
            <w:r>
              <w:rPr>
                <w:rFonts w:hint="default" w:ascii="Times New Roman" w:hAnsi="Times New Roman" w:eastAsia="宋体" w:cs="Times New Roman"/>
                <w:b/>
                <w:color w:val="auto"/>
                <w:sz w:val="24"/>
                <w:szCs w:val="24"/>
              </w:rPr>
              <w:t>相符性分析</w:t>
            </w:r>
          </w:p>
          <w:p w14:paraId="032E7CF9">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本项目位于</w:t>
            </w:r>
            <w:r>
              <w:rPr>
                <w:rFonts w:hint="default" w:ascii="Times New Roman" w:hAnsi="Times New Roman" w:eastAsia="宋体" w:cs="Times New Roman"/>
                <w:bCs/>
                <w:color w:val="auto"/>
                <w:sz w:val="24"/>
                <w:szCs w:val="24"/>
                <w:lang w:eastAsia="zh-CN"/>
              </w:rPr>
              <w:t>江苏省常州市</w:t>
            </w:r>
            <w:r>
              <w:rPr>
                <w:rFonts w:hint="eastAsia" w:cs="Times New Roman"/>
                <w:bCs/>
                <w:color w:val="auto"/>
                <w:sz w:val="24"/>
                <w:szCs w:val="24"/>
                <w:lang w:eastAsia="zh-CN"/>
              </w:rPr>
              <w:t>金坛区金坛经济开发区珠山路66号</w:t>
            </w:r>
            <w:r>
              <w:rPr>
                <w:rFonts w:hint="default" w:ascii="Times New Roman" w:hAnsi="Times New Roman" w:eastAsia="宋体" w:cs="Times New Roman"/>
                <w:bCs/>
                <w:color w:val="auto"/>
                <w:sz w:val="24"/>
                <w:szCs w:val="24"/>
              </w:rPr>
              <w:t>，根据《常州市“三线一单”生态环境分区管控实施方案》附件3中常州市环境管控单元名</w:t>
            </w:r>
            <w:r>
              <w:rPr>
                <w:rFonts w:hint="default" w:ascii="Times New Roman" w:hAnsi="Times New Roman" w:eastAsia="宋体" w:cs="Times New Roman"/>
                <w:bCs/>
                <w:color w:val="auto"/>
                <w:sz w:val="24"/>
                <w:szCs w:val="24"/>
                <w:lang w:eastAsia="zh-CN"/>
              </w:rPr>
              <w:t>录，</w:t>
            </w:r>
            <w:r>
              <w:rPr>
                <w:rFonts w:hint="eastAsia" w:ascii="Times New Roman" w:hAnsi="Times New Roman" w:eastAsia="宋体" w:cs="Times New Roman"/>
                <w:bCs/>
                <w:color w:val="auto"/>
                <w:sz w:val="24"/>
                <w:szCs w:val="24"/>
                <w:lang w:val="en-US" w:eastAsia="zh-CN"/>
              </w:rPr>
              <w:t>本项目位于金坛经济开发区，</w:t>
            </w:r>
            <w:r>
              <w:rPr>
                <w:rFonts w:hint="default" w:ascii="Times New Roman" w:hAnsi="Times New Roman" w:eastAsia="宋体" w:cs="Times New Roman"/>
                <w:color w:val="auto"/>
                <w:sz w:val="24"/>
                <w:szCs w:val="24"/>
                <w:lang w:eastAsia="zh-CN"/>
              </w:rPr>
              <w:t>属于“重点管控单元”。具体环境管控单元准入清单见下表。</w:t>
            </w:r>
          </w:p>
          <w:p w14:paraId="7AFFAE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8 </w:t>
            </w:r>
            <w:r>
              <w:rPr>
                <w:rFonts w:hint="default" w:ascii="Times New Roman" w:hAnsi="Times New Roman" w:eastAsia="宋体" w:cs="Times New Roman"/>
                <w:b/>
                <w:bCs/>
                <w:color w:val="auto"/>
                <w:sz w:val="21"/>
                <w:szCs w:val="21"/>
              </w:rPr>
              <w:t>与</w:t>
            </w:r>
            <w:r>
              <w:rPr>
                <w:rFonts w:hint="default" w:ascii="Times New Roman" w:hAnsi="Times New Roman" w:eastAsia="宋体" w:cs="Times New Roman"/>
                <w:b/>
                <w:bCs/>
                <w:color w:val="auto"/>
                <w:sz w:val="21"/>
                <w:szCs w:val="21"/>
                <w:lang w:eastAsia="zh-CN"/>
              </w:rPr>
              <w:t>《常州市生态环境分区管控动态更新成果》（2023年版）</w:t>
            </w:r>
            <w:r>
              <w:rPr>
                <w:rFonts w:hint="default" w:ascii="Times New Roman" w:hAnsi="Times New Roman" w:eastAsia="宋体" w:cs="Times New Roman"/>
                <w:b/>
                <w:bCs/>
                <w:color w:val="auto"/>
                <w:sz w:val="21"/>
                <w:szCs w:val="21"/>
              </w:rPr>
              <w:t>相符性分析</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5046"/>
              <w:gridCol w:w="2734"/>
              <w:gridCol w:w="784"/>
            </w:tblGrid>
            <w:tr w14:paraId="22DBBD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noWrap w:val="0"/>
                  <w:vAlign w:val="center"/>
                </w:tcPr>
                <w:p w14:paraId="7553EB7B">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管控类别</w:t>
                  </w:r>
                </w:p>
              </w:tc>
              <w:tc>
                <w:tcPr>
                  <w:tcW w:w="2722" w:type="pct"/>
                  <w:noWrap w:val="0"/>
                  <w:vAlign w:val="center"/>
                </w:tcPr>
                <w:p w14:paraId="043A58C2">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重点管控要求</w:t>
                  </w:r>
                </w:p>
              </w:tc>
              <w:tc>
                <w:tcPr>
                  <w:tcW w:w="1475" w:type="pct"/>
                  <w:noWrap w:val="0"/>
                  <w:vAlign w:val="center"/>
                </w:tcPr>
                <w:p w14:paraId="608B2888">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对照分析</w:t>
                  </w:r>
                </w:p>
              </w:tc>
              <w:tc>
                <w:tcPr>
                  <w:tcW w:w="423" w:type="pct"/>
                  <w:noWrap w:val="0"/>
                  <w:vAlign w:val="center"/>
                </w:tcPr>
                <w:p w14:paraId="2B6D193D">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相符性</w:t>
                  </w:r>
                </w:p>
              </w:tc>
            </w:tr>
            <w:tr w14:paraId="0B08C6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4" w:hRule="atLeast"/>
                <w:jc w:val="center"/>
              </w:trPr>
              <w:tc>
                <w:tcPr>
                  <w:tcW w:w="378" w:type="pct"/>
                  <w:noWrap w:val="0"/>
                  <w:vAlign w:val="center"/>
                </w:tcPr>
                <w:p w14:paraId="5C0329B1">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空间布局约束</w:t>
                  </w:r>
                </w:p>
              </w:tc>
              <w:tc>
                <w:tcPr>
                  <w:tcW w:w="2722" w:type="pct"/>
                  <w:noWrap w:val="0"/>
                  <w:vAlign w:val="center"/>
                </w:tcPr>
                <w:p w14:paraId="039B490E">
                  <w:pPr>
                    <w:pStyle w:val="23"/>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（1）严格执行《江苏省“三线一单”生态环境分区管控方案》（苏政发〔2020〕49号）附件3江苏省省域生态环境管控要求中“空间布局约束”的相关要求。</w:t>
                  </w:r>
                </w:p>
                <w:p w14:paraId="67841272">
                  <w:pPr>
                    <w:pStyle w:val="23"/>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（2）严格执行《关于印发各设区市2023年深入打好污染防治攻坚战目标任务书的通知》（苏污防攻坚指办〔2023〕53号）《2023年常州市生态文明建设工作方案》（常政发〔2023〕23号）等文件要求。</w:t>
                  </w:r>
                </w:p>
                <w:p w14:paraId="56D37815">
                  <w:pPr>
                    <w:pStyle w:val="23"/>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（3）禁止引进：列入《产业结构调整指导目录（20</w:t>
                  </w:r>
                  <w:r>
                    <w:rPr>
                      <w:rFonts w:hint="eastAsia"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年本）》、《江苏省产业结构调整限制、淘汰和禁止目录》、《江苏省工业和信息产业结构调整、限制、淘汰目录及能耗限额》淘汰类的产业；列入《外商投资产业指导目录》禁止类的产业。</w:t>
                  </w:r>
                </w:p>
                <w:p w14:paraId="4F40F7CC">
                  <w:pPr>
                    <w:pStyle w:val="23"/>
                    <w:ind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（4）根据《长江经济带发展负面清单指南</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试行，2022年版</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江苏省实施细则：禁止在距离长江干支流岸线一公里范围内新建、扩建化工园区和化工项目；禁止在长江干流岸线三公里范围内新建、改建、扩建尾矿库、冶炼渣库和磷石膏库，以提升安全、生态环境保护水平为目的的改建除外；禁止在太湖流域一、二、三级保护区内开展《江苏省太湖水污染防治条例》禁止的投资建设活动；禁止在沿江地区新建、扩建未纳入国家和省布局规划的燃煤发电项目；禁止在合规园区外新建、扩建钢铁、石化、化工、焦化、建材、有色、制浆造纸等高污染项目；禁止在取消化工定位的园区</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集中区</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内新建化工项目。</w:t>
                  </w:r>
                </w:p>
              </w:tc>
              <w:tc>
                <w:tcPr>
                  <w:tcW w:w="1475" w:type="pct"/>
                  <w:noWrap w:val="0"/>
                  <w:vAlign w:val="center"/>
                </w:tcPr>
                <w:p w14:paraId="5DCFEB46">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1、本项目满足《江苏省“三线一单”生态环境分区管控方案》（苏政发〔2020〕49号）附件3江苏省省域生态环境管控要求中“空间布局约束”的相关要求；</w:t>
                  </w:r>
                </w:p>
                <w:p w14:paraId="1196E1DD">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2、本项目满足《关于印发各设区市2023年深入打好污染防治攻坚战目标任务书的通知》（苏污防攻坚指办〔2023〕53号）《2023年常州市生态文明建设工作方案》（常政发〔2023〕23号）等文件要求；</w:t>
                  </w:r>
                </w:p>
                <w:p w14:paraId="08AA574C">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3、本项目不属于管控要求中所列相关禁止类或淘汰类产业；</w:t>
                  </w:r>
                </w:p>
                <w:p w14:paraId="78E22552">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4、本项目位于</w:t>
                  </w:r>
                  <w:r>
                    <w:rPr>
                      <w:rFonts w:hint="eastAsia" w:ascii="Times New Roman" w:hAnsi="Times New Roman" w:eastAsia="宋体" w:cs="Times New Roman"/>
                      <w:color w:val="auto"/>
                      <w:sz w:val="21"/>
                      <w:szCs w:val="21"/>
                      <w:highlight w:val="none"/>
                      <w:lang w:eastAsia="zh-CN"/>
                    </w:rPr>
                    <w:t>江苏省常州市</w:t>
                  </w:r>
                  <w:r>
                    <w:rPr>
                      <w:rFonts w:hint="eastAsia" w:cs="Times New Roman"/>
                      <w:color w:val="auto"/>
                      <w:sz w:val="21"/>
                      <w:szCs w:val="21"/>
                      <w:highlight w:val="none"/>
                      <w:lang w:eastAsia="zh-CN"/>
                    </w:rPr>
                    <w:t>金坛区金坛经济开发区珠山路66号</w:t>
                  </w:r>
                  <w:r>
                    <w:rPr>
                      <w:rFonts w:hint="default" w:ascii="Times New Roman" w:hAnsi="Times New Roman" w:eastAsia="宋体" w:cs="Times New Roman"/>
                      <w:color w:val="auto"/>
                      <w:sz w:val="21"/>
                      <w:szCs w:val="21"/>
                      <w:highlight w:val="none"/>
                    </w:rPr>
                    <w:t>，不在长江干支流1公里范围内</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不在</w:t>
                  </w:r>
                  <w:r>
                    <w:rPr>
                      <w:rFonts w:hint="default" w:ascii="Times New Roman" w:hAnsi="Times New Roman" w:eastAsia="宋体" w:cs="Times New Roman"/>
                      <w:color w:val="auto"/>
                      <w:sz w:val="21"/>
                      <w:szCs w:val="21"/>
                      <w:highlight w:val="none"/>
                    </w:rPr>
                    <w:t>长江干流岸线三公里范围内</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在</w:t>
                  </w:r>
                  <w:r>
                    <w:rPr>
                      <w:rFonts w:hint="default" w:ascii="Times New Roman" w:hAnsi="Times New Roman" w:eastAsia="宋体" w:cs="Times New Roman"/>
                      <w:color w:val="auto"/>
                      <w:sz w:val="21"/>
                      <w:szCs w:val="21"/>
                      <w:highlight w:val="none"/>
                    </w:rPr>
                    <w:t>太湖流域三级保护区内</w:t>
                  </w:r>
                  <w:r>
                    <w:rPr>
                      <w:rFonts w:hint="default" w:ascii="Times New Roman" w:hAnsi="Times New Roman" w:eastAsia="宋体" w:cs="Times New Roman"/>
                      <w:color w:val="auto"/>
                      <w:sz w:val="21"/>
                      <w:szCs w:val="21"/>
                      <w:highlight w:val="none"/>
                      <w:lang w:eastAsia="zh-CN"/>
                    </w:rPr>
                    <w:t>。</w:t>
                  </w:r>
                </w:p>
              </w:tc>
              <w:tc>
                <w:tcPr>
                  <w:tcW w:w="423" w:type="pct"/>
                  <w:noWrap w:val="0"/>
                  <w:vAlign w:val="center"/>
                </w:tcPr>
                <w:p w14:paraId="20761548">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相符</w:t>
                  </w:r>
                </w:p>
              </w:tc>
            </w:tr>
            <w:tr w14:paraId="071711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noWrap w:val="0"/>
                  <w:vAlign w:val="center"/>
                </w:tcPr>
                <w:p w14:paraId="2C5C62D0">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污染物排放管控</w:t>
                  </w:r>
                </w:p>
              </w:tc>
              <w:tc>
                <w:tcPr>
                  <w:tcW w:w="2722" w:type="pct"/>
                  <w:noWrap w:val="0"/>
                  <w:vAlign w:val="center"/>
                </w:tcPr>
                <w:p w14:paraId="2CAAC278">
                  <w:pPr>
                    <w:pStyle w:val="23"/>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（1）坚持生态环境质量只能更好、不能变坏，实施污染物总量控制，以环境容量定产业、定项目、定规模，确保开发建设行为不突破生态环境承载力。</w:t>
                  </w:r>
                </w:p>
                <w:p w14:paraId="326D3D10">
                  <w:pPr>
                    <w:pStyle w:val="23"/>
                    <w:ind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常州市“十四五”生态环境保护规划》（常政办发〔2021〕130号），到2025年，常州市主要污染物减排满足省下达指标要求。全面贯彻落实《江苏省工业园区（集中区）污染物排放限值限量管理工作方案（试行）》（苏环办〔2021〕232号），完善工业园区主要污染物排放总量控制措施，实现主要污染物排放浓度和总量“双控”。</w:t>
                  </w:r>
                </w:p>
              </w:tc>
              <w:tc>
                <w:tcPr>
                  <w:tcW w:w="1475" w:type="pct"/>
                  <w:noWrap w:val="0"/>
                  <w:vAlign w:val="center"/>
                </w:tcPr>
                <w:p w14:paraId="215B36C7">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bCs/>
                      <w:color w:val="auto"/>
                      <w:sz w:val="21"/>
                      <w:szCs w:val="21"/>
                      <w:highlight w:val="none"/>
                    </w:rPr>
                    <w:t>本项目</w:t>
                  </w:r>
                  <w:r>
                    <w:rPr>
                      <w:rFonts w:hint="eastAsia" w:cs="Times New Roman"/>
                      <w:bCs/>
                      <w:color w:val="auto"/>
                      <w:sz w:val="21"/>
                      <w:szCs w:val="21"/>
                      <w:highlight w:val="none"/>
                      <w:lang w:val="en-US" w:eastAsia="zh-CN"/>
                    </w:rPr>
                    <w:t>无生产废水</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bCs/>
                      <w:color w:val="auto"/>
                      <w:sz w:val="21"/>
                      <w:szCs w:val="21"/>
                      <w:highlight w:val="none"/>
                    </w:rPr>
                    <w:t>生活污水经接管至常州市金坛区第二污水处理厂集中处理。</w:t>
                  </w:r>
                  <w:r>
                    <w:rPr>
                      <w:rFonts w:hint="default" w:ascii="Times New Roman" w:hAnsi="Times New Roman" w:eastAsia="宋体" w:cs="Times New Roman"/>
                      <w:color w:val="auto"/>
                      <w:sz w:val="21"/>
                      <w:szCs w:val="21"/>
                      <w:highlight w:val="none"/>
                    </w:rPr>
                    <w:t>本项目废气均达标排放，不属于禁止建设的产业，建设行为不突破生态环境承载力。</w:t>
                  </w:r>
                </w:p>
                <w:p w14:paraId="3A7C5EFF">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2、目前，本项目处于环评编制阶段，在环评审批前将严格落实主要污染物排放总量指标控制制度，取得主要污染物排放总量的控制指标和平衡方案，故符合文件要求。</w:t>
                  </w:r>
                </w:p>
              </w:tc>
              <w:tc>
                <w:tcPr>
                  <w:tcW w:w="423" w:type="pct"/>
                  <w:noWrap w:val="0"/>
                  <w:vAlign w:val="center"/>
                </w:tcPr>
                <w:p w14:paraId="4EB04767">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相符</w:t>
                  </w:r>
                </w:p>
              </w:tc>
            </w:tr>
            <w:tr w14:paraId="71B7F5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noWrap w:val="0"/>
                  <w:vAlign w:val="center"/>
                </w:tcPr>
                <w:p w14:paraId="34A4FD8D">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环境风险防控</w:t>
                  </w:r>
                </w:p>
              </w:tc>
              <w:tc>
                <w:tcPr>
                  <w:tcW w:w="2722" w:type="pct"/>
                  <w:noWrap w:val="0"/>
                  <w:vAlign w:val="center"/>
                </w:tcPr>
                <w:p w14:paraId="29CD69C6">
                  <w:pPr>
                    <w:pStyle w:val="23"/>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（1）严格执行《江苏省“三线一单”生态环境分区管控方案》（苏政发〔2020〕49号）附件3江苏省省域生态环境管控要求中“环境风险防控”的相关要求。</w:t>
                  </w:r>
                </w:p>
                <w:p w14:paraId="3B720094">
                  <w:pPr>
                    <w:pStyle w:val="23"/>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根据《常州市长江生态优先绿色发展三年行动计划（2019-2021年）》（常长江发〔2019〕3号），大幅压减沿江地区化工生产企业数量，沿江1公里范围内凡是与化工园区无产业链关联、安全和环保隐患大的企业2020年底前依法关停退出。</w:t>
                  </w:r>
                </w:p>
                <w:p w14:paraId="5629D7F2">
                  <w:pPr>
                    <w:pStyle w:val="23"/>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（3）强化饮用水水源环境风险管控，建成应急水源工程。</w:t>
                  </w:r>
                </w:p>
                <w:p w14:paraId="46A32FE3">
                  <w:pPr>
                    <w:pStyle w:val="23"/>
                    <w:ind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4）完善废弃危险化学品等危险废物（以下简称“危险废物”）、重点环保设施和项目、涉爆粉尘企业等分级管控和隐患排查治理的责任体系、制度标准、工作机制；重点加强化学工业园区、涉及大宗危化品使用企业、贮存和运输危化品的港口码头、尾矿库、集中式污水处理厂、危废处理企业的环境风险防控；建立覆盖危险废物产生、收集、贮存、转移、运输、利用、处置等全过程的监督体系，严厉打击危险废物非法转移、处置和倾倒行为。</w:t>
                  </w:r>
                </w:p>
              </w:tc>
              <w:tc>
                <w:tcPr>
                  <w:tcW w:w="1475" w:type="pct"/>
                  <w:noWrap w:val="0"/>
                  <w:vAlign w:val="center"/>
                </w:tcPr>
                <w:p w14:paraId="56561F22">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1、本项目将严格执行《江苏省“三线一单”生态环境分区管控方案》（苏政发〔2020〕49号）附件3江苏省省域生态环境管控要求中“环境风险防控”的相关要求。</w:t>
                  </w:r>
                </w:p>
                <w:p w14:paraId="39A1CDD3">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2、</w:t>
                  </w:r>
                  <w:r>
                    <w:rPr>
                      <w:rFonts w:hint="default" w:ascii="Times New Roman" w:hAnsi="Times New Roman" w:eastAsia="宋体" w:cs="Times New Roman"/>
                      <w:color w:val="auto"/>
                      <w:sz w:val="21"/>
                      <w:szCs w:val="21"/>
                      <w:highlight w:val="none"/>
                    </w:rPr>
                    <w:t>本项目位于</w:t>
                  </w:r>
                  <w:r>
                    <w:rPr>
                      <w:rFonts w:hint="eastAsia" w:ascii="Times New Roman" w:hAnsi="Times New Roman" w:eastAsia="宋体" w:cs="Times New Roman"/>
                      <w:color w:val="auto"/>
                      <w:sz w:val="21"/>
                      <w:szCs w:val="21"/>
                      <w:highlight w:val="none"/>
                      <w:lang w:eastAsia="zh-CN"/>
                    </w:rPr>
                    <w:t>江苏省常州市</w:t>
                  </w:r>
                  <w:r>
                    <w:rPr>
                      <w:rFonts w:hint="eastAsia" w:cs="Times New Roman"/>
                      <w:color w:val="auto"/>
                      <w:sz w:val="21"/>
                      <w:szCs w:val="21"/>
                      <w:highlight w:val="none"/>
                      <w:lang w:eastAsia="zh-CN"/>
                    </w:rPr>
                    <w:t>金坛区金坛经济开发区珠山路66号</w:t>
                  </w:r>
                  <w:r>
                    <w:rPr>
                      <w:rFonts w:hint="default" w:ascii="Times New Roman" w:hAnsi="Times New Roman" w:eastAsia="宋体" w:cs="Times New Roman"/>
                      <w:color w:val="auto"/>
                      <w:sz w:val="21"/>
                      <w:szCs w:val="21"/>
                      <w:highlight w:val="none"/>
                    </w:rPr>
                    <w:t>，不在长江沿江1公里范围内。</w:t>
                  </w:r>
                </w:p>
                <w:p w14:paraId="6D771B03">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3、本项目周边无饮用水水源。</w:t>
                  </w:r>
                </w:p>
                <w:p w14:paraId="451A4965">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4</w:t>
                  </w:r>
                  <w:r>
                    <w:rPr>
                      <w:rFonts w:hint="default" w:ascii="Times New Roman" w:hAnsi="Times New Roman" w:eastAsia="宋体" w:cs="Times New Roman"/>
                      <w:bCs/>
                      <w:color w:val="auto"/>
                      <w:sz w:val="21"/>
                      <w:szCs w:val="21"/>
                      <w:highlight w:val="none"/>
                    </w:rPr>
                    <w:t>、本项目危险废物暂存于危废仓库中，危废仓库符合《危险废物贮存污染控制标准》（GB18597-2023），并委托有资质单位定期处理危废；危废的管理过程将在“江苏省危险废物全生命周期监控系统”中体现</w:t>
                  </w:r>
                </w:p>
              </w:tc>
              <w:tc>
                <w:tcPr>
                  <w:tcW w:w="423" w:type="pct"/>
                  <w:noWrap w:val="0"/>
                  <w:vAlign w:val="center"/>
                </w:tcPr>
                <w:p w14:paraId="081B2D03">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相符</w:t>
                  </w:r>
                </w:p>
              </w:tc>
            </w:tr>
            <w:tr w14:paraId="1EAD8A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noWrap w:val="0"/>
                  <w:vAlign w:val="center"/>
                </w:tcPr>
                <w:p w14:paraId="5B57FEDE">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资源利用效率要求</w:t>
                  </w:r>
                </w:p>
              </w:tc>
              <w:tc>
                <w:tcPr>
                  <w:tcW w:w="2722" w:type="pct"/>
                  <w:noWrap w:val="0"/>
                  <w:vAlign w:val="center"/>
                </w:tcPr>
                <w:p w14:paraId="7DCBAE84">
                  <w:pPr>
                    <w:pStyle w:val="23"/>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江苏省水利厅江苏省发展和改革委员会关于印发“十四五”用水总量和强度控制目标的通知》（苏水节〔2022〕6号），到2025年，常州市用水总量控制在31.0亿立方米，其中非常规水源利用量控制在0.81亿立方米，万元国内生产总值用水量比2020年下降19%，万元工业增加值用水量比2020年下降18.5%，农田灌溉水利用系数达0.688。</w:t>
                  </w:r>
                </w:p>
                <w:p w14:paraId="3C9DCB4F">
                  <w:pPr>
                    <w:pStyle w:val="23"/>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（2）根据《常州市国土空间总体规划（2021-2035年）（上报稿）》，永久基本农田实际划定是7.53万公顷，2035年任务量为7.66万公顷。</w:t>
                  </w:r>
                </w:p>
                <w:p w14:paraId="5641EBE9">
                  <w:pPr>
                    <w:pStyle w:val="23"/>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根据《市政府关于公布常州市高污染燃料禁燃区类别的通告》（常政发〔2017〕163号）、《市政府关于公布溧阳市高污染燃料禁燃区控制类别的通告》（溧政发〔2018〕6号），常州市禁燃区内禁止新建、扩建燃用高污染燃料的项目和设施，已建成的应逐步或依法限期改用天然气、电或者其他清洁能源。禁止燃用的燃料主要包括：①“</w:t>
                  </w:r>
                  <w:r>
                    <w:rPr>
                      <w:rFonts w:hint="eastAsia" w:ascii="Times New Roman" w:hAnsi="Times New Roman" w:eastAsia="宋体" w:cs="Times New Roman"/>
                      <w:color w:val="auto"/>
                      <w:sz w:val="21"/>
                      <w:szCs w:val="21"/>
                      <w:highlight w:val="none"/>
                      <w:lang w:eastAsia="zh-CN"/>
                    </w:rPr>
                    <w:t>Ⅱ类</w:t>
                  </w:r>
                  <w:r>
                    <w:rPr>
                      <w:rFonts w:hint="default" w:ascii="Times New Roman" w:hAnsi="Times New Roman" w:eastAsia="宋体" w:cs="Times New Roman"/>
                      <w:color w:val="auto"/>
                      <w:sz w:val="21"/>
                      <w:szCs w:val="21"/>
                      <w:highlight w:val="none"/>
                    </w:rPr>
                    <w:t>”（较严），具体包括：除单台出力大于等于20蒸吨/小时锅炉以外燃用的煤炭及其制品；石油焦、油页岩、原油、重油、渣油、煤焦油。②“</w:t>
                  </w:r>
                  <w:r>
                    <w:rPr>
                      <w:rFonts w:hint="eastAsia" w:ascii="Times New Roman" w:hAnsi="Times New Roman" w:eastAsia="宋体" w:cs="Times New Roman"/>
                      <w:color w:val="auto"/>
                      <w:sz w:val="21"/>
                      <w:szCs w:val="21"/>
                      <w:highlight w:val="none"/>
                      <w:lang w:eastAsia="zh-CN"/>
                    </w:rPr>
                    <w:t>Ⅲ类</w:t>
                  </w:r>
                  <w:r>
                    <w:rPr>
                      <w:rFonts w:hint="default" w:ascii="Times New Roman" w:hAnsi="Times New Roman" w:eastAsia="宋体" w:cs="Times New Roman"/>
                      <w:color w:val="auto"/>
                      <w:sz w:val="21"/>
                      <w:szCs w:val="21"/>
                      <w:highlight w:val="none"/>
                    </w:rPr>
                    <w:t>”（严格），具体包括：煤炭及其制品（包括原煤、散煤、煤矸石、煤泥、煤粉、水煤浆、型煤、焦炭、兰炭等）；石油焦、油页岩、原油、重油、渣油、煤焦油；非专用锅炉或未配置高效除尘设施的专用锅炉燃用的生物质成型燃料；国家规定的其它高污染燃料。</w:t>
                  </w:r>
                </w:p>
                <w:p w14:paraId="39F1DF44">
                  <w:pPr>
                    <w:pStyle w:val="23"/>
                    <w:ind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4）根据《常州市“十四五”能源发展规划》（常政办发〔2021〕101号），到2025年，常州市能源消费总量控制在2881万吨标准煤，其中煤炭消费总量控制在1000万吨以内，非化石能源利用量达到86.43万吨标准煤，占能源消费总量的3%，比重比2020年提高1.4个百分点。到2025年，全市万元地区生产总值能耗（按2020年可比价计算）五年累计下降达到省控目标。</w:t>
                  </w:r>
                </w:p>
              </w:tc>
              <w:tc>
                <w:tcPr>
                  <w:tcW w:w="1475" w:type="pct"/>
                  <w:noWrap w:val="0"/>
                  <w:vAlign w:val="center"/>
                </w:tcPr>
                <w:p w14:paraId="5C3D9FC2">
                  <w:pPr>
                    <w:pStyle w:val="2"/>
                    <w:keepNext w:val="0"/>
                    <w:keepLines w:val="0"/>
                    <w:pageBreakBefore w:val="0"/>
                    <w:kinsoku/>
                    <w:wordWrap/>
                    <w:overflowPunct/>
                    <w:topLinePunct w:val="0"/>
                    <w:autoSpaceDE/>
                    <w:autoSpaceDN/>
                    <w:bidi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本项目使用的主要能源为电能</w:t>
                  </w:r>
                </w:p>
              </w:tc>
              <w:tc>
                <w:tcPr>
                  <w:tcW w:w="423" w:type="pct"/>
                  <w:noWrap w:val="0"/>
                  <w:vAlign w:val="center"/>
                </w:tcPr>
                <w:p w14:paraId="791FED8E">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相符</w:t>
                  </w:r>
                </w:p>
              </w:tc>
            </w:tr>
          </w:tbl>
          <w:p w14:paraId="64B12A09">
            <w:pPr>
              <w:keepNext w:val="0"/>
              <w:keepLines w:val="0"/>
              <w:pageBreakBefore w:val="0"/>
              <w:widowControl w:val="0"/>
              <w:numPr>
                <w:ilvl w:val="0"/>
                <w:numId w:val="2"/>
              </w:numPr>
              <w:kinsoku/>
              <w:wordWrap/>
              <w:overflowPunct/>
              <w:topLinePunct w:val="0"/>
              <w:autoSpaceDE w:val="0"/>
              <w:autoSpaceDN w:val="0"/>
              <w:bidi w:val="0"/>
              <w:adjustRightInd w:val="0"/>
              <w:snapToGrid w:val="0"/>
              <w:spacing w:line="480" w:lineRule="exact"/>
              <w:jc w:val="left"/>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与《省生态环境厅关于进一步做好建设项目环评审批工作的通知》（苏环办</w:t>
            </w:r>
            <w:r>
              <w:rPr>
                <w:rFonts w:hint="eastAsia" w:ascii="Times New Roman" w:hAnsi="Times New Roman" w:eastAsia="宋体" w:cs="Times New Roman"/>
                <w:b/>
                <w:color w:val="auto"/>
                <w:sz w:val="24"/>
                <w:szCs w:val="24"/>
                <w:lang w:val="en-US" w:eastAsia="zh-CN"/>
              </w:rPr>
              <w:t>〔2019〕36号</w:t>
            </w:r>
            <w:r>
              <w:rPr>
                <w:rFonts w:hint="default" w:ascii="Times New Roman" w:hAnsi="Times New Roman" w:eastAsia="宋体" w:cs="Times New Roman"/>
                <w:b/>
                <w:color w:val="auto"/>
                <w:sz w:val="24"/>
                <w:szCs w:val="24"/>
                <w:lang w:val="en-US" w:eastAsia="zh-CN"/>
              </w:rPr>
              <w:t>）相符性分析</w:t>
            </w:r>
          </w:p>
          <w:p w14:paraId="7C1275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表1-</w:t>
            </w:r>
            <w:r>
              <w:rPr>
                <w:rFonts w:hint="eastAsia" w:ascii="Times New Roman" w:hAnsi="Times New Roman" w:eastAsia="宋体" w:cs="Times New Roman"/>
                <w:b/>
                <w:bCs/>
                <w:color w:val="auto"/>
                <w:kern w:val="0"/>
                <w:sz w:val="21"/>
                <w:szCs w:val="21"/>
                <w:highlight w:val="none"/>
                <w:lang w:val="en-US" w:eastAsia="zh-CN"/>
              </w:rPr>
              <w:t>9</w:t>
            </w:r>
            <w:r>
              <w:rPr>
                <w:rFonts w:hint="default" w:ascii="Times New Roman" w:hAnsi="Times New Roman" w:eastAsia="宋体" w:cs="Times New Roman"/>
                <w:b/>
                <w:bCs/>
                <w:color w:val="auto"/>
                <w:kern w:val="0"/>
                <w:sz w:val="21"/>
                <w:szCs w:val="21"/>
                <w:highlight w:val="none"/>
              </w:rPr>
              <w:t xml:space="preserve"> 与《省生态环境厅关于进一步做好建设项目环评审批工作的通知》（苏环办</w:t>
            </w:r>
            <w:r>
              <w:rPr>
                <w:rFonts w:hint="eastAsia" w:ascii="Times New Roman" w:hAnsi="Times New Roman" w:eastAsia="宋体" w:cs="Times New Roman"/>
                <w:b/>
                <w:bCs/>
                <w:color w:val="auto"/>
                <w:kern w:val="0"/>
                <w:sz w:val="21"/>
                <w:szCs w:val="21"/>
                <w:highlight w:val="none"/>
                <w:lang w:eastAsia="zh-CN"/>
              </w:rPr>
              <w:t>〔2019〕36号</w:t>
            </w:r>
            <w:r>
              <w:rPr>
                <w:rFonts w:hint="default" w:ascii="Times New Roman" w:hAnsi="Times New Roman" w:eastAsia="宋体" w:cs="Times New Roman"/>
                <w:b/>
                <w:bCs/>
                <w:color w:val="auto"/>
                <w:kern w:val="0"/>
                <w:sz w:val="21"/>
                <w:szCs w:val="21"/>
                <w:highlight w:val="none"/>
              </w:rPr>
              <w:t>）相符性分析</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1872"/>
              <w:gridCol w:w="4508"/>
              <w:gridCol w:w="2305"/>
              <w:gridCol w:w="576"/>
            </w:tblGrid>
            <w:tr w14:paraId="4529C8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9" w:hRule="atLeast"/>
                <w:jc w:val="center"/>
              </w:trPr>
              <w:tc>
                <w:tcPr>
                  <w:tcW w:w="1010" w:type="pct"/>
                  <w:tcBorders>
                    <w:tl2br w:val="nil"/>
                    <w:tr2bl w:val="nil"/>
                  </w:tcBorders>
                  <w:noWrap w:val="0"/>
                  <w:vAlign w:val="center"/>
                </w:tcPr>
                <w:p w14:paraId="111683B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2433" w:type="pct"/>
                  <w:tcBorders>
                    <w:tl2br w:val="nil"/>
                    <w:tr2bl w:val="nil"/>
                  </w:tcBorders>
                  <w:noWrap w:val="0"/>
                  <w:vAlign w:val="center"/>
                </w:tcPr>
                <w:p w14:paraId="7E3CAB7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文件要求（建设项目环评审批要点）</w:t>
                  </w:r>
                </w:p>
              </w:tc>
              <w:tc>
                <w:tcPr>
                  <w:tcW w:w="1244" w:type="pct"/>
                  <w:tcBorders>
                    <w:tl2br w:val="nil"/>
                    <w:tr2bl w:val="nil"/>
                  </w:tcBorders>
                  <w:noWrap w:val="0"/>
                  <w:vAlign w:val="center"/>
                </w:tcPr>
                <w:p w14:paraId="19A72D1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w:t>
                  </w:r>
                </w:p>
              </w:tc>
              <w:tc>
                <w:tcPr>
                  <w:tcW w:w="311" w:type="pct"/>
                  <w:tcBorders>
                    <w:tl2br w:val="nil"/>
                    <w:tr2bl w:val="nil"/>
                  </w:tcBorders>
                  <w:noWrap w:val="0"/>
                  <w:vAlign w:val="center"/>
                </w:tcPr>
                <w:p w14:paraId="04DE99F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相符性</w:t>
                  </w:r>
                </w:p>
              </w:tc>
            </w:tr>
            <w:tr w14:paraId="752751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9" w:hRule="atLeast"/>
                <w:jc w:val="center"/>
              </w:trPr>
              <w:tc>
                <w:tcPr>
                  <w:tcW w:w="1010" w:type="pct"/>
                  <w:tcBorders>
                    <w:tl2br w:val="nil"/>
                    <w:tr2bl w:val="nil"/>
                  </w:tcBorders>
                  <w:noWrap w:val="0"/>
                  <w:vAlign w:val="center"/>
                </w:tcPr>
                <w:p w14:paraId="7591926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《建设项目环境保护管理条例》</w:t>
                  </w:r>
                </w:p>
              </w:tc>
              <w:tc>
                <w:tcPr>
                  <w:tcW w:w="2433" w:type="pct"/>
                  <w:tcBorders>
                    <w:tl2br w:val="nil"/>
                    <w:tr2bl w:val="nil"/>
                  </w:tcBorders>
                  <w:noWrap w:val="0"/>
                  <w:vAlign w:val="center"/>
                </w:tcPr>
                <w:p w14:paraId="466A221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防治措施；（5）建设项目的环境影响报告书、环境影响报告表的基础资料数据明显不实，内容存在重大缺陷、遗漏，或者环境影响评价结论不明确、不合理。</w:t>
                  </w:r>
                </w:p>
              </w:tc>
              <w:tc>
                <w:tcPr>
                  <w:tcW w:w="1244" w:type="pct"/>
                  <w:tcBorders>
                    <w:tl2br w:val="nil"/>
                    <w:tr2bl w:val="nil"/>
                  </w:tcBorders>
                  <w:noWrap w:val="0"/>
                  <w:vAlign w:val="center"/>
                </w:tcPr>
                <w:p w14:paraId="38F73BA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①本项目所在地规划符合环境保护法律法规和相关法定规划要求；②项目所在区域环境控制质量不达标，本项目</w:t>
                  </w:r>
                  <w:r>
                    <w:rPr>
                      <w:rFonts w:hint="eastAsia" w:cs="Times New Roman"/>
                      <w:color w:val="auto"/>
                      <w:sz w:val="21"/>
                      <w:szCs w:val="21"/>
                      <w:highlight w:val="none"/>
                      <w:lang w:val="en-US" w:eastAsia="zh-CN"/>
                    </w:rPr>
                    <w:t>注塑</w:t>
                  </w:r>
                  <w:r>
                    <w:rPr>
                      <w:rFonts w:hint="eastAsia" w:ascii="Times New Roman" w:hAnsi="Times New Roman" w:eastAsia="宋体" w:cs="Times New Roman"/>
                      <w:color w:val="auto"/>
                      <w:sz w:val="21"/>
                      <w:szCs w:val="21"/>
                      <w:highlight w:val="none"/>
                      <w:lang w:val="en-US" w:eastAsia="zh-CN"/>
                    </w:rPr>
                    <w:t>废气</w:t>
                  </w:r>
                  <w:r>
                    <w:rPr>
                      <w:rFonts w:hint="eastAsia" w:cs="Times New Roman"/>
                      <w:color w:val="auto"/>
                      <w:sz w:val="21"/>
                      <w:szCs w:val="21"/>
                      <w:highlight w:val="none"/>
                      <w:lang w:val="en-US" w:eastAsia="zh-CN"/>
                    </w:rPr>
                    <w:t>、打印废气由集气罩收集，经过一套二级活性炭吸附装置处理后，通过一根20m高的排气筒DA001排放；破碎粉尘由设备自带的布袋除尘器处理后无组织排放；打磨粉尘经移动式除尘设备处理后无组织排放</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rPr>
                    <w:t>确保污染物稳定达标，区域已经制定限期达标规划，项目建设满足区域环境质量改善目标管理要求；③项目污染物经处理后可稳定达到国家和地方排放标准；④本项目基础数据真实有效，评价结论合理可信。</w:t>
                  </w:r>
                </w:p>
              </w:tc>
              <w:tc>
                <w:tcPr>
                  <w:tcW w:w="311" w:type="pct"/>
                  <w:tcBorders>
                    <w:tl2br w:val="nil"/>
                    <w:tr2bl w:val="nil"/>
                  </w:tcBorders>
                  <w:noWrap w:val="0"/>
                  <w:vAlign w:val="center"/>
                </w:tcPr>
                <w:p w14:paraId="51ED2F6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85E28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53" w:hRule="atLeast"/>
                <w:jc w:val="center"/>
              </w:trPr>
              <w:tc>
                <w:tcPr>
                  <w:tcW w:w="1010" w:type="pct"/>
                  <w:tcBorders>
                    <w:tl2br w:val="nil"/>
                    <w:tr2bl w:val="nil"/>
                  </w:tcBorders>
                  <w:noWrap w:val="0"/>
                  <w:vAlign w:val="center"/>
                </w:tcPr>
                <w:p w14:paraId="70525E3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《农用地土壤环境管理办法（试行）》</w:t>
                  </w:r>
                </w:p>
              </w:tc>
              <w:tc>
                <w:tcPr>
                  <w:tcW w:w="2433" w:type="pct"/>
                  <w:tcBorders>
                    <w:tl2br w:val="nil"/>
                    <w:tr2bl w:val="nil"/>
                  </w:tcBorders>
                  <w:noWrap w:val="0"/>
                  <w:vAlign w:val="center"/>
                </w:tcPr>
                <w:p w14:paraId="3260DE1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1244" w:type="pct"/>
                  <w:tcBorders>
                    <w:tl2br w:val="nil"/>
                    <w:tr2bl w:val="nil"/>
                  </w:tcBorders>
                  <w:noWrap w:val="0"/>
                  <w:vAlign w:val="center"/>
                </w:tcPr>
                <w:p w14:paraId="53B2F50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eastAsia" w:ascii="Times New Roman" w:hAnsi="Times New Roman" w:cs="Times New Roman"/>
                      <w:color w:val="auto"/>
                      <w:sz w:val="21"/>
                      <w:szCs w:val="21"/>
                      <w:lang w:eastAsia="zh-CN"/>
                    </w:rPr>
                    <w:t>江苏省常州市</w:t>
                  </w:r>
                  <w:r>
                    <w:rPr>
                      <w:rFonts w:hint="eastAsia" w:cs="Times New Roman"/>
                      <w:color w:val="auto"/>
                      <w:sz w:val="21"/>
                      <w:szCs w:val="21"/>
                      <w:lang w:eastAsia="zh-CN"/>
                    </w:rPr>
                    <w:t>金坛区金坛经济开发区珠山路66号</w:t>
                  </w:r>
                  <w:r>
                    <w:rPr>
                      <w:rFonts w:hint="default" w:ascii="Times New Roman" w:hAnsi="Times New Roman" w:eastAsia="宋体" w:cs="Times New Roman"/>
                      <w:color w:val="auto"/>
                      <w:sz w:val="21"/>
                      <w:szCs w:val="21"/>
                    </w:rPr>
                    <w:t>，用地性质为工业用地。</w:t>
                  </w:r>
                </w:p>
              </w:tc>
              <w:tc>
                <w:tcPr>
                  <w:tcW w:w="311" w:type="pct"/>
                  <w:tcBorders>
                    <w:tl2br w:val="nil"/>
                    <w:tr2bl w:val="nil"/>
                  </w:tcBorders>
                  <w:noWrap w:val="0"/>
                  <w:vAlign w:val="center"/>
                </w:tcPr>
                <w:p w14:paraId="4E3A5F5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5D3D0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32" w:hRule="atLeast"/>
                <w:jc w:val="center"/>
              </w:trPr>
              <w:tc>
                <w:tcPr>
                  <w:tcW w:w="1010" w:type="pct"/>
                  <w:tcBorders>
                    <w:tl2br w:val="nil"/>
                    <w:tr2bl w:val="nil"/>
                  </w:tcBorders>
                  <w:noWrap w:val="0"/>
                  <w:vAlign w:val="center"/>
                </w:tcPr>
                <w:p w14:paraId="6804A7B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《关于印发</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建设项目主要污染物排放总量指标审核及管理暂行办法</w:t>
                  </w:r>
                  <w:r>
                    <w:rPr>
                      <w:rFonts w:hint="eastAsia" w:ascii="Times New Roman" w:hAnsi="Times New Roman" w:eastAsia="宋体" w:cs="Times New Roman"/>
                      <w:color w:val="auto"/>
                      <w:sz w:val="21"/>
                      <w:szCs w:val="21"/>
                      <w:lang w:eastAsia="zh-CN"/>
                    </w:rPr>
                    <w:t>〉的通知》（</w:t>
                  </w:r>
                  <w:r>
                    <w:rPr>
                      <w:rFonts w:hint="default" w:ascii="Times New Roman" w:hAnsi="Times New Roman" w:eastAsia="宋体" w:cs="Times New Roman"/>
                      <w:color w:val="auto"/>
                      <w:sz w:val="21"/>
                      <w:szCs w:val="21"/>
                    </w:rPr>
                    <w:t>环发〔2014〕197号</w:t>
                  </w:r>
                  <w:r>
                    <w:rPr>
                      <w:rFonts w:hint="eastAsia" w:ascii="Times New Roman" w:hAnsi="Times New Roman" w:eastAsia="宋体" w:cs="Times New Roman"/>
                      <w:color w:val="auto"/>
                      <w:sz w:val="21"/>
                      <w:szCs w:val="21"/>
                      <w:lang w:eastAsia="zh-CN"/>
                    </w:rPr>
                    <w:t>）</w:t>
                  </w:r>
                </w:p>
              </w:tc>
              <w:tc>
                <w:tcPr>
                  <w:tcW w:w="2433" w:type="pct"/>
                  <w:tcBorders>
                    <w:tl2br w:val="nil"/>
                    <w:tr2bl w:val="nil"/>
                  </w:tcBorders>
                  <w:noWrap w:val="0"/>
                  <w:vAlign w:val="center"/>
                </w:tcPr>
                <w:p w14:paraId="6B00446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244" w:type="pct"/>
                  <w:tcBorders>
                    <w:tl2br w:val="nil"/>
                    <w:tr2bl w:val="nil"/>
                  </w:tcBorders>
                  <w:noWrap w:val="0"/>
                  <w:vAlign w:val="center"/>
                </w:tcPr>
                <w:p w14:paraId="6E76E8B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本项目拟在环境影响评价文件审批前，取得主要污染物排放总量指标。</w:t>
                  </w:r>
                </w:p>
              </w:tc>
              <w:tc>
                <w:tcPr>
                  <w:tcW w:w="311" w:type="pct"/>
                  <w:tcBorders>
                    <w:tl2br w:val="nil"/>
                    <w:tr2bl w:val="nil"/>
                  </w:tcBorders>
                  <w:noWrap w:val="0"/>
                  <w:vAlign w:val="center"/>
                </w:tcPr>
                <w:p w14:paraId="64A85E0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9619C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8" w:hRule="atLeast"/>
                <w:jc w:val="center"/>
              </w:trPr>
              <w:tc>
                <w:tcPr>
                  <w:tcW w:w="1010" w:type="pct"/>
                  <w:tcBorders>
                    <w:tl2br w:val="nil"/>
                    <w:tr2bl w:val="nil"/>
                  </w:tcBorders>
                  <w:noWrap w:val="0"/>
                  <w:vAlign w:val="center"/>
                </w:tcPr>
                <w:p w14:paraId="12E5B867">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《关于以改善环境质量为核心加强环境影响评价管理的通知》（环环评〔2016〕150号）</w:t>
                  </w:r>
                </w:p>
              </w:tc>
              <w:tc>
                <w:tcPr>
                  <w:tcW w:w="2433" w:type="pct"/>
                  <w:tcBorders>
                    <w:tl2br w:val="nil"/>
                    <w:tr2bl w:val="nil"/>
                  </w:tcBorders>
                  <w:noWrap w:val="0"/>
                  <w:vAlign w:val="center"/>
                </w:tcPr>
                <w:p w14:paraId="450D38B9">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规划环评要作为规划所包含项目环评的重要依据，对于不符合规划环评结论及审查意见的项目环评，依法不予审批。</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对于现有同类型项目环境污染或生态破坏严重、环境违法违规现象多发，致使环境容量接近或超过承载能力的地区，在现有问题整改到位前，依法暂停审批该地区同类行业的项目环评文件。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244" w:type="pct"/>
                  <w:tcBorders>
                    <w:tl2br w:val="nil"/>
                    <w:tr2bl w:val="nil"/>
                  </w:tcBorders>
                  <w:noWrap w:val="0"/>
                  <w:vAlign w:val="center"/>
                </w:tcPr>
                <w:p w14:paraId="39E06D33">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本项目建设内容符合所在区域定位，且不在生态保护红线范围内；</w:t>
                  </w:r>
                </w:p>
                <w:p w14:paraId="3236F406">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项目所在地为非达标区，</w:t>
                  </w:r>
                  <w:r>
                    <w:rPr>
                      <w:rFonts w:hint="default" w:ascii="Times New Roman" w:hAnsi="Times New Roman" w:eastAsia="宋体" w:cs="Times New Roman"/>
                      <w:color w:val="auto"/>
                      <w:sz w:val="21"/>
                      <w:szCs w:val="21"/>
                      <w:highlight w:val="none"/>
                    </w:rPr>
                    <w:t>本项目各废气因子排放量较小，</w:t>
                  </w:r>
                  <w:r>
                    <w:rPr>
                      <w:rFonts w:hint="default" w:ascii="Times New Roman" w:hAnsi="Times New Roman" w:eastAsia="宋体" w:cs="Times New Roman"/>
                      <w:color w:val="auto"/>
                      <w:sz w:val="21"/>
                      <w:szCs w:val="21"/>
                    </w:rPr>
                    <w:t>对周围保护目标影响均较小，均未超过各因子的环境质量标准。因此，项目排放的大气污染物对周围空气环境影响较小。</w:t>
                  </w:r>
                </w:p>
              </w:tc>
              <w:tc>
                <w:tcPr>
                  <w:tcW w:w="311" w:type="pct"/>
                  <w:tcBorders>
                    <w:tl2br w:val="nil"/>
                    <w:tr2bl w:val="nil"/>
                  </w:tcBorders>
                  <w:noWrap w:val="0"/>
                  <w:vAlign w:val="center"/>
                </w:tcPr>
                <w:p w14:paraId="1C18F61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E435F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94" w:hRule="atLeast"/>
                <w:jc w:val="center"/>
              </w:trPr>
              <w:tc>
                <w:tcPr>
                  <w:tcW w:w="1010" w:type="pct"/>
                  <w:tcBorders>
                    <w:tl2br w:val="nil"/>
                    <w:tr2bl w:val="nil"/>
                  </w:tcBorders>
                  <w:noWrap w:val="0"/>
                  <w:vAlign w:val="center"/>
                </w:tcPr>
                <w:p w14:paraId="3C705152">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《关于全面加强生态环境保护坚决打好污染防治攻坚战的实施意见》</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苏发</w:t>
                  </w:r>
                  <w:r>
                    <w:rPr>
                      <w:rFonts w:hint="eastAsia" w:cs="Times New Roman"/>
                      <w:color w:val="auto"/>
                      <w:sz w:val="21"/>
                      <w:szCs w:val="21"/>
                      <w:lang w:eastAsia="zh-CN"/>
                    </w:rPr>
                    <w:t>〔2018〕24号）</w:t>
                  </w:r>
                </w:p>
              </w:tc>
              <w:tc>
                <w:tcPr>
                  <w:tcW w:w="2433" w:type="pct"/>
                  <w:tcBorders>
                    <w:tl2br w:val="nil"/>
                    <w:tr2bl w:val="nil"/>
                  </w:tcBorders>
                  <w:noWrap w:val="0"/>
                  <w:vAlign w:val="center"/>
                </w:tcPr>
                <w:p w14:paraId="3EC8733A">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严禁在长江干流及主要支流岸线1公里范围内新建布局化工园区和化工企业。严格化工项目环评审批，提高准入门槛，新建化工项目原则上投资额不得低于10亿元，不得新建、改建、扩建三类中间体项目。</w:t>
                  </w:r>
                </w:p>
              </w:tc>
              <w:tc>
                <w:tcPr>
                  <w:tcW w:w="1244" w:type="pct"/>
                  <w:tcBorders>
                    <w:tl2br w:val="nil"/>
                    <w:tr2bl w:val="nil"/>
                  </w:tcBorders>
                  <w:noWrap w:val="0"/>
                  <w:vAlign w:val="center"/>
                </w:tcPr>
                <w:p w14:paraId="6E7D85B4">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本项目不属于化工企业。</w:t>
                  </w:r>
                </w:p>
              </w:tc>
              <w:tc>
                <w:tcPr>
                  <w:tcW w:w="311" w:type="pct"/>
                  <w:tcBorders>
                    <w:tl2br w:val="nil"/>
                    <w:tr2bl w:val="nil"/>
                  </w:tcBorders>
                  <w:noWrap w:val="0"/>
                  <w:vAlign w:val="center"/>
                </w:tcPr>
                <w:p w14:paraId="406B7375">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EFBFA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918" w:hRule="atLeast"/>
                <w:jc w:val="center"/>
              </w:trPr>
              <w:tc>
                <w:tcPr>
                  <w:tcW w:w="1010" w:type="pct"/>
                  <w:tcBorders>
                    <w:tl2br w:val="nil"/>
                    <w:tr2bl w:val="nil"/>
                  </w:tcBorders>
                  <w:noWrap w:val="0"/>
                  <w:vAlign w:val="center"/>
                </w:tcPr>
                <w:p w14:paraId="5CDBE86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《省政府关于印发江苏省国家级生态保护红线规划的通知》</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苏政发〔2018〕74号</w:t>
                  </w:r>
                  <w:r>
                    <w:rPr>
                      <w:rFonts w:hint="eastAsia" w:ascii="Times New Roman" w:hAnsi="Times New Roman" w:eastAsia="宋体" w:cs="Times New Roman"/>
                      <w:color w:val="auto"/>
                      <w:sz w:val="21"/>
                      <w:szCs w:val="21"/>
                      <w:lang w:eastAsia="zh-CN"/>
                    </w:rPr>
                    <w:t>）</w:t>
                  </w:r>
                </w:p>
              </w:tc>
              <w:tc>
                <w:tcPr>
                  <w:tcW w:w="2433" w:type="pct"/>
                  <w:tcBorders>
                    <w:tl2br w:val="nil"/>
                    <w:tr2bl w:val="nil"/>
                  </w:tcBorders>
                  <w:noWrap w:val="0"/>
                  <w:vAlign w:val="center"/>
                </w:tcPr>
                <w:p w14:paraId="7F6FDAB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生态保护红线原则上按禁止开发区域的要求进行管理，严禁不符合主体功能定位的各类开发活动，严禁任意改变用途。</w:t>
                  </w:r>
                </w:p>
              </w:tc>
              <w:tc>
                <w:tcPr>
                  <w:tcW w:w="1244" w:type="pct"/>
                  <w:tcBorders>
                    <w:tl2br w:val="nil"/>
                    <w:tr2bl w:val="nil"/>
                  </w:tcBorders>
                  <w:noWrap w:val="0"/>
                  <w:vAlign w:val="center"/>
                </w:tcPr>
                <w:p w14:paraId="315CA34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本项目不在生态保护红线内。</w:t>
                  </w:r>
                </w:p>
              </w:tc>
              <w:tc>
                <w:tcPr>
                  <w:tcW w:w="311" w:type="pct"/>
                  <w:tcBorders>
                    <w:tl2br w:val="nil"/>
                    <w:tr2bl w:val="nil"/>
                  </w:tcBorders>
                  <w:noWrap w:val="0"/>
                  <w:vAlign w:val="center"/>
                </w:tcPr>
                <w:p w14:paraId="2E6363D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79285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670" w:hRule="atLeast"/>
                <w:jc w:val="center"/>
              </w:trPr>
              <w:tc>
                <w:tcPr>
                  <w:tcW w:w="1010" w:type="pct"/>
                  <w:tcBorders>
                    <w:tl2br w:val="nil"/>
                    <w:tr2bl w:val="nil"/>
                  </w:tcBorders>
                  <w:noWrap w:val="0"/>
                  <w:vAlign w:val="center"/>
                </w:tcPr>
                <w:p w14:paraId="267BE85D">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推动长江经济带发展领导小组办公室关于印发《长江经济带发展负面清单指南（试行，2022年版）》的通知（长江办〔2022〕7号）</w:t>
                  </w:r>
                </w:p>
              </w:tc>
              <w:tc>
                <w:tcPr>
                  <w:tcW w:w="2433" w:type="pct"/>
                  <w:tcBorders>
                    <w:tl2br w:val="nil"/>
                    <w:tr2bl w:val="nil"/>
                  </w:tcBorders>
                  <w:noWrap w:val="0"/>
                  <w:vAlign w:val="center"/>
                </w:tcPr>
                <w:p w14:paraId="4CEACC3E">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禁止建设不符合全国和省级港口布局规划以及港口总体规划的码头项目，禁止建设不符合《长江干线过江通道布局规划》的过长江通道项目。2.禁止在自然保护区核心区、缓冲区的岸线和河段范围内投资建设旅游和生产经营项目。禁止在风景名胜区核心景区的岸线和河段范围内投资建设与风景名胜资源保护无关的项目。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4.禁止在水产种质资源保护区的岸线和河段范围内新建围湖造田、围海造地或围填海等投资建设项目。禁止在国家湿地公园的岸线和河段范围内挖沙、采矿，以及任何不符合主体功能定位的投资建设项目。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6．禁止未经许可在长江</w:t>
                  </w:r>
                  <w:r>
                    <w:rPr>
                      <w:rFonts w:hint="eastAsia"/>
                      <w:color w:val="auto"/>
                      <w:sz w:val="21"/>
                      <w:szCs w:val="21"/>
                      <w:lang w:val="en-US" w:eastAsia="zh-CN"/>
                    </w:rPr>
                    <w:t>干支流</w:t>
                  </w:r>
                  <w:r>
                    <w:rPr>
                      <w:rFonts w:hint="default" w:ascii="Times New Roman" w:hAnsi="Times New Roman" w:eastAsia="宋体" w:cs="Times New Roman"/>
                      <w:color w:val="auto"/>
                      <w:sz w:val="21"/>
                      <w:szCs w:val="21"/>
                    </w:rPr>
                    <w:t>及湖泊新设、改设或扩大排污口。7．禁止在“一江一口两湖七河”和332个水生生物保护区开展生产性捕捞。8.禁止在长江</w:t>
                  </w:r>
                  <w:r>
                    <w:rPr>
                      <w:rFonts w:hint="eastAsia"/>
                      <w:color w:val="auto"/>
                      <w:sz w:val="21"/>
                      <w:szCs w:val="21"/>
                      <w:lang w:val="en-US" w:eastAsia="zh-CN"/>
                    </w:rPr>
                    <w:t>干</w:t>
                  </w:r>
                  <w:r>
                    <w:rPr>
                      <w:rFonts w:hint="default" w:ascii="Times New Roman" w:hAnsi="Times New Roman" w:eastAsia="宋体" w:cs="Times New Roman"/>
                      <w:color w:val="auto"/>
                      <w:sz w:val="21"/>
                      <w:szCs w:val="21"/>
                    </w:rPr>
                    <w:t>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9.禁止在合规园区外新建、扩建钢铁、石化、化工、焦化、建材、有色、制浆造纸等高污染项目。10.禁止新建、扩建不符合国家石化、现代煤化工等产业布局规划的项目。11.禁止新建、扩建法律法规和相关政策明令禁止的落后产能项目。禁止新建、扩建不符合国家产能置换要求的严重过剩产能行业的项目。禁止新建、扩建不符合要求的高耗能高排放项目。12，法律法规及相关政策文件有更加严格规定的从其规定。</w:t>
                  </w:r>
                </w:p>
              </w:tc>
              <w:tc>
                <w:tcPr>
                  <w:tcW w:w="1244" w:type="pct"/>
                  <w:tcBorders>
                    <w:tl2br w:val="nil"/>
                    <w:tr2bl w:val="nil"/>
                  </w:tcBorders>
                  <w:noWrap w:val="0"/>
                  <w:vAlign w:val="center"/>
                </w:tcPr>
                <w:p w14:paraId="1BE63978">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本项目不属于禁止建设项目。</w:t>
                  </w:r>
                </w:p>
              </w:tc>
              <w:tc>
                <w:tcPr>
                  <w:tcW w:w="311" w:type="pct"/>
                  <w:tcBorders>
                    <w:tl2br w:val="nil"/>
                    <w:tr2bl w:val="nil"/>
                  </w:tcBorders>
                  <w:noWrap w:val="0"/>
                  <w:vAlign w:val="center"/>
                </w:tcPr>
                <w:p w14:paraId="576021F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7A37E772">
            <w:pPr>
              <w:keepNext w:val="0"/>
              <w:keepLines w:val="0"/>
              <w:pageBreakBefore w:val="0"/>
              <w:widowControl w:val="0"/>
              <w:kinsoku/>
              <w:wordWrap/>
              <w:overflowPunct/>
              <w:topLinePunct w:val="0"/>
              <w:autoSpaceDE w:val="0"/>
              <w:autoSpaceDN w:val="0"/>
              <w:bidi w:val="0"/>
              <w:adjustRightInd w:val="0"/>
              <w:snapToGrid w:val="0"/>
              <w:spacing w:line="480" w:lineRule="exact"/>
              <w:jc w:val="left"/>
              <w:textAlignment w:val="auto"/>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8</w:t>
            </w:r>
            <w:r>
              <w:rPr>
                <w:rFonts w:hint="default" w:ascii="Times New Roman" w:hAnsi="Times New Roman" w:eastAsia="宋体" w:cs="Times New Roman"/>
                <w:b/>
                <w:color w:val="auto"/>
                <w:sz w:val="24"/>
                <w:szCs w:val="24"/>
                <w:lang w:val="en-US" w:eastAsia="zh-CN"/>
              </w:rPr>
              <w:t>、与</w:t>
            </w:r>
            <w:r>
              <w:rPr>
                <w:rFonts w:hint="eastAsia" w:ascii="Times New Roman" w:hAnsi="Times New Roman" w:eastAsia="宋体" w:cs="Times New Roman"/>
                <w:b/>
                <w:color w:val="auto"/>
                <w:sz w:val="24"/>
                <w:szCs w:val="24"/>
                <w:lang w:val="en-US" w:eastAsia="zh-CN"/>
              </w:rPr>
              <w:t>《</w:t>
            </w:r>
            <w:r>
              <w:rPr>
                <w:rFonts w:hint="default" w:ascii="Times New Roman" w:hAnsi="Times New Roman" w:eastAsia="宋体" w:cs="Times New Roman"/>
                <w:b/>
                <w:color w:val="auto"/>
                <w:sz w:val="24"/>
                <w:szCs w:val="24"/>
                <w:lang w:val="en-US" w:eastAsia="zh-CN"/>
              </w:rPr>
              <w:t>长江经济带发展负面清单指南（试行，2022年版）》相符性分析</w:t>
            </w:r>
          </w:p>
          <w:p w14:paraId="46CAB4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表1-</w:t>
            </w:r>
            <w:r>
              <w:rPr>
                <w:rFonts w:hint="eastAsia" w:ascii="Times New Roman" w:hAnsi="Times New Roman" w:eastAsia="宋体" w:cs="Times New Roman"/>
                <w:b/>
                <w:bCs/>
                <w:color w:val="auto"/>
                <w:kern w:val="0"/>
                <w:sz w:val="21"/>
                <w:szCs w:val="21"/>
                <w:highlight w:val="none"/>
                <w:lang w:val="en-US" w:eastAsia="zh-CN"/>
              </w:rPr>
              <w:t>10</w:t>
            </w:r>
            <w:r>
              <w:rPr>
                <w:rFonts w:hint="default" w:ascii="Times New Roman" w:hAnsi="Times New Roman" w:eastAsia="宋体" w:cs="Times New Roman"/>
                <w:b/>
                <w:bCs/>
                <w:color w:val="auto"/>
                <w:kern w:val="0"/>
                <w:sz w:val="21"/>
                <w:szCs w:val="21"/>
                <w:highlight w:val="none"/>
              </w:rPr>
              <w:t xml:space="preserve"> 与《长江经济带发展负面清单指南（试行，2022年版）》相符性分析</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5851"/>
              <w:gridCol w:w="2836"/>
              <w:gridCol w:w="578"/>
            </w:tblGrid>
            <w:tr w14:paraId="105105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57" w:type="pct"/>
                  <w:tcBorders>
                    <w:tl2br w:val="nil"/>
                    <w:tr2bl w:val="nil"/>
                  </w:tcBorders>
                  <w:noWrap w:val="0"/>
                  <w:vAlign w:val="center"/>
                </w:tcPr>
                <w:p w14:paraId="1C6F1220">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要求</w:t>
                  </w:r>
                </w:p>
              </w:tc>
              <w:tc>
                <w:tcPr>
                  <w:tcW w:w="1530" w:type="pct"/>
                  <w:tcBorders>
                    <w:tl2br w:val="nil"/>
                    <w:tr2bl w:val="nil"/>
                  </w:tcBorders>
                  <w:noWrap w:val="0"/>
                  <w:vAlign w:val="center"/>
                </w:tcPr>
                <w:p w14:paraId="6C1E5E49">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本项目</w:t>
                  </w:r>
                </w:p>
              </w:tc>
              <w:tc>
                <w:tcPr>
                  <w:tcW w:w="312" w:type="pct"/>
                  <w:tcBorders>
                    <w:tl2br w:val="nil"/>
                    <w:tr2bl w:val="nil"/>
                  </w:tcBorders>
                  <w:noWrap w:val="0"/>
                  <w:vAlign w:val="center"/>
                </w:tcPr>
                <w:p w14:paraId="78835586">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相符性</w:t>
                  </w:r>
                </w:p>
              </w:tc>
            </w:tr>
            <w:tr w14:paraId="77270C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57" w:type="pct"/>
                  <w:tcBorders>
                    <w:tl2br w:val="nil"/>
                    <w:tr2bl w:val="nil"/>
                  </w:tcBorders>
                  <w:noWrap w:val="0"/>
                  <w:vAlign w:val="center"/>
                </w:tcPr>
                <w:p w14:paraId="0B887041">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禁止建设不符合全国和省级港口布局规划以及港口总体规划的码头项目，禁止建设不符合《长江</w:t>
                  </w:r>
                  <w:r>
                    <w:rPr>
                      <w:rFonts w:hint="eastAsia" w:cs="Times New Roman"/>
                      <w:color w:val="auto"/>
                      <w:sz w:val="21"/>
                      <w:szCs w:val="21"/>
                      <w:lang w:val="en-US" w:eastAsia="zh-CN"/>
                    </w:rPr>
                    <w:t>干</w:t>
                  </w:r>
                  <w:r>
                    <w:rPr>
                      <w:rFonts w:hint="default" w:ascii="Times New Roman" w:hAnsi="Times New Roman" w:eastAsia="宋体" w:cs="Times New Roman"/>
                      <w:color w:val="auto"/>
                      <w:sz w:val="21"/>
                      <w:szCs w:val="21"/>
                    </w:rPr>
                    <w:t>线过江通道布局规划》的过长江通道项目。</w:t>
                  </w:r>
                </w:p>
              </w:tc>
              <w:tc>
                <w:tcPr>
                  <w:tcW w:w="1530" w:type="pct"/>
                  <w:tcBorders>
                    <w:tl2br w:val="nil"/>
                    <w:tr2bl w:val="nil"/>
                  </w:tcBorders>
                  <w:noWrap w:val="0"/>
                  <w:vAlign w:val="center"/>
                </w:tcPr>
                <w:p w14:paraId="5437A4E2">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本项目不属于码头项目、长江通道项目</w:t>
                  </w:r>
                </w:p>
              </w:tc>
              <w:tc>
                <w:tcPr>
                  <w:tcW w:w="312" w:type="pct"/>
                  <w:tcBorders>
                    <w:tl2br w:val="nil"/>
                    <w:tr2bl w:val="nil"/>
                  </w:tcBorders>
                  <w:noWrap w:val="0"/>
                  <w:vAlign w:val="center"/>
                </w:tcPr>
                <w:p w14:paraId="4D25F00D">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相符</w:t>
                  </w:r>
                </w:p>
              </w:tc>
            </w:tr>
            <w:tr w14:paraId="641DC5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57" w:type="pct"/>
                  <w:tcBorders>
                    <w:tl2br w:val="nil"/>
                    <w:tr2bl w:val="nil"/>
                  </w:tcBorders>
                  <w:noWrap w:val="0"/>
                  <w:vAlign w:val="center"/>
                </w:tcPr>
                <w:p w14:paraId="0B69C4A4">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禁止在自然保护区核心区、缓冲区的岸线和河段范围内投资建设旅游和生产经营项目。禁止在风景名胜区核心景区的岸线和河段范围内投资建设与风景名胜资源保护无关的项目。</w:t>
                  </w:r>
                </w:p>
              </w:tc>
              <w:tc>
                <w:tcPr>
                  <w:tcW w:w="1530" w:type="pct"/>
                  <w:tcBorders>
                    <w:tl2br w:val="nil"/>
                    <w:tr2bl w:val="nil"/>
                  </w:tcBorders>
                  <w:noWrap w:val="0"/>
                  <w:vAlign w:val="center"/>
                </w:tcPr>
                <w:p w14:paraId="2014000B">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eastAsia" w:ascii="Times New Roman" w:hAnsi="Times New Roman" w:eastAsia="宋体" w:cs="Times New Roman"/>
                      <w:color w:val="auto"/>
                      <w:sz w:val="21"/>
                      <w:szCs w:val="21"/>
                      <w:lang w:eastAsia="zh-CN"/>
                    </w:rPr>
                    <w:t>江苏省常州市</w:t>
                  </w:r>
                  <w:r>
                    <w:rPr>
                      <w:rFonts w:hint="eastAsia" w:cs="Times New Roman"/>
                      <w:color w:val="auto"/>
                      <w:sz w:val="21"/>
                      <w:szCs w:val="21"/>
                      <w:lang w:eastAsia="zh-CN"/>
                    </w:rPr>
                    <w:t>金坛区金坛经济开发区珠山路66号</w:t>
                  </w:r>
                  <w:r>
                    <w:rPr>
                      <w:rFonts w:hint="default" w:ascii="Times New Roman" w:hAnsi="Times New Roman" w:eastAsia="宋体" w:cs="Times New Roman"/>
                      <w:color w:val="auto"/>
                      <w:sz w:val="21"/>
                      <w:szCs w:val="21"/>
                    </w:rPr>
                    <w:t>，不位于政策所述区域</w:t>
                  </w:r>
                </w:p>
              </w:tc>
              <w:tc>
                <w:tcPr>
                  <w:tcW w:w="312" w:type="pct"/>
                  <w:tcBorders>
                    <w:tl2br w:val="nil"/>
                    <w:tr2bl w:val="nil"/>
                  </w:tcBorders>
                  <w:noWrap w:val="0"/>
                  <w:vAlign w:val="center"/>
                </w:tcPr>
                <w:p w14:paraId="01C169D6">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相符</w:t>
                  </w:r>
                </w:p>
              </w:tc>
            </w:tr>
            <w:tr w14:paraId="456C99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57" w:type="pct"/>
                  <w:tcBorders>
                    <w:tl2br w:val="nil"/>
                    <w:tr2bl w:val="nil"/>
                  </w:tcBorders>
                  <w:noWrap w:val="0"/>
                  <w:vAlign w:val="center"/>
                </w:tcPr>
                <w:p w14:paraId="7123F31F">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530" w:type="pct"/>
                  <w:tcBorders>
                    <w:tl2br w:val="nil"/>
                    <w:tr2bl w:val="nil"/>
                  </w:tcBorders>
                  <w:noWrap w:val="0"/>
                  <w:vAlign w:val="center"/>
                </w:tcPr>
                <w:p w14:paraId="711FE5E9">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eastAsia" w:cs="Times New Roman"/>
                      <w:color w:val="auto"/>
                      <w:sz w:val="21"/>
                      <w:szCs w:val="21"/>
                      <w:lang w:val="en-US" w:eastAsia="zh-CN"/>
                    </w:rPr>
                    <w:t>位于</w:t>
                  </w:r>
                  <w:r>
                    <w:rPr>
                      <w:rFonts w:hint="eastAsia" w:ascii="Times New Roman" w:hAnsi="Times New Roman" w:eastAsia="宋体" w:cs="Times New Roman"/>
                      <w:color w:val="auto"/>
                      <w:sz w:val="21"/>
                      <w:szCs w:val="21"/>
                      <w:lang w:eastAsia="zh-CN"/>
                    </w:rPr>
                    <w:t>江苏省常州市</w:t>
                  </w:r>
                  <w:r>
                    <w:rPr>
                      <w:rFonts w:hint="eastAsia" w:cs="Times New Roman"/>
                      <w:color w:val="auto"/>
                      <w:sz w:val="21"/>
                      <w:szCs w:val="21"/>
                      <w:lang w:eastAsia="zh-CN"/>
                    </w:rPr>
                    <w:t>金坛区金坛经济开发区珠山路66号</w:t>
                  </w:r>
                  <w:r>
                    <w:rPr>
                      <w:rFonts w:hint="default" w:ascii="Times New Roman" w:hAnsi="Times New Roman" w:eastAsia="宋体" w:cs="Times New Roman"/>
                      <w:color w:val="auto"/>
                      <w:sz w:val="21"/>
                      <w:szCs w:val="21"/>
                    </w:rPr>
                    <w:t>，不位于饮用水水源一级与二级保护区的岸线和河段范围内</w:t>
                  </w:r>
                </w:p>
              </w:tc>
              <w:tc>
                <w:tcPr>
                  <w:tcW w:w="312" w:type="pct"/>
                  <w:tcBorders>
                    <w:tl2br w:val="nil"/>
                    <w:tr2bl w:val="nil"/>
                  </w:tcBorders>
                  <w:noWrap w:val="0"/>
                  <w:vAlign w:val="center"/>
                </w:tcPr>
                <w:p w14:paraId="0187AE1E">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相符</w:t>
                  </w:r>
                </w:p>
              </w:tc>
            </w:tr>
            <w:tr w14:paraId="04CED2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57" w:type="pct"/>
                  <w:tcBorders>
                    <w:tl2br w:val="nil"/>
                    <w:tr2bl w:val="nil"/>
                  </w:tcBorders>
                  <w:noWrap w:val="0"/>
                  <w:vAlign w:val="center"/>
                </w:tcPr>
                <w:p w14:paraId="4CFA02AF">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530" w:type="pct"/>
                  <w:tcBorders>
                    <w:tl2br w:val="nil"/>
                    <w:tr2bl w:val="nil"/>
                  </w:tcBorders>
                  <w:noWrap w:val="0"/>
                  <w:vAlign w:val="center"/>
                </w:tcPr>
                <w:p w14:paraId="04035519">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eastAsia" w:ascii="Times New Roman" w:hAnsi="Times New Roman" w:eastAsia="宋体" w:cs="Times New Roman"/>
                      <w:color w:val="auto"/>
                      <w:sz w:val="21"/>
                      <w:szCs w:val="21"/>
                      <w:lang w:eastAsia="zh-CN"/>
                    </w:rPr>
                    <w:t>江苏省常州市</w:t>
                  </w:r>
                  <w:r>
                    <w:rPr>
                      <w:rFonts w:hint="eastAsia" w:cs="Times New Roman"/>
                      <w:color w:val="auto"/>
                      <w:sz w:val="21"/>
                      <w:szCs w:val="21"/>
                      <w:lang w:eastAsia="zh-CN"/>
                    </w:rPr>
                    <w:t>金坛区金坛经济开发区珠山路66号</w:t>
                  </w:r>
                  <w:r>
                    <w:rPr>
                      <w:rFonts w:hint="default" w:ascii="Times New Roman" w:hAnsi="Times New Roman" w:eastAsia="宋体" w:cs="Times New Roman"/>
                      <w:color w:val="auto"/>
                      <w:sz w:val="21"/>
                      <w:szCs w:val="21"/>
                    </w:rPr>
                    <w:t>，不位于政策所述区域</w:t>
                  </w:r>
                </w:p>
              </w:tc>
              <w:tc>
                <w:tcPr>
                  <w:tcW w:w="312" w:type="pct"/>
                  <w:tcBorders>
                    <w:tl2br w:val="nil"/>
                    <w:tr2bl w:val="nil"/>
                  </w:tcBorders>
                  <w:noWrap w:val="0"/>
                  <w:vAlign w:val="center"/>
                </w:tcPr>
                <w:p w14:paraId="12E269BD">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相符</w:t>
                  </w:r>
                </w:p>
              </w:tc>
            </w:tr>
            <w:tr w14:paraId="50CA6A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57" w:type="pct"/>
                  <w:tcBorders>
                    <w:tl2br w:val="nil"/>
                    <w:tr2bl w:val="nil"/>
                  </w:tcBorders>
                  <w:noWrap w:val="0"/>
                  <w:vAlign w:val="center"/>
                </w:tcPr>
                <w:p w14:paraId="1185E83A">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530" w:type="pct"/>
                  <w:tcBorders>
                    <w:tl2br w:val="nil"/>
                    <w:tr2bl w:val="nil"/>
                  </w:tcBorders>
                  <w:noWrap w:val="0"/>
                  <w:vAlign w:val="center"/>
                </w:tcPr>
                <w:p w14:paraId="1C380644">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eastAsia" w:ascii="Times New Roman" w:hAnsi="Times New Roman" w:eastAsia="宋体" w:cs="Times New Roman"/>
                      <w:color w:val="auto"/>
                      <w:sz w:val="21"/>
                      <w:szCs w:val="21"/>
                      <w:lang w:eastAsia="zh-CN"/>
                    </w:rPr>
                    <w:t>江苏省常州市</w:t>
                  </w:r>
                  <w:r>
                    <w:rPr>
                      <w:rFonts w:hint="eastAsia" w:cs="Times New Roman"/>
                      <w:color w:val="auto"/>
                      <w:sz w:val="21"/>
                      <w:szCs w:val="21"/>
                      <w:lang w:eastAsia="zh-CN"/>
                    </w:rPr>
                    <w:t>金坛区金坛经济开发区珠山路66号</w:t>
                  </w:r>
                  <w:r>
                    <w:rPr>
                      <w:rFonts w:hint="default" w:ascii="Times New Roman" w:hAnsi="Times New Roman" w:eastAsia="宋体" w:cs="Times New Roman"/>
                      <w:color w:val="auto"/>
                      <w:sz w:val="21"/>
                      <w:szCs w:val="21"/>
                    </w:rPr>
                    <w:t>，不位于政策所述区域</w:t>
                  </w:r>
                </w:p>
              </w:tc>
              <w:tc>
                <w:tcPr>
                  <w:tcW w:w="312" w:type="pct"/>
                  <w:tcBorders>
                    <w:tl2br w:val="nil"/>
                    <w:tr2bl w:val="nil"/>
                  </w:tcBorders>
                  <w:noWrap w:val="0"/>
                  <w:vAlign w:val="center"/>
                </w:tcPr>
                <w:p w14:paraId="7A987220">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相符</w:t>
                  </w:r>
                </w:p>
              </w:tc>
            </w:tr>
            <w:tr w14:paraId="67554E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57" w:type="pct"/>
                  <w:tcBorders>
                    <w:tl2br w:val="nil"/>
                    <w:tr2bl w:val="nil"/>
                  </w:tcBorders>
                  <w:noWrap w:val="0"/>
                  <w:vAlign w:val="center"/>
                </w:tcPr>
                <w:p w14:paraId="7DD0F527">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禁止未经许可在长江干支流及湖泊新设、改设或扩大排污口。</w:t>
                  </w:r>
                </w:p>
              </w:tc>
              <w:tc>
                <w:tcPr>
                  <w:tcW w:w="1530" w:type="pct"/>
                  <w:tcBorders>
                    <w:tl2br w:val="nil"/>
                    <w:tr2bl w:val="nil"/>
                  </w:tcBorders>
                  <w:noWrap w:val="0"/>
                  <w:vAlign w:val="center"/>
                </w:tcPr>
                <w:p w14:paraId="42E08F50">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本项目不涉及</w:t>
                  </w:r>
                </w:p>
              </w:tc>
              <w:tc>
                <w:tcPr>
                  <w:tcW w:w="312" w:type="pct"/>
                  <w:tcBorders>
                    <w:tl2br w:val="nil"/>
                    <w:tr2bl w:val="nil"/>
                  </w:tcBorders>
                  <w:noWrap w:val="0"/>
                  <w:vAlign w:val="center"/>
                </w:tcPr>
                <w:p w14:paraId="51E1FB01">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相符</w:t>
                  </w:r>
                </w:p>
              </w:tc>
            </w:tr>
            <w:tr w14:paraId="70252D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57" w:type="pct"/>
                  <w:tcBorders>
                    <w:tl2br w:val="nil"/>
                    <w:tr2bl w:val="nil"/>
                  </w:tcBorders>
                  <w:noWrap w:val="0"/>
                  <w:vAlign w:val="center"/>
                </w:tcPr>
                <w:p w14:paraId="6C158ECF">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禁止在“一江一口两湖七河”和332个水生生物保护区开展生产性捕捞。</w:t>
                  </w:r>
                </w:p>
              </w:tc>
              <w:tc>
                <w:tcPr>
                  <w:tcW w:w="1530" w:type="pct"/>
                  <w:tcBorders>
                    <w:tl2br w:val="nil"/>
                    <w:tr2bl w:val="nil"/>
                  </w:tcBorders>
                  <w:noWrap w:val="0"/>
                  <w:vAlign w:val="center"/>
                </w:tcPr>
                <w:p w14:paraId="33CD14E1">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本项目不涉及</w:t>
                  </w:r>
                </w:p>
              </w:tc>
              <w:tc>
                <w:tcPr>
                  <w:tcW w:w="312" w:type="pct"/>
                  <w:tcBorders>
                    <w:tl2br w:val="nil"/>
                    <w:tr2bl w:val="nil"/>
                  </w:tcBorders>
                  <w:noWrap w:val="0"/>
                  <w:vAlign w:val="center"/>
                </w:tcPr>
                <w:p w14:paraId="05BA3876">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相符</w:t>
                  </w:r>
                </w:p>
              </w:tc>
            </w:tr>
          </w:tbl>
          <w:p w14:paraId="436459FF">
            <w:pPr>
              <w:keepNext w:val="0"/>
              <w:keepLines w:val="0"/>
              <w:pageBreakBefore w:val="0"/>
              <w:widowControl w:val="0"/>
              <w:kinsoku/>
              <w:wordWrap/>
              <w:overflowPunct/>
              <w:topLinePunct w:val="0"/>
              <w:autoSpaceDE w:val="0"/>
              <w:autoSpaceDN w:val="0"/>
              <w:bidi w:val="0"/>
              <w:adjustRightInd w:val="0"/>
              <w:snapToGrid w:val="0"/>
              <w:spacing w:line="480" w:lineRule="exact"/>
              <w:jc w:val="left"/>
              <w:textAlignment w:val="auto"/>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4"/>
                <w:szCs w:val="24"/>
                <w:lang w:val="en-US" w:eastAsia="zh-CN"/>
              </w:rPr>
              <w:t>9</w:t>
            </w:r>
            <w:r>
              <w:rPr>
                <w:rFonts w:hint="default" w:ascii="Times New Roman" w:hAnsi="Times New Roman" w:eastAsia="宋体" w:cs="Times New Roman"/>
                <w:b/>
                <w:color w:val="auto"/>
                <w:sz w:val="24"/>
                <w:szCs w:val="24"/>
                <w:lang w:val="en-US" w:eastAsia="zh-CN"/>
              </w:rPr>
              <w:t>、与</w:t>
            </w:r>
            <w:r>
              <w:rPr>
                <w:rFonts w:hint="eastAsia" w:ascii="Times New Roman" w:hAnsi="Times New Roman" w:eastAsia="宋体" w:cs="Times New Roman"/>
                <w:b/>
                <w:color w:val="auto"/>
                <w:sz w:val="24"/>
                <w:szCs w:val="24"/>
                <w:lang w:val="en-US" w:eastAsia="zh-CN"/>
              </w:rPr>
              <w:t>《江苏省“十四五”长江经济带发展负面清单指南（试行，2022年版）江苏省实施细则》（苏长江办发〔2022〕55号文）</w:t>
            </w:r>
            <w:r>
              <w:rPr>
                <w:rFonts w:hint="default" w:ascii="Times New Roman" w:hAnsi="Times New Roman" w:eastAsia="宋体" w:cs="Times New Roman"/>
                <w:b/>
                <w:color w:val="auto"/>
                <w:sz w:val="24"/>
                <w:szCs w:val="24"/>
                <w:lang w:val="en-US" w:eastAsia="zh-CN"/>
              </w:rPr>
              <w:t>相符性分析</w:t>
            </w:r>
          </w:p>
          <w:p w14:paraId="16A1C3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表1-</w:t>
            </w:r>
            <w:r>
              <w:rPr>
                <w:rFonts w:hint="eastAsia" w:ascii="Times New Roman" w:hAnsi="Times New Roman" w:eastAsia="宋体" w:cs="Times New Roman"/>
                <w:b/>
                <w:bCs/>
                <w:color w:val="auto"/>
                <w:kern w:val="0"/>
                <w:sz w:val="21"/>
                <w:szCs w:val="21"/>
                <w:highlight w:val="none"/>
                <w:lang w:val="en-US" w:eastAsia="zh-CN"/>
              </w:rPr>
              <w:t>11</w:t>
            </w:r>
            <w:r>
              <w:rPr>
                <w:rFonts w:hint="default" w:ascii="Times New Roman" w:hAnsi="Times New Roman" w:eastAsia="宋体" w:cs="Times New Roman"/>
                <w:b/>
                <w:bCs/>
                <w:color w:val="auto"/>
                <w:kern w:val="0"/>
                <w:sz w:val="21"/>
                <w:szCs w:val="21"/>
                <w:highlight w:val="none"/>
              </w:rPr>
              <w:t xml:space="preserve"> 与苏长江办发〔2022〕55号文相符性分析</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5852"/>
              <w:gridCol w:w="2836"/>
              <w:gridCol w:w="577"/>
            </w:tblGrid>
            <w:tr w14:paraId="274D50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57" w:type="pct"/>
                  <w:tcBorders>
                    <w:tl2br w:val="nil"/>
                    <w:tr2bl w:val="nil"/>
                  </w:tcBorders>
                  <w:noWrap w:val="0"/>
                  <w:vAlign w:val="center"/>
                </w:tcPr>
                <w:p w14:paraId="066EB25D">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要求</w:t>
                  </w:r>
                </w:p>
              </w:tc>
              <w:tc>
                <w:tcPr>
                  <w:tcW w:w="1530" w:type="pct"/>
                  <w:tcBorders>
                    <w:tl2br w:val="nil"/>
                    <w:tr2bl w:val="nil"/>
                  </w:tcBorders>
                  <w:noWrap w:val="0"/>
                  <w:vAlign w:val="center"/>
                </w:tcPr>
                <w:p w14:paraId="5B06D4B5">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本项目</w:t>
                  </w:r>
                </w:p>
              </w:tc>
              <w:tc>
                <w:tcPr>
                  <w:tcW w:w="311" w:type="pct"/>
                  <w:tcBorders>
                    <w:tl2br w:val="nil"/>
                    <w:tr2bl w:val="nil"/>
                  </w:tcBorders>
                  <w:noWrap w:val="0"/>
                  <w:vAlign w:val="center"/>
                </w:tcPr>
                <w:p w14:paraId="50710EB8">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相符性</w:t>
                  </w:r>
                </w:p>
              </w:tc>
            </w:tr>
            <w:tr w14:paraId="1308B3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57" w:type="pct"/>
                  <w:tcBorders>
                    <w:tl2br w:val="nil"/>
                    <w:tr2bl w:val="nil"/>
                  </w:tcBorders>
                  <w:noWrap w:val="0"/>
                  <w:vAlign w:val="center"/>
                </w:tcPr>
                <w:p w14:paraId="21E8C743">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禁止建设不符合国家港口布局规划和《江苏省沿江沿海港口布局规划</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2015-2030年</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》《江苏省内河港口布局规划</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2017-2035年</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》以及我省有关港口总体规划的码头项目，禁止建设未纳入《长江</w:t>
                  </w:r>
                  <w:r>
                    <w:rPr>
                      <w:rFonts w:hint="eastAsia" w:cs="Times New Roman"/>
                      <w:color w:val="auto"/>
                      <w:sz w:val="21"/>
                      <w:szCs w:val="21"/>
                      <w:lang w:val="en-US" w:eastAsia="zh-CN"/>
                    </w:rPr>
                    <w:t>干</w:t>
                  </w:r>
                  <w:r>
                    <w:rPr>
                      <w:rFonts w:hint="default" w:ascii="Times New Roman" w:hAnsi="Times New Roman" w:eastAsia="宋体" w:cs="Times New Roman"/>
                      <w:color w:val="auto"/>
                      <w:sz w:val="21"/>
                      <w:szCs w:val="21"/>
                    </w:rPr>
                    <w:t>线过江通道布局规划》的过长江通道项目</w:t>
                  </w:r>
                  <w:r>
                    <w:rPr>
                      <w:rFonts w:hint="default" w:ascii="Times New Roman" w:hAnsi="Times New Roman" w:eastAsia="宋体" w:cs="Times New Roman"/>
                      <w:color w:val="auto"/>
                      <w:sz w:val="21"/>
                      <w:szCs w:val="21"/>
                      <w:lang w:eastAsia="zh-CN"/>
                    </w:rPr>
                    <w:t>。</w:t>
                  </w:r>
                </w:p>
              </w:tc>
              <w:tc>
                <w:tcPr>
                  <w:tcW w:w="1530" w:type="pct"/>
                  <w:tcBorders>
                    <w:tl2br w:val="nil"/>
                    <w:tr2bl w:val="nil"/>
                  </w:tcBorders>
                  <w:noWrap w:val="0"/>
                  <w:vAlign w:val="center"/>
                </w:tcPr>
                <w:p w14:paraId="331068CF">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本项目不属于码头项目、</w:t>
                  </w:r>
                  <w:r>
                    <w:rPr>
                      <w:rFonts w:hint="default" w:ascii="Times New Roman" w:hAnsi="Times New Roman" w:eastAsia="宋体" w:cs="Times New Roman"/>
                      <w:color w:val="auto"/>
                      <w:sz w:val="21"/>
                      <w:szCs w:val="21"/>
                      <w:lang w:val="en-US" w:eastAsia="zh-CN"/>
                    </w:rPr>
                    <w:t>过</w:t>
                  </w:r>
                  <w:r>
                    <w:rPr>
                      <w:rFonts w:hint="default" w:ascii="Times New Roman" w:hAnsi="Times New Roman" w:eastAsia="宋体" w:cs="Times New Roman"/>
                      <w:color w:val="auto"/>
                      <w:sz w:val="21"/>
                      <w:szCs w:val="21"/>
                    </w:rPr>
                    <w:t>长江通道项目</w:t>
                  </w:r>
                </w:p>
              </w:tc>
              <w:tc>
                <w:tcPr>
                  <w:tcW w:w="311" w:type="pct"/>
                  <w:tcBorders>
                    <w:tl2br w:val="nil"/>
                    <w:tr2bl w:val="nil"/>
                  </w:tcBorders>
                  <w:noWrap w:val="0"/>
                  <w:vAlign w:val="center"/>
                </w:tcPr>
                <w:p w14:paraId="6373DC8B">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相符</w:t>
                  </w:r>
                </w:p>
              </w:tc>
            </w:tr>
            <w:tr w14:paraId="685805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57" w:type="pct"/>
                  <w:tcBorders>
                    <w:tl2br w:val="nil"/>
                    <w:tr2bl w:val="nil"/>
                  </w:tcBorders>
                  <w:noWrap w:val="0"/>
                  <w:vAlign w:val="center"/>
                </w:tcPr>
                <w:p w14:paraId="5520BA59">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自然保护区、风景名胜区由省林业局会同有关方面界定并落实管控责任</w:t>
                  </w:r>
                  <w:r>
                    <w:rPr>
                      <w:rFonts w:hint="default" w:ascii="Times New Roman" w:hAnsi="Times New Roman" w:eastAsia="宋体" w:cs="Times New Roman"/>
                      <w:color w:val="auto"/>
                      <w:sz w:val="21"/>
                      <w:szCs w:val="21"/>
                      <w:lang w:eastAsia="zh-CN"/>
                    </w:rPr>
                    <w:t>。</w:t>
                  </w:r>
                </w:p>
              </w:tc>
              <w:tc>
                <w:tcPr>
                  <w:tcW w:w="1530" w:type="pct"/>
                  <w:tcBorders>
                    <w:tl2br w:val="nil"/>
                    <w:tr2bl w:val="nil"/>
                  </w:tcBorders>
                  <w:noWrap w:val="0"/>
                  <w:vAlign w:val="center"/>
                </w:tcPr>
                <w:p w14:paraId="6580158E">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w:t>
                  </w:r>
                  <w:r>
                    <w:rPr>
                      <w:rFonts w:hint="eastAsia" w:cs="Times New Roman"/>
                      <w:color w:val="auto"/>
                      <w:sz w:val="21"/>
                      <w:szCs w:val="21"/>
                      <w:lang w:val="en-US" w:eastAsia="zh-CN"/>
                    </w:rPr>
                    <w:t>不涉及</w:t>
                  </w:r>
                </w:p>
              </w:tc>
              <w:tc>
                <w:tcPr>
                  <w:tcW w:w="311" w:type="pct"/>
                  <w:tcBorders>
                    <w:tl2br w:val="nil"/>
                    <w:tr2bl w:val="nil"/>
                  </w:tcBorders>
                  <w:noWrap w:val="0"/>
                  <w:vAlign w:val="center"/>
                </w:tcPr>
                <w:p w14:paraId="0CE25688">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相符</w:t>
                  </w:r>
                </w:p>
              </w:tc>
            </w:tr>
            <w:tr w14:paraId="3AFFA0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57" w:type="pct"/>
                  <w:tcBorders>
                    <w:tl2br w:val="nil"/>
                    <w:tr2bl w:val="nil"/>
                  </w:tcBorders>
                  <w:noWrap w:val="0"/>
                  <w:vAlign w:val="center"/>
                </w:tcPr>
                <w:p w14:paraId="26899872">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禁止在饮用水水源二级保护区的岸线和河段范围内新建改建、扩建排放污染物的投资建设项目</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禁止在饮用水水源准保护区的岸线和河段范围内新建、扩建对水体污染严重的投资建设项目，改建项目应当消减排污量。饮用水水源一级保护区、二级保护区、准保护区由省生态环境厅会同水利等有关方面界定并落实管控责任。</w:t>
                  </w:r>
                </w:p>
              </w:tc>
              <w:tc>
                <w:tcPr>
                  <w:tcW w:w="1530" w:type="pct"/>
                  <w:tcBorders>
                    <w:tl2br w:val="nil"/>
                    <w:tr2bl w:val="nil"/>
                  </w:tcBorders>
                  <w:noWrap w:val="0"/>
                  <w:vAlign w:val="center"/>
                </w:tcPr>
                <w:p w14:paraId="630428AA">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w:t>
                  </w:r>
                  <w:r>
                    <w:rPr>
                      <w:rFonts w:hint="eastAsia" w:cs="Times New Roman"/>
                      <w:color w:val="auto"/>
                      <w:sz w:val="21"/>
                      <w:szCs w:val="21"/>
                      <w:lang w:val="en-US" w:eastAsia="zh-CN"/>
                    </w:rPr>
                    <w:t>不涉及</w:t>
                  </w:r>
                </w:p>
              </w:tc>
              <w:tc>
                <w:tcPr>
                  <w:tcW w:w="311" w:type="pct"/>
                  <w:tcBorders>
                    <w:tl2br w:val="nil"/>
                    <w:tr2bl w:val="nil"/>
                  </w:tcBorders>
                  <w:noWrap w:val="0"/>
                  <w:vAlign w:val="center"/>
                </w:tcPr>
                <w:p w14:paraId="3F5DFAB2">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相符</w:t>
                  </w:r>
                </w:p>
              </w:tc>
            </w:tr>
            <w:tr w14:paraId="01CF6B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57" w:type="pct"/>
                  <w:tcBorders>
                    <w:tl2br w:val="nil"/>
                    <w:tr2bl w:val="nil"/>
                  </w:tcBorders>
                  <w:noWrap w:val="0"/>
                  <w:vAlign w:val="center"/>
                </w:tcPr>
                <w:p w14:paraId="3E51BFFF">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严格执行《水产种质资源保护区管理暂行办法》，禁止在国家级和省级水产种质资源保护区的岸线和河段范围内新建围湖造田、围海造地或围填海等投资建设项目。严格执行《中华人民共和国湿地保护法》《江苏省湿地保护条例》，禁止在国家湿地公园的岸线和河段范围内挖沙、采矿，以及任何不符合主体功能定位的投资建设项目。水产种质资源保护区、国家湿地公园分别由省农业农村厅、省林业局会同有关方面界定并落实管控责任</w:t>
                  </w:r>
                </w:p>
              </w:tc>
              <w:tc>
                <w:tcPr>
                  <w:tcW w:w="1530" w:type="pct"/>
                  <w:tcBorders>
                    <w:tl2br w:val="nil"/>
                    <w:tr2bl w:val="nil"/>
                  </w:tcBorders>
                  <w:noWrap w:val="0"/>
                  <w:vAlign w:val="center"/>
                </w:tcPr>
                <w:p w14:paraId="632A7E71">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w:t>
                  </w:r>
                  <w:r>
                    <w:rPr>
                      <w:rFonts w:hint="eastAsia" w:cs="Times New Roman"/>
                      <w:color w:val="auto"/>
                      <w:sz w:val="21"/>
                      <w:szCs w:val="21"/>
                      <w:lang w:val="en-US" w:eastAsia="zh-CN"/>
                    </w:rPr>
                    <w:t>不涉及</w:t>
                  </w:r>
                </w:p>
              </w:tc>
              <w:tc>
                <w:tcPr>
                  <w:tcW w:w="311" w:type="pct"/>
                  <w:tcBorders>
                    <w:tl2br w:val="nil"/>
                    <w:tr2bl w:val="nil"/>
                  </w:tcBorders>
                  <w:noWrap w:val="0"/>
                  <w:vAlign w:val="center"/>
                </w:tcPr>
                <w:p w14:paraId="719D208B">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相符</w:t>
                  </w:r>
                </w:p>
              </w:tc>
            </w:tr>
            <w:tr w14:paraId="1A2132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57" w:type="pct"/>
                  <w:tcBorders>
                    <w:tl2br w:val="nil"/>
                    <w:tr2bl w:val="nil"/>
                  </w:tcBorders>
                  <w:noWrap w:val="0"/>
                  <w:vAlign w:val="center"/>
                </w:tcPr>
                <w:p w14:paraId="00AEEDC8">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长江干支流基础设施项目应按照《长江岸线保护和开发利用总体规划》和生态环境保护、岸线保护等要求，按规定开展项目前期论证并办理相关手续。禁止在《全国重要江河湖泊水功能区划》划定的河段及湖泊保护区、保留区内投资建设不利于水资源及自然生态保护的项目。</w:t>
                  </w:r>
                </w:p>
              </w:tc>
              <w:tc>
                <w:tcPr>
                  <w:tcW w:w="1530" w:type="pct"/>
                  <w:tcBorders>
                    <w:tl2br w:val="nil"/>
                    <w:tr2bl w:val="nil"/>
                  </w:tcBorders>
                  <w:noWrap w:val="0"/>
                  <w:vAlign w:val="center"/>
                </w:tcPr>
                <w:p w14:paraId="137FB7DB">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w:t>
                  </w:r>
                  <w:r>
                    <w:rPr>
                      <w:rFonts w:hint="eastAsia" w:cs="Times New Roman"/>
                      <w:color w:val="auto"/>
                      <w:sz w:val="21"/>
                      <w:szCs w:val="21"/>
                      <w:lang w:val="en-US" w:eastAsia="zh-CN"/>
                    </w:rPr>
                    <w:t>不涉及</w:t>
                  </w:r>
                </w:p>
              </w:tc>
              <w:tc>
                <w:tcPr>
                  <w:tcW w:w="311" w:type="pct"/>
                  <w:tcBorders>
                    <w:tl2br w:val="nil"/>
                    <w:tr2bl w:val="nil"/>
                  </w:tcBorders>
                  <w:noWrap w:val="0"/>
                  <w:vAlign w:val="center"/>
                </w:tcPr>
                <w:p w14:paraId="72FDB419">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相符</w:t>
                  </w:r>
                </w:p>
              </w:tc>
            </w:tr>
            <w:tr w14:paraId="21554A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57" w:type="pct"/>
                  <w:tcBorders>
                    <w:tl2br w:val="nil"/>
                    <w:tr2bl w:val="nil"/>
                  </w:tcBorders>
                  <w:noWrap w:val="0"/>
                  <w:vAlign w:val="center"/>
                </w:tcPr>
                <w:p w14:paraId="76A26F52">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禁止未经许可在</w:t>
                  </w:r>
                  <w:r>
                    <w:rPr>
                      <w:rFonts w:hint="eastAsia" w:cs="Times New Roman"/>
                      <w:color w:val="auto"/>
                      <w:sz w:val="21"/>
                      <w:szCs w:val="21"/>
                      <w:lang w:eastAsia="zh-CN"/>
                    </w:rPr>
                    <w:t>长江干支流</w:t>
                  </w:r>
                  <w:r>
                    <w:rPr>
                      <w:rFonts w:hint="default" w:ascii="Times New Roman" w:hAnsi="Times New Roman" w:eastAsia="宋体" w:cs="Times New Roman"/>
                      <w:color w:val="auto"/>
                      <w:sz w:val="21"/>
                      <w:szCs w:val="21"/>
                    </w:rPr>
                    <w:t>及湖泊新设、改设或扩大排污口</w:t>
                  </w:r>
                  <w:r>
                    <w:rPr>
                      <w:rFonts w:hint="default" w:ascii="Times New Roman" w:hAnsi="Times New Roman" w:eastAsia="宋体" w:cs="Times New Roman"/>
                      <w:color w:val="auto"/>
                      <w:sz w:val="21"/>
                      <w:szCs w:val="21"/>
                      <w:lang w:eastAsia="zh-CN"/>
                    </w:rPr>
                    <w:t>。</w:t>
                  </w:r>
                </w:p>
              </w:tc>
              <w:tc>
                <w:tcPr>
                  <w:tcW w:w="1530" w:type="pct"/>
                  <w:tcBorders>
                    <w:tl2br w:val="nil"/>
                    <w:tr2bl w:val="nil"/>
                  </w:tcBorders>
                  <w:noWrap w:val="0"/>
                  <w:vAlign w:val="center"/>
                </w:tcPr>
                <w:p w14:paraId="407F5168">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本项目不涉及</w:t>
                  </w:r>
                </w:p>
              </w:tc>
              <w:tc>
                <w:tcPr>
                  <w:tcW w:w="311" w:type="pct"/>
                  <w:tcBorders>
                    <w:tl2br w:val="nil"/>
                    <w:tr2bl w:val="nil"/>
                  </w:tcBorders>
                  <w:noWrap w:val="0"/>
                  <w:vAlign w:val="center"/>
                </w:tcPr>
                <w:p w14:paraId="593B9FE1">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相符</w:t>
                  </w:r>
                </w:p>
              </w:tc>
            </w:tr>
            <w:tr w14:paraId="5DBB7C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57" w:type="pct"/>
                  <w:tcBorders>
                    <w:tl2br w:val="nil"/>
                    <w:tr2bl w:val="nil"/>
                  </w:tcBorders>
                  <w:noWrap w:val="0"/>
                  <w:vAlign w:val="center"/>
                </w:tcPr>
                <w:p w14:paraId="60642BDF">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禁止长江干流、长江口、34个列入《率先全面禁捕的长江流域水生生物保护区名录》的水生生物保护区以及省规定的其它禁渔水域开展生产性捕捞。</w:t>
                  </w:r>
                </w:p>
              </w:tc>
              <w:tc>
                <w:tcPr>
                  <w:tcW w:w="1530" w:type="pct"/>
                  <w:tcBorders>
                    <w:tl2br w:val="nil"/>
                    <w:tr2bl w:val="nil"/>
                  </w:tcBorders>
                  <w:noWrap w:val="0"/>
                  <w:vAlign w:val="center"/>
                </w:tcPr>
                <w:p w14:paraId="0BC30F27">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本项目不涉及</w:t>
                  </w:r>
                </w:p>
              </w:tc>
              <w:tc>
                <w:tcPr>
                  <w:tcW w:w="311" w:type="pct"/>
                  <w:tcBorders>
                    <w:tl2br w:val="nil"/>
                    <w:tr2bl w:val="nil"/>
                  </w:tcBorders>
                  <w:noWrap w:val="0"/>
                  <w:vAlign w:val="center"/>
                </w:tcPr>
                <w:p w14:paraId="786EC0BF">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相符</w:t>
                  </w:r>
                </w:p>
              </w:tc>
            </w:tr>
            <w:tr w14:paraId="7642B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0" w:type="auto"/>
                  <w:tcBorders>
                    <w:tl2br w:val="nil"/>
                    <w:tr2bl w:val="nil"/>
                  </w:tcBorders>
                  <w:noWrap w:val="0"/>
                  <w:vAlign w:val="center"/>
                </w:tcPr>
                <w:p w14:paraId="0C3F0E07">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禁止在距离</w:t>
                  </w:r>
                  <w:r>
                    <w:rPr>
                      <w:rFonts w:hint="eastAsia" w:cs="Times New Roman"/>
                      <w:color w:val="auto"/>
                      <w:sz w:val="21"/>
                      <w:szCs w:val="21"/>
                      <w:lang w:eastAsia="zh-CN"/>
                    </w:rPr>
                    <w:t>长江干支流</w:t>
                  </w:r>
                  <w:r>
                    <w:rPr>
                      <w:rFonts w:hint="default" w:ascii="Times New Roman" w:hAnsi="Times New Roman" w:eastAsia="宋体" w:cs="Times New Roman"/>
                      <w:color w:val="auto"/>
                      <w:sz w:val="21"/>
                      <w:szCs w:val="21"/>
                    </w:rPr>
                    <w:t>岸线一公里范围内新建、扩建化工园区和化工项目。长江干支流一公里按照</w:t>
                  </w:r>
                  <w:r>
                    <w:rPr>
                      <w:rFonts w:hint="eastAsia" w:cs="Times New Roman"/>
                      <w:color w:val="auto"/>
                      <w:sz w:val="21"/>
                      <w:szCs w:val="21"/>
                      <w:lang w:eastAsia="zh-CN"/>
                    </w:rPr>
                    <w:t>长江干支流</w:t>
                  </w:r>
                  <w:r>
                    <w:rPr>
                      <w:rFonts w:hint="default" w:ascii="Times New Roman" w:hAnsi="Times New Roman" w:eastAsia="宋体" w:cs="Times New Roman"/>
                      <w:color w:val="auto"/>
                      <w:sz w:val="21"/>
                      <w:szCs w:val="21"/>
                    </w:rPr>
                    <w:t>岸线边界</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即水利部门河道管理范围边界</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向陆域纵深一公里执行。</w:t>
                  </w:r>
                </w:p>
              </w:tc>
              <w:tc>
                <w:tcPr>
                  <w:tcW w:w="0" w:type="auto"/>
                  <w:tcBorders>
                    <w:tl2br w:val="nil"/>
                    <w:tr2bl w:val="nil"/>
                  </w:tcBorders>
                  <w:noWrap w:val="0"/>
                  <w:vAlign w:val="center"/>
                </w:tcPr>
                <w:p w14:paraId="6C5ECF41">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本项目不属于政策中所述禁止项目</w:t>
                  </w:r>
                </w:p>
              </w:tc>
              <w:tc>
                <w:tcPr>
                  <w:tcW w:w="0" w:type="auto"/>
                  <w:tcBorders>
                    <w:tl2br w:val="nil"/>
                    <w:tr2bl w:val="nil"/>
                  </w:tcBorders>
                  <w:noWrap w:val="0"/>
                  <w:vAlign w:val="center"/>
                </w:tcPr>
                <w:p w14:paraId="2F1CE461">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相符</w:t>
                  </w:r>
                </w:p>
              </w:tc>
            </w:tr>
            <w:tr w14:paraId="633F02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0" w:type="auto"/>
                  <w:tcBorders>
                    <w:tl2br w:val="nil"/>
                    <w:tr2bl w:val="nil"/>
                  </w:tcBorders>
                  <w:noWrap w:val="0"/>
                  <w:vAlign w:val="center"/>
                </w:tcPr>
                <w:p w14:paraId="55CD0AC4">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禁止在长江干流岸线三公里范围内新建、改建、扩建尾矿库、冶炼渣库和磷石膏库，以提升安全、生态环境保护水平为目的的改建除外。</w:t>
                  </w:r>
                </w:p>
              </w:tc>
              <w:tc>
                <w:tcPr>
                  <w:tcW w:w="0" w:type="auto"/>
                  <w:tcBorders>
                    <w:tl2br w:val="nil"/>
                    <w:tr2bl w:val="nil"/>
                  </w:tcBorders>
                  <w:noWrap w:val="0"/>
                  <w:vAlign w:val="center"/>
                </w:tcPr>
                <w:p w14:paraId="4AE33618">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本项目不属于政策中所述禁止项目</w:t>
                  </w:r>
                </w:p>
              </w:tc>
              <w:tc>
                <w:tcPr>
                  <w:tcW w:w="0" w:type="auto"/>
                  <w:tcBorders>
                    <w:tl2br w:val="nil"/>
                    <w:tr2bl w:val="nil"/>
                  </w:tcBorders>
                  <w:noWrap w:val="0"/>
                  <w:vAlign w:val="center"/>
                </w:tcPr>
                <w:p w14:paraId="56BCE648">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相符</w:t>
                  </w:r>
                </w:p>
              </w:tc>
            </w:tr>
            <w:tr w14:paraId="0FFED8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0" w:type="auto"/>
                  <w:tcBorders>
                    <w:tl2br w:val="nil"/>
                    <w:tr2bl w:val="nil"/>
                  </w:tcBorders>
                  <w:noWrap w:val="0"/>
                  <w:vAlign w:val="center"/>
                </w:tcPr>
                <w:p w14:paraId="316DC7DC">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禁止在太湖流域一、二、三级保护区内开展《江苏省太湖水污染防治条例》禁止的投资建设活动。</w:t>
                  </w:r>
                </w:p>
              </w:tc>
              <w:tc>
                <w:tcPr>
                  <w:tcW w:w="0" w:type="auto"/>
                  <w:tcBorders>
                    <w:tl2br w:val="nil"/>
                    <w:tr2bl w:val="nil"/>
                  </w:tcBorders>
                  <w:noWrap w:val="0"/>
                  <w:vAlign w:val="center"/>
                </w:tcPr>
                <w:p w14:paraId="1D137A08">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eastAsia="zh-CN"/>
                    </w:rPr>
                    <w:t>本项目</w:t>
                  </w:r>
                  <w:r>
                    <w:rPr>
                      <w:rFonts w:hint="default" w:ascii="Times New Roman" w:hAnsi="Times New Roman" w:eastAsia="宋体" w:cs="Times New Roman"/>
                      <w:color w:val="auto"/>
                      <w:sz w:val="21"/>
                      <w:szCs w:val="21"/>
                    </w:rPr>
                    <w:t>不属于政策中所述禁止项目</w:t>
                  </w:r>
                </w:p>
              </w:tc>
              <w:tc>
                <w:tcPr>
                  <w:tcW w:w="0" w:type="auto"/>
                  <w:tcBorders>
                    <w:tl2br w:val="nil"/>
                    <w:tr2bl w:val="nil"/>
                  </w:tcBorders>
                  <w:noWrap w:val="0"/>
                  <w:vAlign w:val="center"/>
                </w:tcPr>
                <w:p w14:paraId="3A31E81D">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相符</w:t>
                  </w:r>
                </w:p>
              </w:tc>
            </w:tr>
            <w:tr w14:paraId="4407D2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0" w:type="auto"/>
                  <w:tcBorders>
                    <w:tl2br w:val="nil"/>
                    <w:tr2bl w:val="nil"/>
                  </w:tcBorders>
                  <w:noWrap w:val="0"/>
                  <w:vAlign w:val="center"/>
                </w:tcPr>
                <w:p w14:paraId="6DC13ADB">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禁止在沿江地区新建、扩建未纳入国家和省布局规划的燃煤发电项目。</w:t>
                  </w:r>
                </w:p>
              </w:tc>
              <w:tc>
                <w:tcPr>
                  <w:tcW w:w="0" w:type="auto"/>
                  <w:tcBorders>
                    <w:tl2br w:val="nil"/>
                    <w:tr2bl w:val="nil"/>
                  </w:tcBorders>
                  <w:noWrap w:val="0"/>
                  <w:vAlign w:val="center"/>
                </w:tcPr>
                <w:p w14:paraId="1BBA0AB7">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本项目</w:t>
                  </w:r>
                  <w:r>
                    <w:rPr>
                      <w:rFonts w:hint="default" w:ascii="Times New Roman" w:hAnsi="Times New Roman" w:eastAsia="宋体" w:cs="Times New Roman"/>
                      <w:color w:val="auto"/>
                      <w:sz w:val="21"/>
                      <w:szCs w:val="21"/>
                    </w:rPr>
                    <w:t>不属于燃煤发电项目</w:t>
                  </w:r>
                </w:p>
              </w:tc>
              <w:tc>
                <w:tcPr>
                  <w:tcW w:w="0" w:type="auto"/>
                  <w:tcBorders>
                    <w:tl2br w:val="nil"/>
                    <w:tr2bl w:val="nil"/>
                  </w:tcBorders>
                  <w:noWrap w:val="0"/>
                  <w:vAlign w:val="center"/>
                </w:tcPr>
                <w:p w14:paraId="4048F17F">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相符</w:t>
                  </w:r>
                </w:p>
              </w:tc>
            </w:tr>
            <w:tr w14:paraId="1607F8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0" w:type="auto"/>
                  <w:tcBorders>
                    <w:tl2br w:val="nil"/>
                    <w:tr2bl w:val="nil"/>
                  </w:tcBorders>
                  <w:noWrap w:val="0"/>
                  <w:vAlign w:val="center"/>
                </w:tcPr>
                <w:p w14:paraId="0D4EE450">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禁止在合规园区外新建、扩建钢铁、石化、化工、焦化、建材、有色、制浆造纸等高污染项目。合规园区名录按照《</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长江经济带发展负面清单指南</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试行，2022年版</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&gt;江苏省实施细则合规园区名录》执行。</w:t>
                  </w:r>
                </w:p>
              </w:tc>
              <w:tc>
                <w:tcPr>
                  <w:tcW w:w="0" w:type="auto"/>
                  <w:tcBorders>
                    <w:tl2br w:val="nil"/>
                    <w:tr2bl w:val="nil"/>
                  </w:tcBorders>
                  <w:noWrap w:val="0"/>
                  <w:vAlign w:val="center"/>
                </w:tcPr>
                <w:p w14:paraId="2CE427BB">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本项目</w:t>
                  </w:r>
                  <w:r>
                    <w:rPr>
                      <w:rFonts w:hint="default" w:ascii="Times New Roman" w:hAnsi="Times New Roman" w:eastAsia="宋体" w:cs="Times New Roman"/>
                      <w:color w:val="auto"/>
                      <w:sz w:val="21"/>
                      <w:szCs w:val="21"/>
                    </w:rPr>
                    <w:t>不属于政策中所述</w:t>
                  </w:r>
                  <w:r>
                    <w:rPr>
                      <w:rFonts w:hint="default" w:ascii="Times New Roman" w:hAnsi="Times New Roman" w:eastAsia="宋体" w:cs="Times New Roman"/>
                      <w:color w:val="auto"/>
                      <w:sz w:val="21"/>
                      <w:szCs w:val="21"/>
                      <w:lang w:val="en-US" w:eastAsia="zh-CN"/>
                    </w:rPr>
                    <w:t>高污染项目</w:t>
                  </w:r>
                </w:p>
              </w:tc>
              <w:tc>
                <w:tcPr>
                  <w:tcW w:w="0" w:type="auto"/>
                  <w:tcBorders>
                    <w:tl2br w:val="nil"/>
                    <w:tr2bl w:val="nil"/>
                  </w:tcBorders>
                  <w:noWrap w:val="0"/>
                  <w:vAlign w:val="center"/>
                </w:tcPr>
                <w:p w14:paraId="41601A50">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相符</w:t>
                  </w:r>
                </w:p>
              </w:tc>
            </w:tr>
            <w:tr w14:paraId="2FBBCF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0" w:type="auto"/>
                  <w:tcBorders>
                    <w:tl2br w:val="nil"/>
                    <w:tr2bl w:val="nil"/>
                  </w:tcBorders>
                  <w:noWrap w:val="0"/>
                  <w:vAlign w:val="center"/>
                </w:tcPr>
                <w:p w14:paraId="0730B631">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禁止在取</w:t>
                  </w:r>
                  <w:r>
                    <w:rPr>
                      <w:rFonts w:hint="eastAsia" w:cs="Times New Roman"/>
                      <w:color w:val="auto"/>
                      <w:sz w:val="21"/>
                      <w:szCs w:val="21"/>
                      <w:lang w:val="en-US" w:eastAsia="zh-CN"/>
                    </w:rPr>
                    <w:t>消化</w:t>
                  </w:r>
                  <w:r>
                    <w:rPr>
                      <w:rFonts w:hint="default" w:ascii="Times New Roman" w:hAnsi="Times New Roman" w:eastAsia="宋体" w:cs="Times New Roman"/>
                      <w:color w:val="auto"/>
                      <w:sz w:val="21"/>
                      <w:szCs w:val="21"/>
                    </w:rPr>
                    <w:t>工定位的园区</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集中区</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内新建化工项目。</w:t>
                  </w:r>
                </w:p>
              </w:tc>
              <w:tc>
                <w:tcPr>
                  <w:tcW w:w="0" w:type="auto"/>
                  <w:tcBorders>
                    <w:tl2br w:val="nil"/>
                    <w:tr2bl w:val="nil"/>
                  </w:tcBorders>
                  <w:noWrap w:val="0"/>
                  <w:vAlign w:val="center"/>
                </w:tcPr>
                <w:p w14:paraId="7DB04298">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本项目</w:t>
                  </w:r>
                  <w:r>
                    <w:rPr>
                      <w:rFonts w:hint="default" w:ascii="Times New Roman" w:hAnsi="Times New Roman" w:eastAsia="宋体" w:cs="Times New Roman"/>
                      <w:color w:val="auto"/>
                      <w:sz w:val="21"/>
                      <w:szCs w:val="21"/>
                    </w:rPr>
                    <w:t>不属于</w:t>
                  </w:r>
                  <w:r>
                    <w:rPr>
                      <w:rFonts w:hint="default" w:ascii="Times New Roman" w:hAnsi="Times New Roman" w:eastAsia="宋体" w:cs="Times New Roman"/>
                      <w:color w:val="auto"/>
                      <w:sz w:val="21"/>
                      <w:szCs w:val="21"/>
                      <w:lang w:val="en-US" w:eastAsia="zh-CN"/>
                    </w:rPr>
                    <w:t>化工</w:t>
                  </w:r>
                  <w:r>
                    <w:rPr>
                      <w:rFonts w:hint="default" w:ascii="Times New Roman" w:hAnsi="Times New Roman" w:eastAsia="宋体" w:cs="Times New Roman"/>
                      <w:color w:val="auto"/>
                      <w:sz w:val="21"/>
                      <w:szCs w:val="21"/>
                    </w:rPr>
                    <w:t>项目</w:t>
                  </w:r>
                </w:p>
              </w:tc>
              <w:tc>
                <w:tcPr>
                  <w:tcW w:w="0" w:type="auto"/>
                  <w:tcBorders>
                    <w:tl2br w:val="nil"/>
                    <w:tr2bl w:val="nil"/>
                  </w:tcBorders>
                  <w:noWrap w:val="0"/>
                  <w:vAlign w:val="center"/>
                </w:tcPr>
                <w:p w14:paraId="2740AF08">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相符</w:t>
                  </w:r>
                </w:p>
              </w:tc>
            </w:tr>
            <w:tr w14:paraId="5EE6D6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0" w:type="auto"/>
                  <w:tcBorders>
                    <w:tl2br w:val="nil"/>
                    <w:tr2bl w:val="nil"/>
                  </w:tcBorders>
                  <w:noWrap w:val="0"/>
                  <w:vAlign w:val="center"/>
                </w:tcPr>
                <w:p w14:paraId="3609C1B1">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禁止在化工企业周边建设不符合安全距离规定的劳动密集型的非化工项目和其他人员密集的公共设施项目</w:t>
                  </w:r>
                  <w:r>
                    <w:rPr>
                      <w:rFonts w:hint="default" w:ascii="Times New Roman" w:hAnsi="Times New Roman" w:eastAsia="宋体" w:cs="Times New Roman"/>
                      <w:color w:val="auto"/>
                      <w:sz w:val="21"/>
                      <w:szCs w:val="21"/>
                      <w:lang w:eastAsia="zh-CN"/>
                    </w:rPr>
                    <w:t>。</w:t>
                  </w:r>
                </w:p>
              </w:tc>
              <w:tc>
                <w:tcPr>
                  <w:tcW w:w="0" w:type="auto"/>
                  <w:tcBorders>
                    <w:tl2br w:val="nil"/>
                    <w:tr2bl w:val="nil"/>
                  </w:tcBorders>
                  <w:noWrap w:val="0"/>
                  <w:vAlign w:val="center"/>
                </w:tcPr>
                <w:p w14:paraId="38F2F2CE">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本项目</w:t>
                  </w:r>
                  <w:r>
                    <w:rPr>
                      <w:rFonts w:hint="default" w:ascii="Times New Roman" w:hAnsi="Times New Roman" w:eastAsia="宋体" w:cs="Times New Roman"/>
                      <w:color w:val="auto"/>
                      <w:sz w:val="21"/>
                      <w:szCs w:val="21"/>
                    </w:rPr>
                    <w:t>不属于政策中所述禁止项目</w:t>
                  </w:r>
                </w:p>
              </w:tc>
              <w:tc>
                <w:tcPr>
                  <w:tcW w:w="0" w:type="auto"/>
                  <w:tcBorders>
                    <w:tl2br w:val="nil"/>
                    <w:tr2bl w:val="nil"/>
                  </w:tcBorders>
                  <w:noWrap w:val="0"/>
                  <w:vAlign w:val="center"/>
                </w:tcPr>
                <w:p w14:paraId="43DA2C56">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相符</w:t>
                  </w:r>
                </w:p>
              </w:tc>
            </w:tr>
            <w:tr w14:paraId="238F9F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0" w:type="auto"/>
                  <w:tcBorders>
                    <w:tl2br w:val="nil"/>
                    <w:tr2bl w:val="nil"/>
                  </w:tcBorders>
                  <w:noWrap w:val="0"/>
                  <w:vAlign w:val="center"/>
                </w:tcPr>
                <w:p w14:paraId="0B05F910">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禁止新建、扩建不符合国家和省产业政策的尿素、磷铵、电石、烧碱、聚氯乙烯、纯碱等行业新增产能项目。</w:t>
                  </w:r>
                </w:p>
              </w:tc>
              <w:tc>
                <w:tcPr>
                  <w:tcW w:w="0" w:type="auto"/>
                  <w:tcBorders>
                    <w:tl2br w:val="nil"/>
                    <w:tr2bl w:val="nil"/>
                  </w:tcBorders>
                  <w:noWrap w:val="0"/>
                  <w:vAlign w:val="center"/>
                </w:tcPr>
                <w:p w14:paraId="181D69D5">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本项目</w:t>
                  </w:r>
                  <w:r>
                    <w:rPr>
                      <w:rFonts w:hint="default" w:ascii="Times New Roman" w:hAnsi="Times New Roman" w:eastAsia="宋体" w:cs="Times New Roman"/>
                      <w:color w:val="auto"/>
                      <w:sz w:val="21"/>
                      <w:szCs w:val="21"/>
                    </w:rPr>
                    <w:t>不属于政策中所述禁止项目</w:t>
                  </w:r>
                </w:p>
              </w:tc>
              <w:tc>
                <w:tcPr>
                  <w:tcW w:w="0" w:type="auto"/>
                  <w:tcBorders>
                    <w:tl2br w:val="nil"/>
                    <w:tr2bl w:val="nil"/>
                  </w:tcBorders>
                  <w:noWrap w:val="0"/>
                  <w:vAlign w:val="center"/>
                </w:tcPr>
                <w:p w14:paraId="3A8F8D0E">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相符</w:t>
                  </w:r>
                </w:p>
              </w:tc>
            </w:tr>
            <w:tr w14:paraId="206D40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0" w:type="auto"/>
                  <w:tcBorders>
                    <w:tl2br w:val="nil"/>
                    <w:tr2bl w:val="nil"/>
                  </w:tcBorders>
                  <w:noWrap w:val="0"/>
                  <w:vAlign w:val="center"/>
                </w:tcPr>
                <w:p w14:paraId="1D503E60">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禁止新建、改建、扩建高毒、高残留以及对环境影响大的农药原药</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化学合成类</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项目，禁止新建、扩建不符合国家和省产业政策的农药、医药和染料中间体化工项目。</w:t>
                  </w:r>
                </w:p>
              </w:tc>
              <w:tc>
                <w:tcPr>
                  <w:tcW w:w="0" w:type="auto"/>
                  <w:tcBorders>
                    <w:tl2br w:val="nil"/>
                    <w:tr2bl w:val="nil"/>
                  </w:tcBorders>
                  <w:noWrap w:val="0"/>
                  <w:vAlign w:val="center"/>
                </w:tcPr>
                <w:p w14:paraId="6C56547E">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本项目</w:t>
                  </w:r>
                  <w:r>
                    <w:rPr>
                      <w:rFonts w:hint="default" w:ascii="Times New Roman" w:hAnsi="Times New Roman" w:eastAsia="宋体" w:cs="Times New Roman"/>
                      <w:color w:val="auto"/>
                      <w:sz w:val="21"/>
                      <w:szCs w:val="21"/>
                    </w:rPr>
                    <w:t>不属于政策中所述禁止项目</w:t>
                  </w:r>
                </w:p>
              </w:tc>
              <w:tc>
                <w:tcPr>
                  <w:tcW w:w="0" w:type="auto"/>
                  <w:tcBorders>
                    <w:tl2br w:val="nil"/>
                    <w:tr2bl w:val="nil"/>
                  </w:tcBorders>
                  <w:noWrap w:val="0"/>
                  <w:vAlign w:val="center"/>
                </w:tcPr>
                <w:p w14:paraId="3D276F49">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相符</w:t>
                  </w:r>
                </w:p>
              </w:tc>
            </w:tr>
            <w:tr w14:paraId="74C809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0" w:type="auto"/>
                  <w:tcBorders>
                    <w:tl2br w:val="nil"/>
                    <w:tr2bl w:val="nil"/>
                  </w:tcBorders>
                  <w:noWrap w:val="0"/>
                  <w:vAlign w:val="center"/>
                </w:tcPr>
                <w:p w14:paraId="3C84C023">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禁止新建、扩建不符合国家石化、现代煤化工等产业布局规划的项目，禁止新建独立焦化项目</w:t>
                  </w:r>
                </w:p>
              </w:tc>
              <w:tc>
                <w:tcPr>
                  <w:tcW w:w="0" w:type="auto"/>
                  <w:tcBorders>
                    <w:tl2br w:val="nil"/>
                    <w:tr2bl w:val="nil"/>
                  </w:tcBorders>
                  <w:noWrap w:val="0"/>
                  <w:vAlign w:val="center"/>
                </w:tcPr>
                <w:p w14:paraId="5A5EEA74">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本项目</w:t>
                  </w:r>
                  <w:r>
                    <w:rPr>
                      <w:rFonts w:hint="default" w:ascii="Times New Roman" w:hAnsi="Times New Roman" w:eastAsia="宋体" w:cs="Times New Roman"/>
                      <w:color w:val="auto"/>
                      <w:sz w:val="21"/>
                      <w:szCs w:val="21"/>
                    </w:rPr>
                    <w:t>不属于政策中所述禁止项目</w:t>
                  </w:r>
                </w:p>
              </w:tc>
              <w:tc>
                <w:tcPr>
                  <w:tcW w:w="0" w:type="auto"/>
                  <w:tcBorders>
                    <w:tl2br w:val="nil"/>
                    <w:tr2bl w:val="nil"/>
                  </w:tcBorders>
                  <w:noWrap w:val="0"/>
                  <w:vAlign w:val="center"/>
                </w:tcPr>
                <w:p w14:paraId="5DFD05AA">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相符</w:t>
                  </w:r>
                </w:p>
              </w:tc>
            </w:tr>
            <w:tr w14:paraId="04278B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0" w:type="auto"/>
                  <w:tcBorders>
                    <w:tl2br w:val="nil"/>
                    <w:tr2bl w:val="nil"/>
                  </w:tcBorders>
                  <w:noWrap w:val="0"/>
                  <w:vAlign w:val="center"/>
                </w:tcPr>
                <w:p w14:paraId="774992DB">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0" w:type="auto"/>
                  <w:tcBorders>
                    <w:tl2br w:val="nil"/>
                    <w:tr2bl w:val="nil"/>
                  </w:tcBorders>
                  <w:noWrap w:val="0"/>
                  <w:vAlign w:val="center"/>
                </w:tcPr>
                <w:p w14:paraId="046539C9">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本项目</w:t>
                  </w:r>
                  <w:r>
                    <w:rPr>
                      <w:rFonts w:hint="default" w:ascii="Times New Roman" w:hAnsi="Times New Roman" w:eastAsia="宋体" w:cs="Times New Roman"/>
                      <w:color w:val="auto"/>
                      <w:sz w:val="21"/>
                      <w:szCs w:val="21"/>
                    </w:rPr>
                    <w:t>不属于政策中所述禁止项目</w:t>
                  </w:r>
                </w:p>
              </w:tc>
              <w:tc>
                <w:tcPr>
                  <w:tcW w:w="0" w:type="auto"/>
                  <w:tcBorders>
                    <w:tl2br w:val="nil"/>
                    <w:tr2bl w:val="nil"/>
                  </w:tcBorders>
                  <w:noWrap w:val="0"/>
                  <w:vAlign w:val="center"/>
                </w:tcPr>
                <w:p w14:paraId="10A1FC6F">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相符</w:t>
                  </w:r>
                </w:p>
              </w:tc>
            </w:tr>
            <w:tr w14:paraId="775AEA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0" w:type="auto"/>
                  <w:tcBorders>
                    <w:tl2br w:val="nil"/>
                    <w:tr2bl w:val="nil"/>
                  </w:tcBorders>
                  <w:noWrap w:val="0"/>
                  <w:vAlign w:val="center"/>
                </w:tcPr>
                <w:p w14:paraId="20771F64">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禁止新建、扩建不符合国家产能置换要求的严重过剩产能行业的项目。禁止新建、扩建不符合要求的高耗能高排放项目。</w:t>
                  </w:r>
                </w:p>
              </w:tc>
              <w:tc>
                <w:tcPr>
                  <w:tcW w:w="0" w:type="auto"/>
                  <w:tcBorders>
                    <w:tl2br w:val="nil"/>
                    <w:tr2bl w:val="nil"/>
                  </w:tcBorders>
                  <w:noWrap w:val="0"/>
                  <w:vAlign w:val="center"/>
                </w:tcPr>
                <w:p w14:paraId="766E3991">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本项目</w:t>
                  </w:r>
                  <w:r>
                    <w:rPr>
                      <w:rFonts w:hint="default" w:ascii="Times New Roman" w:hAnsi="Times New Roman" w:eastAsia="宋体" w:cs="Times New Roman"/>
                      <w:color w:val="auto"/>
                      <w:sz w:val="21"/>
                      <w:szCs w:val="21"/>
                    </w:rPr>
                    <w:t>不属于</w:t>
                  </w:r>
                  <w:r>
                    <w:rPr>
                      <w:rFonts w:hint="default" w:ascii="Times New Roman" w:hAnsi="Times New Roman" w:eastAsia="宋体" w:cs="Times New Roman"/>
                      <w:color w:val="auto"/>
                      <w:sz w:val="21"/>
                      <w:szCs w:val="21"/>
                      <w:lang w:val="en-US" w:eastAsia="zh-CN"/>
                    </w:rPr>
                    <w:t>高能耗高排放</w:t>
                  </w:r>
                  <w:r>
                    <w:rPr>
                      <w:rFonts w:hint="default" w:ascii="Times New Roman" w:hAnsi="Times New Roman" w:eastAsia="宋体" w:cs="Times New Roman"/>
                      <w:color w:val="auto"/>
                      <w:sz w:val="21"/>
                      <w:szCs w:val="21"/>
                    </w:rPr>
                    <w:t>项目</w:t>
                  </w:r>
                </w:p>
              </w:tc>
              <w:tc>
                <w:tcPr>
                  <w:tcW w:w="0" w:type="auto"/>
                  <w:tcBorders>
                    <w:tl2br w:val="nil"/>
                    <w:tr2bl w:val="nil"/>
                  </w:tcBorders>
                  <w:noWrap w:val="0"/>
                  <w:vAlign w:val="center"/>
                </w:tcPr>
                <w:p w14:paraId="2882F34A">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相符</w:t>
                  </w:r>
                </w:p>
              </w:tc>
            </w:tr>
            <w:tr w14:paraId="45182B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0" w:type="auto"/>
                  <w:tcBorders>
                    <w:tl2br w:val="nil"/>
                    <w:tr2bl w:val="nil"/>
                  </w:tcBorders>
                  <w:noWrap w:val="0"/>
                  <w:vAlign w:val="center"/>
                </w:tcPr>
                <w:p w14:paraId="05BED784">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法律法规及相关政策文件有更加严格规定的从其规定。</w:t>
                  </w:r>
                </w:p>
              </w:tc>
              <w:tc>
                <w:tcPr>
                  <w:tcW w:w="0" w:type="auto"/>
                  <w:tcBorders>
                    <w:tl2br w:val="nil"/>
                    <w:tr2bl w:val="nil"/>
                  </w:tcBorders>
                  <w:noWrap w:val="0"/>
                  <w:vAlign w:val="center"/>
                </w:tcPr>
                <w:p w14:paraId="18C87B0F">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相符</w:t>
                  </w:r>
                </w:p>
              </w:tc>
              <w:tc>
                <w:tcPr>
                  <w:tcW w:w="0" w:type="auto"/>
                  <w:tcBorders>
                    <w:tl2br w:val="nil"/>
                    <w:tr2bl w:val="nil"/>
                  </w:tcBorders>
                  <w:noWrap w:val="0"/>
                  <w:vAlign w:val="center"/>
                </w:tcPr>
                <w:p w14:paraId="56665C80">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相符</w:t>
                  </w:r>
                </w:p>
              </w:tc>
            </w:tr>
          </w:tbl>
          <w:p w14:paraId="3A110AAD">
            <w:pPr>
              <w:keepNext w:val="0"/>
              <w:keepLines w:val="0"/>
              <w:pageBreakBefore w:val="0"/>
              <w:widowControl w:val="0"/>
              <w:kinsoku/>
              <w:wordWrap/>
              <w:overflowPunct/>
              <w:topLinePunct w:val="0"/>
              <w:autoSpaceDE w:val="0"/>
              <w:autoSpaceDN w:val="0"/>
              <w:bidi w:val="0"/>
              <w:adjustRightInd w:val="0"/>
              <w:snapToGrid w:val="0"/>
              <w:spacing w:line="480" w:lineRule="exact"/>
              <w:jc w:val="left"/>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10、与“两高”项目相关政策相符性分析</w:t>
            </w:r>
          </w:p>
          <w:p w14:paraId="57E84F6F">
            <w:pPr>
              <w:keepNext w:val="0"/>
              <w:keepLines w:val="0"/>
              <w:pageBreakBefore w:val="0"/>
              <w:widowControl w:val="0"/>
              <w:kinsoku/>
              <w:wordWrap/>
              <w:overflowPunct/>
              <w:topLinePunct w:val="0"/>
              <w:autoSpaceDE w:val="0"/>
              <w:autoSpaceDN w:val="0"/>
              <w:bidi w:val="0"/>
              <w:adjustRightInd w:val="0"/>
              <w:snapToGrid w:val="0"/>
              <w:spacing w:line="480" w:lineRule="exact"/>
              <w:jc w:val="left"/>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建设项目主要进行</w:t>
            </w:r>
            <w:r>
              <w:rPr>
                <w:rFonts w:hint="eastAsia" w:cs="Times New Roman"/>
                <w:b w:val="0"/>
                <w:bCs/>
                <w:color w:val="auto"/>
                <w:sz w:val="24"/>
                <w:szCs w:val="24"/>
                <w:lang w:val="en-US" w:eastAsia="zh-CN"/>
              </w:rPr>
              <w:t>吻合器零配件、电器零配件的生产，属于[C2929]塑料零件及其他塑料制品制造、[C3584]医疗、外科及兽医用器械制造</w:t>
            </w:r>
            <w:r>
              <w:rPr>
                <w:rFonts w:hint="eastAsia" w:ascii="Times New Roman" w:hAnsi="Times New Roman" w:eastAsia="宋体" w:cs="Times New Roman"/>
                <w:b w:val="0"/>
                <w:bCs/>
                <w:color w:val="auto"/>
                <w:sz w:val="24"/>
                <w:szCs w:val="24"/>
                <w:lang w:val="en-US" w:eastAsia="zh-CN"/>
              </w:rPr>
              <w:t>。对照《江苏省“两高”项目管理目录（2025年版）》，项目不涉及使用高污染燃料且不属于江苏省“两高”项目管理名录。对照《关于报送高耗能、高排放项目清单的通知》，项目不属于“两高”项目报送清单范围。</w:t>
            </w:r>
          </w:p>
          <w:p w14:paraId="30FD97F3">
            <w:pPr>
              <w:adjustRightInd w:val="0"/>
              <w:snapToGrid w:val="0"/>
              <w:ind w:firstLine="422"/>
              <w:rPr>
                <w:rFonts w:hint="default"/>
                <w:b/>
                <w:bCs/>
                <w:color w:val="auto"/>
                <w:sz w:val="24"/>
                <w:szCs w:val="24"/>
                <w:lang w:val="en-US" w:eastAsia="zh-CN"/>
              </w:rPr>
            </w:pPr>
            <w:r>
              <w:rPr>
                <w:rFonts w:hint="eastAsia"/>
                <w:b/>
                <w:bCs/>
                <w:color w:val="auto"/>
                <w:sz w:val="24"/>
                <w:szCs w:val="24"/>
                <w:lang w:val="en-US" w:eastAsia="zh-CN"/>
              </w:rPr>
              <w:t>11、废气污染防治</w:t>
            </w:r>
            <w:r>
              <w:rPr>
                <w:b/>
                <w:bCs/>
                <w:color w:val="auto"/>
                <w:sz w:val="24"/>
                <w:szCs w:val="24"/>
              </w:rPr>
              <w:t>相关文件相符性分析</w:t>
            </w:r>
          </w:p>
          <w:p w14:paraId="3C200B31">
            <w:pPr>
              <w:adjustRightInd w:val="0"/>
              <w:snapToGrid w:val="0"/>
              <w:ind w:firstLine="422"/>
              <w:rPr>
                <w:rFonts w:hint="eastAsia"/>
                <w:b/>
                <w:bCs/>
                <w:color w:val="auto"/>
                <w:sz w:val="24"/>
                <w:szCs w:val="24"/>
                <w:lang w:val="en-US" w:eastAsia="zh-CN"/>
              </w:rPr>
            </w:pPr>
            <w:r>
              <w:rPr>
                <w:rFonts w:hint="eastAsia"/>
                <w:b/>
                <w:bCs/>
                <w:color w:val="auto"/>
                <w:sz w:val="24"/>
                <w:szCs w:val="24"/>
                <w:lang w:val="en-US" w:eastAsia="zh-CN"/>
              </w:rPr>
              <w:t>（1）与《江苏省挥发性有机物污染物防治管理办法》（省政府令第119号）相符性分析</w:t>
            </w:r>
          </w:p>
          <w:p w14:paraId="06886E29">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ascii="Times New Roman" w:hAnsi="Times New Roman" w:eastAsia="宋体" w:cs="Times New Roman"/>
                <w:b/>
                <w:bCs/>
                <w:color w:val="auto"/>
                <w:sz w:val="21"/>
                <w:szCs w:val="21"/>
                <w:lang w:val="en-US" w:eastAsia="zh-CN"/>
              </w:rPr>
              <w:t>1</w:t>
            </w:r>
            <w:r>
              <w:rPr>
                <w:rFonts w:hint="eastAsia" w:cs="Times New Roman"/>
                <w:b/>
                <w:bCs/>
                <w:color w:val="auto"/>
                <w:sz w:val="21"/>
                <w:szCs w:val="21"/>
                <w:lang w:val="en-US" w:eastAsia="zh-CN"/>
              </w:rPr>
              <w:t>2</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与</w:t>
            </w:r>
            <w:r>
              <w:rPr>
                <w:rFonts w:hint="eastAsia" w:ascii="Times New Roman" w:hAnsi="Times New Roman" w:eastAsia="宋体" w:cs="Times New Roman"/>
                <w:b/>
                <w:bCs/>
                <w:color w:val="auto"/>
                <w:sz w:val="21"/>
                <w:szCs w:val="21"/>
                <w:lang w:eastAsia="zh-CN"/>
              </w:rPr>
              <w:t>《江苏省挥发性有机物污染物防治管理办法》（省政府令第119号）</w:t>
            </w:r>
            <w:r>
              <w:rPr>
                <w:rFonts w:hint="default" w:ascii="Times New Roman" w:hAnsi="Times New Roman" w:eastAsia="宋体" w:cs="Times New Roman"/>
                <w:b/>
                <w:bCs/>
                <w:color w:val="auto"/>
                <w:sz w:val="21"/>
                <w:szCs w:val="21"/>
              </w:rPr>
              <w:t>相符性分析</w:t>
            </w:r>
          </w:p>
          <w:tbl>
            <w:tblPr>
              <w:tblStyle w:val="1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77"/>
              <w:gridCol w:w="3505"/>
              <w:gridCol w:w="676"/>
            </w:tblGrid>
            <w:tr w14:paraId="479514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1" w:type="pct"/>
                  <w:tcBorders>
                    <w:tl2br w:val="nil"/>
                    <w:tr2bl w:val="nil"/>
                  </w:tcBorders>
                  <w:noWrap w:val="0"/>
                  <w:vAlign w:val="center"/>
                </w:tcPr>
                <w:p w14:paraId="72F57014">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要求</w:t>
                  </w:r>
                </w:p>
              </w:tc>
              <w:tc>
                <w:tcPr>
                  <w:tcW w:w="1892" w:type="pct"/>
                  <w:tcBorders>
                    <w:tl2br w:val="nil"/>
                    <w:tr2bl w:val="nil"/>
                  </w:tcBorders>
                  <w:noWrap w:val="0"/>
                  <w:vAlign w:val="center"/>
                </w:tcPr>
                <w:p w14:paraId="1C90F82F">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w:t>
                  </w:r>
                </w:p>
              </w:tc>
              <w:tc>
                <w:tcPr>
                  <w:tcW w:w="365" w:type="pct"/>
                  <w:tcBorders>
                    <w:tl2br w:val="nil"/>
                    <w:tr2bl w:val="nil"/>
                  </w:tcBorders>
                  <w:noWrap w:val="0"/>
                  <w:vAlign w:val="center"/>
                </w:tcPr>
                <w:p w14:paraId="685443BE">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相符性</w:t>
                  </w:r>
                </w:p>
              </w:tc>
            </w:tr>
            <w:tr w14:paraId="097CD2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1" w:type="pct"/>
                  <w:tcBorders>
                    <w:tl2br w:val="nil"/>
                    <w:tr2bl w:val="nil"/>
                  </w:tcBorders>
                  <w:noWrap w:val="0"/>
                  <w:vAlign w:val="center"/>
                </w:tcPr>
                <w:p w14:paraId="56A1ADB6">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根据《江苏省挥发性有机物污染物防治管理办法》：</w:t>
                  </w:r>
                </w:p>
                <w:p w14:paraId="0E67F30A">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第十三条：新建、改建、扩建排放挥发性有机物的建设项目，应当依法进行环境影响评价。新增挥发性有机物排放总量指标的不足部分，可以依照有关规定通过排污权交易取得。</w:t>
                  </w:r>
                </w:p>
                <w:p w14:paraId="4C1DA444">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建设项目的环境影响评价文件未经审查或者审查后未予批准的，建设单位不得开工建设。</w:t>
                  </w:r>
                </w:p>
              </w:tc>
              <w:tc>
                <w:tcPr>
                  <w:tcW w:w="1892" w:type="pct"/>
                  <w:tcBorders>
                    <w:tl2br w:val="nil"/>
                    <w:tr2bl w:val="nil"/>
                  </w:tcBorders>
                  <w:noWrap w:val="0"/>
                  <w:vAlign w:val="center"/>
                </w:tcPr>
                <w:p w14:paraId="76E3A80B">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本项目建设性质为</w:t>
                  </w:r>
                  <w:r>
                    <w:rPr>
                      <w:rFonts w:hint="default" w:ascii="Times New Roman" w:hAnsi="Times New Roman" w:eastAsia="宋体" w:cs="Times New Roman"/>
                      <w:color w:val="auto"/>
                      <w:sz w:val="21"/>
                      <w:szCs w:val="21"/>
                      <w:lang w:val="en-US" w:eastAsia="zh-CN"/>
                    </w:rPr>
                    <w:t>新建</w:t>
                  </w:r>
                  <w:r>
                    <w:rPr>
                      <w:rFonts w:hint="default" w:ascii="Times New Roman" w:hAnsi="Times New Roman" w:eastAsia="宋体" w:cs="Times New Roman"/>
                      <w:color w:val="auto"/>
                      <w:sz w:val="21"/>
                      <w:szCs w:val="21"/>
                    </w:rPr>
                    <w:t>，正在进行环境影响评价</w:t>
                  </w:r>
                  <w:r>
                    <w:rPr>
                      <w:rFonts w:hint="default" w:ascii="Times New Roman" w:hAnsi="Times New Roman" w:eastAsia="宋体" w:cs="Times New Roman"/>
                      <w:color w:val="auto"/>
                      <w:sz w:val="21"/>
                      <w:szCs w:val="21"/>
                      <w:lang w:eastAsia="zh-CN"/>
                    </w:rPr>
                    <w:t>工作</w:t>
                  </w:r>
                  <w:r>
                    <w:rPr>
                      <w:rFonts w:hint="default" w:ascii="Times New Roman" w:hAnsi="Times New Roman" w:eastAsia="宋体" w:cs="Times New Roman"/>
                      <w:color w:val="auto"/>
                      <w:sz w:val="21"/>
                      <w:szCs w:val="21"/>
                    </w:rPr>
                    <w:t>，在环评审批前将严格落实主要污染物排放总量指标控制制度，取得主要污染物排放总量的控制指标和平衡方案。</w:t>
                  </w:r>
                </w:p>
              </w:tc>
              <w:tc>
                <w:tcPr>
                  <w:tcW w:w="365" w:type="pct"/>
                  <w:tcBorders>
                    <w:tl2br w:val="nil"/>
                    <w:tr2bl w:val="nil"/>
                  </w:tcBorders>
                  <w:noWrap w:val="0"/>
                  <w:vAlign w:val="center"/>
                </w:tcPr>
                <w:p w14:paraId="37FEF7FA">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相符</w:t>
                  </w:r>
                </w:p>
              </w:tc>
            </w:tr>
            <w:tr w14:paraId="688866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1" w:type="pct"/>
                  <w:tcBorders>
                    <w:tl2br w:val="nil"/>
                    <w:tr2bl w:val="nil"/>
                  </w:tcBorders>
                  <w:noWrap w:val="0"/>
                  <w:vAlign w:val="center"/>
                </w:tcPr>
                <w:p w14:paraId="7EFAB403">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十一条：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w:t>
                  </w:r>
                </w:p>
                <w:p w14:paraId="58FAF6D0">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无法在密闭空间进行的生产经营活动应当采取有效措施，减少挥发性有机物排放量。</w:t>
                  </w:r>
                </w:p>
              </w:tc>
              <w:tc>
                <w:tcPr>
                  <w:tcW w:w="1892" w:type="pct"/>
                  <w:tcBorders>
                    <w:tl2br w:val="nil"/>
                    <w:tr2bl w:val="nil"/>
                  </w:tcBorders>
                  <w:noWrap w:val="0"/>
                  <w:vAlign w:val="center"/>
                </w:tcPr>
                <w:p w14:paraId="35B8784D">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w:t>
                  </w:r>
                  <w:r>
                    <w:rPr>
                      <w:rFonts w:hint="eastAsia" w:cs="Times New Roman"/>
                      <w:color w:val="auto"/>
                      <w:sz w:val="21"/>
                      <w:szCs w:val="21"/>
                      <w:highlight w:val="none"/>
                      <w:lang w:val="en-US" w:eastAsia="zh-CN"/>
                    </w:rPr>
                    <w:t>注塑</w:t>
                  </w:r>
                  <w:r>
                    <w:rPr>
                      <w:rFonts w:hint="eastAsia" w:ascii="Times New Roman" w:hAnsi="Times New Roman" w:eastAsia="宋体" w:cs="Times New Roman"/>
                      <w:color w:val="auto"/>
                      <w:sz w:val="21"/>
                      <w:szCs w:val="21"/>
                      <w:highlight w:val="none"/>
                      <w:lang w:val="en-US" w:eastAsia="zh-CN"/>
                    </w:rPr>
                    <w:t>废气</w:t>
                  </w:r>
                  <w:r>
                    <w:rPr>
                      <w:rFonts w:hint="eastAsia" w:cs="Times New Roman"/>
                      <w:color w:val="auto"/>
                      <w:sz w:val="21"/>
                      <w:szCs w:val="21"/>
                      <w:highlight w:val="none"/>
                      <w:lang w:val="en-US" w:eastAsia="zh-CN"/>
                    </w:rPr>
                    <w:t>、打印废气由集气罩收集，经过一套二级活性炭吸附装置处理后，通过一根20m高的排气筒DA001排放</w:t>
                  </w:r>
                  <w:r>
                    <w:rPr>
                      <w:rFonts w:hint="default" w:ascii="Times New Roman" w:hAnsi="Times New Roman" w:eastAsia="宋体" w:cs="Times New Roman"/>
                      <w:color w:val="auto"/>
                      <w:sz w:val="21"/>
                      <w:szCs w:val="21"/>
                    </w:rPr>
                    <w:t>。含有挥发性有机物的物料密闭储存、运输</w:t>
                  </w:r>
                  <w:r>
                    <w:rPr>
                      <w:rFonts w:hint="eastAsia" w:ascii="Times New Roman" w:hAnsi="Times New Roman" w:eastAsia="宋体" w:cs="Times New Roman"/>
                      <w:color w:val="auto"/>
                      <w:sz w:val="21"/>
                      <w:szCs w:val="21"/>
                      <w:lang w:eastAsia="zh-CN"/>
                    </w:rPr>
                    <w:t>。</w:t>
                  </w:r>
                </w:p>
              </w:tc>
              <w:tc>
                <w:tcPr>
                  <w:tcW w:w="365" w:type="pct"/>
                  <w:tcBorders>
                    <w:tl2br w:val="nil"/>
                    <w:tr2bl w:val="nil"/>
                  </w:tcBorders>
                  <w:noWrap w:val="0"/>
                  <w:vAlign w:val="center"/>
                </w:tcPr>
                <w:p w14:paraId="0A763377">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相符</w:t>
                  </w:r>
                </w:p>
              </w:tc>
            </w:tr>
          </w:tbl>
          <w:p w14:paraId="7832933A">
            <w:pPr>
              <w:adjustRightInd w:val="0"/>
              <w:snapToGrid w:val="0"/>
              <w:ind w:firstLine="422"/>
              <w:rPr>
                <w:rFonts w:hint="eastAsia"/>
                <w:b/>
                <w:bCs/>
                <w:color w:val="auto"/>
                <w:sz w:val="24"/>
                <w:szCs w:val="24"/>
                <w:lang w:val="en-US" w:eastAsia="zh-CN"/>
              </w:rPr>
            </w:pPr>
            <w:r>
              <w:rPr>
                <w:rFonts w:hint="eastAsia"/>
                <w:b/>
                <w:bCs/>
                <w:color w:val="auto"/>
                <w:sz w:val="24"/>
                <w:szCs w:val="24"/>
                <w:lang w:val="en-US" w:eastAsia="zh-CN"/>
              </w:rPr>
              <w:t>（2）</w:t>
            </w:r>
            <w:r>
              <w:rPr>
                <w:rFonts w:hint="eastAsia"/>
                <w:b/>
                <w:bCs/>
                <w:color w:val="auto"/>
                <w:sz w:val="24"/>
                <w:szCs w:val="24"/>
              </w:rPr>
              <w:t>与《关于印发常州市挥发性有机物清洁原料替代工作方案的通知》（常污防攻坚指办〔2021〕32号）的相符性</w:t>
            </w:r>
          </w:p>
          <w:p w14:paraId="5434C3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val="zh-CN" w:eastAsia="zh-CN"/>
              </w:rPr>
            </w:pPr>
            <w:r>
              <w:rPr>
                <w:rFonts w:hint="default" w:ascii="Times New Roman" w:hAnsi="Times New Roman" w:eastAsia="宋体" w:cs="Times New Roman"/>
                <w:b/>
                <w:bCs/>
                <w:color w:val="auto"/>
                <w:sz w:val="21"/>
                <w:szCs w:val="21"/>
                <w:lang w:val="zh-CN" w:eastAsia="zh-CN"/>
              </w:rPr>
              <w:t>表</w:t>
            </w:r>
            <w:r>
              <w:rPr>
                <w:rFonts w:hint="default" w:ascii="Times New Roman" w:hAnsi="Times New Roman" w:eastAsia="宋体" w:cs="Times New Roman"/>
                <w:b/>
                <w:bCs/>
                <w:color w:val="auto"/>
                <w:sz w:val="21"/>
                <w:szCs w:val="21"/>
                <w:lang w:val="en-US" w:eastAsia="zh-CN"/>
              </w:rPr>
              <w:t>1-</w:t>
            </w:r>
            <w:r>
              <w:rPr>
                <w:rFonts w:hint="eastAsia" w:eastAsia="宋体" w:cs="Times New Roman"/>
                <w:b/>
                <w:bCs/>
                <w:color w:val="auto"/>
                <w:sz w:val="21"/>
                <w:szCs w:val="21"/>
                <w:lang w:val="en-US" w:eastAsia="zh-CN"/>
              </w:rPr>
              <w:t xml:space="preserve">13 </w:t>
            </w:r>
            <w:r>
              <w:rPr>
                <w:rFonts w:hint="default" w:ascii="Times New Roman" w:hAnsi="Times New Roman" w:eastAsia="宋体" w:cs="Times New Roman"/>
                <w:b/>
                <w:bCs/>
                <w:color w:val="auto"/>
                <w:sz w:val="21"/>
                <w:szCs w:val="21"/>
                <w:lang w:val="zh-CN" w:eastAsia="zh-CN"/>
              </w:rPr>
              <w:t>与</w:t>
            </w:r>
            <w:r>
              <w:rPr>
                <w:rFonts w:hint="default" w:ascii="Times New Roman" w:hAnsi="Times New Roman" w:eastAsia="宋体" w:cs="Times New Roman"/>
                <w:b/>
                <w:bCs/>
                <w:color w:val="auto"/>
                <w:sz w:val="21"/>
                <w:szCs w:val="21"/>
                <w:lang w:val="en-US" w:eastAsia="zh-CN"/>
              </w:rPr>
              <w:t>苏大气办〔2021〕2号、常污防攻坚指办〔2021〕32号文</w:t>
            </w:r>
            <w:r>
              <w:rPr>
                <w:rFonts w:hint="default" w:ascii="Times New Roman" w:hAnsi="Times New Roman" w:eastAsia="宋体" w:cs="Times New Roman"/>
                <w:b/>
                <w:bCs/>
                <w:color w:val="auto"/>
                <w:sz w:val="21"/>
                <w:szCs w:val="21"/>
              </w:rPr>
              <w:t>相符性分析</w:t>
            </w:r>
          </w:p>
          <w:tbl>
            <w:tblPr>
              <w:tblStyle w:val="1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6469"/>
              <w:gridCol w:w="2058"/>
              <w:gridCol w:w="732"/>
            </w:tblGrid>
            <w:tr w14:paraId="7B3961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9" w:hRule="atLeast"/>
                <w:jc w:val="center"/>
              </w:trPr>
              <w:tc>
                <w:tcPr>
                  <w:tcW w:w="3493" w:type="pct"/>
                  <w:noWrap w:val="0"/>
                  <w:vAlign w:val="center"/>
                </w:tcPr>
                <w:p w14:paraId="71D980EB">
                  <w:pPr>
                    <w:autoSpaceDE/>
                    <w:autoSpaceDN/>
                    <w:adjustRightInd w:val="0"/>
                    <w:snapToGrid w:val="0"/>
                    <w:spacing w:line="240"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文件要求</w:t>
                  </w:r>
                </w:p>
              </w:tc>
              <w:tc>
                <w:tcPr>
                  <w:tcW w:w="1111" w:type="pct"/>
                  <w:noWrap w:val="0"/>
                  <w:vAlign w:val="center"/>
                </w:tcPr>
                <w:p w14:paraId="0E1D9731">
                  <w:pPr>
                    <w:pStyle w:val="2"/>
                    <w:keepNext w:val="0"/>
                    <w:keepLines w:val="0"/>
                    <w:pageBreakBefore w:val="0"/>
                    <w:numPr>
                      <w:ilvl w:val="0"/>
                      <w:numId w:val="0"/>
                    </w:numPr>
                    <w:kinsoku/>
                    <w:wordWrap/>
                    <w:overflowPunct/>
                    <w:topLinePunct w:val="0"/>
                    <w:bidi w:val="0"/>
                    <w:spacing w:after="0" w:line="240" w:lineRule="auto"/>
                    <w:ind w:left="0" w:leftChars="0" w:right="0" w:rightChars="0"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 w:val="21"/>
                      <w:szCs w:val="21"/>
                    </w:rPr>
                    <w:t>本项目</w:t>
                  </w:r>
                </w:p>
              </w:tc>
              <w:tc>
                <w:tcPr>
                  <w:tcW w:w="395" w:type="pct"/>
                  <w:noWrap w:val="0"/>
                  <w:vAlign w:val="center"/>
                </w:tcPr>
                <w:p w14:paraId="224559ED">
                  <w:pPr>
                    <w:pStyle w:val="2"/>
                    <w:keepNext w:val="0"/>
                    <w:keepLines w:val="0"/>
                    <w:pageBreakBefore w:val="0"/>
                    <w:numPr>
                      <w:ilvl w:val="0"/>
                      <w:numId w:val="0"/>
                    </w:numPr>
                    <w:kinsoku/>
                    <w:wordWrap/>
                    <w:overflowPunct/>
                    <w:topLinePunct w:val="0"/>
                    <w:bidi w:val="0"/>
                    <w:spacing w:after="0" w:line="240" w:lineRule="auto"/>
                    <w:ind w:left="0" w:leftChars="0" w:right="0" w:rightChars="0"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color w:val="auto"/>
                      <w:sz w:val="21"/>
                      <w:szCs w:val="21"/>
                      <w:lang w:val="en-US" w:eastAsia="zh-CN"/>
                    </w:rPr>
                    <w:t>相符性</w:t>
                  </w:r>
                </w:p>
              </w:tc>
            </w:tr>
            <w:tr w14:paraId="744CE3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0" w:hRule="atLeast"/>
                <w:jc w:val="center"/>
              </w:trPr>
              <w:tc>
                <w:tcPr>
                  <w:tcW w:w="3493" w:type="pct"/>
                  <w:noWrap w:val="0"/>
                  <w:vAlign w:val="center"/>
                </w:tcPr>
                <w:p w14:paraId="2AD9418D">
                  <w:pPr>
                    <w:keepNext w:val="0"/>
                    <w:keepLines w:val="0"/>
                    <w:pageBreakBefore w:val="0"/>
                    <w:widowControl w:val="0"/>
                    <w:kinsoku/>
                    <w:wordWrap/>
                    <w:overflowPunct/>
                    <w:topLinePunct w:val="0"/>
                    <w:autoSpaceDE/>
                    <w:autoSpaceDN/>
                    <w:bidi w:val="0"/>
                    <w:adjustRightInd w:val="0"/>
                    <w:snapToGrid w:val="0"/>
                    <w:spacing w:line="240" w:lineRule="auto"/>
                    <w:ind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CN" w:eastAsia="zh-CN"/>
                    </w:rPr>
                    <w:t>《</w:t>
                  </w:r>
                  <w:r>
                    <w:rPr>
                      <w:rFonts w:hint="default" w:ascii="Times New Roman" w:hAnsi="Times New Roman" w:eastAsia="宋体" w:cs="Times New Roman"/>
                      <w:color w:val="auto"/>
                      <w:sz w:val="21"/>
                      <w:szCs w:val="21"/>
                      <w:lang w:val="en-US" w:eastAsia="zh-CN"/>
                    </w:rPr>
                    <w:t>常州市挥发性有机物清洁原料替代工作方案》（常污防攻坚指办〔2021〕32号）要求：以工业涂装、包装印刷、木材加工、纺织等行业为重点，按照省大气办《关于印发江苏省挥发性有机物清洁原料替代工作方案的通知》中源头替代具体要求，加快推进182家企业清洁原料替代工作。实施替代的企业要使用符合《低挥发性有机化合物含量涂料产品技术要求》（GB/T38597-2020）规定的粉末、水性、无溶剂、辐射固化涂料产品；符合《油墨中可挥发性有机化合物（VOCs）含量的限值》（GB38507-2020）规定的水性油墨和能量固化油墨产品；符合《清洗剂挥发性有机化合物含量限值》（GB38508-2020）规定的水基、半水基清洗剂产品；符合《胶粘剂挥发性有机化合物限量》（GB33372-2020）规定的水基型、本体型胶粘剂产品。若确实无法达到上述要求，应提供相应的论证说明，相关涂料、油墨、清洗剂、胶粘剂等产品应符合相关标准中VOCs含量的限值要求。</w:t>
                  </w:r>
                </w:p>
              </w:tc>
              <w:tc>
                <w:tcPr>
                  <w:tcW w:w="1111" w:type="pct"/>
                  <w:noWrap w:val="0"/>
                  <w:vAlign w:val="center"/>
                </w:tcPr>
                <w:p w14:paraId="601F68EC">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highlight w:val="none"/>
                      <w:shd w:val="clear" w:color="auto" w:fill="auto"/>
                      <w:lang w:val="en-US" w:eastAsia="zh-CN"/>
                    </w:rPr>
                    <w:t>本项目使用低VOCs原辅材料，</w:t>
                  </w:r>
                  <w:r>
                    <w:rPr>
                      <w:rFonts w:hint="eastAsia"/>
                      <w:color w:val="auto"/>
                      <w:kern w:val="0"/>
                      <w:highlight w:val="none"/>
                      <w:shd w:val="clear" w:color="auto" w:fill="auto"/>
                    </w:rPr>
                    <w:t>根据企业提供的UV油墨VOCs检测含量为2.8%，满足《油墨中可挥发性有机化合物(VOCs)含量的限值》(GB38507-2020)中能量固化油墨-喷墨印刷油墨限值要求（≤10%）。企业所用脱脂粉其物理形态为固体粉末，成分均为不挥发物质，在常温下不具备挥发性。根据《清洗剂挥发性有机化合物含量限值》（GB 38508-2020）判定标准，本项目使用的脱脂粉不属于含VOC的清洗剂。</w:t>
                  </w:r>
                </w:p>
              </w:tc>
              <w:tc>
                <w:tcPr>
                  <w:tcW w:w="395" w:type="pct"/>
                  <w:noWrap w:val="0"/>
                  <w:vAlign w:val="center"/>
                </w:tcPr>
                <w:p w14:paraId="3C8CFA3A">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kern w:val="0"/>
                      <w:sz w:val="21"/>
                      <w:szCs w:val="21"/>
                      <w:vertAlign w:val="baseline"/>
                      <w:lang w:val="en-US" w:eastAsia="zh-CN" w:bidi="ar-SA"/>
                    </w:rPr>
                    <w:t>相符</w:t>
                  </w:r>
                </w:p>
              </w:tc>
            </w:tr>
          </w:tbl>
          <w:p w14:paraId="098D871F">
            <w:pPr>
              <w:adjustRightInd w:val="0"/>
              <w:snapToGrid w:val="0"/>
              <w:ind w:firstLine="422"/>
              <w:rPr>
                <w:rFonts w:hint="eastAsia"/>
                <w:b/>
                <w:bCs/>
                <w:color w:val="auto"/>
                <w:sz w:val="24"/>
                <w:szCs w:val="24"/>
                <w:lang w:val="en-US" w:eastAsia="zh-CN"/>
              </w:rPr>
            </w:pPr>
            <w:r>
              <w:rPr>
                <w:rFonts w:hint="eastAsia"/>
                <w:b/>
                <w:bCs/>
                <w:color w:val="auto"/>
                <w:sz w:val="24"/>
                <w:szCs w:val="24"/>
                <w:lang w:val="en-US" w:eastAsia="zh-CN"/>
              </w:rPr>
              <w:t>（3）与生态环境部关于印发《重点行业挥发性有机物综合治理方案》的通知（环大气〔2019〕53号）相符性分析</w:t>
            </w:r>
          </w:p>
          <w:p w14:paraId="0F19E59E">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ascii="Times New Roman" w:hAnsi="Times New Roman" w:eastAsia="宋体" w:cs="Times New Roman"/>
                <w:b/>
                <w:bCs/>
                <w:color w:val="auto"/>
                <w:sz w:val="21"/>
                <w:szCs w:val="21"/>
                <w:lang w:val="en-US" w:eastAsia="zh-CN"/>
              </w:rPr>
              <w:t xml:space="preserve">14 </w:t>
            </w:r>
            <w:r>
              <w:rPr>
                <w:rFonts w:hint="default" w:ascii="Times New Roman" w:hAnsi="Times New Roman" w:eastAsia="宋体" w:cs="Times New Roman"/>
                <w:b/>
                <w:bCs/>
                <w:color w:val="auto"/>
                <w:sz w:val="21"/>
                <w:szCs w:val="21"/>
              </w:rPr>
              <w:t>与</w:t>
            </w:r>
            <w:r>
              <w:rPr>
                <w:rFonts w:hint="eastAsia" w:ascii="Times New Roman" w:hAnsi="Times New Roman" w:eastAsia="宋体" w:cs="Times New Roman"/>
                <w:b/>
                <w:bCs/>
                <w:color w:val="auto"/>
                <w:sz w:val="21"/>
                <w:szCs w:val="21"/>
                <w:lang w:eastAsia="zh-CN"/>
              </w:rPr>
              <w:t>环大气〔2019〕53号</w:t>
            </w:r>
            <w:r>
              <w:rPr>
                <w:rFonts w:hint="default" w:ascii="Times New Roman" w:hAnsi="Times New Roman" w:eastAsia="宋体" w:cs="Times New Roman"/>
                <w:b/>
                <w:bCs/>
                <w:color w:val="auto"/>
                <w:sz w:val="21"/>
                <w:szCs w:val="21"/>
              </w:rPr>
              <w:t>相符性分析</w:t>
            </w:r>
          </w:p>
          <w:tbl>
            <w:tblPr>
              <w:tblStyle w:val="1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52"/>
              <w:gridCol w:w="2717"/>
              <w:gridCol w:w="689"/>
            </w:tblGrid>
            <w:tr w14:paraId="4D5F36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0" w:type="pct"/>
                  <w:tcBorders>
                    <w:tl2br w:val="nil"/>
                    <w:tr2bl w:val="nil"/>
                  </w:tcBorders>
                  <w:noWrap w:val="0"/>
                  <w:vAlign w:val="center"/>
                </w:tcPr>
                <w:p w14:paraId="000E13AB">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要求</w:t>
                  </w:r>
                </w:p>
              </w:tc>
              <w:tc>
                <w:tcPr>
                  <w:tcW w:w="1467" w:type="pct"/>
                  <w:tcBorders>
                    <w:tl2br w:val="nil"/>
                    <w:tr2bl w:val="nil"/>
                  </w:tcBorders>
                  <w:noWrap w:val="0"/>
                  <w:vAlign w:val="center"/>
                </w:tcPr>
                <w:p w14:paraId="2413B6E8">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w:t>
                  </w:r>
                </w:p>
              </w:tc>
              <w:tc>
                <w:tcPr>
                  <w:tcW w:w="372" w:type="pct"/>
                  <w:tcBorders>
                    <w:tl2br w:val="nil"/>
                    <w:tr2bl w:val="nil"/>
                  </w:tcBorders>
                  <w:noWrap w:val="0"/>
                  <w:vAlign w:val="center"/>
                </w:tcPr>
                <w:p w14:paraId="67AA6215">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相符性</w:t>
                  </w:r>
                </w:p>
              </w:tc>
            </w:tr>
            <w:tr w14:paraId="0ED025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0" w:type="pct"/>
                  <w:tcBorders>
                    <w:tl2br w:val="nil"/>
                    <w:tr2bl w:val="nil"/>
                  </w:tcBorders>
                  <w:noWrap w:val="0"/>
                  <w:vAlign w:val="center"/>
                </w:tcPr>
                <w:p w14:paraId="6FA75968">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p w14:paraId="22987E4B">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加强政策引导。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p>
              </w:tc>
              <w:tc>
                <w:tcPr>
                  <w:tcW w:w="1467" w:type="pct"/>
                  <w:tcBorders>
                    <w:tl2br w:val="nil"/>
                    <w:tr2bl w:val="nil"/>
                  </w:tcBorders>
                  <w:noWrap w:val="0"/>
                  <w:vAlign w:val="center"/>
                </w:tcPr>
                <w:p w14:paraId="43AFAF9A">
                  <w:pPr>
                    <w:keepNext w:val="0"/>
                    <w:keepLines w:val="0"/>
                    <w:pageBreakBefore w:val="0"/>
                    <w:widowControl w:val="0"/>
                    <w:kinsoku/>
                    <w:wordWrap w:val="0"/>
                    <w:overflowPunct/>
                    <w:topLinePunct w:val="0"/>
                    <w:autoSpaceDE w:val="0"/>
                    <w:autoSpaceDN w:val="0"/>
                    <w:bidi w:val="0"/>
                    <w:adjustRightInd/>
                    <w:snapToGrid w:val="0"/>
                    <w:spacing w:line="240" w:lineRule="auto"/>
                    <w:ind w:firstLine="0" w:firstLineChars="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highlight w:val="none"/>
                      <w:shd w:val="clear" w:color="auto" w:fill="auto"/>
                      <w:lang w:val="en-US" w:eastAsia="zh-CN"/>
                    </w:rPr>
                    <w:t>本项目使用低VOCs原辅材料，</w:t>
                  </w:r>
                  <w:r>
                    <w:rPr>
                      <w:rFonts w:hint="eastAsia"/>
                      <w:color w:val="auto"/>
                      <w:kern w:val="0"/>
                      <w:highlight w:val="none"/>
                      <w:shd w:val="clear" w:color="auto" w:fill="auto"/>
                    </w:rPr>
                    <w:t>根据企业提供的UV油墨VOCs检测含量为2.8%，满足《油墨中可挥发性有机化合物(VOCs)含量的限值》(GB38507-2020)中能量固化油墨-喷墨印刷油墨限值要求（≤10%）。企业所用脱脂粉其物理形态为固体粉末，成分均为不挥发物质，在常温下不具备挥发性。根据《清洗剂挥发性有机化合物含量限值》（GB 38508-2020）判定标准，本项目使用的脱脂粉不属于含VOC的清洗剂。</w:t>
                  </w:r>
                  <w:r>
                    <w:rPr>
                      <w:rFonts w:hint="eastAsia"/>
                      <w:color w:val="auto"/>
                      <w:kern w:val="0"/>
                      <w:highlight w:val="none"/>
                      <w:shd w:val="clear" w:color="auto" w:fill="auto"/>
                      <w:lang w:val="en-US" w:eastAsia="zh-CN"/>
                    </w:rPr>
                    <w:t>因此本项目</w:t>
                  </w:r>
                  <w:r>
                    <w:rPr>
                      <w:rFonts w:hint="default" w:ascii="Times New Roman" w:hAnsi="Times New Roman" w:eastAsia="宋体" w:cs="Times New Roman"/>
                      <w:color w:val="auto"/>
                      <w:sz w:val="21"/>
                      <w:szCs w:val="21"/>
                      <w:lang w:val="en-US" w:eastAsia="zh-CN"/>
                    </w:rPr>
                    <w:t>不属于生产和使用高</w:t>
                  </w:r>
                  <w:r>
                    <w:rPr>
                      <w:rFonts w:hint="eastAsia" w:ascii="Times New Roman" w:hAnsi="Times New Roman" w:eastAsia="宋体" w:cs="Times New Roman"/>
                      <w:color w:val="auto"/>
                      <w:sz w:val="21"/>
                      <w:szCs w:val="21"/>
                      <w:lang w:val="en-US" w:eastAsia="zh-CN"/>
                    </w:rPr>
                    <w:t>VOCs含量的涂料、油墨、胶粘剂</w:t>
                  </w:r>
                  <w:r>
                    <w:rPr>
                      <w:rFonts w:hint="eastAsia" w:cs="Times New Roman"/>
                      <w:color w:val="auto"/>
                      <w:sz w:val="21"/>
                      <w:szCs w:val="21"/>
                      <w:lang w:val="en-US" w:eastAsia="zh-CN"/>
                    </w:rPr>
                    <w:t>、清洗剂</w:t>
                  </w:r>
                  <w:r>
                    <w:rPr>
                      <w:rFonts w:hint="eastAsia" w:ascii="Times New Roman" w:hAnsi="Times New Roman" w:eastAsia="宋体" w:cs="Times New Roman"/>
                      <w:color w:val="auto"/>
                      <w:sz w:val="21"/>
                      <w:szCs w:val="21"/>
                      <w:lang w:val="en-US" w:eastAsia="zh-CN"/>
                    </w:rPr>
                    <w:t>等项目。</w:t>
                  </w:r>
                </w:p>
              </w:tc>
              <w:tc>
                <w:tcPr>
                  <w:tcW w:w="372" w:type="pct"/>
                  <w:tcBorders>
                    <w:tl2br w:val="nil"/>
                    <w:tr2bl w:val="nil"/>
                  </w:tcBorders>
                  <w:noWrap w:val="0"/>
                  <w:vAlign w:val="center"/>
                </w:tcPr>
                <w:p w14:paraId="7ECA6C1F">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相符</w:t>
                  </w:r>
                </w:p>
              </w:tc>
            </w:tr>
            <w:tr w14:paraId="68F16D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0" w:type="pct"/>
                  <w:tcBorders>
                    <w:tl2br w:val="nil"/>
                    <w:tr2bl w:val="nil"/>
                  </w:tcBorders>
                  <w:noWrap w:val="0"/>
                  <w:vAlign w:val="center"/>
                </w:tcPr>
                <w:p w14:paraId="6EF95834">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p w14:paraId="21D88D09">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1467" w:type="pct"/>
                  <w:tcBorders>
                    <w:tl2br w:val="nil"/>
                    <w:tr2bl w:val="nil"/>
                  </w:tcBorders>
                  <w:noWrap w:val="0"/>
                  <w:vAlign w:val="center"/>
                </w:tcPr>
                <w:p w14:paraId="4BD8A3D7">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本项目</w:t>
                  </w:r>
                  <w:r>
                    <w:rPr>
                      <w:rFonts w:hint="eastAsia" w:cs="Times New Roman"/>
                      <w:color w:val="auto"/>
                      <w:sz w:val="21"/>
                      <w:szCs w:val="21"/>
                      <w:highlight w:val="none"/>
                      <w:lang w:val="en-US" w:eastAsia="zh-CN"/>
                    </w:rPr>
                    <w:t>注塑</w:t>
                  </w:r>
                  <w:r>
                    <w:rPr>
                      <w:rFonts w:hint="eastAsia" w:ascii="Times New Roman" w:hAnsi="Times New Roman" w:eastAsia="宋体" w:cs="Times New Roman"/>
                      <w:color w:val="auto"/>
                      <w:sz w:val="21"/>
                      <w:szCs w:val="21"/>
                      <w:highlight w:val="none"/>
                      <w:lang w:val="en-US" w:eastAsia="zh-CN"/>
                    </w:rPr>
                    <w:t>废气</w:t>
                  </w:r>
                  <w:r>
                    <w:rPr>
                      <w:rFonts w:hint="eastAsia" w:cs="Times New Roman"/>
                      <w:color w:val="auto"/>
                      <w:sz w:val="21"/>
                      <w:szCs w:val="21"/>
                      <w:highlight w:val="none"/>
                      <w:lang w:val="en-US" w:eastAsia="zh-CN"/>
                    </w:rPr>
                    <w:t>、打印废气由集气罩收集，经过一套二级活性炭吸附装置处理后，通过一根20m高的排气筒DA001排放</w:t>
                  </w:r>
                  <w:r>
                    <w:rPr>
                      <w:rFonts w:hint="eastAsia" w:ascii="Times New Roman" w:hAnsi="Times New Roman" w:eastAsia="宋体" w:cs="Times New Roman"/>
                      <w:color w:val="auto"/>
                      <w:sz w:val="21"/>
                      <w:szCs w:val="21"/>
                      <w:highlight w:val="none"/>
                      <w:lang w:val="en-US" w:eastAsia="zh-CN"/>
                    </w:rPr>
                    <w:t>。</w:t>
                  </w:r>
                  <w:r>
                    <w:rPr>
                      <w:rFonts w:hint="eastAsia"/>
                      <w:color w:val="auto"/>
                      <w:lang w:val="en-US" w:eastAsia="zh-CN"/>
                    </w:rPr>
                    <w:t>本项目</w:t>
                  </w:r>
                  <w:r>
                    <w:rPr>
                      <w:rFonts w:hint="eastAsia" w:ascii="Times New Roman" w:hAnsi="Times New Roman" w:eastAsia="宋体" w:cs="Times New Roman"/>
                      <w:color w:val="auto"/>
                      <w:sz w:val="21"/>
                      <w:szCs w:val="21"/>
                      <w:lang w:val="en-US" w:eastAsia="zh-CN"/>
                    </w:rPr>
                    <w:t>距集气罩开口面最远处的VOCs无组织排放位置，控制风速以0.3米/秒计。</w:t>
                  </w:r>
                </w:p>
              </w:tc>
              <w:tc>
                <w:tcPr>
                  <w:tcW w:w="372" w:type="pct"/>
                  <w:tcBorders>
                    <w:tl2br w:val="nil"/>
                    <w:tr2bl w:val="nil"/>
                  </w:tcBorders>
                  <w:noWrap w:val="0"/>
                  <w:vAlign w:val="center"/>
                </w:tcPr>
                <w:p w14:paraId="180EF69A">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相符</w:t>
                  </w:r>
                </w:p>
              </w:tc>
            </w:tr>
            <w:tr w14:paraId="772E74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0" w:type="pct"/>
                  <w:noWrap w:val="0"/>
                  <w:vAlign w:val="center"/>
                </w:tcPr>
                <w:p w14:paraId="73E9A749">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p w14:paraId="26AC0683">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规范工程设计。采用吸附处理工艺的，应满足《吸附法工业有机废气治理工程技术规范》要求。采用催化燃烧工艺的，应满足《催化燃烧法工业有机废气治理工程技术规范》要求。采用蓄热燃烧等其他处理工艺的，应按相关技术规范要求设计。</w:t>
                  </w:r>
                </w:p>
                <w:p w14:paraId="03D18389">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1467" w:type="pct"/>
                  <w:noWrap w:val="0"/>
                  <w:vAlign w:val="center"/>
                </w:tcPr>
                <w:p w14:paraId="5402C3B0">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w:t>
                  </w:r>
                  <w:r>
                    <w:rPr>
                      <w:rFonts w:hint="eastAsia" w:ascii="Times New Roman" w:hAnsi="Times New Roman" w:eastAsia="宋体" w:cs="Times New Roman"/>
                      <w:color w:val="auto"/>
                      <w:sz w:val="21"/>
                      <w:szCs w:val="21"/>
                      <w:lang w:val="en-US" w:eastAsia="zh-CN"/>
                    </w:rPr>
                    <w:t>有机废气采用</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二级活性炭吸附装置</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进行处理</w:t>
                  </w:r>
                  <w:r>
                    <w:rPr>
                      <w:rFonts w:hint="eastAsia" w:ascii="Times New Roman" w:hAnsi="Times New Roman" w:eastAsia="宋体" w:cs="Times New Roman"/>
                      <w:color w:val="auto"/>
                      <w:sz w:val="21"/>
                      <w:szCs w:val="21"/>
                      <w:lang w:val="en-US" w:eastAsia="zh-CN"/>
                    </w:rPr>
                    <w:t>，满足《吸附法工业有机废气治理工程技术规范》要求。有机废气去除效率大于80%。</w:t>
                  </w:r>
                </w:p>
              </w:tc>
              <w:tc>
                <w:tcPr>
                  <w:tcW w:w="372" w:type="pct"/>
                  <w:noWrap w:val="0"/>
                  <w:vAlign w:val="center"/>
                </w:tcPr>
                <w:p w14:paraId="5AFB6F29">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相符</w:t>
                  </w:r>
                </w:p>
              </w:tc>
            </w:tr>
          </w:tbl>
          <w:p w14:paraId="6792797D">
            <w:pPr>
              <w:adjustRightInd w:val="0"/>
              <w:snapToGrid w:val="0"/>
              <w:ind w:firstLine="422"/>
              <w:rPr>
                <w:rFonts w:hint="eastAsia"/>
                <w:b/>
                <w:bCs/>
                <w:color w:val="auto"/>
                <w:sz w:val="24"/>
                <w:szCs w:val="24"/>
                <w:lang w:val="en-US" w:eastAsia="zh-CN"/>
              </w:rPr>
            </w:pPr>
            <w:r>
              <w:rPr>
                <w:rFonts w:hint="eastAsia"/>
                <w:b/>
                <w:bCs/>
                <w:color w:val="auto"/>
                <w:sz w:val="24"/>
                <w:szCs w:val="24"/>
                <w:lang w:val="en-US" w:eastAsia="zh-CN"/>
              </w:rPr>
              <w:t>（4）与《省政府关于印发江苏省空气质量持续改善行动计划实施方案的通知》（苏政发〔2024〕53号）的对照分析</w:t>
            </w:r>
          </w:p>
          <w:p w14:paraId="4CCE577D">
            <w:pPr>
              <w:pStyle w:val="13"/>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
                <w:bCs/>
                <w:smallCaps w:val="0"/>
                <w:color w:val="auto"/>
                <w:kern w:val="2"/>
                <w:sz w:val="21"/>
                <w:szCs w:val="21"/>
                <w:lang w:val="en-US" w:eastAsia="zh-CN" w:bidi="ar-SA"/>
              </w:rPr>
            </w:pPr>
            <w:r>
              <w:rPr>
                <w:rFonts w:hint="eastAsia" w:ascii="Times New Roman" w:hAnsi="Times New Roman" w:eastAsia="宋体" w:cs="Times New Roman"/>
                <w:b/>
                <w:bCs/>
                <w:smallCaps w:val="0"/>
                <w:color w:val="auto"/>
                <w:kern w:val="2"/>
                <w:sz w:val="21"/>
                <w:szCs w:val="21"/>
                <w:lang w:val="en-US" w:eastAsia="zh-CN" w:bidi="ar-SA"/>
              </w:rPr>
              <w:t>表1-15 与苏政发〔2024〕53号文相符性分析</w:t>
            </w:r>
          </w:p>
          <w:tbl>
            <w:tblPr>
              <w:tblStyle w:val="1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52"/>
              <w:gridCol w:w="2730"/>
              <w:gridCol w:w="676"/>
            </w:tblGrid>
            <w:tr w14:paraId="2C693E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0" w:type="pct"/>
                  <w:tcBorders>
                    <w:tl2br w:val="nil"/>
                    <w:tr2bl w:val="nil"/>
                  </w:tcBorders>
                  <w:noWrap w:val="0"/>
                  <w:vAlign w:val="center"/>
                </w:tcPr>
                <w:p w14:paraId="2F7A46B2">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要求</w:t>
                  </w:r>
                </w:p>
              </w:tc>
              <w:tc>
                <w:tcPr>
                  <w:tcW w:w="1474" w:type="pct"/>
                  <w:tcBorders>
                    <w:tl2br w:val="nil"/>
                    <w:tr2bl w:val="nil"/>
                  </w:tcBorders>
                  <w:noWrap w:val="0"/>
                  <w:vAlign w:val="center"/>
                </w:tcPr>
                <w:p w14:paraId="444A208D">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w:t>
                  </w:r>
                </w:p>
              </w:tc>
              <w:tc>
                <w:tcPr>
                  <w:tcW w:w="365" w:type="pct"/>
                  <w:tcBorders>
                    <w:tl2br w:val="nil"/>
                    <w:tr2bl w:val="nil"/>
                  </w:tcBorders>
                  <w:noWrap w:val="0"/>
                  <w:vAlign w:val="center"/>
                </w:tcPr>
                <w:p w14:paraId="05478695">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相符性</w:t>
                  </w:r>
                </w:p>
              </w:tc>
            </w:tr>
            <w:tr w14:paraId="760167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0" w:type="pct"/>
                  <w:tcBorders>
                    <w:tl2br w:val="nil"/>
                    <w:tr2bl w:val="nil"/>
                  </w:tcBorders>
                  <w:noWrap w:val="0"/>
                  <w:vAlign w:val="center"/>
                </w:tcPr>
                <w:p w14:paraId="6AB3E779">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坚决遏制高耗能、高排放、低水平项目盲目上马。研究制定“两高”项目管理目录。严禁核准或备案钢铁（炼钢、炼铁）、焦化、电解铝、水泥（熟料）、平板玻璃（不含光伏压延玻璃）和炼化（纳入国家产业规划除外）等行业新增产能的项目。到2025年，短流程炼钢产量占比力争达20%以上。</w:t>
                  </w:r>
                </w:p>
              </w:tc>
              <w:tc>
                <w:tcPr>
                  <w:tcW w:w="1474" w:type="pct"/>
                  <w:tcBorders>
                    <w:tl2br w:val="nil"/>
                    <w:tr2bl w:val="nil"/>
                  </w:tcBorders>
                  <w:noWrap w:val="0"/>
                  <w:vAlign w:val="center"/>
                </w:tcPr>
                <w:p w14:paraId="7EF15482">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本项目为</w:t>
                  </w:r>
                  <w:r>
                    <w:rPr>
                      <w:rFonts w:hint="eastAsia" w:cs="Times New Roman"/>
                      <w:color w:val="auto"/>
                      <w:sz w:val="21"/>
                      <w:szCs w:val="21"/>
                      <w:lang w:eastAsia="zh-CN"/>
                    </w:rPr>
                    <w:t>[C2929]塑料零件及其他塑料制品制造、[C3584]医疗、外科及兽医用器械制造</w:t>
                  </w:r>
                  <w:r>
                    <w:rPr>
                      <w:rFonts w:hint="default" w:ascii="Times New Roman" w:hAnsi="Times New Roman" w:eastAsia="宋体" w:cs="Times New Roman"/>
                      <w:color w:val="auto"/>
                      <w:sz w:val="21"/>
                      <w:szCs w:val="21"/>
                      <w:lang w:val="en-US" w:eastAsia="zh-CN"/>
                    </w:rPr>
                    <w:t>，不属于“两高”项目。</w:t>
                  </w:r>
                </w:p>
              </w:tc>
              <w:tc>
                <w:tcPr>
                  <w:tcW w:w="365" w:type="pct"/>
                  <w:tcBorders>
                    <w:tl2br w:val="nil"/>
                    <w:tr2bl w:val="nil"/>
                  </w:tcBorders>
                  <w:noWrap w:val="0"/>
                  <w:vAlign w:val="center"/>
                </w:tcPr>
                <w:p w14:paraId="6A261B9B">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相符</w:t>
                  </w:r>
                </w:p>
              </w:tc>
            </w:tr>
            <w:tr w14:paraId="30680A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0" w:type="pct"/>
                  <w:tcBorders>
                    <w:tl2br w:val="nil"/>
                    <w:tr2bl w:val="nil"/>
                  </w:tcBorders>
                  <w:noWrap w:val="0"/>
                  <w:vAlign w:val="center"/>
                </w:tcPr>
                <w:p w14:paraId="5FBBA019">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四）优化含VOCs原辅材料和产品结构。严格控制生产和使用高VOCs含量涂料、油墨、胶粘剂、清洗剂等建设项目。加大工业涂装、包装印刷和电子行业清洁原料替代力度。鼓励和推进汽车4S店、大型汽修厂实施水性涂料替代。</w:t>
                  </w:r>
                </w:p>
              </w:tc>
              <w:tc>
                <w:tcPr>
                  <w:tcW w:w="1474" w:type="pct"/>
                  <w:vMerge w:val="restart"/>
                  <w:tcBorders>
                    <w:tl2br w:val="nil"/>
                    <w:tr2bl w:val="nil"/>
                  </w:tcBorders>
                  <w:noWrap w:val="0"/>
                  <w:vAlign w:val="center"/>
                </w:tcPr>
                <w:p w14:paraId="24E87296">
                  <w:pPr>
                    <w:keepNext w:val="0"/>
                    <w:keepLines w:val="0"/>
                    <w:pageBreakBefore w:val="0"/>
                    <w:widowControl w:val="0"/>
                    <w:kinsoku/>
                    <w:wordWrap w:val="0"/>
                    <w:overflowPunct/>
                    <w:topLinePunct w:val="0"/>
                    <w:autoSpaceDE w:val="0"/>
                    <w:autoSpaceDN w:val="0"/>
                    <w:bidi w:val="0"/>
                    <w:adjustRightInd/>
                    <w:snapToGrid w:val="0"/>
                    <w:spacing w:line="240" w:lineRule="auto"/>
                    <w:ind w:firstLine="0" w:firstLineChars="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highlight w:val="none"/>
                      <w:shd w:val="clear" w:color="auto" w:fill="auto"/>
                      <w:lang w:val="en-US" w:eastAsia="zh-CN"/>
                    </w:rPr>
                    <w:t>本项目使用低VOCs原辅材料，</w:t>
                  </w:r>
                  <w:r>
                    <w:rPr>
                      <w:rFonts w:hint="eastAsia"/>
                      <w:color w:val="auto"/>
                      <w:kern w:val="0"/>
                      <w:highlight w:val="none"/>
                      <w:shd w:val="clear" w:color="auto" w:fill="auto"/>
                    </w:rPr>
                    <w:t>根据企业提供的UV油墨VOCs检测含量为2.8%，满足《油墨中可挥发性有机化合物(VOCs)含量的限值》(GB38507-2020)中能量固化油墨-喷墨印刷油墨限值要求（≤10%）。企业所用脱脂粉其物理形态为固体粉末，成分均为不挥发物质，在常温下不具备挥发性。根据《清洗剂挥发性有机化合物含量限值》（GB 38508-2020）判定标准，本项目使用的脱脂粉不属于含VOC的清洗剂。</w:t>
                  </w:r>
                  <w:r>
                    <w:rPr>
                      <w:rFonts w:hint="eastAsia"/>
                      <w:color w:val="auto"/>
                      <w:kern w:val="0"/>
                      <w:highlight w:val="none"/>
                      <w:shd w:val="clear" w:color="auto" w:fill="auto"/>
                      <w:lang w:val="en-US" w:eastAsia="zh-CN"/>
                    </w:rPr>
                    <w:t>因此</w:t>
                  </w:r>
                  <w:r>
                    <w:rPr>
                      <w:rFonts w:hint="default" w:ascii="Times New Roman" w:hAnsi="Times New Roman" w:eastAsia="宋体" w:cs="Times New Roman"/>
                      <w:color w:val="auto"/>
                      <w:sz w:val="21"/>
                      <w:szCs w:val="21"/>
                    </w:rPr>
                    <w:t>不属于化工、涂装、医药、包装印刷等高VOCs排放建设项目</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highlight w:val="none"/>
                      <w:lang w:val="en-US" w:eastAsia="zh-CN"/>
                    </w:rPr>
                    <w:t>本项目</w:t>
                  </w:r>
                  <w:r>
                    <w:rPr>
                      <w:rFonts w:hint="eastAsia" w:cs="Times New Roman"/>
                      <w:color w:val="auto"/>
                      <w:sz w:val="21"/>
                      <w:szCs w:val="21"/>
                      <w:highlight w:val="none"/>
                      <w:lang w:val="en-US" w:eastAsia="zh-CN"/>
                    </w:rPr>
                    <w:t>注塑</w:t>
                  </w:r>
                  <w:r>
                    <w:rPr>
                      <w:rFonts w:hint="eastAsia" w:ascii="Times New Roman" w:hAnsi="Times New Roman" w:eastAsia="宋体" w:cs="Times New Roman"/>
                      <w:color w:val="auto"/>
                      <w:sz w:val="21"/>
                      <w:szCs w:val="21"/>
                      <w:highlight w:val="none"/>
                      <w:lang w:val="en-US" w:eastAsia="zh-CN"/>
                    </w:rPr>
                    <w:t>废气</w:t>
                  </w:r>
                  <w:r>
                    <w:rPr>
                      <w:rFonts w:hint="eastAsia" w:cs="Times New Roman"/>
                      <w:color w:val="auto"/>
                      <w:sz w:val="21"/>
                      <w:szCs w:val="21"/>
                      <w:highlight w:val="none"/>
                      <w:lang w:val="en-US" w:eastAsia="zh-CN"/>
                    </w:rPr>
                    <w:t>、打印废气由集气罩收集，经过一套二级活性炭吸附装置处理后，通过一根20m高的排气筒DA001排放</w:t>
                  </w:r>
                  <w:r>
                    <w:rPr>
                      <w:rFonts w:hint="default" w:ascii="Times New Roman" w:hAnsi="Times New Roman" w:eastAsia="宋体" w:cs="Times New Roman"/>
                      <w:color w:val="auto"/>
                      <w:sz w:val="21"/>
                      <w:szCs w:val="21"/>
                    </w:rPr>
                    <w:t>。</w:t>
                  </w:r>
                </w:p>
              </w:tc>
              <w:tc>
                <w:tcPr>
                  <w:tcW w:w="365" w:type="pct"/>
                  <w:vMerge w:val="restart"/>
                  <w:tcBorders>
                    <w:tl2br w:val="nil"/>
                    <w:tr2bl w:val="nil"/>
                  </w:tcBorders>
                  <w:noWrap w:val="0"/>
                  <w:vAlign w:val="center"/>
                </w:tcPr>
                <w:p w14:paraId="5365FE41">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相符</w:t>
                  </w:r>
                </w:p>
              </w:tc>
            </w:tr>
            <w:tr w14:paraId="4BF25B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0" w:type="pct"/>
                  <w:tcBorders>
                    <w:tl2br w:val="nil"/>
                    <w:tr2bl w:val="nil"/>
                  </w:tcBorders>
                  <w:noWrap w:val="0"/>
                  <w:vAlign w:val="center"/>
                </w:tcPr>
                <w:p w14:paraId="3ADB1E0D">
                  <w:pPr>
                    <w:keepNext w:val="0"/>
                    <w:keepLines w:val="0"/>
                    <w:pageBreakBefore w:val="0"/>
                    <w:numPr>
                      <w:ilvl w:val="0"/>
                      <w:numId w:val="0"/>
                    </w:numPr>
                    <w:kinsoku/>
                    <w:wordWrap/>
                    <w:overflowPunct/>
                    <w:topLinePunct w:val="0"/>
                    <w:bidi w:val="0"/>
                    <w:spacing w:line="240" w:lineRule="exact"/>
                    <w:ind w:left="0" w:leftChars="0" w:right="113"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w:t>
                  </w:r>
                  <w:r>
                    <w:rPr>
                      <w:rFonts w:hint="default" w:ascii="Times New Roman" w:hAnsi="Times New Roman" w:eastAsia="宋体" w:cs="Times New Roman"/>
                      <w:color w:val="auto"/>
                      <w:sz w:val="21"/>
                      <w:szCs w:val="21"/>
                      <w:lang w:val="en-US" w:eastAsia="zh-CN"/>
                    </w:rPr>
                    <w:t>十四）强化VOCs全流程、全环节综合治理。鼓励储罐使用低泄漏的呼吸阀、紧急泄压阀，定期开展密封性检测。重点工业园区建立分环节、分物种管控清单，实施高排放关键活性物种“指纹化”监测监控和靶向治理。到2025年，重点工业园区VOCs浓度力争比2021年下降20%。</w:t>
                  </w:r>
                </w:p>
              </w:tc>
              <w:tc>
                <w:tcPr>
                  <w:tcW w:w="1474" w:type="pct"/>
                  <w:vMerge w:val="continue"/>
                  <w:tcBorders>
                    <w:tl2br w:val="nil"/>
                    <w:tr2bl w:val="nil"/>
                  </w:tcBorders>
                  <w:noWrap w:val="0"/>
                  <w:vAlign w:val="top"/>
                </w:tcPr>
                <w:p w14:paraId="49249C9D">
                  <w:pPr>
                    <w:keepNext w:val="0"/>
                    <w:keepLines w:val="0"/>
                    <w:pageBreakBefore w:val="0"/>
                    <w:widowControl w:val="0"/>
                    <w:kinsoku/>
                    <w:wordWrap/>
                    <w:overflowPunct/>
                    <w:topLinePunct w:val="0"/>
                    <w:autoSpaceDE w:val="0"/>
                    <w:autoSpaceDN w:val="0"/>
                    <w:bidi w:val="0"/>
                    <w:snapToGrid w:val="0"/>
                    <w:spacing w:line="240" w:lineRule="auto"/>
                    <w:ind w:firstLine="0" w:firstLineChars="0"/>
                    <w:jc w:val="left"/>
                    <w:textAlignment w:val="auto"/>
                    <w:rPr>
                      <w:rFonts w:hint="eastAsia" w:ascii="Times New Roman" w:hAnsi="Times New Roman" w:eastAsia="宋体" w:cs="Times New Roman"/>
                      <w:color w:val="auto"/>
                      <w:sz w:val="21"/>
                      <w:szCs w:val="21"/>
                      <w:lang w:val="en-US" w:eastAsia="zh-CN"/>
                    </w:rPr>
                  </w:pPr>
                </w:p>
              </w:tc>
              <w:tc>
                <w:tcPr>
                  <w:tcW w:w="365" w:type="pct"/>
                  <w:vMerge w:val="continue"/>
                  <w:tcBorders>
                    <w:tl2br w:val="nil"/>
                    <w:tr2bl w:val="nil"/>
                  </w:tcBorders>
                  <w:noWrap w:val="0"/>
                  <w:vAlign w:val="top"/>
                </w:tcPr>
                <w:p w14:paraId="67D5EE0C">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bl>
          <w:p w14:paraId="6F2373C4">
            <w:pPr>
              <w:rPr>
                <w:rFonts w:hint="default" w:ascii="Times New Roman" w:hAnsi="Times New Roman" w:eastAsia="宋体" w:cs="Times New Roman"/>
                <w:b/>
                <w:bCs/>
                <w:color w:val="auto"/>
                <w:kern w:val="2"/>
                <w:sz w:val="24"/>
                <w:szCs w:val="24"/>
                <w:lang w:val="en-US" w:eastAsia="zh-CN" w:bidi="ar-SA"/>
              </w:rPr>
            </w:pPr>
            <w:r>
              <w:rPr>
                <w:rFonts w:hint="eastAsia"/>
                <w:b/>
                <w:bCs/>
                <w:color w:val="auto"/>
                <w:sz w:val="24"/>
                <w:szCs w:val="24"/>
                <w:lang w:val="en-US" w:eastAsia="zh-CN"/>
              </w:rPr>
              <w:t>（5）</w:t>
            </w:r>
            <w:r>
              <w:rPr>
                <w:rFonts w:hint="eastAsia" w:ascii="Times New Roman" w:hAnsi="Times New Roman" w:eastAsia="宋体" w:cs="Times New Roman"/>
                <w:b/>
                <w:bCs/>
                <w:color w:val="auto"/>
                <w:kern w:val="2"/>
                <w:sz w:val="24"/>
                <w:szCs w:val="24"/>
                <w:lang w:val="en-US" w:eastAsia="zh-CN" w:bidi="ar-SA"/>
              </w:rPr>
              <w:t>与《常州市空气质量持续改善行动计划实施方案》（常政发〔2024〕51号）</w:t>
            </w:r>
            <w:r>
              <w:rPr>
                <w:rFonts w:hint="eastAsia"/>
                <w:b/>
                <w:bCs/>
                <w:color w:val="auto"/>
                <w:sz w:val="24"/>
                <w:szCs w:val="24"/>
              </w:rPr>
              <w:t>符合性分析</w:t>
            </w:r>
          </w:p>
          <w:p w14:paraId="607A9DDD">
            <w:pPr>
              <w:pStyle w:val="14"/>
              <w:spacing w:before="0" w:beforeAutospacing="0" w:after="0" w:afterAutospacing="0" w:line="240" w:lineRule="auto"/>
              <w:ind w:firstLine="0" w:firstLineChars="0"/>
              <w:jc w:val="center"/>
              <w:rPr>
                <w:rFonts w:hint="eastAsia" w:ascii="Times New Roman" w:hAnsi="Times New Roman" w:cs="Times New Roman"/>
                <w:b/>
                <w:bCs/>
                <w:color w:val="auto"/>
                <w:sz w:val="21"/>
                <w:szCs w:val="21"/>
              </w:rPr>
            </w:pPr>
            <w:r>
              <w:rPr>
                <w:rFonts w:hint="eastAsia" w:ascii="Times New Roman" w:hAnsi="Times New Roman" w:cs="Times New Roman"/>
                <w:b/>
                <w:bCs/>
                <w:color w:val="auto"/>
                <w:sz w:val="21"/>
                <w:szCs w:val="21"/>
              </w:rPr>
              <w:t>表</w:t>
            </w:r>
            <w:r>
              <w:rPr>
                <w:rFonts w:ascii="Times New Roman" w:hAnsi="Times New Roman" w:cs="Times New Roman"/>
                <w:b/>
                <w:bCs/>
                <w:color w:val="auto"/>
                <w:sz w:val="21"/>
                <w:szCs w:val="21"/>
              </w:rPr>
              <w:t>1</w:t>
            </w:r>
            <w:r>
              <w:rPr>
                <w:rFonts w:hint="eastAsia" w:ascii="Times New Roman" w:hAnsi="Times New Roman" w:cs="Times New Roman"/>
                <w:b/>
                <w:bCs/>
                <w:color w:val="auto"/>
                <w:sz w:val="21"/>
                <w:szCs w:val="21"/>
              </w:rPr>
              <w:t>-</w:t>
            </w:r>
            <w:r>
              <w:rPr>
                <w:rFonts w:hint="eastAsia" w:ascii="Times New Roman" w:hAnsi="Times New Roman" w:cs="Times New Roman"/>
                <w:b/>
                <w:bCs/>
                <w:color w:val="auto"/>
                <w:sz w:val="21"/>
                <w:szCs w:val="21"/>
                <w:lang w:val="en-US" w:eastAsia="zh-CN"/>
              </w:rPr>
              <w:t>16</w:t>
            </w:r>
            <w:r>
              <w:rPr>
                <w:rFonts w:ascii="Times New Roman" w:hAnsi="Times New Roman" w:cs="Times New Roman"/>
                <w:b/>
                <w:bCs/>
                <w:color w:val="auto"/>
                <w:sz w:val="21"/>
                <w:szCs w:val="21"/>
              </w:rPr>
              <w:t xml:space="preserve"> </w:t>
            </w:r>
            <w:r>
              <w:rPr>
                <w:rFonts w:hint="eastAsia" w:ascii="Times New Roman" w:hAnsi="Times New Roman" w:cs="Times New Roman"/>
                <w:b/>
                <w:bCs/>
                <w:color w:val="auto"/>
                <w:sz w:val="21"/>
                <w:szCs w:val="21"/>
              </w:rPr>
              <w:t>与《常州市空气质量持续改善行动计划实施方案》（常政发</w:t>
            </w:r>
            <w:r>
              <w:rPr>
                <w:rFonts w:hint="eastAsia" w:ascii="Times New Roman" w:hAnsi="Times New Roman" w:cs="Times New Roman"/>
                <w:b/>
                <w:bCs/>
                <w:color w:val="auto"/>
                <w:sz w:val="21"/>
                <w:szCs w:val="21"/>
                <w:lang w:eastAsia="zh-CN"/>
              </w:rPr>
              <w:t>〔2024〕51号</w:t>
            </w:r>
            <w:r>
              <w:rPr>
                <w:rFonts w:hint="eastAsia" w:ascii="Times New Roman" w:hAnsi="Times New Roman" w:cs="Times New Roman"/>
                <w:b/>
                <w:bCs/>
                <w:color w:val="auto"/>
                <w:sz w:val="21"/>
                <w:szCs w:val="21"/>
              </w:rPr>
              <w:t>）的符合性分析</w:t>
            </w:r>
          </w:p>
          <w:tbl>
            <w:tblPr>
              <w:tblStyle w:val="17"/>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55"/>
              <w:gridCol w:w="2730"/>
              <w:gridCol w:w="673"/>
            </w:tblGrid>
            <w:tr w14:paraId="19B273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1" w:type="pct"/>
                  <w:noWrap w:val="0"/>
                  <w:vAlign w:val="center"/>
                </w:tcPr>
                <w:p w14:paraId="4176D804">
                  <w:pPr>
                    <w:spacing w:line="240" w:lineRule="auto"/>
                    <w:ind w:firstLine="0" w:firstLineChars="0"/>
                    <w:jc w:val="center"/>
                    <w:rPr>
                      <w:rFonts w:hint="default" w:eastAsia="宋体"/>
                      <w:b/>
                      <w:bCs/>
                      <w:color w:val="auto"/>
                      <w:kern w:val="2"/>
                      <w:sz w:val="21"/>
                      <w:szCs w:val="21"/>
                      <w:lang w:val="en-US" w:eastAsia="zh-CN" w:bidi="ar-SA"/>
                    </w:rPr>
                  </w:pPr>
                  <w:r>
                    <w:rPr>
                      <w:rFonts w:hint="eastAsia"/>
                      <w:b/>
                      <w:bCs/>
                      <w:color w:val="auto"/>
                      <w:sz w:val="21"/>
                      <w:szCs w:val="21"/>
                      <w:lang w:val="en-US" w:eastAsia="zh-CN"/>
                    </w:rPr>
                    <w:t>文件相关内容</w:t>
                  </w:r>
                </w:p>
              </w:tc>
              <w:tc>
                <w:tcPr>
                  <w:tcW w:w="1474" w:type="pct"/>
                  <w:noWrap w:val="0"/>
                  <w:vAlign w:val="center"/>
                </w:tcPr>
                <w:p w14:paraId="5B2EF4FC">
                  <w:pPr>
                    <w:spacing w:line="240" w:lineRule="auto"/>
                    <w:ind w:firstLine="0" w:firstLineChars="0"/>
                    <w:jc w:val="center"/>
                    <w:rPr>
                      <w:rFonts w:hint="eastAsia" w:eastAsia="宋体"/>
                      <w:b/>
                      <w:bCs/>
                      <w:color w:val="auto"/>
                      <w:kern w:val="2"/>
                      <w:sz w:val="21"/>
                      <w:szCs w:val="21"/>
                      <w:lang w:val="en-US" w:eastAsia="zh-CN" w:bidi="ar-SA"/>
                    </w:rPr>
                  </w:pPr>
                  <w:r>
                    <w:rPr>
                      <w:rFonts w:hint="eastAsia"/>
                      <w:b/>
                      <w:bCs/>
                      <w:color w:val="auto"/>
                      <w:sz w:val="21"/>
                      <w:szCs w:val="21"/>
                      <w:lang w:val="en-US" w:eastAsia="zh-CN"/>
                    </w:rPr>
                    <w:t>本项目</w:t>
                  </w:r>
                </w:p>
              </w:tc>
              <w:tc>
                <w:tcPr>
                  <w:tcW w:w="363" w:type="pct"/>
                  <w:noWrap w:val="0"/>
                  <w:vAlign w:val="center"/>
                </w:tcPr>
                <w:p w14:paraId="75298574">
                  <w:pPr>
                    <w:spacing w:line="240" w:lineRule="auto"/>
                    <w:ind w:firstLine="0" w:firstLineChars="0"/>
                    <w:jc w:val="center"/>
                    <w:rPr>
                      <w:rFonts w:hint="default"/>
                      <w:b/>
                      <w:bCs/>
                      <w:color w:val="auto"/>
                      <w:kern w:val="2"/>
                      <w:sz w:val="21"/>
                      <w:szCs w:val="21"/>
                      <w:lang w:val="en-US" w:eastAsia="zh-CN" w:bidi="ar-SA"/>
                    </w:rPr>
                  </w:pPr>
                  <w:r>
                    <w:rPr>
                      <w:b/>
                      <w:bCs/>
                      <w:color w:val="auto"/>
                      <w:sz w:val="21"/>
                      <w:szCs w:val="21"/>
                    </w:rPr>
                    <w:t>相符性</w:t>
                  </w:r>
                </w:p>
              </w:tc>
            </w:tr>
            <w:tr w14:paraId="69AF6D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1" w:type="pct"/>
                  <w:noWrap w:val="0"/>
                  <w:vAlign w:val="center"/>
                </w:tcPr>
                <w:p w14:paraId="0A82E15C">
                  <w:pPr>
                    <w:pStyle w:val="2"/>
                    <w:keepNext w:val="0"/>
                    <w:keepLines w:val="0"/>
                    <w:pageBreakBefore w:val="0"/>
                    <w:widowControl w:val="0"/>
                    <w:kinsoku/>
                    <w:wordWrap/>
                    <w:overflowPunct/>
                    <w:topLinePunct w:val="0"/>
                    <w:autoSpaceDE/>
                    <w:autoSpaceDN/>
                    <w:bidi w:val="0"/>
                    <w:adjustRightInd/>
                    <w:snapToGrid/>
                    <w:spacing w:before="0" w:after="0" w:line="240" w:lineRule="auto"/>
                    <w:ind w:right="0" w:firstLine="420" w:firstLineChars="200"/>
                    <w:textAlignment w:val="auto"/>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lang w:eastAsia="zh-CN"/>
                    </w:rPr>
                    <w:t xml:space="preserve">二、调整优化产业结构，推进产业绿色低碳发展 </w:t>
                  </w:r>
                </w:p>
                <w:p w14:paraId="5E587C07">
                  <w:pPr>
                    <w:pStyle w:val="2"/>
                    <w:keepNext w:val="0"/>
                    <w:keepLines w:val="0"/>
                    <w:pageBreakBefore w:val="0"/>
                    <w:widowControl w:val="0"/>
                    <w:kinsoku/>
                    <w:wordWrap/>
                    <w:overflowPunct/>
                    <w:topLinePunct w:val="0"/>
                    <w:autoSpaceDE/>
                    <w:autoSpaceDN/>
                    <w:bidi w:val="0"/>
                    <w:adjustRightInd/>
                    <w:snapToGrid/>
                    <w:spacing w:before="0" w:after="0" w:line="240" w:lineRule="auto"/>
                    <w:ind w:right="0" w:firstLine="420" w:firstLineChars="200"/>
                    <w:textAlignment w:val="auto"/>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lang w:eastAsia="zh-CN"/>
                    </w:rPr>
                    <w:t xml:space="preserve"> （一）坚决遏制“两高”项目盲目发展。按照江苏省“两高”项目分类管理工作要求，严格执行国家、省有关钢铁（炼钢、炼铁）、焦化、电解铝、水泥（熟料）、平板玻璃（不含光伏压延玻璃）和炼化（纳入国家产业规划除外）等行业产业政策标准。到2025年，短流程炼钢产能占比力争达20%以上。</w:t>
                  </w:r>
                </w:p>
                <w:p w14:paraId="5922E922">
                  <w:pPr>
                    <w:pStyle w:val="2"/>
                    <w:keepNext w:val="0"/>
                    <w:keepLines w:val="0"/>
                    <w:pageBreakBefore w:val="0"/>
                    <w:widowControl w:val="0"/>
                    <w:kinsoku/>
                    <w:wordWrap/>
                    <w:overflowPunct/>
                    <w:topLinePunct w:val="0"/>
                    <w:autoSpaceDE/>
                    <w:autoSpaceDN/>
                    <w:bidi w:val="0"/>
                    <w:adjustRightInd/>
                    <w:snapToGrid/>
                    <w:spacing w:before="0" w:after="0" w:line="240" w:lineRule="auto"/>
                    <w:ind w:right="0" w:firstLine="420" w:firstLineChars="200"/>
                    <w:textAlignment w:val="auto"/>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lang w:eastAsia="zh-CN"/>
                    </w:rPr>
                    <w:t xml:space="preserve"> （二）加快退出重点行业落后产能。落实《产业结构调整指导目录》，依法依规逐步退出限制类涉气行业工艺和装备、逐步淘汰步进式烧结机和球团竖炉以及半封闭式硅锰合金、镍铁、高碳铬铁、高碳锰铁电炉。</w:t>
                  </w:r>
                </w:p>
                <w:p w14:paraId="3E58B67A">
                  <w:pPr>
                    <w:pStyle w:val="2"/>
                    <w:keepNext w:val="0"/>
                    <w:keepLines w:val="0"/>
                    <w:pageBreakBefore w:val="0"/>
                    <w:widowControl w:val="0"/>
                    <w:kinsoku/>
                    <w:wordWrap/>
                    <w:overflowPunct/>
                    <w:topLinePunct w:val="0"/>
                    <w:autoSpaceDE/>
                    <w:autoSpaceDN/>
                    <w:bidi w:val="0"/>
                    <w:adjustRightInd/>
                    <w:snapToGrid/>
                    <w:spacing w:before="0" w:after="0" w:line="240" w:lineRule="auto"/>
                    <w:ind w:right="0" w:firstLine="420" w:firstLineChars="200"/>
                    <w:textAlignment w:val="auto"/>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lang w:eastAsia="zh-CN"/>
                    </w:rPr>
                    <w:t xml:space="preserve"> （三）推进产业集群、园区绿色转型升级。中小型传统制造企业集中的辖市（区）均要制定涉气产业集群发展规划，严格项目审批，严防污染下乡。针对现有产业集群制定专项整治方案，依法淘汰关停一批、搬迁入园一批，就地改造一批、做优做强一批。</w:t>
                  </w:r>
                </w:p>
                <w:p w14:paraId="726ADA7A">
                  <w:pPr>
                    <w:pStyle w:val="2"/>
                    <w:keepNext w:val="0"/>
                    <w:keepLines w:val="0"/>
                    <w:pageBreakBefore w:val="0"/>
                    <w:widowControl w:val="0"/>
                    <w:kinsoku/>
                    <w:wordWrap/>
                    <w:overflowPunct/>
                    <w:topLinePunct w:val="0"/>
                    <w:autoSpaceDE/>
                    <w:autoSpaceDN/>
                    <w:bidi w:val="0"/>
                    <w:adjustRightInd/>
                    <w:snapToGrid/>
                    <w:spacing w:before="0" w:after="0" w:line="240" w:lineRule="auto"/>
                    <w:ind w:right="0" w:firstLine="420" w:firstLineChars="200"/>
                    <w:textAlignment w:val="auto"/>
                    <w:rPr>
                      <w:rFonts w:hint="default"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lang w:eastAsia="zh-CN"/>
                    </w:rPr>
                    <w:t xml:space="preserve"> （四）优化含 VOCs 原辅材料和产品结构。严格控制生产和使用高VOCs含量涂料、油墨、胶粘剂、清洗剂等建设项目。加大工业涂装、包装印刷和电子行业清洁原料替代力度。鼓励和推进汽车4S店、大型汽修厂实施水性涂料替代。</w:t>
                  </w:r>
                </w:p>
              </w:tc>
              <w:tc>
                <w:tcPr>
                  <w:tcW w:w="1474" w:type="pct"/>
                  <w:noWrap w:val="0"/>
                  <w:vAlign w:val="center"/>
                </w:tcPr>
                <w:p w14:paraId="15F16D43">
                  <w:pPr>
                    <w:pStyle w:val="2"/>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left"/>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本项目为</w:t>
                  </w:r>
                  <w:r>
                    <w:rPr>
                      <w:rFonts w:hint="eastAsia" w:cs="Times New Roman"/>
                      <w:color w:val="auto"/>
                      <w:sz w:val="21"/>
                      <w:szCs w:val="21"/>
                      <w:lang w:eastAsia="zh-CN"/>
                    </w:rPr>
                    <w:t>[C2929]塑料零件及其他塑料制品制造、[C3584]医疗、外科及兽医用器械制造</w:t>
                  </w:r>
                  <w:r>
                    <w:rPr>
                      <w:rFonts w:hint="default" w:ascii="Times New Roman" w:hAnsi="Times New Roman" w:eastAsia="宋体" w:cs="Times New Roman"/>
                      <w:color w:val="auto"/>
                      <w:sz w:val="21"/>
                      <w:szCs w:val="21"/>
                      <w:highlight w:val="none"/>
                      <w:lang w:val="en-US" w:eastAsia="zh-CN"/>
                    </w:rPr>
                    <w:t>，不属于“两高”项目</w:t>
                  </w:r>
                  <w:r>
                    <w:rPr>
                      <w:rFonts w:hint="eastAsia" w:ascii="Times New Roman" w:hAnsi="Times New Roman" w:eastAsia="宋体" w:cs="Times New Roman"/>
                      <w:color w:val="auto"/>
                      <w:sz w:val="21"/>
                      <w:szCs w:val="21"/>
                      <w:highlight w:val="none"/>
                      <w:lang w:val="en-US" w:eastAsia="zh-CN"/>
                    </w:rPr>
                    <w:t>。</w:t>
                  </w:r>
                </w:p>
                <w:p w14:paraId="4D4D2FAC">
                  <w:pPr>
                    <w:pStyle w:val="2"/>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left"/>
                    <w:textAlignment w:val="auto"/>
                    <w:rPr>
                      <w:rFonts w:hint="eastAsia"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w:t>
                  </w:r>
                  <w:r>
                    <w:rPr>
                      <w:rFonts w:hint="eastAsia" w:ascii="Times New Roman" w:hAnsi="Times New Roman" w:eastAsia="宋体" w:cs="Times New Roman"/>
                      <w:color w:val="auto"/>
                      <w:sz w:val="21"/>
                      <w:szCs w:val="21"/>
                      <w:highlight w:val="none"/>
                      <w:lang w:val="en-US" w:eastAsia="zh-CN"/>
                    </w:rPr>
                    <w:t>不属于</w:t>
                  </w:r>
                  <w:r>
                    <w:rPr>
                      <w:rFonts w:hint="eastAsia" w:ascii="Times New Roman" w:hAnsi="Times New Roman" w:eastAsia="宋体" w:cs="Times New Roman"/>
                      <w:color w:val="auto"/>
                      <w:kern w:val="2"/>
                      <w:sz w:val="21"/>
                      <w:szCs w:val="21"/>
                      <w:highlight w:val="none"/>
                      <w:lang w:eastAsia="zh-CN"/>
                    </w:rPr>
                    <w:t>《产业结构调整指导目录》</w:t>
                  </w:r>
                  <w:r>
                    <w:rPr>
                      <w:rFonts w:hint="eastAsia" w:ascii="Times New Roman" w:hAnsi="Times New Roman" w:eastAsia="宋体" w:cs="Times New Roman"/>
                      <w:color w:val="auto"/>
                      <w:kern w:val="2"/>
                      <w:sz w:val="21"/>
                      <w:szCs w:val="21"/>
                      <w:highlight w:val="none"/>
                      <w:lang w:val="en-US" w:eastAsia="zh-CN"/>
                    </w:rPr>
                    <w:t>中限制、淘汰类工艺和装备。</w:t>
                  </w:r>
                </w:p>
                <w:p w14:paraId="1020A419">
                  <w:pPr>
                    <w:pStyle w:val="2"/>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left"/>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本项目位于江苏省常州市</w:t>
                  </w:r>
                  <w:r>
                    <w:rPr>
                      <w:rFonts w:hint="eastAsia" w:cs="Times New Roman"/>
                      <w:color w:val="auto"/>
                      <w:kern w:val="2"/>
                      <w:sz w:val="21"/>
                      <w:szCs w:val="21"/>
                      <w:highlight w:val="none"/>
                      <w:lang w:val="en-US" w:eastAsia="zh-CN"/>
                    </w:rPr>
                    <w:t>金坛区金坛经济开发区珠山路66号</w:t>
                  </w:r>
                  <w:r>
                    <w:rPr>
                      <w:rFonts w:hint="eastAsia" w:ascii="Times New Roman" w:hAnsi="Times New Roman" w:eastAsia="宋体" w:cs="Times New Roman"/>
                      <w:color w:val="auto"/>
                      <w:kern w:val="2"/>
                      <w:sz w:val="21"/>
                      <w:szCs w:val="21"/>
                      <w:highlight w:val="none"/>
                      <w:lang w:val="en-US" w:eastAsia="zh-CN"/>
                    </w:rPr>
                    <w:t>，属于</w:t>
                  </w:r>
                  <w:r>
                    <w:rPr>
                      <w:rFonts w:hint="eastAsia" w:cs="Times New Roman"/>
                      <w:color w:val="auto"/>
                      <w:kern w:val="2"/>
                      <w:sz w:val="21"/>
                      <w:szCs w:val="21"/>
                      <w:highlight w:val="none"/>
                      <w:lang w:val="en-US" w:eastAsia="zh-CN"/>
                    </w:rPr>
                    <w:t>金坛经济</w:t>
                  </w:r>
                  <w:r>
                    <w:rPr>
                      <w:rFonts w:hint="eastAsia" w:ascii="Times New Roman" w:hAnsi="Times New Roman" w:eastAsia="宋体" w:cs="Times New Roman"/>
                      <w:color w:val="auto"/>
                      <w:kern w:val="2"/>
                      <w:sz w:val="21"/>
                      <w:szCs w:val="21"/>
                      <w:highlight w:val="none"/>
                      <w:lang w:val="en-US" w:eastAsia="zh-CN"/>
                    </w:rPr>
                    <w:t>开发区内。</w:t>
                  </w:r>
                </w:p>
                <w:p w14:paraId="71B63C64">
                  <w:pPr>
                    <w:pStyle w:val="2"/>
                    <w:keepNext w:val="0"/>
                    <w:keepLines w:val="0"/>
                    <w:pageBreakBefore w:val="0"/>
                    <w:widowControl w:val="0"/>
                    <w:kinsoku/>
                    <w:wordWrap w:val="0"/>
                    <w:overflowPunct/>
                    <w:topLinePunct w:val="0"/>
                    <w:autoSpaceDE/>
                    <w:autoSpaceDN/>
                    <w:bidi w:val="0"/>
                    <w:adjustRightInd/>
                    <w:snapToGrid/>
                    <w:spacing w:before="0" w:after="0" w:line="240" w:lineRule="auto"/>
                    <w:ind w:right="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eastAsia"/>
                      <w:color w:val="auto"/>
                      <w:kern w:val="0"/>
                      <w:highlight w:val="none"/>
                      <w:shd w:val="clear" w:color="auto" w:fill="auto"/>
                    </w:rPr>
                    <w:t>根据企业提供的UV油墨VOCs检测含量为2.8%，满足《油墨中可挥发性有机化合物(VOCs)含量的限值》(GB38507-2020)中能量固化油墨-喷墨印刷油墨限值要求（≤10%）。企业所用脱脂粉其物理形态为固体粉末，成分均为不挥发物质，在常温下不具备挥发性。根据《清洗剂挥发性有机化合物含量限值》（GB 38508-2020）判定标准，本项目使用的脱脂粉不属于含VOC的清洗剂。</w:t>
                  </w:r>
                </w:p>
              </w:tc>
              <w:tc>
                <w:tcPr>
                  <w:tcW w:w="363" w:type="pct"/>
                  <w:noWrap w:val="0"/>
                  <w:vAlign w:val="center"/>
                </w:tcPr>
                <w:p w14:paraId="5CBC2FF2">
                  <w:pPr>
                    <w:pStyle w:val="2"/>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bCs/>
                      <w:color w:val="auto"/>
                      <w:kern w:val="2"/>
                      <w:sz w:val="21"/>
                      <w:szCs w:val="21"/>
                      <w:highlight w:val="none"/>
                    </w:rPr>
                  </w:pPr>
                  <w:r>
                    <w:rPr>
                      <w:rFonts w:hint="default" w:ascii="Times New Roman" w:hAnsi="Times New Roman" w:eastAsia="宋体" w:cs="Times New Roman"/>
                      <w:bCs/>
                      <w:color w:val="auto"/>
                      <w:kern w:val="2"/>
                      <w:sz w:val="21"/>
                      <w:szCs w:val="21"/>
                      <w:highlight w:val="none"/>
                    </w:rPr>
                    <w:t>相符</w:t>
                  </w:r>
                </w:p>
              </w:tc>
            </w:tr>
            <w:tr w14:paraId="6CA9BB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1" w:type="pct"/>
                  <w:noWrap w:val="0"/>
                  <w:vAlign w:val="center"/>
                </w:tcPr>
                <w:p w14:paraId="1C8D8398">
                  <w:pPr>
                    <w:pStyle w:val="2"/>
                    <w:keepNext w:val="0"/>
                    <w:keepLines w:val="0"/>
                    <w:pageBreakBefore w:val="0"/>
                    <w:widowControl w:val="0"/>
                    <w:kinsoku/>
                    <w:wordWrap/>
                    <w:overflowPunct/>
                    <w:topLinePunct w:val="0"/>
                    <w:autoSpaceDE/>
                    <w:autoSpaceDN/>
                    <w:bidi w:val="0"/>
                    <w:adjustRightInd/>
                    <w:snapToGrid/>
                    <w:spacing w:before="0" w:after="0" w:line="240" w:lineRule="auto"/>
                    <w:ind w:right="0" w:firstLine="420" w:firstLineChars="200"/>
                    <w:textAlignment w:val="auto"/>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lang w:eastAsia="zh-CN"/>
                    </w:rPr>
                    <w:t xml:space="preserve">三、推进能源高效利用，加快能源清洁低碳转型 </w:t>
                  </w:r>
                </w:p>
                <w:p w14:paraId="1F15F59E">
                  <w:pPr>
                    <w:pStyle w:val="2"/>
                    <w:keepNext w:val="0"/>
                    <w:keepLines w:val="0"/>
                    <w:pageBreakBefore w:val="0"/>
                    <w:widowControl w:val="0"/>
                    <w:kinsoku/>
                    <w:wordWrap/>
                    <w:overflowPunct/>
                    <w:topLinePunct w:val="0"/>
                    <w:autoSpaceDE/>
                    <w:autoSpaceDN/>
                    <w:bidi w:val="0"/>
                    <w:adjustRightInd/>
                    <w:snapToGrid/>
                    <w:spacing w:before="0" w:after="0" w:line="240" w:lineRule="auto"/>
                    <w:ind w:right="0" w:firstLine="420" w:firstLineChars="200"/>
                    <w:textAlignment w:val="auto"/>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lang w:eastAsia="zh-CN"/>
                    </w:rPr>
                    <w:t xml:space="preserve"> （五）大力发展新能源和清洁能源。加快推进光伏发电项目建设和公共机构光伏应用，提升全市公共机构光伏应用水平和示范表率功能，因地制宜发展风力发电，统筹发展生物质能，推广建设“光储充检换”一体化充电示范项目，通过光伏优先消纳、余量存入储能、充满之后上网以及储能夜充日放，实现存储就地消纳。到2025年，新能源发电装机规模达到430万千瓦，公共机构新建建筑可安装光伏屋顶面积力争实现光伏覆盖率达到50%。</w:t>
                  </w:r>
                </w:p>
                <w:p w14:paraId="5BDB38F3">
                  <w:pPr>
                    <w:pStyle w:val="2"/>
                    <w:keepNext w:val="0"/>
                    <w:keepLines w:val="0"/>
                    <w:pageBreakBefore w:val="0"/>
                    <w:widowControl w:val="0"/>
                    <w:kinsoku/>
                    <w:wordWrap/>
                    <w:overflowPunct/>
                    <w:topLinePunct w:val="0"/>
                    <w:autoSpaceDE/>
                    <w:autoSpaceDN/>
                    <w:bidi w:val="0"/>
                    <w:adjustRightInd/>
                    <w:snapToGrid/>
                    <w:spacing w:before="0" w:after="0" w:line="240" w:lineRule="auto"/>
                    <w:ind w:right="0" w:firstLine="420" w:firstLineChars="200"/>
                    <w:textAlignment w:val="auto"/>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lang w:eastAsia="zh-CN"/>
                    </w:rPr>
                    <w:t xml:space="preserve"> （六）严格合理控制煤炭消费总量。原则上不再新增自备燃煤机组，支持自备燃煤机组实施清洁能源替代。未达到能耗强度降低基本目标进度要求的地区，在节能审查等环节对高耗能项目缓批限批。在保障能源安全供应的前提下，继续实施煤炭消费总量控制，鼓励发电向高效、清洁机组倾斜，到2025年全市煤炭消费量较2020年下降5%左右。</w:t>
                  </w:r>
                </w:p>
                <w:p w14:paraId="08CFCD2E">
                  <w:pPr>
                    <w:pStyle w:val="2"/>
                    <w:keepNext w:val="0"/>
                    <w:keepLines w:val="0"/>
                    <w:pageBreakBefore w:val="0"/>
                    <w:widowControl w:val="0"/>
                    <w:kinsoku/>
                    <w:wordWrap/>
                    <w:overflowPunct/>
                    <w:topLinePunct w:val="0"/>
                    <w:autoSpaceDE/>
                    <w:autoSpaceDN/>
                    <w:bidi w:val="0"/>
                    <w:adjustRightInd/>
                    <w:snapToGrid/>
                    <w:spacing w:before="0" w:after="0" w:line="240" w:lineRule="auto"/>
                    <w:ind w:right="0" w:firstLine="420" w:firstLineChars="200"/>
                    <w:textAlignment w:val="auto"/>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lang w:eastAsia="zh-CN"/>
                    </w:rPr>
                    <w:t xml:space="preserve"> （七）推进燃煤锅炉关停整合和工业炉窑清洁能源替代。充分发挥30万千瓦及以上热电联产电厂的供热能力，对其供热半径 30 公里范围内的燃煤锅炉和落后燃煤小热电机组（含自备电厂）进行关停或整合。到2025年，淘汰35蒸吨小时及以下燃煤锅炉，基本淘汰茶水炉、经营性炉灶、储粮烘干设备、农产品加工等燃煤设施。不再新增燃料类煤气发生炉，新改扩建加热炉、热处理炉、干燥炉、熔化炉原则上采用清洁低碳能源。</w:t>
                  </w:r>
                </w:p>
                <w:p w14:paraId="43690676">
                  <w:pPr>
                    <w:pStyle w:val="2"/>
                    <w:keepNext w:val="0"/>
                    <w:keepLines w:val="0"/>
                    <w:pageBreakBefore w:val="0"/>
                    <w:widowControl w:val="0"/>
                    <w:kinsoku/>
                    <w:wordWrap/>
                    <w:overflowPunct/>
                    <w:topLinePunct w:val="0"/>
                    <w:autoSpaceDE/>
                    <w:autoSpaceDN/>
                    <w:bidi w:val="0"/>
                    <w:adjustRightInd/>
                    <w:snapToGrid/>
                    <w:spacing w:before="0" w:after="0" w:line="240" w:lineRule="auto"/>
                    <w:ind w:right="0" w:firstLine="420" w:firstLineChars="200"/>
                    <w:textAlignment w:val="auto"/>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lang w:eastAsia="zh-CN"/>
                    </w:rPr>
                    <w:t xml:space="preserve"> （八）推进近零碳园区和近零碳工厂试点建设。重点选择绿色产业园区、外贸出口相对集中的园区、“危污乱散低”综合治理“绿岛”园区、科创产业园区等园区类型和市级及以上绿色工厂，推进近零碳园区、近零碳工厂试点。以近零碳园区为主阵地，同步开展近零碳工厂培育和新型智能微电网、虚拟电厂等新能源应用场景推广试点。鼓励企业参与绿电、绿证交易，打造高比例可再生能源消纳示范区，推广综合能源服务，推进能源梯级利用、余热余压回收、绿色供冷供热，推动园区内源网荷储深度融合。</w:t>
                  </w:r>
                </w:p>
              </w:tc>
              <w:tc>
                <w:tcPr>
                  <w:tcW w:w="1474" w:type="pct"/>
                  <w:noWrap w:val="0"/>
                  <w:vAlign w:val="center"/>
                </w:tcPr>
                <w:p w14:paraId="2E4461F5">
                  <w:pPr>
                    <w:pStyle w:val="2"/>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left"/>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本项目使用清洁能源为电</w:t>
                  </w:r>
                  <w:r>
                    <w:rPr>
                      <w:rFonts w:hint="eastAsia"/>
                      <w:color w:val="auto"/>
                      <w:lang w:eastAsia="zh-CN"/>
                    </w:rPr>
                    <w:t>。</w:t>
                  </w:r>
                </w:p>
              </w:tc>
              <w:tc>
                <w:tcPr>
                  <w:tcW w:w="363" w:type="pct"/>
                  <w:noWrap w:val="0"/>
                  <w:vAlign w:val="center"/>
                </w:tcPr>
                <w:p w14:paraId="7B3DB2EF">
                  <w:pPr>
                    <w:pStyle w:val="2"/>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bCs/>
                      <w:color w:val="auto"/>
                      <w:kern w:val="2"/>
                      <w:sz w:val="21"/>
                      <w:szCs w:val="21"/>
                      <w:highlight w:val="none"/>
                    </w:rPr>
                  </w:pPr>
                  <w:r>
                    <w:rPr>
                      <w:rFonts w:hint="default" w:ascii="Times New Roman" w:hAnsi="Times New Roman" w:eastAsia="宋体" w:cs="Times New Roman"/>
                      <w:bCs/>
                      <w:color w:val="auto"/>
                      <w:kern w:val="2"/>
                      <w:sz w:val="21"/>
                      <w:szCs w:val="21"/>
                      <w:highlight w:val="none"/>
                    </w:rPr>
                    <w:t>相符</w:t>
                  </w:r>
                </w:p>
              </w:tc>
            </w:tr>
            <w:tr w14:paraId="21A8B4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1" w:type="pct"/>
                  <w:noWrap w:val="0"/>
                  <w:vAlign w:val="center"/>
                </w:tcPr>
                <w:p w14:paraId="02BF7090">
                  <w:pPr>
                    <w:pStyle w:val="2"/>
                    <w:keepNext w:val="0"/>
                    <w:keepLines w:val="0"/>
                    <w:pageBreakBefore w:val="0"/>
                    <w:widowControl w:val="0"/>
                    <w:kinsoku/>
                    <w:wordWrap/>
                    <w:overflowPunct/>
                    <w:topLinePunct w:val="0"/>
                    <w:autoSpaceDE/>
                    <w:autoSpaceDN/>
                    <w:bidi w:val="0"/>
                    <w:adjustRightInd/>
                    <w:snapToGrid/>
                    <w:spacing w:before="0" w:after="0" w:line="240" w:lineRule="auto"/>
                    <w:ind w:right="0" w:firstLine="420" w:firstLineChars="200"/>
                    <w:textAlignment w:val="auto"/>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lang w:eastAsia="zh-CN"/>
                    </w:rPr>
                    <w:t xml:space="preserve">六、强化协同减排，切实降低污染物排放强度 </w:t>
                  </w:r>
                </w:p>
                <w:p w14:paraId="46BD1BA4">
                  <w:pPr>
                    <w:pStyle w:val="2"/>
                    <w:keepNext w:val="0"/>
                    <w:keepLines w:val="0"/>
                    <w:pageBreakBefore w:val="0"/>
                    <w:widowControl w:val="0"/>
                    <w:kinsoku/>
                    <w:wordWrap/>
                    <w:overflowPunct/>
                    <w:topLinePunct w:val="0"/>
                    <w:autoSpaceDE/>
                    <w:autoSpaceDN/>
                    <w:bidi w:val="0"/>
                    <w:adjustRightInd/>
                    <w:snapToGrid/>
                    <w:spacing w:before="0" w:after="0" w:line="240" w:lineRule="auto"/>
                    <w:ind w:right="0" w:firstLine="420" w:firstLineChars="200"/>
                    <w:textAlignment w:val="auto"/>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lang w:eastAsia="zh-CN"/>
                    </w:rPr>
                    <w:t xml:space="preserve"> （十五）强化VOCs全流程、全环节综合治理。鼓励储罐使用低泄漏的呼吸阀、紧急泄压阀，定期开展密封性检测。重点工业园区建立分环节、分物种管控清单，实施高排放关键活性物种“指纹化”监测监控和靶向治理。到2025年，重点工业园区VOCs浓度力争比 2021年下降20%。</w:t>
                  </w:r>
                </w:p>
                <w:p w14:paraId="1B21C070">
                  <w:pPr>
                    <w:pStyle w:val="2"/>
                    <w:keepNext w:val="0"/>
                    <w:keepLines w:val="0"/>
                    <w:pageBreakBefore w:val="0"/>
                    <w:widowControl w:val="0"/>
                    <w:kinsoku/>
                    <w:wordWrap/>
                    <w:overflowPunct/>
                    <w:topLinePunct w:val="0"/>
                    <w:autoSpaceDE/>
                    <w:autoSpaceDN/>
                    <w:bidi w:val="0"/>
                    <w:adjustRightInd/>
                    <w:snapToGrid/>
                    <w:spacing w:before="0" w:after="0" w:line="240" w:lineRule="auto"/>
                    <w:ind w:right="0" w:firstLine="420" w:firstLineChars="200"/>
                    <w:textAlignment w:val="auto"/>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lang w:eastAsia="zh-CN"/>
                    </w:rPr>
                    <w:t xml:space="preserve"> （十六）实施重点行业超低排放与深度治理。有序推进铸造、垃圾焚烧发电、玻璃、有色、石灰、矿棉等行业深度治理。持续推进煤电机组深度脱硝改造，力争2024年底前完成单机10万千瓦及以上煤电机组深度脱硝改造任务。到2025年底，全市水泥企业基本完成超低排放改造。实施重点行业绩效等级提升行动。</w:t>
                  </w:r>
                </w:p>
                <w:p w14:paraId="40DD2A09">
                  <w:pPr>
                    <w:pStyle w:val="2"/>
                    <w:keepNext w:val="0"/>
                    <w:keepLines w:val="0"/>
                    <w:pageBreakBefore w:val="0"/>
                    <w:widowControl w:val="0"/>
                    <w:kinsoku/>
                    <w:wordWrap/>
                    <w:overflowPunct/>
                    <w:topLinePunct w:val="0"/>
                    <w:autoSpaceDE/>
                    <w:autoSpaceDN/>
                    <w:bidi w:val="0"/>
                    <w:adjustRightInd/>
                    <w:snapToGrid/>
                    <w:spacing w:before="0" w:after="0" w:line="240" w:lineRule="auto"/>
                    <w:ind w:right="0" w:firstLine="420" w:firstLineChars="200"/>
                    <w:textAlignment w:val="auto"/>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lang w:eastAsia="zh-CN"/>
                    </w:rPr>
                    <w:t xml:space="preserve"> （十七）推进餐饮油烟、恶臭异味专项整治。加强部门联动，因地制宜解决人民群众反映集中的油烟和恶臭扰民问题。严格居民楼附近餐饮服务单位布局管理。拟开设餐饮服务单位的建筑应设计建设专用烟道。建立重点园区“嗅辨+监测”异味溯源机制。</w:t>
                  </w:r>
                </w:p>
                <w:p w14:paraId="419F5217">
                  <w:pPr>
                    <w:pStyle w:val="2"/>
                    <w:keepNext w:val="0"/>
                    <w:keepLines w:val="0"/>
                    <w:pageBreakBefore w:val="0"/>
                    <w:widowControl w:val="0"/>
                    <w:kinsoku/>
                    <w:wordWrap/>
                    <w:overflowPunct/>
                    <w:topLinePunct w:val="0"/>
                    <w:autoSpaceDE/>
                    <w:autoSpaceDN/>
                    <w:bidi w:val="0"/>
                    <w:adjustRightInd/>
                    <w:snapToGrid/>
                    <w:spacing w:before="0" w:after="0" w:line="240" w:lineRule="auto"/>
                    <w:ind w:right="0" w:firstLine="420" w:firstLineChars="200"/>
                    <w:textAlignment w:val="auto"/>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lang w:eastAsia="zh-CN"/>
                    </w:rPr>
                    <w:t xml:space="preserve"> （十八）推动大气氨污染防控。推广氮肥机械深施和低蛋白日粮技术。到2025 年，全市主要农作物化肥施用量2020年削减3%，畜禽粪污综合利用率稳定在 95%左右。加强氮肥、纯碱等行业大气氨排放治理。强化工业源烟气脱硫脱硝氨逃逸防控。</w:t>
                  </w:r>
                </w:p>
              </w:tc>
              <w:tc>
                <w:tcPr>
                  <w:tcW w:w="1474" w:type="pct"/>
                  <w:noWrap w:val="0"/>
                  <w:vAlign w:val="center"/>
                </w:tcPr>
                <w:p w14:paraId="2F70A77E">
                  <w:pPr>
                    <w:pStyle w:val="2"/>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本项目有机废气、颗粒物均收集处理后达标排放，经预测不会改变区域大气环境质量现状，对区域大气环境保护目标影响较小。</w:t>
                  </w:r>
                </w:p>
              </w:tc>
              <w:tc>
                <w:tcPr>
                  <w:tcW w:w="363" w:type="pct"/>
                  <w:noWrap w:val="0"/>
                  <w:vAlign w:val="center"/>
                </w:tcPr>
                <w:p w14:paraId="5F56DA90">
                  <w:pPr>
                    <w:pStyle w:val="2"/>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bCs/>
                      <w:color w:val="auto"/>
                      <w:kern w:val="2"/>
                      <w:sz w:val="21"/>
                      <w:szCs w:val="21"/>
                      <w:highlight w:val="none"/>
                    </w:rPr>
                  </w:pPr>
                </w:p>
              </w:tc>
            </w:tr>
          </w:tbl>
          <w:p w14:paraId="1B758C17">
            <w:pPr>
              <w:adjustRightInd w:val="0"/>
              <w:snapToGrid w:val="0"/>
              <w:ind w:firstLine="422"/>
              <w:rPr>
                <w:b/>
                <w:bCs/>
                <w:color w:val="auto"/>
                <w:sz w:val="24"/>
                <w:szCs w:val="24"/>
              </w:rPr>
            </w:pPr>
            <w:r>
              <w:rPr>
                <w:rFonts w:hint="eastAsia"/>
                <w:b/>
                <w:bCs/>
                <w:color w:val="auto"/>
                <w:sz w:val="24"/>
                <w:szCs w:val="24"/>
                <w:lang w:val="en-US" w:eastAsia="zh-CN"/>
              </w:rPr>
              <w:t>12</w:t>
            </w:r>
            <w:r>
              <w:rPr>
                <w:b/>
                <w:bCs/>
                <w:color w:val="auto"/>
                <w:sz w:val="24"/>
                <w:szCs w:val="24"/>
              </w:rPr>
              <w:t>、水污染防治相关文件相符性分析</w:t>
            </w:r>
          </w:p>
          <w:p w14:paraId="00F3FC60">
            <w:pPr>
              <w:spacing w:line="240" w:lineRule="auto"/>
              <w:ind w:firstLine="0" w:firstLineChars="0"/>
              <w:jc w:val="center"/>
              <w:rPr>
                <w:b/>
                <w:bCs/>
                <w:color w:val="auto"/>
                <w:sz w:val="21"/>
                <w:szCs w:val="21"/>
              </w:rPr>
            </w:pPr>
            <w:r>
              <w:rPr>
                <w:b/>
                <w:bCs/>
                <w:color w:val="auto"/>
                <w:sz w:val="21"/>
                <w:szCs w:val="21"/>
              </w:rPr>
              <w:t>表1-1</w:t>
            </w:r>
            <w:r>
              <w:rPr>
                <w:rFonts w:hint="eastAsia"/>
                <w:b/>
                <w:bCs/>
                <w:color w:val="auto"/>
                <w:sz w:val="21"/>
                <w:szCs w:val="21"/>
                <w:lang w:val="en-US" w:eastAsia="zh-CN"/>
              </w:rPr>
              <w:t>7</w:t>
            </w:r>
            <w:r>
              <w:rPr>
                <w:b/>
                <w:bCs/>
                <w:color w:val="auto"/>
                <w:sz w:val="21"/>
                <w:szCs w:val="21"/>
              </w:rPr>
              <w:t xml:space="preserve"> 与太湖相关条例相符性分析</w:t>
            </w:r>
          </w:p>
          <w:tbl>
            <w:tblPr>
              <w:tblStyle w:val="17"/>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4362"/>
              <w:gridCol w:w="2943"/>
              <w:gridCol w:w="677"/>
            </w:tblGrid>
            <w:tr w14:paraId="42594C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4" w:type="pct"/>
                  <w:gridSpan w:val="2"/>
                  <w:noWrap w:val="0"/>
                  <w:vAlign w:val="center"/>
                </w:tcPr>
                <w:p w14:paraId="62CE3FF6">
                  <w:pPr>
                    <w:spacing w:line="240" w:lineRule="auto"/>
                    <w:ind w:firstLine="0" w:firstLineChars="0"/>
                    <w:jc w:val="center"/>
                    <w:rPr>
                      <w:b/>
                      <w:bCs/>
                      <w:color w:val="auto"/>
                      <w:sz w:val="21"/>
                      <w:szCs w:val="21"/>
                    </w:rPr>
                  </w:pPr>
                  <w:r>
                    <w:rPr>
                      <w:b/>
                      <w:bCs/>
                      <w:color w:val="auto"/>
                      <w:sz w:val="21"/>
                      <w:szCs w:val="21"/>
                    </w:rPr>
                    <w:t>文件相关内容</w:t>
                  </w:r>
                </w:p>
              </w:tc>
              <w:tc>
                <w:tcPr>
                  <w:tcW w:w="1589" w:type="pct"/>
                  <w:noWrap w:val="0"/>
                  <w:vAlign w:val="center"/>
                </w:tcPr>
                <w:p w14:paraId="532946D8">
                  <w:pPr>
                    <w:spacing w:line="240" w:lineRule="auto"/>
                    <w:ind w:firstLine="0" w:firstLineChars="0"/>
                    <w:jc w:val="center"/>
                    <w:rPr>
                      <w:b/>
                      <w:bCs/>
                      <w:color w:val="auto"/>
                      <w:sz w:val="21"/>
                      <w:szCs w:val="21"/>
                    </w:rPr>
                  </w:pPr>
                  <w:r>
                    <w:rPr>
                      <w:b/>
                      <w:bCs/>
                      <w:color w:val="auto"/>
                      <w:sz w:val="21"/>
                      <w:szCs w:val="21"/>
                    </w:rPr>
                    <w:t>项目建设</w:t>
                  </w:r>
                </w:p>
              </w:tc>
              <w:tc>
                <w:tcPr>
                  <w:tcW w:w="365" w:type="pct"/>
                  <w:noWrap w:val="0"/>
                  <w:vAlign w:val="center"/>
                </w:tcPr>
                <w:p w14:paraId="30D673AC">
                  <w:pPr>
                    <w:spacing w:line="240" w:lineRule="auto"/>
                    <w:ind w:firstLine="0" w:firstLineChars="0"/>
                    <w:jc w:val="center"/>
                    <w:rPr>
                      <w:b/>
                      <w:bCs/>
                      <w:color w:val="auto"/>
                      <w:sz w:val="21"/>
                      <w:szCs w:val="21"/>
                    </w:rPr>
                  </w:pPr>
                  <w:r>
                    <w:rPr>
                      <w:b/>
                      <w:bCs/>
                      <w:color w:val="auto"/>
                      <w:sz w:val="21"/>
                      <w:szCs w:val="21"/>
                    </w:rPr>
                    <w:t>相符性</w:t>
                  </w:r>
                </w:p>
              </w:tc>
            </w:tr>
            <w:tr w14:paraId="2EA6B0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4" w:type="pct"/>
                  <w:gridSpan w:val="2"/>
                  <w:noWrap w:val="0"/>
                  <w:vAlign w:val="center"/>
                </w:tcPr>
                <w:p w14:paraId="2E8734E4">
                  <w:pPr>
                    <w:spacing w:line="240" w:lineRule="auto"/>
                    <w:ind w:firstLine="0" w:firstLineChars="0"/>
                    <w:jc w:val="center"/>
                    <w:rPr>
                      <w:color w:val="auto"/>
                      <w:sz w:val="21"/>
                      <w:szCs w:val="21"/>
                    </w:rPr>
                  </w:pPr>
                  <w:r>
                    <w:rPr>
                      <w:color w:val="auto"/>
                      <w:sz w:val="21"/>
                      <w:szCs w:val="21"/>
                    </w:rPr>
                    <w:t>《省政府办公厅关于公布江苏省太湖流域三级保护区范围的通知》（苏政办发〔2012〕221号）</w:t>
                  </w:r>
                </w:p>
              </w:tc>
              <w:tc>
                <w:tcPr>
                  <w:tcW w:w="1589" w:type="pct"/>
                  <w:noWrap w:val="0"/>
                  <w:vAlign w:val="center"/>
                </w:tcPr>
                <w:p w14:paraId="20CDF583">
                  <w:pPr>
                    <w:spacing w:line="240" w:lineRule="auto"/>
                    <w:ind w:firstLine="0" w:firstLineChars="0"/>
                    <w:jc w:val="left"/>
                    <w:rPr>
                      <w:color w:val="auto"/>
                      <w:sz w:val="21"/>
                      <w:szCs w:val="21"/>
                    </w:rPr>
                  </w:pPr>
                  <w:r>
                    <w:rPr>
                      <w:color w:val="auto"/>
                      <w:sz w:val="21"/>
                      <w:szCs w:val="21"/>
                    </w:rPr>
                    <w:t>本项目位于太湖三级保护区，严格贯彻落实《太湖流域管理条例》和《江苏省太湖水污染防治条例》中的相关条例</w:t>
                  </w:r>
                </w:p>
              </w:tc>
              <w:tc>
                <w:tcPr>
                  <w:tcW w:w="365" w:type="pct"/>
                  <w:noWrap w:val="0"/>
                  <w:vAlign w:val="center"/>
                </w:tcPr>
                <w:p w14:paraId="27CE55AF">
                  <w:pPr>
                    <w:spacing w:line="240" w:lineRule="auto"/>
                    <w:ind w:firstLine="0" w:firstLineChars="0"/>
                    <w:jc w:val="center"/>
                    <w:rPr>
                      <w:color w:val="auto"/>
                      <w:sz w:val="21"/>
                      <w:szCs w:val="21"/>
                    </w:rPr>
                  </w:pPr>
                  <w:r>
                    <w:rPr>
                      <w:color w:val="auto"/>
                      <w:sz w:val="21"/>
                      <w:szCs w:val="21"/>
                    </w:rPr>
                    <w:t>符合</w:t>
                  </w:r>
                </w:p>
              </w:tc>
            </w:tr>
            <w:tr w14:paraId="480FE8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noWrap w:val="0"/>
                  <w:vAlign w:val="center"/>
                </w:tcPr>
                <w:p w14:paraId="534955F5">
                  <w:pPr>
                    <w:spacing w:line="240" w:lineRule="auto"/>
                    <w:ind w:firstLine="0" w:firstLineChars="0"/>
                    <w:jc w:val="center"/>
                    <w:rPr>
                      <w:color w:val="auto"/>
                      <w:sz w:val="21"/>
                      <w:szCs w:val="21"/>
                    </w:rPr>
                  </w:pPr>
                  <w:r>
                    <w:rPr>
                      <w:color w:val="auto"/>
                      <w:sz w:val="21"/>
                      <w:szCs w:val="21"/>
                    </w:rPr>
                    <w:t>《太湖流域管理条例》（国务院令第604号）</w:t>
                  </w:r>
                </w:p>
              </w:tc>
              <w:tc>
                <w:tcPr>
                  <w:tcW w:w="2355" w:type="pct"/>
                  <w:noWrap w:val="0"/>
                  <w:vAlign w:val="center"/>
                </w:tcPr>
                <w:p w14:paraId="7F700565">
                  <w:pPr>
                    <w:spacing w:line="240" w:lineRule="auto"/>
                    <w:ind w:firstLine="0" w:firstLineChars="0"/>
                    <w:jc w:val="left"/>
                    <w:rPr>
                      <w:color w:val="auto"/>
                      <w:sz w:val="21"/>
                      <w:szCs w:val="21"/>
                    </w:rPr>
                  </w:pPr>
                  <w:r>
                    <w:rPr>
                      <w:color w:val="auto"/>
                      <w:sz w:val="21"/>
                      <w:szCs w:val="21"/>
                    </w:rPr>
                    <w:t>第二十八条 排污单位排放水污染物，不得超过经核定的水污染物排放总量，并应当按照规定设置便于检查、采样的规范化排污口，悬挂标志牌；不得私设暗管或者采取其他规避监管的方式排放水污染物。禁止在太湖流域设置不符合国家产业政策和水环境综合治理要求的造纸、制革、酒精、淀粉、冶金、酿造、印染、电镀等排放水污染物的生产项目，现有的生产项目不能实现达标排放的，应当依法关闭。</w:t>
                  </w:r>
                </w:p>
              </w:tc>
              <w:tc>
                <w:tcPr>
                  <w:tcW w:w="1589" w:type="pct"/>
                  <w:vMerge w:val="restart"/>
                  <w:noWrap w:val="0"/>
                  <w:vAlign w:val="center"/>
                </w:tcPr>
                <w:p w14:paraId="6BB612A2">
                  <w:pPr>
                    <w:spacing w:line="240" w:lineRule="auto"/>
                    <w:ind w:firstLine="0" w:firstLineChars="0"/>
                    <w:jc w:val="left"/>
                    <w:rPr>
                      <w:color w:val="auto"/>
                      <w:sz w:val="21"/>
                      <w:szCs w:val="21"/>
                    </w:rPr>
                  </w:pPr>
                  <w:r>
                    <w:rPr>
                      <w:rFonts w:hint="eastAsia" w:cs="Times New Roman"/>
                      <w:color w:val="auto"/>
                      <w:sz w:val="21"/>
                      <w:szCs w:val="21"/>
                      <w:lang w:eastAsia="zh-CN"/>
                    </w:rPr>
                    <w:t>本项目从事吻合器零配件、电器零配件的生产，属于[C2929]塑料零件及其他塑料制品制造、[C3584]医疗、外科及兽医用器械制造</w:t>
                  </w:r>
                  <w:r>
                    <w:rPr>
                      <w:color w:val="auto"/>
                      <w:sz w:val="21"/>
                      <w:szCs w:val="21"/>
                    </w:rPr>
                    <w:t>，不属于造纸、制革、酒精、淀粉、冶金、酿造、印染、电镀等行业；本项目</w:t>
                  </w:r>
                  <w:r>
                    <w:rPr>
                      <w:rFonts w:hint="eastAsia"/>
                      <w:color w:val="auto"/>
                      <w:sz w:val="21"/>
                      <w:szCs w:val="21"/>
                    </w:rPr>
                    <w:t>无氮磷废水</w:t>
                  </w:r>
                  <w:r>
                    <w:rPr>
                      <w:rFonts w:hint="eastAsia"/>
                      <w:color w:val="auto"/>
                      <w:sz w:val="21"/>
                      <w:szCs w:val="21"/>
                      <w:lang w:val="en-US" w:eastAsia="zh-CN"/>
                    </w:rPr>
                    <w:t>排放，</w:t>
                  </w:r>
                  <w:r>
                    <w:rPr>
                      <w:rFonts w:hint="eastAsia" w:cs="Times New Roman"/>
                      <w:color w:val="auto"/>
                      <w:sz w:val="21"/>
                      <w:szCs w:val="21"/>
                      <w:highlight w:val="none"/>
                      <w:lang w:val="en-US" w:eastAsia="zh-CN"/>
                    </w:rPr>
                    <w:t>无生产废水</w:t>
                  </w:r>
                  <w:r>
                    <w:rPr>
                      <w:rFonts w:hint="eastAsia"/>
                      <w:color w:val="auto"/>
                      <w:sz w:val="21"/>
                      <w:szCs w:val="21"/>
                    </w:rPr>
                    <w:t>，生活污水</w:t>
                  </w:r>
                  <w:r>
                    <w:rPr>
                      <w:color w:val="auto"/>
                      <w:sz w:val="21"/>
                      <w:szCs w:val="21"/>
                    </w:rPr>
                    <w:t>达标接管至</w:t>
                  </w:r>
                  <w:r>
                    <w:rPr>
                      <w:rFonts w:hint="eastAsia"/>
                      <w:color w:val="auto"/>
                      <w:sz w:val="21"/>
                      <w:szCs w:val="21"/>
                      <w:lang w:eastAsia="zh-CN"/>
                    </w:rPr>
                    <w:t>金坛第二污水处理厂</w:t>
                  </w:r>
                  <w:r>
                    <w:rPr>
                      <w:color w:val="auto"/>
                      <w:sz w:val="21"/>
                      <w:szCs w:val="21"/>
                    </w:rPr>
                    <w:t>集中处理。本项目不属于太湖流域保护区的禁止行为，不在文件中规定的禁止建设项目之列。</w:t>
                  </w:r>
                </w:p>
              </w:tc>
              <w:tc>
                <w:tcPr>
                  <w:tcW w:w="365" w:type="pct"/>
                  <w:vMerge w:val="restart"/>
                  <w:noWrap w:val="0"/>
                  <w:vAlign w:val="center"/>
                </w:tcPr>
                <w:p w14:paraId="61295297">
                  <w:pPr>
                    <w:spacing w:line="240" w:lineRule="auto"/>
                    <w:ind w:firstLine="0" w:firstLineChars="0"/>
                    <w:jc w:val="center"/>
                    <w:rPr>
                      <w:color w:val="auto"/>
                      <w:sz w:val="21"/>
                      <w:szCs w:val="21"/>
                    </w:rPr>
                  </w:pPr>
                  <w:r>
                    <w:rPr>
                      <w:color w:val="auto"/>
                      <w:sz w:val="21"/>
                      <w:szCs w:val="21"/>
                    </w:rPr>
                    <w:t>相符</w:t>
                  </w:r>
                </w:p>
              </w:tc>
            </w:tr>
            <w:tr w14:paraId="2A4A58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noWrap w:val="0"/>
                  <w:vAlign w:val="center"/>
                </w:tcPr>
                <w:p w14:paraId="5B674548">
                  <w:pPr>
                    <w:spacing w:line="240" w:lineRule="auto"/>
                    <w:ind w:firstLine="0" w:firstLineChars="0"/>
                    <w:jc w:val="center"/>
                    <w:rPr>
                      <w:color w:val="auto"/>
                      <w:sz w:val="21"/>
                      <w:szCs w:val="21"/>
                    </w:rPr>
                  </w:pPr>
                  <w:r>
                    <w:rPr>
                      <w:color w:val="auto"/>
                      <w:sz w:val="21"/>
                      <w:szCs w:val="21"/>
                    </w:rPr>
                    <w:t>《江苏省太湖水污染防治条例》</w:t>
                  </w:r>
                  <w:r>
                    <w:rPr>
                      <w:rFonts w:hint="eastAsia"/>
                      <w:color w:val="auto"/>
                      <w:sz w:val="21"/>
                      <w:szCs w:val="21"/>
                      <w:lang w:eastAsia="zh-CN"/>
                    </w:rPr>
                    <w:t>（</w:t>
                  </w:r>
                  <w:r>
                    <w:rPr>
                      <w:color w:val="auto"/>
                      <w:sz w:val="21"/>
                      <w:szCs w:val="21"/>
                    </w:rPr>
                    <w:t>2021年版）</w:t>
                  </w:r>
                </w:p>
              </w:tc>
              <w:tc>
                <w:tcPr>
                  <w:tcW w:w="2355" w:type="pct"/>
                  <w:noWrap w:val="0"/>
                  <w:vAlign w:val="center"/>
                </w:tcPr>
                <w:p w14:paraId="075E7878">
                  <w:pPr>
                    <w:spacing w:line="240" w:lineRule="auto"/>
                    <w:ind w:firstLine="0" w:firstLineChars="0"/>
                    <w:jc w:val="left"/>
                    <w:rPr>
                      <w:color w:val="auto"/>
                      <w:sz w:val="21"/>
                      <w:szCs w:val="21"/>
                    </w:rPr>
                  </w:pPr>
                  <w:r>
                    <w:rPr>
                      <w:color w:val="auto"/>
                      <w:sz w:val="21"/>
                      <w:szCs w:val="21"/>
                    </w:rPr>
                    <w:t>第四十三条，太湖流域一、二、三级保护区禁止以下行为：</w:t>
                  </w:r>
                </w:p>
                <w:p w14:paraId="7036A64F">
                  <w:pPr>
                    <w:spacing w:line="240" w:lineRule="auto"/>
                    <w:ind w:firstLine="0" w:firstLineChars="0"/>
                    <w:jc w:val="left"/>
                    <w:rPr>
                      <w:color w:val="auto"/>
                      <w:sz w:val="21"/>
                      <w:szCs w:val="21"/>
                    </w:rPr>
                  </w:pPr>
                  <w:r>
                    <w:rPr>
                      <w:color w:val="auto"/>
                      <w:sz w:val="21"/>
                      <w:szCs w:val="21"/>
                    </w:rPr>
                    <w:t>（一）新建、改建、扩建化学制浆造纸、制革、酿造、染料、印染、电镀以及其他排放含磷、氮等污染物的企业和项目，城镇污水集中处理等环境基础设施项目和第四十六条规定的情形除外；</w:t>
                  </w:r>
                </w:p>
                <w:p w14:paraId="7CE53BBA">
                  <w:pPr>
                    <w:spacing w:line="240" w:lineRule="auto"/>
                    <w:ind w:firstLine="0" w:firstLineChars="0"/>
                    <w:jc w:val="left"/>
                    <w:rPr>
                      <w:color w:val="auto"/>
                      <w:sz w:val="21"/>
                      <w:szCs w:val="21"/>
                    </w:rPr>
                  </w:pPr>
                  <w:r>
                    <w:rPr>
                      <w:color w:val="auto"/>
                      <w:sz w:val="21"/>
                      <w:szCs w:val="21"/>
                    </w:rPr>
                    <w:t>（二）销售、使用含磷洗涤用品；</w:t>
                  </w:r>
                </w:p>
                <w:p w14:paraId="01626393">
                  <w:pPr>
                    <w:spacing w:line="240" w:lineRule="auto"/>
                    <w:ind w:firstLine="0" w:firstLineChars="0"/>
                    <w:jc w:val="left"/>
                    <w:rPr>
                      <w:color w:val="auto"/>
                      <w:sz w:val="21"/>
                      <w:szCs w:val="21"/>
                    </w:rPr>
                  </w:pPr>
                  <w:r>
                    <w:rPr>
                      <w:color w:val="auto"/>
                      <w:sz w:val="21"/>
                      <w:szCs w:val="21"/>
                    </w:rPr>
                    <w:t>（三）向水体排放或者倾倒油类、酸液、碱液、剧毒废渣废液、含放射性废渣废液、含病原体污水、工业废渣以及其他废弃物；</w:t>
                  </w:r>
                </w:p>
                <w:p w14:paraId="5B375400">
                  <w:pPr>
                    <w:spacing w:line="240" w:lineRule="auto"/>
                    <w:ind w:firstLine="0" w:firstLineChars="0"/>
                    <w:jc w:val="left"/>
                    <w:rPr>
                      <w:color w:val="auto"/>
                      <w:sz w:val="21"/>
                      <w:szCs w:val="21"/>
                    </w:rPr>
                  </w:pPr>
                  <w:r>
                    <w:rPr>
                      <w:color w:val="auto"/>
                      <w:sz w:val="21"/>
                      <w:szCs w:val="21"/>
                    </w:rPr>
                    <w:t>（四）在水体清洗装贮过油类或者有毒有害污染物的车辆、船舶和容器等；</w:t>
                  </w:r>
                </w:p>
                <w:p w14:paraId="3A4B8D14">
                  <w:pPr>
                    <w:spacing w:line="240" w:lineRule="auto"/>
                    <w:ind w:firstLine="0" w:firstLineChars="0"/>
                    <w:jc w:val="left"/>
                    <w:rPr>
                      <w:color w:val="auto"/>
                      <w:sz w:val="21"/>
                      <w:szCs w:val="21"/>
                    </w:rPr>
                  </w:pPr>
                  <w:r>
                    <w:rPr>
                      <w:color w:val="auto"/>
                      <w:sz w:val="21"/>
                      <w:szCs w:val="21"/>
                    </w:rPr>
                    <w:t>（五）使用农药等有毒物毒杀水生生物；</w:t>
                  </w:r>
                </w:p>
                <w:p w14:paraId="5D368CFF">
                  <w:pPr>
                    <w:spacing w:line="240" w:lineRule="auto"/>
                    <w:ind w:firstLine="0" w:firstLineChars="0"/>
                    <w:jc w:val="left"/>
                    <w:rPr>
                      <w:color w:val="auto"/>
                      <w:sz w:val="21"/>
                      <w:szCs w:val="21"/>
                    </w:rPr>
                  </w:pPr>
                  <w:r>
                    <w:rPr>
                      <w:color w:val="auto"/>
                      <w:sz w:val="21"/>
                      <w:szCs w:val="21"/>
                    </w:rPr>
                    <w:t>（六）向水体直接排放人畜粪便、倾倒垃圾；</w:t>
                  </w:r>
                </w:p>
                <w:p w14:paraId="0EBD5F81">
                  <w:pPr>
                    <w:spacing w:line="240" w:lineRule="auto"/>
                    <w:ind w:firstLine="0" w:firstLineChars="0"/>
                    <w:jc w:val="left"/>
                    <w:rPr>
                      <w:color w:val="auto"/>
                      <w:sz w:val="21"/>
                      <w:szCs w:val="21"/>
                    </w:rPr>
                  </w:pPr>
                  <w:r>
                    <w:rPr>
                      <w:color w:val="auto"/>
                      <w:sz w:val="21"/>
                      <w:szCs w:val="21"/>
                    </w:rPr>
                    <w:t>（七）围湖造地；</w:t>
                  </w:r>
                </w:p>
                <w:p w14:paraId="56BC0909">
                  <w:pPr>
                    <w:spacing w:line="240" w:lineRule="auto"/>
                    <w:ind w:firstLine="0" w:firstLineChars="0"/>
                    <w:jc w:val="left"/>
                    <w:rPr>
                      <w:color w:val="auto"/>
                      <w:sz w:val="21"/>
                      <w:szCs w:val="21"/>
                    </w:rPr>
                  </w:pPr>
                  <w:r>
                    <w:rPr>
                      <w:color w:val="auto"/>
                      <w:sz w:val="21"/>
                      <w:szCs w:val="21"/>
                    </w:rPr>
                    <w:t>（八）违法开山采石，或者进行破坏林木、植被、水生生物的活动；</w:t>
                  </w:r>
                </w:p>
                <w:p w14:paraId="399C1D0D">
                  <w:pPr>
                    <w:spacing w:line="240" w:lineRule="auto"/>
                    <w:ind w:firstLine="0" w:firstLineChars="0"/>
                    <w:jc w:val="left"/>
                    <w:rPr>
                      <w:color w:val="auto"/>
                      <w:sz w:val="21"/>
                      <w:szCs w:val="21"/>
                    </w:rPr>
                  </w:pPr>
                  <w:r>
                    <w:rPr>
                      <w:color w:val="auto"/>
                      <w:sz w:val="21"/>
                      <w:szCs w:val="21"/>
                    </w:rPr>
                    <w:t>（九）法律、法规禁止的其他行为。</w:t>
                  </w:r>
                </w:p>
              </w:tc>
              <w:tc>
                <w:tcPr>
                  <w:tcW w:w="1589" w:type="pct"/>
                  <w:vMerge w:val="continue"/>
                  <w:noWrap w:val="0"/>
                  <w:vAlign w:val="center"/>
                </w:tcPr>
                <w:p w14:paraId="577E3363">
                  <w:pPr>
                    <w:ind w:firstLine="360"/>
                    <w:rPr>
                      <w:color w:val="auto"/>
                      <w:sz w:val="21"/>
                      <w:szCs w:val="21"/>
                    </w:rPr>
                  </w:pPr>
                </w:p>
              </w:tc>
              <w:tc>
                <w:tcPr>
                  <w:tcW w:w="365" w:type="pct"/>
                  <w:vMerge w:val="continue"/>
                  <w:noWrap w:val="0"/>
                  <w:vAlign w:val="center"/>
                </w:tcPr>
                <w:p w14:paraId="049008EB">
                  <w:pPr>
                    <w:ind w:firstLine="360"/>
                    <w:jc w:val="center"/>
                    <w:rPr>
                      <w:color w:val="auto"/>
                      <w:sz w:val="21"/>
                      <w:szCs w:val="21"/>
                    </w:rPr>
                  </w:pPr>
                </w:p>
              </w:tc>
            </w:tr>
          </w:tbl>
          <w:p w14:paraId="79F8BA9C">
            <w:pPr>
              <w:numPr>
                <w:ilvl w:val="0"/>
                <w:numId w:val="0"/>
              </w:numPr>
              <w:ind w:firstLine="480"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w:t>
            </w:r>
            <w:r>
              <w:rPr>
                <w:rFonts w:hint="eastAsia" w:cs="Times New Roman"/>
                <w:b/>
                <w:bCs/>
                <w:color w:val="auto"/>
                <w:sz w:val="24"/>
                <w:szCs w:val="24"/>
                <w:lang w:val="en-US" w:eastAsia="zh-CN"/>
              </w:rPr>
              <w:t>3</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与《油墨中可挥发性有机化合物(VOCs)含量的限值》(GB38507-2020)相符性分析</w:t>
            </w:r>
          </w:p>
          <w:p w14:paraId="64811474">
            <w:pPr>
              <w:numPr>
                <w:ilvl w:val="0"/>
                <w:numId w:val="0"/>
              </w:numPr>
              <w:ind w:firstLine="480" w:firstLineChars="200"/>
              <w:rPr>
                <w:rFonts w:hint="eastAsia" w:cs="Times New Roman"/>
                <w:b w:val="0"/>
                <w:bCs/>
                <w:color w:val="auto"/>
                <w:sz w:val="24"/>
                <w:highlight w:val="none"/>
                <w:shd w:val="clear" w:color="auto" w:fill="auto"/>
                <w:lang w:val="en-US" w:eastAsia="zh-CN"/>
              </w:rPr>
            </w:pPr>
            <w:r>
              <w:rPr>
                <w:rFonts w:hint="default" w:ascii="Times New Roman" w:hAnsi="Times New Roman" w:eastAsia="宋体" w:cs="Times New Roman"/>
                <w:b w:val="0"/>
                <w:bCs/>
                <w:color w:val="auto"/>
                <w:sz w:val="24"/>
                <w:highlight w:val="none"/>
                <w:shd w:val="clear" w:color="auto" w:fill="auto"/>
                <w:lang w:val="en-US" w:eastAsia="zh-CN"/>
              </w:rPr>
              <w:t>根据企业提供的</w:t>
            </w:r>
            <w:r>
              <w:rPr>
                <w:rFonts w:hint="eastAsia" w:ascii="Times New Roman" w:hAnsi="Times New Roman" w:eastAsia="宋体" w:cs="Times New Roman"/>
                <w:b w:val="0"/>
                <w:bCs/>
                <w:color w:val="auto"/>
                <w:sz w:val="24"/>
                <w:highlight w:val="none"/>
                <w:shd w:val="clear" w:color="auto" w:fill="auto"/>
                <w:lang w:val="en-US" w:eastAsia="zh-CN"/>
              </w:rPr>
              <w:t>UV油墨</w:t>
            </w:r>
            <w:r>
              <w:rPr>
                <w:rFonts w:hint="default" w:ascii="Times New Roman" w:hAnsi="Times New Roman" w:eastAsia="宋体" w:cs="Times New Roman"/>
                <w:b w:val="0"/>
                <w:bCs/>
                <w:color w:val="auto"/>
                <w:sz w:val="24"/>
                <w:highlight w:val="none"/>
                <w:shd w:val="clear" w:color="auto" w:fill="auto"/>
                <w:lang w:val="en-US" w:eastAsia="zh-CN"/>
              </w:rPr>
              <w:t>VOCs</w:t>
            </w:r>
            <w:r>
              <w:rPr>
                <w:rFonts w:hint="eastAsia" w:ascii="Times New Roman" w:hAnsi="Times New Roman" w:eastAsia="宋体" w:cs="Times New Roman"/>
                <w:b w:val="0"/>
                <w:bCs/>
                <w:color w:val="auto"/>
                <w:sz w:val="24"/>
                <w:highlight w:val="none"/>
                <w:shd w:val="clear" w:color="auto" w:fill="auto"/>
                <w:lang w:val="en-US" w:eastAsia="zh-CN"/>
              </w:rPr>
              <w:t>检测</w:t>
            </w:r>
            <w:r>
              <w:rPr>
                <w:rFonts w:hint="default" w:ascii="Times New Roman" w:hAnsi="Times New Roman" w:eastAsia="宋体" w:cs="Times New Roman"/>
                <w:b w:val="0"/>
                <w:bCs/>
                <w:color w:val="auto"/>
                <w:sz w:val="24"/>
                <w:highlight w:val="none"/>
                <w:shd w:val="clear" w:color="auto" w:fill="auto"/>
                <w:lang w:val="en-US" w:eastAsia="zh-CN"/>
              </w:rPr>
              <w:t>含量为</w:t>
            </w:r>
            <w:r>
              <w:rPr>
                <w:rFonts w:hint="eastAsia" w:ascii="Times New Roman" w:hAnsi="Times New Roman" w:eastAsia="宋体" w:cs="Times New Roman"/>
                <w:b w:val="0"/>
                <w:bCs/>
                <w:color w:val="auto"/>
                <w:sz w:val="24"/>
                <w:highlight w:val="none"/>
                <w:shd w:val="clear" w:color="auto" w:fill="auto"/>
                <w:lang w:val="en-US" w:eastAsia="zh-CN"/>
              </w:rPr>
              <w:t>2.8%</w:t>
            </w:r>
            <w:r>
              <w:rPr>
                <w:rFonts w:hint="default" w:ascii="Times New Roman" w:hAnsi="Times New Roman" w:eastAsia="宋体" w:cs="Times New Roman"/>
                <w:b w:val="0"/>
                <w:bCs/>
                <w:color w:val="auto"/>
                <w:sz w:val="24"/>
                <w:highlight w:val="none"/>
                <w:shd w:val="clear" w:color="auto" w:fill="auto"/>
                <w:lang w:val="en-US" w:eastAsia="zh-CN"/>
              </w:rPr>
              <w:t>，满足《油墨中可挥发性有机化合物(VO</w:t>
            </w:r>
            <w:r>
              <w:rPr>
                <w:rFonts w:hint="eastAsia" w:ascii="Times New Roman" w:hAnsi="Times New Roman" w:eastAsia="宋体" w:cs="Times New Roman"/>
                <w:b w:val="0"/>
                <w:bCs/>
                <w:color w:val="auto"/>
                <w:sz w:val="24"/>
                <w:highlight w:val="none"/>
                <w:shd w:val="clear" w:color="auto" w:fill="auto"/>
                <w:lang w:val="en-US" w:eastAsia="zh-CN"/>
              </w:rPr>
              <w:t>Cs</w:t>
            </w:r>
            <w:r>
              <w:rPr>
                <w:rFonts w:hint="default" w:ascii="Times New Roman" w:hAnsi="Times New Roman" w:eastAsia="宋体" w:cs="Times New Roman"/>
                <w:b w:val="0"/>
                <w:bCs/>
                <w:color w:val="auto"/>
                <w:sz w:val="24"/>
                <w:highlight w:val="none"/>
                <w:shd w:val="clear" w:color="auto" w:fill="auto"/>
                <w:lang w:val="en-US" w:eastAsia="zh-CN"/>
              </w:rPr>
              <w:t>)含量的限值》(GB38507-2020)中</w:t>
            </w:r>
            <w:r>
              <w:rPr>
                <w:rFonts w:hint="eastAsia" w:ascii="Times New Roman" w:hAnsi="Times New Roman" w:eastAsia="宋体" w:cs="Times New Roman"/>
                <w:b w:val="0"/>
                <w:bCs/>
                <w:color w:val="auto"/>
                <w:sz w:val="24"/>
                <w:highlight w:val="none"/>
                <w:shd w:val="clear" w:color="auto" w:fill="auto"/>
                <w:lang w:val="en-US" w:eastAsia="zh-CN"/>
              </w:rPr>
              <w:t>能量固化油墨</w:t>
            </w:r>
            <w:r>
              <w:rPr>
                <w:rFonts w:hint="default" w:ascii="Times New Roman" w:hAnsi="Times New Roman" w:eastAsia="宋体" w:cs="Times New Roman"/>
                <w:b w:val="0"/>
                <w:bCs/>
                <w:color w:val="auto"/>
                <w:sz w:val="24"/>
                <w:highlight w:val="none"/>
                <w:shd w:val="clear" w:color="auto" w:fill="auto"/>
                <w:lang w:val="en-US" w:eastAsia="zh-CN"/>
              </w:rPr>
              <w:t>-</w:t>
            </w:r>
            <w:r>
              <w:rPr>
                <w:rFonts w:hint="eastAsia" w:ascii="Times New Roman" w:hAnsi="Times New Roman" w:eastAsia="宋体" w:cs="Times New Roman"/>
                <w:b w:val="0"/>
                <w:bCs/>
                <w:color w:val="auto"/>
                <w:sz w:val="24"/>
                <w:highlight w:val="none"/>
                <w:shd w:val="clear" w:color="auto" w:fill="auto"/>
                <w:lang w:val="en-US" w:eastAsia="zh-CN"/>
              </w:rPr>
              <w:t>喷墨印刷油墨限值</w:t>
            </w:r>
            <w:r>
              <w:rPr>
                <w:rFonts w:hint="default" w:ascii="Times New Roman" w:hAnsi="Times New Roman" w:eastAsia="宋体" w:cs="Times New Roman"/>
                <w:b w:val="0"/>
                <w:bCs/>
                <w:color w:val="auto"/>
                <w:sz w:val="24"/>
                <w:highlight w:val="none"/>
                <w:shd w:val="clear" w:color="auto" w:fill="auto"/>
                <w:lang w:val="en-US" w:eastAsia="zh-CN"/>
              </w:rPr>
              <w:t>要求（≤</w:t>
            </w:r>
            <w:r>
              <w:rPr>
                <w:rFonts w:hint="eastAsia" w:ascii="Times New Roman" w:hAnsi="Times New Roman" w:eastAsia="宋体" w:cs="Times New Roman"/>
                <w:b w:val="0"/>
                <w:bCs/>
                <w:color w:val="auto"/>
                <w:sz w:val="24"/>
                <w:highlight w:val="none"/>
                <w:shd w:val="clear" w:color="auto" w:fill="auto"/>
                <w:lang w:val="en-US" w:eastAsia="zh-CN"/>
              </w:rPr>
              <w:t>1</w:t>
            </w:r>
            <w:r>
              <w:rPr>
                <w:rFonts w:hint="default" w:ascii="Times New Roman" w:hAnsi="Times New Roman" w:eastAsia="宋体" w:cs="Times New Roman"/>
                <w:b w:val="0"/>
                <w:bCs/>
                <w:color w:val="auto"/>
                <w:sz w:val="24"/>
                <w:highlight w:val="none"/>
                <w:shd w:val="clear" w:color="auto" w:fill="auto"/>
                <w:lang w:val="en-US" w:eastAsia="zh-CN"/>
              </w:rPr>
              <w:t>0</w:t>
            </w:r>
            <w:r>
              <w:rPr>
                <w:rFonts w:hint="eastAsia" w:ascii="Times New Roman" w:hAnsi="Times New Roman" w:eastAsia="宋体" w:cs="Times New Roman"/>
                <w:b w:val="0"/>
                <w:bCs/>
                <w:color w:val="auto"/>
                <w:sz w:val="24"/>
                <w:highlight w:val="none"/>
                <w:shd w:val="clear" w:color="auto" w:fill="auto"/>
                <w:lang w:val="en-US" w:eastAsia="zh-CN"/>
              </w:rPr>
              <w:t>%</w:t>
            </w:r>
            <w:r>
              <w:rPr>
                <w:rFonts w:hint="default" w:ascii="Times New Roman" w:hAnsi="Times New Roman" w:eastAsia="宋体" w:cs="Times New Roman"/>
                <w:b w:val="0"/>
                <w:bCs/>
                <w:color w:val="auto"/>
                <w:sz w:val="24"/>
                <w:highlight w:val="none"/>
                <w:shd w:val="clear" w:color="auto" w:fill="auto"/>
                <w:lang w:val="en-US" w:eastAsia="zh-CN"/>
              </w:rPr>
              <w:t>）。本项目打印废气由集气罩收集，经过一套二级活性炭吸附装置处理后，通过一根20m高的排气筒DA001排放</w:t>
            </w:r>
            <w:r>
              <w:rPr>
                <w:rFonts w:hint="eastAsia" w:cs="Times New Roman"/>
                <w:b w:val="0"/>
                <w:bCs/>
                <w:color w:val="auto"/>
                <w:sz w:val="24"/>
                <w:highlight w:val="none"/>
                <w:shd w:val="clear" w:color="auto" w:fill="auto"/>
                <w:lang w:val="en-US" w:eastAsia="zh-CN"/>
              </w:rPr>
              <w:t>。</w:t>
            </w:r>
          </w:p>
          <w:p w14:paraId="6625DB65">
            <w:pPr>
              <w:numPr>
                <w:ilvl w:val="0"/>
                <w:numId w:val="0"/>
              </w:numPr>
              <w:ind w:firstLine="480"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w:t>
            </w:r>
            <w:r>
              <w:rPr>
                <w:rFonts w:hint="eastAsia" w:cs="Times New Roman"/>
                <w:b/>
                <w:bCs/>
                <w:color w:val="auto"/>
                <w:sz w:val="24"/>
                <w:szCs w:val="24"/>
                <w:lang w:val="en-US" w:eastAsia="zh-CN"/>
              </w:rPr>
              <w:t>3</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与</w:t>
            </w:r>
            <w:r>
              <w:rPr>
                <w:rFonts w:hint="eastAsia"/>
                <w:b/>
                <w:bCs/>
                <w:color w:val="auto"/>
                <w:sz w:val="24"/>
                <w:szCs w:val="24"/>
                <w:lang w:eastAsia="zh-CN"/>
              </w:rPr>
              <w:t>《</w:t>
            </w:r>
            <w:r>
              <w:rPr>
                <w:rFonts w:hint="default"/>
                <w:b/>
                <w:bCs/>
                <w:color w:val="auto"/>
                <w:sz w:val="24"/>
                <w:szCs w:val="24"/>
              </w:rPr>
              <w:t>清洗剂挥发性有机化合物含量限值</w:t>
            </w:r>
            <w:r>
              <w:rPr>
                <w:rFonts w:hint="eastAsia"/>
                <w:b/>
                <w:bCs/>
                <w:color w:val="auto"/>
                <w:sz w:val="24"/>
                <w:szCs w:val="24"/>
                <w:lang w:eastAsia="zh-CN"/>
              </w:rPr>
              <w:t>》（</w:t>
            </w:r>
            <w:r>
              <w:rPr>
                <w:rFonts w:hint="default"/>
                <w:b/>
                <w:bCs/>
                <w:color w:val="auto"/>
                <w:sz w:val="24"/>
                <w:szCs w:val="24"/>
              </w:rPr>
              <w:t>GB 38508-2020</w:t>
            </w:r>
            <w:r>
              <w:rPr>
                <w:rFonts w:hint="eastAsia"/>
                <w:b/>
                <w:bCs/>
                <w:color w:val="auto"/>
                <w:sz w:val="24"/>
                <w:szCs w:val="24"/>
                <w:lang w:eastAsia="zh-CN"/>
              </w:rPr>
              <w:t>）</w:t>
            </w:r>
            <w:r>
              <w:rPr>
                <w:rFonts w:hint="default" w:ascii="Times New Roman" w:hAnsi="Times New Roman" w:eastAsia="宋体" w:cs="Times New Roman"/>
                <w:b/>
                <w:bCs/>
                <w:color w:val="auto"/>
                <w:sz w:val="24"/>
                <w:szCs w:val="24"/>
                <w:lang w:val="en-US" w:eastAsia="zh-CN"/>
              </w:rPr>
              <w:t>相符性分析</w:t>
            </w:r>
          </w:p>
          <w:p w14:paraId="2D381945">
            <w:pPr>
              <w:numPr>
                <w:ilvl w:val="0"/>
                <w:numId w:val="0"/>
              </w:numPr>
              <w:ind w:firstLine="480" w:firstLineChars="200"/>
              <w:rPr>
                <w:rFonts w:hint="eastAsia"/>
                <w:color w:val="auto"/>
                <w:lang w:eastAsia="zh-CN"/>
              </w:rPr>
            </w:pPr>
            <w:r>
              <w:rPr>
                <w:rFonts w:hint="eastAsia" w:cs="Times New Roman"/>
                <w:b w:val="0"/>
                <w:bCs/>
                <w:color w:val="auto"/>
                <w:sz w:val="24"/>
                <w:highlight w:val="none"/>
                <w:shd w:val="clear" w:color="auto" w:fill="auto"/>
                <w:lang w:val="en-US" w:eastAsia="zh-CN"/>
              </w:rPr>
              <w:t>企业所用脱脂粉</w:t>
            </w:r>
            <w:r>
              <w:rPr>
                <w:rFonts w:hint="eastAsia"/>
                <w:bCs/>
                <w:color w:val="auto"/>
                <w:sz w:val="24"/>
                <w:highlight w:val="none"/>
                <w:shd w:val="clear" w:color="auto" w:fill="auto"/>
              </w:rPr>
              <w:t>其物理形态为固体粉末</w:t>
            </w:r>
            <w:r>
              <w:rPr>
                <w:rFonts w:hint="eastAsia"/>
                <w:bCs/>
                <w:color w:val="auto"/>
                <w:sz w:val="24"/>
                <w:highlight w:val="none"/>
                <w:shd w:val="clear" w:color="auto" w:fill="auto"/>
                <w:lang w:eastAsia="zh-CN"/>
              </w:rPr>
              <w:t>，</w:t>
            </w:r>
            <w:r>
              <w:rPr>
                <w:rFonts w:hint="eastAsia"/>
                <w:bCs/>
                <w:color w:val="auto"/>
                <w:sz w:val="24"/>
                <w:highlight w:val="none"/>
                <w:shd w:val="clear" w:color="auto" w:fill="auto"/>
              </w:rPr>
              <w:t>成分均为不挥发物质</w:t>
            </w:r>
            <w:r>
              <w:rPr>
                <w:rFonts w:hint="eastAsia"/>
                <w:bCs/>
                <w:color w:val="auto"/>
                <w:sz w:val="24"/>
                <w:highlight w:val="none"/>
                <w:shd w:val="clear" w:color="auto" w:fill="auto"/>
                <w:lang w:eastAsia="zh-CN"/>
              </w:rPr>
              <w:t>，</w:t>
            </w:r>
            <w:r>
              <w:rPr>
                <w:rFonts w:hint="eastAsia"/>
                <w:bCs/>
                <w:color w:val="auto"/>
                <w:sz w:val="24"/>
                <w:highlight w:val="none"/>
                <w:shd w:val="clear" w:color="auto" w:fill="auto"/>
              </w:rPr>
              <w:t>在常温下不具备挥发性</w:t>
            </w:r>
            <w:r>
              <w:rPr>
                <w:rFonts w:hint="eastAsia" w:cs="Times New Roman"/>
                <w:b w:val="0"/>
                <w:bCs/>
                <w:color w:val="auto"/>
                <w:sz w:val="24"/>
                <w:highlight w:val="none"/>
                <w:shd w:val="clear" w:color="auto" w:fill="auto"/>
                <w:lang w:val="en-US" w:eastAsia="zh-CN"/>
              </w:rPr>
              <w:t>。根据</w:t>
            </w:r>
            <w:r>
              <w:rPr>
                <w:rFonts w:hint="default"/>
                <w:bCs/>
                <w:color w:val="auto"/>
                <w:sz w:val="24"/>
                <w:highlight w:val="none"/>
                <w:shd w:val="clear" w:color="auto" w:fill="auto"/>
              </w:rPr>
              <w:t>《清洗剂挥发性有机化合物含量限值》（GB 38508-2020）</w:t>
            </w:r>
            <w:r>
              <w:rPr>
                <w:rFonts w:hint="eastAsia"/>
                <w:bCs/>
                <w:color w:val="auto"/>
                <w:sz w:val="24"/>
                <w:highlight w:val="none"/>
                <w:shd w:val="clear" w:color="auto" w:fill="auto"/>
                <w:lang w:val="en-US" w:eastAsia="zh-CN"/>
              </w:rPr>
              <w:t>判定标准，本项目使用的脱脂粉不属于含VOC的清洗剂</w:t>
            </w:r>
            <w:r>
              <w:rPr>
                <w:rFonts w:hint="default" w:ascii="Times New Roman" w:hAnsi="Times New Roman" w:eastAsia="宋体" w:cs="Times New Roman"/>
                <w:b w:val="0"/>
                <w:bCs/>
                <w:color w:val="auto"/>
                <w:sz w:val="24"/>
                <w:highlight w:val="none"/>
                <w:shd w:val="clear" w:color="auto" w:fill="auto"/>
                <w:lang w:val="en-US" w:eastAsia="zh-CN"/>
              </w:rPr>
              <w:t>。</w:t>
            </w:r>
          </w:p>
        </w:tc>
      </w:tr>
    </w:tbl>
    <w:p w14:paraId="780EEE08">
      <w:pPr>
        <w:pStyle w:val="2"/>
        <w:ind w:left="0" w:leftChars="0" w:firstLine="0" w:firstLineChars="0"/>
        <w:rPr>
          <w:color w:val="auto"/>
        </w:rPr>
        <w:sectPr>
          <w:pgSz w:w="11907" w:h="16840"/>
          <w:pgMar w:top="1588" w:right="1418" w:bottom="1588" w:left="1418" w:header="964" w:footer="964" w:gutter="0"/>
          <w:pgBorders w:offsetFrom="page">
            <w:top w:val="none" w:sz="0" w:space="0"/>
            <w:left w:val="none" w:sz="0" w:space="0"/>
            <w:bottom w:val="none" w:sz="0" w:space="0"/>
            <w:right w:val="none" w:sz="0" w:space="0"/>
          </w:pgBorders>
          <w:cols w:space="720" w:num="1"/>
          <w:docGrid w:type="linesAndChars" w:linePitch="312" w:charSpace="0"/>
        </w:sectPr>
      </w:pPr>
    </w:p>
    <w:p w14:paraId="3E9ECEC2">
      <w:pPr>
        <w:pStyle w:val="4"/>
        <w:spacing w:before="0" w:after="0"/>
        <w:rPr>
          <w:rFonts w:eastAsia="宋体"/>
          <w:color w:val="auto"/>
        </w:rPr>
      </w:pPr>
      <w:r>
        <w:rPr>
          <w:rFonts w:eastAsia="宋体"/>
          <w:color w:val="auto"/>
        </w:rPr>
        <w:t>二、建设项目工程分析</w:t>
      </w:r>
    </w:p>
    <w:tbl>
      <w:tblPr>
        <w:tblStyle w:val="17"/>
        <w:tblW w:w="99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8"/>
        <w:gridCol w:w="9464"/>
      </w:tblGrid>
      <w:tr w14:paraId="022423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58" w:type="dxa"/>
            <w:noWrap w:val="0"/>
            <w:vAlign w:val="center"/>
          </w:tcPr>
          <w:p w14:paraId="20F2FE25">
            <w:pPr>
              <w:spacing w:line="240" w:lineRule="auto"/>
              <w:ind w:firstLine="0" w:firstLineChars="0"/>
              <w:jc w:val="center"/>
              <w:rPr>
                <w:color w:val="auto"/>
                <w:sz w:val="24"/>
                <w:szCs w:val="24"/>
              </w:rPr>
            </w:pPr>
            <w:r>
              <w:rPr>
                <w:b/>
                <w:bCs/>
                <w:color w:val="auto"/>
                <w:sz w:val="24"/>
                <w:szCs w:val="24"/>
              </w:rPr>
              <w:t>建设内容</w:t>
            </w:r>
          </w:p>
        </w:tc>
        <w:tc>
          <w:tcPr>
            <w:tcW w:w="9464" w:type="dxa"/>
            <w:noWrap w:val="0"/>
            <w:vAlign w:val="center"/>
          </w:tcPr>
          <w:p w14:paraId="1A528187">
            <w:pPr>
              <w:ind w:firstLine="0" w:firstLineChars="0"/>
              <w:rPr>
                <w:b/>
                <w:bCs/>
                <w:color w:val="auto"/>
                <w:sz w:val="24"/>
                <w:szCs w:val="24"/>
              </w:rPr>
            </w:pPr>
            <w:r>
              <w:rPr>
                <w:b/>
                <w:bCs/>
                <w:color w:val="auto"/>
                <w:sz w:val="24"/>
                <w:szCs w:val="24"/>
              </w:rPr>
              <w:t>1、项目由来</w:t>
            </w:r>
          </w:p>
          <w:p w14:paraId="25BCA2F3">
            <w:pPr>
              <w:ind w:firstLine="420"/>
              <w:rPr>
                <w:rFonts w:hint="eastAsia"/>
                <w:color w:val="auto"/>
                <w:sz w:val="24"/>
                <w:szCs w:val="24"/>
                <w:lang w:val="en-US" w:eastAsia="zh-CN"/>
              </w:rPr>
            </w:pPr>
            <w:r>
              <w:rPr>
                <w:rFonts w:hint="eastAsia"/>
                <w:color w:val="auto"/>
                <w:sz w:val="24"/>
                <w:szCs w:val="24"/>
                <w:lang w:val="en-US" w:eastAsia="zh-CN"/>
              </w:rPr>
              <w:t>江苏瑞诚医疗科技有限公司成立于2017年12月15日，注册地位于金坛区金坛经济开发区珠山路66号，法定代表人为施志文。经营范围包括医疗器械的研发；一类医疗器械、金属材料、装饰材料（除油漆）、塑料制品、玻璃制品、五金产品、电子产品、日用百货、劳保用品的销售；机械零部件加工及销售；医疗器械的维护、保养、安装、租赁及技术服务。（依法须经批准的项目，经相关部门批准后方可开展经营活动） 一般项目：进出口代理；机械设备销售；技术进出口；塑料制品制造；模具制造；模具销售；通用设备制造（不含特种设备制造）；货物进出口；合同能源管理（除依法须经批准的项目外，凭营业执照依法自主开展经营活动）</w:t>
            </w:r>
          </w:p>
          <w:p w14:paraId="5AE4418E">
            <w:pPr>
              <w:ind w:firstLine="420"/>
              <w:rPr>
                <w:rFonts w:hint="eastAsia"/>
                <w:color w:val="auto"/>
                <w:sz w:val="24"/>
                <w:szCs w:val="24"/>
              </w:rPr>
            </w:pPr>
            <w:r>
              <w:rPr>
                <w:rFonts w:hint="eastAsia"/>
                <w:color w:val="auto"/>
                <w:sz w:val="24"/>
                <w:szCs w:val="24"/>
              </w:rPr>
              <w:t>企业于202</w:t>
            </w:r>
            <w:r>
              <w:rPr>
                <w:rFonts w:hint="eastAsia"/>
                <w:color w:val="auto"/>
                <w:sz w:val="24"/>
                <w:szCs w:val="24"/>
                <w:lang w:val="en-US" w:eastAsia="zh-CN"/>
              </w:rPr>
              <w:t>4</w:t>
            </w:r>
            <w:r>
              <w:rPr>
                <w:rFonts w:hint="eastAsia"/>
                <w:color w:val="auto"/>
                <w:sz w:val="24"/>
                <w:szCs w:val="24"/>
              </w:rPr>
              <w:t>年</w:t>
            </w:r>
            <w:r>
              <w:rPr>
                <w:rFonts w:hint="eastAsia"/>
                <w:color w:val="auto"/>
                <w:sz w:val="24"/>
                <w:szCs w:val="24"/>
                <w:lang w:val="en-US" w:eastAsia="zh-CN"/>
              </w:rPr>
              <w:t>购置了位于</w:t>
            </w:r>
            <w:r>
              <w:rPr>
                <w:rFonts w:hint="eastAsia"/>
                <w:color w:val="auto"/>
                <w:sz w:val="24"/>
                <w:szCs w:val="24"/>
                <w:lang w:eastAsia="zh-CN"/>
              </w:rPr>
              <w:t>江苏省常州市金坛区金坛经济开发区珠山路66号</w:t>
            </w:r>
            <w:r>
              <w:rPr>
                <w:rFonts w:hint="eastAsia" w:ascii="Times New Roman" w:hAnsi="Times New Roman" w:eastAsia="宋体" w:cs="Times New Roman"/>
                <w:color w:val="auto"/>
                <w:kern w:val="2"/>
                <w:sz w:val="24"/>
                <w:szCs w:val="24"/>
                <w:lang w:val="en-US" w:eastAsia="zh-CN" w:bidi="ar-SA"/>
              </w:rPr>
              <w:t>的常州市昇海智能科技有限公司</w:t>
            </w:r>
            <w:r>
              <w:rPr>
                <w:rFonts w:hint="eastAsia"/>
                <w:color w:val="auto"/>
                <w:sz w:val="24"/>
                <w:szCs w:val="24"/>
                <w:lang w:val="en-US" w:eastAsia="zh-CN"/>
              </w:rPr>
              <w:t>现有厂房20#1单元</w:t>
            </w:r>
            <w:r>
              <w:rPr>
                <w:rFonts w:hint="eastAsia" w:ascii="Times New Roman" w:hAnsi="Times New Roman" w:eastAsia="宋体" w:cs="Times New Roman"/>
                <w:color w:val="auto"/>
                <w:kern w:val="2"/>
                <w:sz w:val="24"/>
                <w:szCs w:val="24"/>
                <w:lang w:val="en-US" w:eastAsia="zh-CN" w:bidi="ar-SA"/>
              </w:rPr>
              <w:t>。</w:t>
            </w:r>
            <w:r>
              <w:rPr>
                <w:rFonts w:hint="eastAsia"/>
                <w:color w:val="auto"/>
                <w:sz w:val="24"/>
                <w:szCs w:val="24"/>
                <w:lang w:val="en-US" w:eastAsia="zh-CN"/>
              </w:rPr>
              <w:t>占地面积为</w:t>
            </w:r>
            <w:r>
              <w:rPr>
                <w:rFonts w:hint="eastAsia"/>
                <w:color w:val="auto"/>
                <w:sz w:val="24"/>
                <w:szCs w:val="24"/>
                <w:highlight w:val="none"/>
                <w:lang w:val="en-US" w:eastAsia="zh-CN"/>
              </w:rPr>
              <w:t>1080m</w:t>
            </w:r>
            <w:r>
              <w:rPr>
                <w:rFonts w:hint="eastAsia"/>
                <w:color w:val="auto"/>
                <w:highlight w:val="none"/>
                <w:lang w:val="en-US" w:eastAsia="zh-CN"/>
              </w:rPr>
              <w:t>²</w:t>
            </w:r>
            <w:r>
              <w:rPr>
                <w:rFonts w:hint="eastAsia"/>
                <w:color w:val="auto"/>
                <w:sz w:val="24"/>
                <w:szCs w:val="24"/>
                <w:lang w:eastAsia="zh-CN"/>
              </w:rPr>
              <w:t>，</w:t>
            </w:r>
            <w:r>
              <w:rPr>
                <w:rFonts w:hint="eastAsia"/>
                <w:color w:val="auto"/>
                <w:sz w:val="24"/>
                <w:szCs w:val="24"/>
              </w:rPr>
              <w:t>购置</w:t>
            </w:r>
            <w:r>
              <w:rPr>
                <w:rFonts w:hint="eastAsia"/>
                <w:color w:val="auto"/>
                <w:sz w:val="24"/>
                <w:szCs w:val="24"/>
                <w:lang w:val="en-US" w:eastAsia="zh-CN"/>
              </w:rPr>
              <w:t>注塑机、超声波焊接机、UV打印机等设备</w:t>
            </w:r>
            <w:r>
              <w:rPr>
                <w:rFonts w:hint="eastAsia"/>
                <w:color w:val="auto"/>
                <w:sz w:val="24"/>
                <w:szCs w:val="24"/>
              </w:rPr>
              <w:t>，</w:t>
            </w:r>
            <w:r>
              <w:rPr>
                <w:rFonts w:hint="eastAsia"/>
                <w:color w:val="auto"/>
                <w:sz w:val="24"/>
                <w:szCs w:val="24"/>
                <w:lang w:val="en-US" w:eastAsia="zh-CN"/>
              </w:rPr>
              <w:t>形成</w:t>
            </w:r>
            <w:r>
              <w:rPr>
                <w:rFonts w:hint="eastAsia"/>
                <w:color w:val="auto"/>
                <w:sz w:val="24"/>
                <w:szCs w:val="24"/>
              </w:rPr>
              <w:t>年产</w:t>
            </w:r>
            <w:r>
              <w:rPr>
                <w:rFonts w:hint="eastAsia"/>
                <w:color w:val="auto"/>
                <w:sz w:val="24"/>
                <w:szCs w:val="24"/>
                <w:lang w:val="en-US" w:eastAsia="zh-CN"/>
              </w:rPr>
              <w:t>150万套吻合器零配件、50万套电器零配件的生产能力</w:t>
            </w:r>
            <w:r>
              <w:rPr>
                <w:rFonts w:hint="eastAsia"/>
                <w:color w:val="auto"/>
                <w:sz w:val="24"/>
                <w:szCs w:val="24"/>
              </w:rPr>
              <w:t>。</w:t>
            </w:r>
            <w:r>
              <w:rPr>
                <w:rFonts w:hint="eastAsia"/>
                <w:color w:val="auto"/>
                <w:sz w:val="24"/>
                <w:szCs w:val="24"/>
                <w:lang w:val="en-US" w:eastAsia="zh-CN"/>
              </w:rPr>
              <w:t>企业</w:t>
            </w:r>
            <w:r>
              <w:rPr>
                <w:rFonts w:hint="eastAsia"/>
                <w:color w:val="auto"/>
                <w:sz w:val="24"/>
                <w:szCs w:val="24"/>
              </w:rPr>
              <w:t>先行购置厂房，在获得全部必要许可前，严格遵守规定，</w:t>
            </w:r>
            <w:r>
              <w:rPr>
                <w:rFonts w:hint="eastAsia"/>
                <w:color w:val="auto"/>
                <w:sz w:val="24"/>
                <w:szCs w:val="24"/>
                <w:lang w:val="en-US" w:eastAsia="zh-CN"/>
              </w:rPr>
              <w:t>未</w:t>
            </w:r>
            <w:r>
              <w:rPr>
                <w:rFonts w:hint="eastAsia"/>
                <w:color w:val="auto"/>
                <w:sz w:val="24"/>
                <w:szCs w:val="24"/>
              </w:rPr>
              <w:t>进行正式生产</w:t>
            </w:r>
            <w:r>
              <w:rPr>
                <w:rFonts w:hint="eastAsia"/>
                <w:color w:val="auto"/>
                <w:sz w:val="24"/>
                <w:szCs w:val="24"/>
                <w:lang w:eastAsia="zh-CN"/>
              </w:rPr>
              <w:t>。</w:t>
            </w:r>
          </w:p>
          <w:p w14:paraId="6339D928">
            <w:pPr>
              <w:ind w:firstLine="420"/>
              <w:rPr>
                <w:rFonts w:hint="eastAsia"/>
                <w:color w:val="auto"/>
                <w:sz w:val="24"/>
                <w:szCs w:val="24"/>
              </w:rPr>
            </w:pPr>
            <w:r>
              <w:rPr>
                <w:rFonts w:hint="eastAsia"/>
                <w:color w:val="auto"/>
                <w:sz w:val="24"/>
                <w:szCs w:val="24"/>
              </w:rPr>
              <w:t>该项目已于</w:t>
            </w:r>
            <w:r>
              <w:rPr>
                <w:rFonts w:hint="eastAsia"/>
                <w:color w:val="auto"/>
                <w:sz w:val="24"/>
                <w:szCs w:val="24"/>
                <w:highlight w:val="none"/>
              </w:rPr>
              <w:t>202</w:t>
            </w:r>
            <w:r>
              <w:rPr>
                <w:rFonts w:hint="eastAsia"/>
                <w:color w:val="auto"/>
                <w:sz w:val="24"/>
                <w:szCs w:val="24"/>
                <w:highlight w:val="none"/>
                <w:lang w:val="en-US" w:eastAsia="zh-CN"/>
              </w:rPr>
              <w:t>5</w:t>
            </w:r>
            <w:r>
              <w:rPr>
                <w:rFonts w:hint="eastAsia"/>
                <w:color w:val="auto"/>
                <w:sz w:val="24"/>
                <w:szCs w:val="24"/>
                <w:highlight w:val="none"/>
              </w:rPr>
              <w:t>年</w:t>
            </w:r>
            <w:r>
              <w:rPr>
                <w:rFonts w:hint="eastAsia"/>
                <w:color w:val="auto"/>
                <w:sz w:val="24"/>
                <w:szCs w:val="24"/>
                <w:highlight w:val="none"/>
                <w:lang w:val="en-US" w:eastAsia="zh-CN"/>
              </w:rPr>
              <w:t>10</w:t>
            </w:r>
            <w:r>
              <w:rPr>
                <w:rFonts w:hint="eastAsia"/>
                <w:color w:val="auto"/>
                <w:sz w:val="24"/>
                <w:szCs w:val="24"/>
                <w:highlight w:val="none"/>
              </w:rPr>
              <w:t>月</w:t>
            </w:r>
            <w:r>
              <w:rPr>
                <w:rFonts w:hint="eastAsia"/>
                <w:color w:val="auto"/>
                <w:sz w:val="24"/>
                <w:szCs w:val="24"/>
                <w:highlight w:val="none"/>
                <w:lang w:val="en-US" w:eastAsia="zh-CN"/>
              </w:rPr>
              <w:t>17</w:t>
            </w:r>
            <w:r>
              <w:rPr>
                <w:rFonts w:hint="eastAsia"/>
                <w:color w:val="auto"/>
                <w:sz w:val="24"/>
                <w:szCs w:val="24"/>
                <w:highlight w:val="none"/>
              </w:rPr>
              <w:t>日取得</w:t>
            </w:r>
            <w:r>
              <w:rPr>
                <w:rFonts w:hint="eastAsia"/>
                <w:color w:val="auto"/>
                <w:sz w:val="24"/>
                <w:szCs w:val="24"/>
                <w:highlight w:val="none"/>
                <w:lang w:eastAsia="zh-CN"/>
              </w:rPr>
              <w:t>江苏金坛</w:t>
            </w:r>
            <w:r>
              <w:rPr>
                <w:rFonts w:hint="eastAsia"/>
                <w:color w:val="auto"/>
                <w:sz w:val="24"/>
                <w:szCs w:val="24"/>
                <w:highlight w:val="none"/>
                <w:lang w:val="en-US" w:eastAsia="zh-CN"/>
              </w:rPr>
              <w:t>经济</w:t>
            </w:r>
            <w:r>
              <w:rPr>
                <w:rFonts w:hint="eastAsia"/>
                <w:color w:val="auto"/>
                <w:sz w:val="24"/>
                <w:szCs w:val="24"/>
                <w:highlight w:val="none"/>
                <w:lang w:eastAsia="zh-CN"/>
              </w:rPr>
              <w:t>开发区</w:t>
            </w:r>
            <w:r>
              <w:rPr>
                <w:rFonts w:hint="eastAsia"/>
                <w:color w:val="auto"/>
                <w:sz w:val="24"/>
                <w:szCs w:val="24"/>
                <w:highlight w:val="none"/>
              </w:rPr>
              <w:t>经济发展局的项目备案证明，备案证号：</w:t>
            </w:r>
            <w:r>
              <w:rPr>
                <w:rFonts w:hint="eastAsia"/>
                <w:color w:val="auto"/>
                <w:sz w:val="24"/>
                <w:szCs w:val="24"/>
                <w:highlight w:val="none"/>
                <w:lang w:eastAsia="zh-CN"/>
              </w:rPr>
              <w:t>坛开经发备字〔2025〕288号</w:t>
            </w:r>
            <w:r>
              <w:rPr>
                <w:rFonts w:hint="eastAsia"/>
                <w:color w:val="auto"/>
                <w:sz w:val="24"/>
                <w:szCs w:val="24"/>
                <w:highlight w:val="none"/>
              </w:rPr>
              <w:t>，项目代码：</w:t>
            </w:r>
            <w:r>
              <w:rPr>
                <w:rFonts w:hint="eastAsia"/>
                <w:color w:val="auto"/>
                <w:sz w:val="24"/>
                <w:szCs w:val="24"/>
                <w:highlight w:val="none"/>
                <w:lang w:eastAsia="zh-CN"/>
              </w:rPr>
              <w:t>2510-320458-89-01-278106</w:t>
            </w:r>
            <w:r>
              <w:rPr>
                <w:rFonts w:hint="eastAsia"/>
                <w:color w:val="auto"/>
                <w:sz w:val="24"/>
                <w:szCs w:val="24"/>
                <w:highlight w:val="none"/>
              </w:rPr>
              <w:t>，</w:t>
            </w:r>
            <w:r>
              <w:rPr>
                <w:rFonts w:hint="eastAsia"/>
                <w:color w:val="auto"/>
                <w:sz w:val="24"/>
                <w:szCs w:val="24"/>
              </w:rPr>
              <w:t>项目建成后将形成年产</w:t>
            </w:r>
            <w:r>
              <w:rPr>
                <w:rFonts w:hint="eastAsia"/>
                <w:color w:val="auto"/>
                <w:sz w:val="24"/>
                <w:szCs w:val="24"/>
                <w:lang w:val="en-US" w:eastAsia="zh-CN"/>
              </w:rPr>
              <w:t>150万套吻合器零配件、50万套电器零配件</w:t>
            </w:r>
            <w:r>
              <w:rPr>
                <w:rFonts w:hint="eastAsia"/>
                <w:color w:val="auto"/>
                <w:sz w:val="24"/>
                <w:szCs w:val="24"/>
              </w:rPr>
              <w:t>的生产能力。</w:t>
            </w:r>
          </w:p>
          <w:p w14:paraId="23DE04A4">
            <w:pPr>
              <w:ind w:firstLine="420"/>
              <w:rPr>
                <w:rFonts w:hint="eastAsia"/>
                <w:color w:val="auto"/>
                <w:sz w:val="24"/>
                <w:szCs w:val="24"/>
              </w:rPr>
            </w:pPr>
            <w:r>
              <w:rPr>
                <w:rFonts w:hint="eastAsia"/>
                <w:color w:val="auto"/>
                <w:sz w:val="24"/>
                <w:szCs w:val="24"/>
              </w:rPr>
              <w:t>根据《中华人民共和国环境保护法》（2015年1月1日）、《中华人民共和国环境影响评价法》（2018年12月29日）及《国务院关于修改&lt;建设项目环境保护管理条例&gt;的决定》（国令第682号）的有关规定，本项目应进行环境影响评价。对照《建设项目环境影响评价分类管理名录》（2021年版）的相关规定，本项目属于二十</w:t>
            </w:r>
            <w:r>
              <w:rPr>
                <w:rFonts w:hint="eastAsia"/>
                <w:color w:val="auto"/>
                <w:sz w:val="24"/>
                <w:szCs w:val="24"/>
                <w:lang w:val="en-US" w:eastAsia="zh-CN"/>
              </w:rPr>
              <w:t>六</w:t>
            </w:r>
            <w:r>
              <w:rPr>
                <w:rFonts w:hint="eastAsia"/>
                <w:color w:val="auto"/>
                <w:sz w:val="24"/>
                <w:szCs w:val="24"/>
              </w:rPr>
              <w:t>、</w:t>
            </w:r>
            <w:r>
              <w:rPr>
                <w:rFonts w:hint="default" w:ascii="Times New Roman" w:hAnsi="Times New Roman" w:eastAsia="宋体" w:cs="Times New Roman"/>
                <w:color w:val="auto"/>
                <w:sz w:val="24"/>
              </w:rPr>
              <w:t>橡胶和塑料制品业2</w:t>
            </w:r>
            <w:r>
              <w:rPr>
                <w:rFonts w:hint="eastAsia" w:cs="Times New Roman"/>
                <w:color w:val="auto"/>
                <w:sz w:val="24"/>
                <w:lang w:val="en-US" w:eastAsia="zh-CN"/>
              </w:rPr>
              <w:t>9中的塑料制品业292的其他（年用非溶剂型低VOCs含量涂料10吨以下的除外），</w:t>
            </w:r>
            <w:r>
              <w:rPr>
                <w:rFonts w:hint="eastAsia"/>
                <w:color w:val="auto"/>
                <w:sz w:val="24"/>
                <w:szCs w:val="24"/>
              </w:rPr>
              <w:t>应编制环境影响报告表</w:t>
            </w:r>
            <w:r>
              <w:rPr>
                <w:rFonts w:hint="eastAsia"/>
                <w:color w:val="auto"/>
                <w:sz w:val="24"/>
                <w:szCs w:val="24"/>
                <w:lang w:eastAsia="zh-CN"/>
              </w:rPr>
              <w:t>，</w:t>
            </w:r>
            <w:r>
              <w:rPr>
                <w:rFonts w:hint="eastAsia"/>
                <w:color w:val="auto"/>
                <w:sz w:val="24"/>
                <w:szCs w:val="24"/>
                <w:lang w:val="en-US" w:eastAsia="zh-CN"/>
              </w:rPr>
              <w:t>因此</w:t>
            </w:r>
            <w:r>
              <w:rPr>
                <w:rFonts w:hint="eastAsia"/>
                <w:color w:val="auto"/>
                <w:sz w:val="24"/>
                <w:szCs w:val="24"/>
                <w:lang w:eastAsia="zh-CN"/>
              </w:rPr>
              <w:t>江苏瑞诚医疗科技有限公司</w:t>
            </w:r>
            <w:r>
              <w:rPr>
                <w:rFonts w:hint="eastAsia"/>
                <w:color w:val="auto"/>
                <w:sz w:val="24"/>
                <w:szCs w:val="24"/>
              </w:rPr>
              <w:t>委托</w:t>
            </w:r>
            <w:r>
              <w:rPr>
                <w:rFonts w:hint="eastAsia"/>
                <w:color w:val="auto"/>
                <w:sz w:val="24"/>
                <w:szCs w:val="24"/>
                <w:lang w:eastAsia="zh-CN"/>
              </w:rPr>
              <w:t>常州长隆环境科技有限公司</w:t>
            </w:r>
            <w:r>
              <w:rPr>
                <w:rFonts w:hint="eastAsia"/>
                <w:color w:val="auto"/>
                <w:sz w:val="24"/>
                <w:szCs w:val="24"/>
              </w:rPr>
              <w:t>编制建设项目环境影响报告表，</w:t>
            </w:r>
            <w:r>
              <w:rPr>
                <w:rFonts w:hint="eastAsia"/>
                <w:color w:val="auto"/>
                <w:sz w:val="24"/>
                <w:szCs w:val="24"/>
                <w:lang w:eastAsia="zh-CN"/>
              </w:rPr>
              <w:t>常州长隆环境科技有限公司</w:t>
            </w:r>
            <w:r>
              <w:rPr>
                <w:rFonts w:hint="eastAsia"/>
                <w:color w:val="auto"/>
                <w:sz w:val="24"/>
                <w:szCs w:val="24"/>
              </w:rPr>
              <w:t>接受委托后即组织进行现场勘查、相关资料收集及其他相关工作，最终完成了该项目环境影响评价报告表的编制。</w:t>
            </w:r>
          </w:p>
          <w:p w14:paraId="1133E232">
            <w:pPr>
              <w:ind w:firstLine="0" w:firstLineChars="0"/>
              <w:rPr>
                <w:b/>
                <w:bCs/>
                <w:color w:val="auto"/>
                <w:sz w:val="24"/>
                <w:szCs w:val="24"/>
              </w:rPr>
            </w:pPr>
            <w:r>
              <w:rPr>
                <w:rFonts w:hint="eastAsia"/>
                <w:b/>
                <w:bCs/>
                <w:color w:val="auto"/>
                <w:sz w:val="24"/>
                <w:szCs w:val="24"/>
                <w:lang w:val="en-US" w:eastAsia="zh-CN"/>
              </w:rPr>
              <w:t>2</w:t>
            </w:r>
            <w:r>
              <w:rPr>
                <w:b/>
                <w:bCs/>
                <w:color w:val="auto"/>
                <w:sz w:val="24"/>
                <w:szCs w:val="24"/>
              </w:rPr>
              <w:t>、项目产品方案</w:t>
            </w:r>
          </w:p>
          <w:p w14:paraId="17F7BE08">
            <w:pPr>
              <w:ind w:firstLine="422"/>
              <w:rPr>
                <w:rFonts w:hint="eastAsia"/>
                <w:b/>
                <w:color w:val="auto"/>
                <w:sz w:val="24"/>
                <w:szCs w:val="24"/>
              </w:rPr>
            </w:pPr>
            <w:r>
              <w:rPr>
                <w:rFonts w:hint="eastAsia"/>
                <w:b/>
                <w:color w:val="auto"/>
                <w:sz w:val="24"/>
                <w:szCs w:val="24"/>
              </w:rPr>
              <w:t>（1）项目产品方案</w:t>
            </w:r>
          </w:p>
          <w:p w14:paraId="7CDCD441">
            <w:pPr>
              <w:ind w:firstLine="420"/>
              <w:rPr>
                <w:color w:val="auto"/>
                <w:sz w:val="24"/>
                <w:szCs w:val="24"/>
              </w:rPr>
            </w:pPr>
            <w:r>
              <w:rPr>
                <w:color w:val="auto"/>
                <w:sz w:val="24"/>
                <w:szCs w:val="24"/>
              </w:rPr>
              <w:t>本项目实施达产后，</w:t>
            </w:r>
            <w:r>
              <w:rPr>
                <w:rFonts w:hint="eastAsia"/>
                <w:color w:val="auto"/>
                <w:sz w:val="24"/>
                <w:szCs w:val="24"/>
              </w:rPr>
              <w:t>年产150万套吻合器零配件、50万套电器零配件</w:t>
            </w:r>
            <w:r>
              <w:rPr>
                <w:color w:val="auto"/>
                <w:sz w:val="24"/>
                <w:szCs w:val="24"/>
              </w:rPr>
              <w:t>，产品方案详见表2-</w:t>
            </w:r>
            <w:r>
              <w:rPr>
                <w:rFonts w:hint="eastAsia"/>
                <w:color w:val="auto"/>
                <w:sz w:val="24"/>
                <w:szCs w:val="24"/>
                <w:lang w:val="en-US" w:eastAsia="zh-CN"/>
              </w:rPr>
              <w:t>1</w:t>
            </w:r>
            <w:r>
              <w:rPr>
                <w:color w:val="auto"/>
                <w:sz w:val="24"/>
                <w:szCs w:val="24"/>
              </w:rPr>
              <w:t>。</w:t>
            </w:r>
          </w:p>
          <w:p w14:paraId="119DB0CA">
            <w:pPr>
              <w:spacing w:line="240" w:lineRule="auto"/>
              <w:ind w:firstLine="0" w:firstLineChars="0"/>
              <w:jc w:val="center"/>
              <w:rPr>
                <w:b/>
                <w:bCs/>
                <w:color w:val="auto"/>
                <w:sz w:val="21"/>
                <w:szCs w:val="21"/>
              </w:rPr>
            </w:pPr>
            <w:r>
              <w:rPr>
                <w:b/>
                <w:bCs/>
                <w:color w:val="auto"/>
                <w:sz w:val="21"/>
                <w:szCs w:val="21"/>
              </w:rPr>
              <w:t>表2-</w:t>
            </w:r>
            <w:r>
              <w:rPr>
                <w:rFonts w:hint="eastAsia"/>
                <w:b/>
                <w:bCs/>
                <w:color w:val="auto"/>
                <w:sz w:val="21"/>
                <w:szCs w:val="21"/>
                <w:lang w:val="en-US" w:eastAsia="zh-CN"/>
              </w:rPr>
              <w:t>1</w:t>
            </w:r>
            <w:r>
              <w:rPr>
                <w:b/>
                <w:bCs/>
                <w:color w:val="auto"/>
                <w:sz w:val="21"/>
                <w:szCs w:val="21"/>
              </w:rPr>
              <w:t xml:space="preserve">  项目产品方案表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1"/>
              <w:gridCol w:w="836"/>
              <w:gridCol w:w="1113"/>
              <w:gridCol w:w="2322"/>
              <w:gridCol w:w="1412"/>
              <w:gridCol w:w="1224"/>
              <w:gridCol w:w="1183"/>
              <w:gridCol w:w="757"/>
            </w:tblGrid>
            <w:tr w14:paraId="520D9F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6" w:type="pct"/>
                  <w:noWrap w:val="0"/>
                  <w:vAlign w:val="center"/>
                </w:tcPr>
                <w:p w14:paraId="1C764C6D">
                  <w:pPr>
                    <w:spacing w:line="240" w:lineRule="auto"/>
                    <w:ind w:firstLine="0" w:firstLineChars="0"/>
                    <w:jc w:val="center"/>
                    <w:rPr>
                      <w:b/>
                      <w:bCs/>
                      <w:color w:val="auto"/>
                      <w:sz w:val="21"/>
                      <w:szCs w:val="21"/>
                    </w:rPr>
                  </w:pPr>
                  <w:r>
                    <w:rPr>
                      <w:b/>
                      <w:bCs/>
                      <w:color w:val="auto"/>
                      <w:sz w:val="21"/>
                      <w:szCs w:val="21"/>
                    </w:rPr>
                    <w:t>序号</w:t>
                  </w:r>
                </w:p>
              </w:tc>
              <w:tc>
                <w:tcPr>
                  <w:tcW w:w="451" w:type="pct"/>
                  <w:noWrap w:val="0"/>
                  <w:vAlign w:val="center"/>
                </w:tcPr>
                <w:p w14:paraId="036BC2CC">
                  <w:pPr>
                    <w:spacing w:line="240" w:lineRule="auto"/>
                    <w:ind w:firstLine="0" w:firstLineChars="0"/>
                    <w:jc w:val="center"/>
                    <w:rPr>
                      <w:b/>
                      <w:bCs/>
                      <w:color w:val="auto"/>
                      <w:sz w:val="21"/>
                      <w:szCs w:val="21"/>
                    </w:rPr>
                  </w:pPr>
                  <w:r>
                    <w:rPr>
                      <w:b/>
                      <w:bCs/>
                      <w:color w:val="auto"/>
                      <w:sz w:val="21"/>
                      <w:szCs w:val="21"/>
                    </w:rPr>
                    <w:t>工程名称</w:t>
                  </w:r>
                </w:p>
              </w:tc>
              <w:tc>
                <w:tcPr>
                  <w:tcW w:w="601" w:type="pct"/>
                  <w:noWrap w:val="0"/>
                  <w:vAlign w:val="center"/>
                </w:tcPr>
                <w:p w14:paraId="7CDBD973">
                  <w:pPr>
                    <w:spacing w:line="240" w:lineRule="auto"/>
                    <w:ind w:firstLine="0" w:firstLineChars="0"/>
                    <w:jc w:val="center"/>
                    <w:rPr>
                      <w:b/>
                      <w:bCs/>
                      <w:color w:val="auto"/>
                      <w:sz w:val="21"/>
                      <w:szCs w:val="21"/>
                    </w:rPr>
                  </w:pPr>
                  <w:r>
                    <w:rPr>
                      <w:b/>
                      <w:bCs/>
                      <w:color w:val="auto"/>
                      <w:sz w:val="21"/>
                      <w:szCs w:val="21"/>
                    </w:rPr>
                    <w:t>产品名称</w:t>
                  </w:r>
                </w:p>
              </w:tc>
              <w:tc>
                <w:tcPr>
                  <w:tcW w:w="1255" w:type="pct"/>
                  <w:noWrap w:val="0"/>
                  <w:vAlign w:val="center"/>
                </w:tcPr>
                <w:p w14:paraId="5875289F">
                  <w:pPr>
                    <w:spacing w:line="240" w:lineRule="auto"/>
                    <w:ind w:firstLine="0" w:firstLineChars="0"/>
                    <w:jc w:val="center"/>
                    <w:rPr>
                      <w:rFonts w:hint="default" w:eastAsia="宋体"/>
                      <w:b/>
                      <w:bCs/>
                      <w:color w:val="auto"/>
                      <w:sz w:val="21"/>
                      <w:szCs w:val="21"/>
                      <w:lang w:val="en-US" w:eastAsia="zh-CN"/>
                    </w:rPr>
                  </w:pPr>
                  <w:r>
                    <w:rPr>
                      <w:rFonts w:hint="eastAsia"/>
                      <w:b/>
                      <w:bCs/>
                      <w:color w:val="auto"/>
                      <w:sz w:val="21"/>
                      <w:szCs w:val="21"/>
                      <w:lang w:val="en-US" w:eastAsia="zh-CN"/>
                    </w:rPr>
                    <w:t>代表产品图片</w:t>
                  </w:r>
                </w:p>
              </w:tc>
              <w:tc>
                <w:tcPr>
                  <w:tcW w:w="763" w:type="pct"/>
                  <w:noWrap w:val="0"/>
                  <w:vAlign w:val="center"/>
                </w:tcPr>
                <w:p w14:paraId="4ED4E237">
                  <w:pPr>
                    <w:spacing w:line="240" w:lineRule="auto"/>
                    <w:ind w:firstLine="0" w:firstLineChars="0"/>
                    <w:jc w:val="center"/>
                    <w:rPr>
                      <w:rFonts w:hint="default"/>
                      <w:b/>
                      <w:bCs/>
                      <w:color w:val="auto"/>
                      <w:sz w:val="21"/>
                      <w:szCs w:val="21"/>
                      <w:lang w:val="en-US" w:eastAsia="zh-CN"/>
                    </w:rPr>
                  </w:pPr>
                  <w:r>
                    <w:rPr>
                      <w:rFonts w:hint="eastAsia"/>
                      <w:b/>
                      <w:bCs/>
                      <w:color w:val="auto"/>
                      <w:sz w:val="21"/>
                      <w:szCs w:val="21"/>
                      <w:lang w:val="en-US" w:eastAsia="zh-CN"/>
                    </w:rPr>
                    <w:t>代表产品名称</w:t>
                  </w:r>
                </w:p>
              </w:tc>
              <w:tc>
                <w:tcPr>
                  <w:tcW w:w="661" w:type="pct"/>
                  <w:noWrap w:val="0"/>
                  <w:vAlign w:val="center"/>
                </w:tcPr>
                <w:p w14:paraId="6A962201">
                  <w:pPr>
                    <w:spacing w:line="240" w:lineRule="auto"/>
                    <w:ind w:firstLine="0" w:firstLineChars="0"/>
                    <w:jc w:val="center"/>
                    <w:rPr>
                      <w:b/>
                      <w:bCs/>
                      <w:color w:val="auto"/>
                      <w:sz w:val="21"/>
                      <w:szCs w:val="21"/>
                    </w:rPr>
                  </w:pPr>
                  <w:r>
                    <w:rPr>
                      <w:rFonts w:hint="eastAsia"/>
                      <w:b/>
                      <w:bCs/>
                      <w:color w:val="auto"/>
                      <w:sz w:val="21"/>
                      <w:szCs w:val="21"/>
                      <w:lang w:val="en-US" w:eastAsia="zh-CN"/>
                    </w:rPr>
                    <w:t>代表</w:t>
                  </w:r>
                  <w:r>
                    <w:rPr>
                      <w:b/>
                      <w:bCs/>
                      <w:color w:val="auto"/>
                      <w:sz w:val="21"/>
                      <w:szCs w:val="21"/>
                    </w:rPr>
                    <w:t>产品规格</w:t>
                  </w:r>
                </w:p>
              </w:tc>
              <w:tc>
                <w:tcPr>
                  <w:tcW w:w="639" w:type="pct"/>
                  <w:noWrap w:val="0"/>
                  <w:vAlign w:val="center"/>
                </w:tcPr>
                <w:p w14:paraId="1B7ECA18">
                  <w:pPr>
                    <w:spacing w:line="240" w:lineRule="auto"/>
                    <w:ind w:firstLine="0" w:firstLineChars="0"/>
                    <w:jc w:val="center"/>
                    <w:rPr>
                      <w:b/>
                      <w:bCs/>
                      <w:color w:val="auto"/>
                      <w:sz w:val="21"/>
                      <w:szCs w:val="21"/>
                    </w:rPr>
                  </w:pPr>
                  <w:r>
                    <w:rPr>
                      <w:rFonts w:hint="eastAsia"/>
                      <w:b/>
                      <w:bCs/>
                      <w:color w:val="auto"/>
                      <w:sz w:val="21"/>
                      <w:szCs w:val="21"/>
                    </w:rPr>
                    <w:t>产品</w:t>
                  </w:r>
                  <w:r>
                    <w:rPr>
                      <w:b/>
                      <w:bCs/>
                      <w:color w:val="auto"/>
                      <w:sz w:val="21"/>
                      <w:szCs w:val="21"/>
                    </w:rPr>
                    <w:t>设计产量</w:t>
                  </w:r>
                </w:p>
              </w:tc>
              <w:tc>
                <w:tcPr>
                  <w:tcW w:w="409" w:type="pct"/>
                  <w:noWrap w:val="0"/>
                  <w:vAlign w:val="center"/>
                </w:tcPr>
                <w:p w14:paraId="2038BD1A">
                  <w:pPr>
                    <w:spacing w:line="240" w:lineRule="auto"/>
                    <w:ind w:firstLine="0" w:firstLineChars="0"/>
                    <w:jc w:val="center"/>
                    <w:rPr>
                      <w:rFonts w:hint="eastAsia"/>
                      <w:b/>
                      <w:bCs/>
                      <w:color w:val="auto"/>
                      <w:sz w:val="21"/>
                      <w:szCs w:val="21"/>
                    </w:rPr>
                  </w:pPr>
                  <w:r>
                    <w:rPr>
                      <w:b/>
                      <w:bCs/>
                      <w:color w:val="auto"/>
                      <w:sz w:val="21"/>
                      <w:szCs w:val="21"/>
                    </w:rPr>
                    <w:t>年运行时数</w:t>
                  </w:r>
                </w:p>
              </w:tc>
            </w:tr>
            <w:tr w14:paraId="415C15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88" w:hRule="atLeast"/>
                <w:jc w:val="center"/>
              </w:trPr>
              <w:tc>
                <w:tcPr>
                  <w:tcW w:w="216" w:type="pct"/>
                  <w:noWrap w:val="0"/>
                  <w:vAlign w:val="center"/>
                </w:tcPr>
                <w:p w14:paraId="5280A22F">
                  <w:pPr>
                    <w:spacing w:line="240" w:lineRule="auto"/>
                    <w:ind w:firstLine="0" w:firstLineChars="0"/>
                    <w:jc w:val="center"/>
                    <w:rPr>
                      <w:color w:val="auto"/>
                      <w:sz w:val="21"/>
                      <w:szCs w:val="21"/>
                    </w:rPr>
                  </w:pPr>
                  <w:r>
                    <w:rPr>
                      <w:color w:val="auto"/>
                      <w:sz w:val="21"/>
                      <w:szCs w:val="21"/>
                    </w:rPr>
                    <w:t>1</w:t>
                  </w:r>
                </w:p>
              </w:tc>
              <w:tc>
                <w:tcPr>
                  <w:tcW w:w="451" w:type="pct"/>
                  <w:vMerge w:val="restart"/>
                  <w:noWrap w:val="0"/>
                  <w:vAlign w:val="center"/>
                </w:tcPr>
                <w:p w14:paraId="6D9EAA4B">
                  <w:pPr>
                    <w:spacing w:line="240" w:lineRule="auto"/>
                    <w:ind w:firstLine="0" w:firstLineChars="0"/>
                    <w:jc w:val="center"/>
                    <w:rPr>
                      <w:rFonts w:hint="eastAsia" w:eastAsia="宋体"/>
                      <w:color w:val="auto"/>
                      <w:sz w:val="21"/>
                      <w:szCs w:val="21"/>
                      <w:lang w:eastAsia="zh-CN"/>
                    </w:rPr>
                  </w:pPr>
                  <w:r>
                    <w:rPr>
                      <w:rFonts w:hint="eastAsia"/>
                      <w:color w:val="auto"/>
                      <w:sz w:val="21"/>
                      <w:szCs w:val="21"/>
                      <w:lang w:eastAsia="zh-CN"/>
                    </w:rPr>
                    <w:t>年产150万套吻合器零配件、50万套电器零配件生产项目</w:t>
                  </w:r>
                </w:p>
              </w:tc>
              <w:tc>
                <w:tcPr>
                  <w:tcW w:w="601" w:type="pct"/>
                  <w:noWrap w:val="0"/>
                  <w:vAlign w:val="center"/>
                </w:tcPr>
                <w:p w14:paraId="26882607">
                  <w:pPr>
                    <w:spacing w:line="320" w:lineRule="exact"/>
                    <w:ind w:left="0" w:leftChars="0"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吻合器零配件</w:t>
                  </w:r>
                </w:p>
              </w:tc>
              <w:tc>
                <w:tcPr>
                  <w:tcW w:w="1255" w:type="pct"/>
                  <w:noWrap w:val="0"/>
                  <w:vAlign w:val="center"/>
                </w:tcPr>
                <w:p w14:paraId="7191A3A6">
                  <w:pPr>
                    <w:spacing w:line="240" w:lineRule="auto"/>
                    <w:ind w:firstLine="0" w:firstLineChars="0"/>
                    <w:jc w:val="center"/>
                    <w:rPr>
                      <w:rFonts w:hint="eastAsia" w:eastAsia="宋体"/>
                      <w:color w:val="auto"/>
                      <w:sz w:val="21"/>
                      <w:szCs w:val="21"/>
                      <w:lang w:eastAsia="zh-CN"/>
                    </w:rPr>
                  </w:pPr>
                  <w:r>
                    <w:rPr>
                      <w:rFonts w:hint="eastAsia" w:eastAsia="宋体"/>
                      <w:color w:val="auto"/>
                      <w:sz w:val="21"/>
                      <w:szCs w:val="21"/>
                      <w:lang w:eastAsia="zh-CN"/>
                    </w:rPr>
                    <w:drawing>
                      <wp:inline distT="0" distB="0" distL="114300" distR="114300">
                        <wp:extent cx="1185545" cy="1185545"/>
                        <wp:effectExtent l="0" t="0" r="3175" b="3175"/>
                        <wp:docPr id="3" name="图片 3" descr="bcadc8d19913a82c0c4333656e8b38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cadc8d19913a82c0c4333656e8b382f"/>
                                <pic:cNvPicPr>
                                  <a:picLocks noChangeAspect="1"/>
                                </pic:cNvPicPr>
                              </pic:nvPicPr>
                              <pic:blipFill>
                                <a:blip r:embed="rId12"/>
                                <a:stretch>
                                  <a:fillRect/>
                                </a:stretch>
                              </pic:blipFill>
                              <pic:spPr>
                                <a:xfrm rot="16200000">
                                  <a:off x="0" y="0"/>
                                  <a:ext cx="1185545" cy="1185545"/>
                                </a:xfrm>
                                <a:prstGeom prst="rect">
                                  <a:avLst/>
                                </a:prstGeom>
                              </pic:spPr>
                            </pic:pic>
                          </a:graphicData>
                        </a:graphic>
                      </wp:inline>
                    </w:drawing>
                  </w:r>
                </w:p>
              </w:tc>
              <w:tc>
                <w:tcPr>
                  <w:tcW w:w="763" w:type="pct"/>
                  <w:noWrap w:val="0"/>
                  <w:vAlign w:val="center"/>
                </w:tcPr>
                <w:p w14:paraId="0C367BEC">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皮肤吻合器</w:t>
                  </w:r>
                </w:p>
              </w:tc>
              <w:tc>
                <w:tcPr>
                  <w:tcW w:w="661" w:type="pct"/>
                  <w:noWrap w:val="0"/>
                  <w:vAlign w:val="center"/>
                </w:tcPr>
                <w:p w14:paraId="40B6EA90">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160*80*18</w:t>
                  </w:r>
                </w:p>
                <w:p w14:paraId="4FBA9DF5">
                  <w:pPr>
                    <w:spacing w:line="240" w:lineRule="auto"/>
                    <w:ind w:firstLine="0" w:firstLineChars="0"/>
                    <w:jc w:val="center"/>
                    <w:rPr>
                      <w:rFonts w:hint="default" w:eastAsia="宋体"/>
                      <w:color w:val="auto"/>
                      <w:sz w:val="21"/>
                      <w:szCs w:val="21"/>
                      <w:lang w:val="en-US" w:eastAsia="zh-CN"/>
                    </w:rPr>
                  </w:pPr>
                  <w:r>
                    <w:rPr>
                      <w:rFonts w:hint="eastAsia"/>
                      <w:color w:val="auto"/>
                      <w:sz w:val="21"/>
                      <w:szCs w:val="21"/>
                      <w:highlight w:val="none"/>
                      <w:lang w:val="en-US" w:eastAsia="zh-CN"/>
                    </w:rPr>
                    <w:t>mm</w:t>
                  </w:r>
                </w:p>
              </w:tc>
              <w:tc>
                <w:tcPr>
                  <w:tcW w:w="639" w:type="pct"/>
                  <w:noWrap w:val="0"/>
                  <w:vAlign w:val="center"/>
                </w:tcPr>
                <w:p w14:paraId="6FDB98CA">
                  <w:pPr>
                    <w:adjustRightInd w:val="0"/>
                    <w:snapToGrid w:val="0"/>
                    <w:ind w:left="0" w:leftChars="0" w:firstLine="0" w:firstLineChars="0"/>
                    <w:jc w:val="center"/>
                    <w:rPr>
                      <w:color w:val="auto"/>
                      <w:sz w:val="21"/>
                      <w:szCs w:val="21"/>
                    </w:rPr>
                  </w:pPr>
                  <w:r>
                    <w:rPr>
                      <w:rFonts w:hint="eastAsia" w:eastAsia="宋体"/>
                      <w:color w:val="auto"/>
                      <w:sz w:val="21"/>
                      <w:szCs w:val="21"/>
                      <w:highlight w:val="none"/>
                      <w:lang w:val="en-US" w:eastAsia="zh-CN"/>
                    </w:rPr>
                    <w:t>150万套/年</w:t>
                  </w:r>
                </w:p>
              </w:tc>
              <w:tc>
                <w:tcPr>
                  <w:tcW w:w="409" w:type="pct"/>
                  <w:noWrap w:val="0"/>
                  <w:vAlign w:val="center"/>
                </w:tcPr>
                <w:p w14:paraId="76DD8DFD">
                  <w:pPr>
                    <w:spacing w:line="320" w:lineRule="exact"/>
                    <w:ind w:left="0" w:leftChars="0" w:firstLine="0" w:firstLineChars="0"/>
                    <w:jc w:val="center"/>
                    <w:rPr>
                      <w:color w:val="auto"/>
                      <w:sz w:val="21"/>
                      <w:szCs w:val="21"/>
                    </w:rPr>
                  </w:pPr>
                  <w:r>
                    <w:rPr>
                      <w:rFonts w:hint="eastAsia"/>
                      <w:color w:val="auto"/>
                      <w:sz w:val="21"/>
                      <w:szCs w:val="21"/>
                      <w:lang w:val="en-US" w:eastAsia="zh-CN"/>
                    </w:rPr>
                    <w:t>2400h</w:t>
                  </w:r>
                </w:p>
              </w:tc>
            </w:tr>
            <w:tr w14:paraId="529E05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88" w:hRule="atLeast"/>
                <w:jc w:val="center"/>
              </w:trPr>
              <w:tc>
                <w:tcPr>
                  <w:tcW w:w="216" w:type="pct"/>
                  <w:noWrap w:val="0"/>
                  <w:vAlign w:val="center"/>
                </w:tcPr>
                <w:p w14:paraId="4069F7A4">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2</w:t>
                  </w:r>
                </w:p>
              </w:tc>
              <w:tc>
                <w:tcPr>
                  <w:tcW w:w="451" w:type="pct"/>
                  <w:vMerge w:val="continue"/>
                  <w:noWrap w:val="0"/>
                  <w:vAlign w:val="center"/>
                </w:tcPr>
                <w:p w14:paraId="33C12CD8">
                  <w:pPr>
                    <w:spacing w:line="240" w:lineRule="auto"/>
                    <w:ind w:firstLine="0" w:firstLineChars="0"/>
                    <w:jc w:val="center"/>
                    <w:rPr>
                      <w:rFonts w:hint="eastAsia"/>
                      <w:color w:val="auto"/>
                      <w:sz w:val="21"/>
                      <w:szCs w:val="21"/>
                      <w:lang w:eastAsia="zh-CN"/>
                    </w:rPr>
                  </w:pPr>
                </w:p>
              </w:tc>
              <w:tc>
                <w:tcPr>
                  <w:tcW w:w="601" w:type="pct"/>
                  <w:noWrap w:val="0"/>
                  <w:vAlign w:val="center"/>
                </w:tcPr>
                <w:p w14:paraId="14245F81">
                  <w:pPr>
                    <w:spacing w:line="320" w:lineRule="exact"/>
                    <w:ind w:left="0" w:leftChars="0" w:firstLine="0" w:firstLineChars="0"/>
                    <w:jc w:val="center"/>
                    <w:rPr>
                      <w:rFonts w:hint="eastAsia"/>
                      <w:color w:val="auto"/>
                      <w:sz w:val="21"/>
                      <w:szCs w:val="21"/>
                      <w:lang w:eastAsia="zh-CN"/>
                    </w:rPr>
                  </w:pPr>
                  <w:r>
                    <w:rPr>
                      <w:rFonts w:hint="eastAsia" w:eastAsia="宋体"/>
                      <w:color w:val="auto"/>
                      <w:sz w:val="21"/>
                      <w:szCs w:val="21"/>
                      <w:lang w:val="en-US" w:eastAsia="zh-CN"/>
                    </w:rPr>
                    <w:t>电器零配件</w:t>
                  </w:r>
                </w:p>
              </w:tc>
              <w:tc>
                <w:tcPr>
                  <w:tcW w:w="1255" w:type="pct"/>
                  <w:noWrap w:val="0"/>
                  <w:vAlign w:val="center"/>
                </w:tcPr>
                <w:p w14:paraId="261888A8">
                  <w:pPr>
                    <w:spacing w:line="240" w:lineRule="auto"/>
                    <w:ind w:firstLine="0" w:firstLineChars="0"/>
                    <w:jc w:val="center"/>
                    <w:rPr>
                      <w:rFonts w:hint="eastAsia" w:eastAsia="宋体"/>
                      <w:color w:val="auto"/>
                      <w:sz w:val="21"/>
                      <w:szCs w:val="21"/>
                      <w:lang w:eastAsia="zh-CN"/>
                    </w:rPr>
                  </w:pPr>
                  <w:r>
                    <w:rPr>
                      <w:rFonts w:hint="eastAsia" w:eastAsia="宋体"/>
                      <w:color w:val="auto"/>
                      <w:sz w:val="21"/>
                      <w:szCs w:val="21"/>
                      <w:lang w:eastAsia="zh-CN"/>
                    </w:rPr>
                    <w:drawing>
                      <wp:inline distT="0" distB="0" distL="114300" distR="114300">
                        <wp:extent cx="1209675" cy="1191895"/>
                        <wp:effectExtent l="0" t="0" r="12065" b="9525"/>
                        <wp:docPr id="6" name="图片 6" descr="0a976616b2d6e7332c8323e1d22ef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a976616b2d6e7332c8323e1d22ef694"/>
                                <pic:cNvPicPr>
                                  <a:picLocks noChangeAspect="1"/>
                                </pic:cNvPicPr>
                              </pic:nvPicPr>
                              <pic:blipFill>
                                <a:blip r:embed="rId13"/>
                                <a:srcRect t="13788" r="-186" b="12187"/>
                                <a:stretch>
                                  <a:fillRect/>
                                </a:stretch>
                              </pic:blipFill>
                              <pic:spPr>
                                <a:xfrm rot="16200000">
                                  <a:off x="0" y="0"/>
                                  <a:ext cx="1209675" cy="1191895"/>
                                </a:xfrm>
                                <a:prstGeom prst="rect">
                                  <a:avLst/>
                                </a:prstGeom>
                              </pic:spPr>
                            </pic:pic>
                          </a:graphicData>
                        </a:graphic>
                      </wp:inline>
                    </w:drawing>
                  </w:r>
                </w:p>
              </w:tc>
              <w:tc>
                <w:tcPr>
                  <w:tcW w:w="763" w:type="pct"/>
                  <w:noWrap w:val="0"/>
                  <w:vAlign w:val="center"/>
                </w:tcPr>
                <w:p w14:paraId="275D2C03">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防水接线盒</w:t>
                  </w:r>
                </w:p>
              </w:tc>
              <w:tc>
                <w:tcPr>
                  <w:tcW w:w="661" w:type="pct"/>
                  <w:noWrap w:val="0"/>
                  <w:vAlign w:val="center"/>
                </w:tcPr>
                <w:p w14:paraId="7CA36B75">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highlight w:val="none"/>
                      <w:lang w:val="en-US" w:eastAsia="zh-CN"/>
                    </w:rPr>
                    <w:t>160*160*70mm</w:t>
                  </w:r>
                </w:p>
              </w:tc>
              <w:tc>
                <w:tcPr>
                  <w:tcW w:w="639" w:type="pct"/>
                  <w:noWrap w:val="0"/>
                  <w:vAlign w:val="center"/>
                </w:tcPr>
                <w:p w14:paraId="0F7C584C">
                  <w:pPr>
                    <w:adjustRightInd w:val="0"/>
                    <w:snapToGrid w:val="0"/>
                    <w:ind w:left="0" w:leftChars="0" w:firstLine="0" w:firstLineChars="0"/>
                    <w:jc w:val="center"/>
                    <w:rPr>
                      <w:rFonts w:hint="eastAsia" w:cs="Times New Roman"/>
                      <w:color w:val="auto"/>
                      <w:sz w:val="21"/>
                      <w:szCs w:val="21"/>
                      <w:highlight w:val="none"/>
                      <w:lang w:val="en-US" w:eastAsia="zh-CN"/>
                    </w:rPr>
                  </w:pPr>
                  <w:r>
                    <w:rPr>
                      <w:rFonts w:hint="eastAsia" w:eastAsia="宋体"/>
                      <w:color w:val="auto"/>
                      <w:sz w:val="21"/>
                      <w:szCs w:val="21"/>
                      <w:lang w:val="en-US" w:eastAsia="zh-CN"/>
                    </w:rPr>
                    <w:t>50万套/年</w:t>
                  </w:r>
                </w:p>
              </w:tc>
              <w:tc>
                <w:tcPr>
                  <w:tcW w:w="409" w:type="pct"/>
                  <w:noWrap w:val="0"/>
                  <w:vAlign w:val="center"/>
                </w:tcPr>
                <w:p w14:paraId="0605F86E">
                  <w:pPr>
                    <w:spacing w:line="320" w:lineRule="exact"/>
                    <w:ind w:left="0" w:leftChars="0" w:firstLine="0" w:firstLineChars="0"/>
                    <w:jc w:val="center"/>
                    <w:rPr>
                      <w:rFonts w:hint="default" w:ascii="Times New Roman" w:hAnsi="Times New Roman" w:eastAsia="宋体" w:cs="Times New Roman"/>
                      <w:color w:val="auto"/>
                      <w:sz w:val="21"/>
                      <w:szCs w:val="21"/>
                      <w:highlight w:val="none"/>
                    </w:rPr>
                  </w:pPr>
                  <w:r>
                    <w:rPr>
                      <w:rFonts w:hint="eastAsia"/>
                      <w:color w:val="auto"/>
                      <w:sz w:val="21"/>
                      <w:szCs w:val="21"/>
                      <w:lang w:val="en-US" w:eastAsia="zh-CN"/>
                    </w:rPr>
                    <w:t>2400h</w:t>
                  </w:r>
                </w:p>
              </w:tc>
            </w:tr>
          </w:tbl>
          <w:p w14:paraId="6437D0BE">
            <w:pPr>
              <w:spacing w:line="240" w:lineRule="auto"/>
              <w:ind w:firstLine="0" w:firstLineChars="0"/>
              <w:rPr>
                <w:rFonts w:hint="default"/>
                <w:b w:val="0"/>
                <w:bCs w:val="0"/>
                <w:color w:val="auto"/>
                <w:sz w:val="21"/>
                <w:szCs w:val="21"/>
                <w:lang w:val="en-US" w:eastAsia="zh-CN"/>
              </w:rPr>
            </w:pPr>
            <w:r>
              <w:rPr>
                <w:rFonts w:hint="eastAsia"/>
                <w:b w:val="0"/>
                <w:bCs w:val="0"/>
                <w:color w:val="auto"/>
                <w:sz w:val="21"/>
                <w:szCs w:val="21"/>
                <w:lang w:val="en-US" w:eastAsia="zh-CN"/>
              </w:rPr>
              <w:t>注：</w:t>
            </w:r>
            <w:r>
              <w:rPr>
                <w:rFonts w:hint="eastAsia"/>
                <w:b w:val="0"/>
                <w:bCs w:val="0"/>
                <w:color w:val="auto"/>
                <w:sz w:val="21"/>
                <w:szCs w:val="21"/>
              </w:rPr>
              <w:t>鉴于企业产品线丰富，本项目主要展示</w:t>
            </w:r>
            <w:r>
              <w:rPr>
                <w:rFonts w:hint="eastAsia"/>
                <w:b w:val="0"/>
                <w:bCs w:val="0"/>
                <w:color w:val="auto"/>
                <w:sz w:val="21"/>
                <w:szCs w:val="21"/>
                <w:lang w:val="en-US" w:eastAsia="zh-CN"/>
              </w:rPr>
              <w:t>具有代表性的</w:t>
            </w:r>
            <w:r>
              <w:rPr>
                <w:rFonts w:hint="eastAsia"/>
                <w:b w:val="0"/>
                <w:bCs w:val="0"/>
                <w:color w:val="auto"/>
                <w:sz w:val="21"/>
                <w:szCs w:val="21"/>
              </w:rPr>
              <w:t>产品。</w:t>
            </w:r>
          </w:p>
          <w:p w14:paraId="06C516D9">
            <w:pPr>
              <w:ind w:firstLine="0" w:firstLineChars="0"/>
              <w:rPr>
                <w:b/>
                <w:bCs/>
                <w:color w:val="auto"/>
                <w:sz w:val="24"/>
                <w:szCs w:val="24"/>
              </w:rPr>
            </w:pPr>
            <w:r>
              <w:rPr>
                <w:rFonts w:hint="eastAsia"/>
                <w:b/>
                <w:bCs/>
                <w:color w:val="auto"/>
                <w:sz w:val="24"/>
                <w:szCs w:val="24"/>
                <w:lang w:val="en-US" w:eastAsia="zh-CN"/>
              </w:rPr>
              <w:t>3</w:t>
            </w:r>
            <w:r>
              <w:rPr>
                <w:b/>
                <w:bCs/>
                <w:color w:val="auto"/>
                <w:sz w:val="24"/>
                <w:szCs w:val="24"/>
              </w:rPr>
              <w:t>、主要原辅材料及理化性质</w:t>
            </w:r>
          </w:p>
          <w:p w14:paraId="7B7FBD65">
            <w:pPr>
              <w:ind w:firstLine="420"/>
              <w:rPr>
                <w:color w:val="auto"/>
                <w:sz w:val="24"/>
                <w:szCs w:val="24"/>
              </w:rPr>
            </w:pPr>
            <w:r>
              <w:rPr>
                <w:color w:val="auto"/>
                <w:sz w:val="24"/>
                <w:szCs w:val="24"/>
              </w:rPr>
              <w:t>本项目主要原辅材料消耗详见表2-</w:t>
            </w:r>
            <w:r>
              <w:rPr>
                <w:rFonts w:hint="eastAsia"/>
                <w:color w:val="auto"/>
                <w:sz w:val="24"/>
                <w:szCs w:val="24"/>
                <w:lang w:val="en-US" w:eastAsia="zh-CN"/>
              </w:rPr>
              <w:t>2</w:t>
            </w:r>
            <w:r>
              <w:rPr>
                <w:color w:val="auto"/>
                <w:sz w:val="24"/>
                <w:szCs w:val="24"/>
              </w:rPr>
              <w:t>，主要原辅料、理化特性、毒性毒理详见表2-</w:t>
            </w:r>
            <w:r>
              <w:rPr>
                <w:rFonts w:hint="eastAsia"/>
                <w:color w:val="auto"/>
                <w:sz w:val="24"/>
                <w:szCs w:val="24"/>
                <w:lang w:val="en-US" w:eastAsia="zh-CN"/>
              </w:rPr>
              <w:t>3</w:t>
            </w:r>
            <w:r>
              <w:rPr>
                <w:color w:val="auto"/>
                <w:sz w:val="24"/>
                <w:szCs w:val="24"/>
              </w:rPr>
              <w:t>。</w:t>
            </w:r>
          </w:p>
          <w:p w14:paraId="44FC4944">
            <w:pPr>
              <w:spacing w:line="240" w:lineRule="auto"/>
              <w:ind w:firstLine="0" w:firstLineChars="0"/>
              <w:jc w:val="center"/>
              <w:rPr>
                <w:b/>
                <w:bCs/>
                <w:color w:val="auto"/>
                <w:sz w:val="21"/>
                <w:szCs w:val="21"/>
              </w:rPr>
            </w:pPr>
            <w:r>
              <w:rPr>
                <w:b/>
                <w:bCs/>
                <w:color w:val="auto"/>
                <w:sz w:val="21"/>
                <w:szCs w:val="21"/>
              </w:rPr>
              <w:t>表2-</w:t>
            </w:r>
            <w:r>
              <w:rPr>
                <w:rFonts w:hint="eastAsia"/>
                <w:b/>
                <w:bCs/>
                <w:color w:val="auto"/>
                <w:sz w:val="21"/>
                <w:szCs w:val="21"/>
                <w:lang w:val="en-US" w:eastAsia="zh-CN"/>
              </w:rPr>
              <w:t>2</w:t>
            </w:r>
            <w:r>
              <w:rPr>
                <w:b/>
                <w:bCs/>
                <w:color w:val="auto"/>
                <w:sz w:val="21"/>
                <w:szCs w:val="21"/>
              </w:rPr>
              <w:t xml:space="preserve">  主要原辅料消耗表</w:t>
            </w:r>
          </w:p>
          <w:tbl>
            <w:tblPr>
              <w:tblStyle w:val="17"/>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602"/>
              <w:gridCol w:w="1144"/>
              <w:gridCol w:w="3393"/>
              <w:gridCol w:w="1092"/>
              <w:gridCol w:w="1214"/>
              <w:gridCol w:w="1024"/>
              <w:gridCol w:w="779"/>
            </w:tblGrid>
            <w:tr w14:paraId="5F30676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25" w:type="pct"/>
                  <w:noWrap/>
                  <w:vAlign w:val="center"/>
                </w:tcPr>
                <w:p w14:paraId="1FC7D831">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bCs/>
                      <w:color w:val="auto"/>
                      <w:sz w:val="21"/>
                      <w:szCs w:val="21"/>
                    </w:rPr>
                  </w:pPr>
                  <w:bookmarkStart w:id="0" w:name="_Hlk119610295"/>
                  <w:r>
                    <w:rPr>
                      <w:rFonts w:hint="default" w:ascii="Times New Roman" w:hAnsi="Times New Roman" w:cs="Times New Roman"/>
                      <w:b/>
                      <w:bCs/>
                      <w:color w:val="auto"/>
                      <w:sz w:val="21"/>
                      <w:szCs w:val="21"/>
                    </w:rPr>
                    <w:t>序号</w:t>
                  </w:r>
                </w:p>
              </w:tc>
              <w:tc>
                <w:tcPr>
                  <w:tcW w:w="618" w:type="pct"/>
                  <w:noWrap/>
                  <w:vAlign w:val="center"/>
                </w:tcPr>
                <w:p w14:paraId="72470B9C">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1834" w:type="pct"/>
                  <w:noWrap w:val="0"/>
                  <w:vAlign w:val="center"/>
                </w:tcPr>
                <w:p w14:paraId="0F7411F2">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eastAsia="zh-CN"/>
                    </w:rPr>
                    <w:t>主要成分</w:t>
                  </w:r>
                  <w:r>
                    <w:rPr>
                      <w:rFonts w:hint="default" w:ascii="Times New Roman" w:hAnsi="Times New Roman" w:cs="Times New Roman"/>
                      <w:b/>
                      <w:bCs/>
                      <w:color w:val="auto"/>
                      <w:sz w:val="21"/>
                      <w:szCs w:val="21"/>
                    </w:rPr>
                    <w:t>、化学组成</w:t>
                  </w:r>
                </w:p>
              </w:tc>
              <w:tc>
                <w:tcPr>
                  <w:tcW w:w="590" w:type="pct"/>
                  <w:noWrap/>
                  <w:vAlign w:val="center"/>
                </w:tcPr>
                <w:p w14:paraId="77FB13BA">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年耗量（t/a）</w:t>
                  </w:r>
                </w:p>
              </w:tc>
              <w:tc>
                <w:tcPr>
                  <w:tcW w:w="656" w:type="pct"/>
                  <w:noWrap/>
                  <w:vAlign w:val="center"/>
                </w:tcPr>
                <w:p w14:paraId="22382EDE">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最大储存量（t）</w:t>
                  </w:r>
                </w:p>
              </w:tc>
              <w:tc>
                <w:tcPr>
                  <w:tcW w:w="553" w:type="pct"/>
                  <w:noWrap w:val="0"/>
                  <w:vAlign w:val="center"/>
                </w:tcPr>
                <w:p w14:paraId="58027A43">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包装及规格</w:t>
                  </w:r>
                </w:p>
              </w:tc>
              <w:tc>
                <w:tcPr>
                  <w:tcW w:w="421" w:type="pct"/>
                  <w:noWrap/>
                  <w:vAlign w:val="center"/>
                </w:tcPr>
                <w:p w14:paraId="35AD2A82">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来源</w:t>
                  </w:r>
                </w:p>
              </w:tc>
            </w:tr>
            <w:tr w14:paraId="699859B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25" w:type="pct"/>
                  <w:noWrap/>
                  <w:vAlign w:val="center"/>
                </w:tcPr>
                <w:p w14:paraId="324B5D5F">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618" w:type="pct"/>
                  <w:shd w:val="clear" w:color="auto" w:fill="auto"/>
                  <w:noWrap/>
                  <w:vAlign w:val="center"/>
                </w:tcPr>
                <w:p w14:paraId="7D66A697">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bCs/>
                      <w:color w:val="auto"/>
                      <w:kern w:val="2"/>
                      <w:sz w:val="21"/>
                      <w:szCs w:val="21"/>
                      <w:lang w:val="en-US" w:eastAsia="zh-CN" w:bidi="ar-SA"/>
                    </w:rPr>
                    <w:t>ABS</w:t>
                  </w:r>
                </w:p>
              </w:tc>
              <w:tc>
                <w:tcPr>
                  <w:tcW w:w="1834" w:type="pct"/>
                  <w:noWrap w:val="0"/>
                  <w:vAlign w:val="center"/>
                </w:tcPr>
                <w:p w14:paraId="7D740BD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φ4*5mm粒子，丙烯腈、丁二烯、苯乙烯三种单体的共聚物</w:t>
                  </w:r>
                </w:p>
              </w:tc>
              <w:tc>
                <w:tcPr>
                  <w:tcW w:w="590" w:type="pct"/>
                  <w:noWrap/>
                  <w:vAlign w:val="center"/>
                </w:tcPr>
                <w:p w14:paraId="68EB2E20">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75</w:t>
                  </w:r>
                </w:p>
              </w:tc>
              <w:tc>
                <w:tcPr>
                  <w:tcW w:w="656" w:type="pct"/>
                  <w:noWrap/>
                  <w:vAlign w:val="center"/>
                </w:tcPr>
                <w:p w14:paraId="6048B614">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553" w:type="pct"/>
                  <w:noWrap w:val="0"/>
                  <w:vAlign w:val="center"/>
                </w:tcPr>
                <w:p w14:paraId="20E1B3E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25kg/袋</w:t>
                  </w:r>
                </w:p>
              </w:tc>
              <w:tc>
                <w:tcPr>
                  <w:tcW w:w="421" w:type="pct"/>
                  <w:vMerge w:val="restart"/>
                  <w:noWrap/>
                  <w:vAlign w:val="center"/>
                </w:tcPr>
                <w:p w14:paraId="54D0FE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国内，外购，汽运</w:t>
                  </w:r>
                </w:p>
              </w:tc>
            </w:tr>
            <w:tr w14:paraId="3150212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25" w:type="pct"/>
                  <w:noWrap/>
                  <w:vAlign w:val="center"/>
                </w:tcPr>
                <w:p w14:paraId="075BF15B">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618" w:type="pct"/>
                  <w:shd w:val="clear" w:color="auto" w:fill="auto"/>
                  <w:noWrap/>
                  <w:vAlign w:val="center"/>
                </w:tcPr>
                <w:p w14:paraId="6E22BBC9">
                  <w:pPr>
                    <w:keepNext w:val="0"/>
                    <w:keepLines w:val="0"/>
                    <w:pageBreakBefore w:val="0"/>
                    <w:tabs>
                      <w:tab w:val="center" w:pos="1815"/>
                      <w:tab w:val="left" w:pos="2750"/>
                    </w:tabs>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bCs/>
                      <w:color w:val="auto"/>
                      <w:kern w:val="2"/>
                      <w:sz w:val="21"/>
                      <w:szCs w:val="21"/>
                      <w:lang w:val="en-US" w:eastAsia="zh-CN" w:bidi="ar-SA"/>
                    </w:rPr>
                    <w:t>PC</w:t>
                  </w:r>
                </w:p>
              </w:tc>
              <w:tc>
                <w:tcPr>
                  <w:tcW w:w="1834" w:type="pct"/>
                  <w:noWrap w:val="0"/>
                  <w:vAlign w:val="center"/>
                </w:tcPr>
                <w:p w14:paraId="76B57E4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φ4*5mm粒子，聚碳酸酯树脂</w:t>
                  </w:r>
                </w:p>
              </w:tc>
              <w:tc>
                <w:tcPr>
                  <w:tcW w:w="590" w:type="pct"/>
                  <w:noWrap/>
                  <w:vAlign w:val="center"/>
                </w:tcPr>
                <w:p w14:paraId="4DAEB7EC">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c>
                <w:tcPr>
                  <w:tcW w:w="656" w:type="pct"/>
                  <w:noWrap/>
                  <w:vAlign w:val="center"/>
                </w:tcPr>
                <w:p w14:paraId="5F1C4629">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553" w:type="pct"/>
                  <w:noWrap w:val="0"/>
                  <w:vAlign w:val="center"/>
                </w:tcPr>
                <w:p w14:paraId="7B80AB41">
                  <w:pPr>
                    <w:keepNext w:val="0"/>
                    <w:keepLines w:val="0"/>
                    <w:pageBreakBefore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25kg/袋</w:t>
                  </w:r>
                </w:p>
              </w:tc>
              <w:tc>
                <w:tcPr>
                  <w:tcW w:w="421" w:type="pct"/>
                  <w:vMerge w:val="continue"/>
                  <w:noWrap/>
                  <w:vAlign w:val="center"/>
                </w:tcPr>
                <w:p w14:paraId="653DCDF1">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sz w:val="21"/>
                      <w:szCs w:val="21"/>
                    </w:rPr>
                  </w:pPr>
                </w:p>
              </w:tc>
            </w:tr>
            <w:tr w14:paraId="5DDA5E1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25" w:type="pct"/>
                  <w:noWrap/>
                  <w:vAlign w:val="center"/>
                </w:tcPr>
                <w:p w14:paraId="4DD9E378">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3</w:t>
                  </w:r>
                </w:p>
              </w:tc>
              <w:tc>
                <w:tcPr>
                  <w:tcW w:w="618" w:type="pct"/>
                  <w:shd w:val="clear" w:color="auto" w:fill="auto"/>
                  <w:noWrap/>
                  <w:vAlign w:val="center"/>
                </w:tcPr>
                <w:p w14:paraId="142C0F1F">
                  <w:pPr>
                    <w:keepNext w:val="0"/>
                    <w:keepLines w:val="0"/>
                    <w:pageBreakBefore w:val="0"/>
                    <w:tabs>
                      <w:tab w:val="center" w:pos="1815"/>
                      <w:tab w:val="left" w:pos="2750"/>
                    </w:tabs>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eastAsia="宋体"/>
                      <w:bCs/>
                      <w:color w:val="auto"/>
                      <w:kern w:val="2"/>
                      <w:sz w:val="21"/>
                      <w:szCs w:val="21"/>
                      <w:highlight w:val="none"/>
                      <w:lang w:val="en-US" w:eastAsia="zh-CN" w:bidi="ar-SA"/>
                    </w:rPr>
                    <w:t>PP</w:t>
                  </w:r>
                </w:p>
              </w:tc>
              <w:tc>
                <w:tcPr>
                  <w:tcW w:w="1834" w:type="pct"/>
                  <w:noWrap w:val="0"/>
                  <w:vAlign w:val="center"/>
                </w:tcPr>
                <w:p w14:paraId="02302FD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kern w:val="2"/>
                      <w:sz w:val="21"/>
                      <w:szCs w:val="21"/>
                      <w:lang w:val="en-US" w:eastAsia="zh-CN" w:bidi="ar-SA"/>
                    </w:rPr>
                    <w:t>φ4*5mm粒子，</w:t>
                  </w:r>
                  <w:r>
                    <w:rPr>
                      <w:rFonts w:hint="default" w:cs="Times New Roman"/>
                      <w:color w:val="auto"/>
                      <w:sz w:val="21"/>
                      <w:szCs w:val="21"/>
                      <w:lang w:val="en-US" w:eastAsia="zh-CN"/>
                    </w:rPr>
                    <w:t>聚丙烯树脂</w:t>
                  </w:r>
                </w:p>
              </w:tc>
              <w:tc>
                <w:tcPr>
                  <w:tcW w:w="590" w:type="pct"/>
                  <w:noWrap/>
                  <w:vAlign w:val="center"/>
                </w:tcPr>
                <w:p w14:paraId="6F7BDFD4">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20</w:t>
                  </w:r>
                </w:p>
              </w:tc>
              <w:tc>
                <w:tcPr>
                  <w:tcW w:w="656" w:type="pct"/>
                  <w:noWrap/>
                  <w:vAlign w:val="center"/>
                </w:tcPr>
                <w:p w14:paraId="40C498E5">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4</w:t>
                  </w:r>
                </w:p>
              </w:tc>
              <w:tc>
                <w:tcPr>
                  <w:tcW w:w="553" w:type="pct"/>
                  <w:noWrap w:val="0"/>
                  <w:vAlign w:val="center"/>
                </w:tcPr>
                <w:p w14:paraId="2BAE66A1">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lang w:val="en-US" w:eastAsia="zh-CN"/>
                    </w:rPr>
                    <w:t>25kg/袋</w:t>
                  </w:r>
                </w:p>
              </w:tc>
              <w:tc>
                <w:tcPr>
                  <w:tcW w:w="421" w:type="pct"/>
                  <w:vMerge w:val="continue"/>
                  <w:noWrap/>
                  <w:vAlign w:val="center"/>
                </w:tcPr>
                <w:p w14:paraId="3D9316F0">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p>
              </w:tc>
            </w:tr>
            <w:bookmarkEnd w:id="0"/>
            <w:tr w14:paraId="470DF5D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25" w:type="pct"/>
                  <w:vAlign w:val="center"/>
                </w:tcPr>
                <w:p w14:paraId="3EE992A6">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618" w:type="pct"/>
                  <w:shd w:val="clear" w:color="auto" w:fill="auto"/>
                  <w:vAlign w:val="center"/>
                </w:tcPr>
                <w:p w14:paraId="0DEB5436">
                  <w:pPr>
                    <w:keepNext w:val="0"/>
                    <w:keepLines w:val="0"/>
                    <w:pageBreakBefore w:val="0"/>
                    <w:tabs>
                      <w:tab w:val="center" w:pos="1815"/>
                      <w:tab w:val="left" w:pos="2750"/>
                    </w:tabs>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eastAsia="宋体"/>
                      <w:bCs/>
                      <w:color w:val="auto"/>
                      <w:kern w:val="2"/>
                      <w:sz w:val="21"/>
                      <w:szCs w:val="21"/>
                      <w:highlight w:val="none"/>
                      <w:lang w:val="en-US" w:eastAsia="zh-CN" w:bidi="ar-SA"/>
                    </w:rPr>
                    <w:t>PE</w:t>
                  </w:r>
                </w:p>
              </w:tc>
              <w:tc>
                <w:tcPr>
                  <w:tcW w:w="1834" w:type="pct"/>
                  <w:vAlign w:val="center"/>
                </w:tcPr>
                <w:p w14:paraId="6D57596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kern w:val="2"/>
                      <w:sz w:val="21"/>
                      <w:szCs w:val="21"/>
                      <w:lang w:val="en-US" w:eastAsia="zh-CN" w:bidi="ar-SA"/>
                    </w:rPr>
                    <w:t>φ4*5mm粒子，</w:t>
                  </w:r>
                  <w:r>
                    <w:rPr>
                      <w:rFonts w:hint="default" w:cs="Times New Roman"/>
                      <w:color w:val="auto"/>
                      <w:sz w:val="21"/>
                      <w:szCs w:val="21"/>
                      <w:lang w:val="en-US" w:eastAsia="zh-CN"/>
                    </w:rPr>
                    <w:t>聚乙烯树脂</w:t>
                  </w:r>
                </w:p>
              </w:tc>
              <w:tc>
                <w:tcPr>
                  <w:tcW w:w="590" w:type="pct"/>
                  <w:vAlign w:val="center"/>
                </w:tcPr>
                <w:p w14:paraId="5B313289">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20</w:t>
                  </w:r>
                </w:p>
              </w:tc>
              <w:tc>
                <w:tcPr>
                  <w:tcW w:w="0" w:type="auto"/>
                  <w:vAlign w:val="center"/>
                </w:tcPr>
                <w:p w14:paraId="2FFAA986">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4</w:t>
                  </w:r>
                </w:p>
              </w:tc>
              <w:tc>
                <w:tcPr>
                  <w:tcW w:w="0" w:type="auto"/>
                  <w:vAlign w:val="center"/>
                </w:tcPr>
                <w:p w14:paraId="6657188B">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lang w:val="en-US" w:eastAsia="zh-CN"/>
                    </w:rPr>
                    <w:t>25kg/袋</w:t>
                  </w:r>
                </w:p>
              </w:tc>
              <w:tc>
                <w:tcPr>
                  <w:tcW w:w="421" w:type="pct"/>
                  <w:vMerge w:val="continue"/>
                  <w:vAlign w:val="center"/>
                </w:tcPr>
                <w:p w14:paraId="2CF437A1">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p>
              </w:tc>
            </w:tr>
            <w:tr w14:paraId="342675B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325" w:type="pct"/>
                  <w:vAlign w:val="center"/>
                </w:tcPr>
                <w:p w14:paraId="4792EE47">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w:t>
                  </w:r>
                </w:p>
              </w:tc>
              <w:tc>
                <w:tcPr>
                  <w:tcW w:w="618" w:type="pct"/>
                  <w:shd w:val="clear" w:color="auto" w:fill="auto"/>
                  <w:vAlign w:val="center"/>
                </w:tcPr>
                <w:p w14:paraId="75210309">
                  <w:pPr>
                    <w:pStyle w:val="2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PA</w:t>
                  </w:r>
                </w:p>
              </w:tc>
              <w:tc>
                <w:tcPr>
                  <w:tcW w:w="1834" w:type="pct"/>
                  <w:vAlign w:val="center"/>
                </w:tcPr>
                <w:p w14:paraId="7C7EC0C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kern w:val="2"/>
                      <w:sz w:val="21"/>
                      <w:szCs w:val="21"/>
                      <w:lang w:val="en-US" w:eastAsia="zh-CN" w:bidi="ar-SA"/>
                    </w:rPr>
                    <w:t>φ4*5mm粒子，</w:t>
                  </w:r>
                  <w:r>
                    <w:rPr>
                      <w:rFonts w:hint="default"/>
                      <w:color w:val="auto"/>
                    </w:rPr>
                    <w:t>聚酰胺树脂</w:t>
                  </w:r>
                </w:p>
              </w:tc>
              <w:tc>
                <w:tcPr>
                  <w:tcW w:w="590" w:type="pct"/>
                  <w:shd w:val="clear" w:color="auto" w:fill="auto"/>
                  <w:vAlign w:val="center"/>
                </w:tcPr>
                <w:p w14:paraId="11B34211">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20</w:t>
                  </w:r>
                </w:p>
              </w:tc>
              <w:tc>
                <w:tcPr>
                  <w:tcW w:w="0" w:type="auto"/>
                  <w:shd w:val="clear" w:color="auto" w:fill="auto"/>
                  <w:vAlign w:val="center"/>
                </w:tcPr>
                <w:p w14:paraId="1838E2A4">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w:t>
                  </w:r>
                </w:p>
              </w:tc>
              <w:tc>
                <w:tcPr>
                  <w:tcW w:w="0" w:type="auto"/>
                  <w:shd w:val="clear" w:color="auto" w:fill="auto"/>
                  <w:vAlign w:val="center"/>
                </w:tcPr>
                <w:p w14:paraId="4D5C721E">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lang w:val="en-US" w:eastAsia="zh-CN"/>
                    </w:rPr>
                    <w:t>25kg/袋</w:t>
                  </w:r>
                </w:p>
              </w:tc>
              <w:tc>
                <w:tcPr>
                  <w:tcW w:w="421" w:type="pct"/>
                  <w:vMerge w:val="continue"/>
                  <w:vAlign w:val="center"/>
                </w:tcPr>
                <w:p w14:paraId="72735C55">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p>
              </w:tc>
            </w:tr>
            <w:tr w14:paraId="47BCFB8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325" w:type="pct"/>
                  <w:vAlign w:val="center"/>
                </w:tcPr>
                <w:p w14:paraId="3431A432">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c>
                <w:tcPr>
                  <w:tcW w:w="618" w:type="pct"/>
                  <w:shd w:val="clear" w:color="auto" w:fill="auto"/>
                  <w:vAlign w:val="center"/>
                </w:tcPr>
                <w:p w14:paraId="29FA624A">
                  <w:pPr>
                    <w:pStyle w:val="2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UV油墨</w:t>
                  </w:r>
                </w:p>
              </w:tc>
              <w:tc>
                <w:tcPr>
                  <w:tcW w:w="1834" w:type="pct"/>
                  <w:vAlign w:val="center"/>
                </w:tcPr>
                <w:p w14:paraId="76C23D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颜料1~10%、丙烯酸酯低聚物1~10%、四氢糖糠20~40%、丙烯酸酯单体10~40%、TPO1~10%、光引发剂1~10%、助剂0.5~2%</w:t>
                  </w:r>
                </w:p>
              </w:tc>
              <w:tc>
                <w:tcPr>
                  <w:tcW w:w="590" w:type="pct"/>
                  <w:vAlign w:val="center"/>
                </w:tcPr>
                <w:p w14:paraId="33D138C2">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0.1</w:t>
                  </w:r>
                </w:p>
              </w:tc>
              <w:tc>
                <w:tcPr>
                  <w:tcW w:w="0" w:type="auto"/>
                  <w:vAlign w:val="center"/>
                </w:tcPr>
                <w:p w14:paraId="0CAA02B0">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0.1</w:t>
                  </w:r>
                </w:p>
              </w:tc>
              <w:tc>
                <w:tcPr>
                  <w:tcW w:w="0" w:type="auto"/>
                  <w:vAlign w:val="center"/>
                </w:tcPr>
                <w:p w14:paraId="64A48443">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25kg/盒</w:t>
                  </w:r>
                </w:p>
              </w:tc>
              <w:tc>
                <w:tcPr>
                  <w:tcW w:w="421" w:type="pct"/>
                  <w:vMerge w:val="continue"/>
                  <w:vAlign w:val="center"/>
                </w:tcPr>
                <w:p w14:paraId="103446D7">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p>
              </w:tc>
            </w:tr>
            <w:tr w14:paraId="40AC6B9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25" w:type="pct"/>
                  <w:shd w:val="clear" w:color="auto" w:fill="auto"/>
                  <w:vAlign w:val="center"/>
                </w:tcPr>
                <w:p w14:paraId="736799D4">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7</w:t>
                  </w:r>
                </w:p>
              </w:tc>
              <w:tc>
                <w:tcPr>
                  <w:tcW w:w="618" w:type="pct"/>
                  <w:shd w:val="clear" w:color="auto" w:fill="auto"/>
                  <w:vAlign w:val="center"/>
                </w:tcPr>
                <w:p w14:paraId="3F771EA7">
                  <w:pPr>
                    <w:pStyle w:val="2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仿宋_GB2312"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钣金件</w:t>
                  </w:r>
                </w:p>
              </w:tc>
              <w:tc>
                <w:tcPr>
                  <w:tcW w:w="1834" w:type="pct"/>
                  <w:shd w:val="clear" w:color="auto" w:fill="auto"/>
                  <w:vAlign w:val="center"/>
                </w:tcPr>
                <w:p w14:paraId="3E93CCD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highlight w:val="none"/>
                      <w:lang w:val="en-US" w:eastAsia="zh-CN"/>
                    </w:rPr>
                    <w:t>不锈钢304</w:t>
                  </w:r>
                </w:p>
              </w:tc>
              <w:tc>
                <w:tcPr>
                  <w:tcW w:w="590" w:type="pct"/>
                  <w:shd w:val="clear" w:color="auto" w:fill="auto"/>
                  <w:vAlign w:val="center"/>
                </w:tcPr>
                <w:p w14:paraId="2FC0016B">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w:t>
                  </w:r>
                </w:p>
              </w:tc>
              <w:tc>
                <w:tcPr>
                  <w:tcW w:w="0" w:type="auto"/>
                  <w:shd w:val="clear" w:color="auto" w:fill="auto"/>
                  <w:vAlign w:val="center"/>
                </w:tcPr>
                <w:p w14:paraId="1D064A6B">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0.5</w:t>
                  </w:r>
                </w:p>
              </w:tc>
              <w:tc>
                <w:tcPr>
                  <w:tcW w:w="0" w:type="auto"/>
                  <w:shd w:val="clear" w:color="auto" w:fill="auto"/>
                  <w:vAlign w:val="center"/>
                </w:tcPr>
                <w:p w14:paraId="36DF1F94">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散件</w:t>
                  </w:r>
                </w:p>
              </w:tc>
              <w:tc>
                <w:tcPr>
                  <w:tcW w:w="421" w:type="pct"/>
                  <w:vMerge w:val="continue"/>
                  <w:vAlign w:val="center"/>
                </w:tcPr>
                <w:p w14:paraId="40CFB565">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p>
              </w:tc>
            </w:tr>
            <w:tr w14:paraId="0744965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25" w:type="pct"/>
                  <w:shd w:val="clear" w:color="auto" w:fill="auto"/>
                  <w:vAlign w:val="center"/>
                </w:tcPr>
                <w:p w14:paraId="20D95184">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8</w:t>
                  </w:r>
                </w:p>
              </w:tc>
              <w:tc>
                <w:tcPr>
                  <w:tcW w:w="618" w:type="pct"/>
                  <w:shd w:val="clear" w:color="auto" w:fill="auto"/>
                  <w:vAlign w:val="center"/>
                </w:tcPr>
                <w:p w14:paraId="0D288752">
                  <w:pPr>
                    <w:pStyle w:val="2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模具钢</w:t>
                  </w:r>
                </w:p>
              </w:tc>
              <w:tc>
                <w:tcPr>
                  <w:tcW w:w="1834" w:type="pct"/>
                  <w:vAlign w:val="center"/>
                </w:tcPr>
                <w:p w14:paraId="5425DEE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highlight w:val="none"/>
                      <w:lang w:val="en-US" w:eastAsia="zh-CN"/>
                    </w:rPr>
                    <w:t>不锈钢304</w:t>
                  </w:r>
                </w:p>
              </w:tc>
              <w:tc>
                <w:tcPr>
                  <w:tcW w:w="590" w:type="pct"/>
                  <w:vAlign w:val="center"/>
                </w:tcPr>
                <w:p w14:paraId="39967012">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0" w:type="auto"/>
                  <w:vAlign w:val="center"/>
                </w:tcPr>
                <w:p w14:paraId="54CC4BEC">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0.5</w:t>
                  </w:r>
                </w:p>
              </w:tc>
              <w:tc>
                <w:tcPr>
                  <w:tcW w:w="0" w:type="auto"/>
                  <w:vAlign w:val="center"/>
                </w:tcPr>
                <w:p w14:paraId="5522FED7">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散件</w:t>
                  </w:r>
                </w:p>
              </w:tc>
              <w:tc>
                <w:tcPr>
                  <w:tcW w:w="421" w:type="pct"/>
                  <w:vMerge w:val="continue"/>
                  <w:vAlign w:val="center"/>
                </w:tcPr>
                <w:p w14:paraId="1E50A5A9">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p>
              </w:tc>
            </w:tr>
            <w:tr w14:paraId="2FBDDFF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25" w:type="pct"/>
                  <w:shd w:val="clear" w:color="auto" w:fill="auto"/>
                  <w:vAlign w:val="center"/>
                </w:tcPr>
                <w:p w14:paraId="14F7C029">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9</w:t>
                  </w:r>
                </w:p>
              </w:tc>
              <w:tc>
                <w:tcPr>
                  <w:tcW w:w="618" w:type="pct"/>
                  <w:shd w:val="clear" w:color="auto" w:fill="auto"/>
                  <w:vAlign w:val="center"/>
                </w:tcPr>
                <w:p w14:paraId="0F874C1C">
                  <w:pPr>
                    <w:pStyle w:val="2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脱脂粉</w:t>
                  </w:r>
                </w:p>
              </w:tc>
              <w:tc>
                <w:tcPr>
                  <w:tcW w:w="1834" w:type="pct"/>
                  <w:vAlign w:val="center"/>
                </w:tcPr>
                <w:p w14:paraId="34CFA2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氢氧化钾3</w:t>
                  </w:r>
                  <w:r>
                    <w:rPr>
                      <w:rFonts w:hint="eastAsia" w:cs="Times New Roman"/>
                      <w:color w:val="auto"/>
                      <w:sz w:val="21"/>
                      <w:szCs w:val="21"/>
                      <w:lang w:val="en-US" w:eastAsia="zh-CN"/>
                    </w:rPr>
                    <w:t>~</w:t>
                  </w:r>
                  <w:r>
                    <w:rPr>
                      <w:rFonts w:hint="eastAsia" w:cs="Times New Roman"/>
                      <w:color w:val="auto"/>
                      <w:sz w:val="21"/>
                      <w:szCs w:val="21"/>
                      <w:highlight w:val="none"/>
                      <w:lang w:val="en-US" w:eastAsia="zh-CN"/>
                    </w:rPr>
                    <w:t>6%、纯碱30</w:t>
                  </w:r>
                  <w:r>
                    <w:rPr>
                      <w:rFonts w:hint="eastAsia" w:cs="Times New Roman"/>
                      <w:color w:val="auto"/>
                      <w:sz w:val="21"/>
                      <w:szCs w:val="21"/>
                      <w:lang w:val="en-US" w:eastAsia="zh-CN"/>
                    </w:rPr>
                    <w:t>~</w:t>
                  </w:r>
                  <w:r>
                    <w:rPr>
                      <w:rFonts w:hint="eastAsia" w:cs="Times New Roman"/>
                      <w:color w:val="auto"/>
                      <w:sz w:val="21"/>
                      <w:szCs w:val="21"/>
                      <w:highlight w:val="none"/>
                      <w:lang w:val="en-US" w:eastAsia="zh-CN"/>
                    </w:rPr>
                    <w:t>50%、活性剂5</w:t>
                  </w:r>
                  <w:r>
                    <w:rPr>
                      <w:rFonts w:hint="eastAsia" w:cs="Times New Roman"/>
                      <w:color w:val="auto"/>
                      <w:sz w:val="21"/>
                      <w:szCs w:val="21"/>
                      <w:lang w:val="en-US" w:eastAsia="zh-CN"/>
                    </w:rPr>
                    <w:t>~</w:t>
                  </w:r>
                  <w:r>
                    <w:rPr>
                      <w:rFonts w:hint="eastAsia" w:cs="Times New Roman"/>
                      <w:color w:val="auto"/>
                      <w:sz w:val="21"/>
                      <w:szCs w:val="21"/>
                      <w:highlight w:val="none"/>
                      <w:lang w:val="en-US" w:eastAsia="zh-CN"/>
                    </w:rPr>
                    <w:t>10%、葡萄糖酸钠10</w:t>
                  </w:r>
                  <w:r>
                    <w:rPr>
                      <w:rFonts w:hint="eastAsia" w:cs="Times New Roman"/>
                      <w:color w:val="auto"/>
                      <w:sz w:val="21"/>
                      <w:szCs w:val="21"/>
                      <w:lang w:val="en-US" w:eastAsia="zh-CN"/>
                    </w:rPr>
                    <w:t>~</w:t>
                  </w:r>
                  <w:r>
                    <w:rPr>
                      <w:rFonts w:hint="eastAsia" w:cs="Times New Roman"/>
                      <w:color w:val="auto"/>
                      <w:sz w:val="21"/>
                      <w:szCs w:val="21"/>
                      <w:highlight w:val="none"/>
                      <w:lang w:val="en-US" w:eastAsia="zh-CN"/>
                    </w:rPr>
                    <w:t>30%</w:t>
                  </w:r>
                </w:p>
              </w:tc>
              <w:tc>
                <w:tcPr>
                  <w:tcW w:w="590" w:type="pct"/>
                  <w:vAlign w:val="center"/>
                </w:tcPr>
                <w:p w14:paraId="6EFBF903">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0.14</w:t>
                  </w:r>
                </w:p>
              </w:tc>
              <w:tc>
                <w:tcPr>
                  <w:tcW w:w="0" w:type="auto"/>
                  <w:vAlign w:val="center"/>
                </w:tcPr>
                <w:p w14:paraId="50398152">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c>
                <w:tcPr>
                  <w:tcW w:w="0" w:type="auto"/>
                  <w:vAlign w:val="center"/>
                </w:tcPr>
                <w:p w14:paraId="63929DF5">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25kg/袋</w:t>
                  </w:r>
                </w:p>
              </w:tc>
              <w:tc>
                <w:tcPr>
                  <w:tcW w:w="421" w:type="pct"/>
                  <w:vMerge w:val="continue"/>
                  <w:vAlign w:val="center"/>
                </w:tcPr>
                <w:p w14:paraId="378BB90B">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p>
              </w:tc>
            </w:tr>
            <w:tr w14:paraId="158B7BC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25" w:type="pct"/>
                  <w:shd w:val="clear" w:color="auto" w:fill="auto"/>
                  <w:vAlign w:val="center"/>
                </w:tcPr>
                <w:p w14:paraId="6F80F23A">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10</w:t>
                  </w:r>
                </w:p>
              </w:tc>
              <w:tc>
                <w:tcPr>
                  <w:tcW w:w="618" w:type="pct"/>
                  <w:shd w:val="clear" w:color="auto" w:fill="auto"/>
                  <w:vAlign w:val="center"/>
                </w:tcPr>
                <w:p w14:paraId="49924622">
                  <w:pPr>
                    <w:pStyle w:val="2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煤油</w:t>
                  </w:r>
                </w:p>
              </w:tc>
              <w:tc>
                <w:tcPr>
                  <w:tcW w:w="1834" w:type="pct"/>
                  <w:vAlign w:val="center"/>
                </w:tcPr>
                <w:p w14:paraId="16E384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烷烃、芳香烃、烯烃类、添加剂</w:t>
                  </w:r>
                  <w:r>
                    <w:rPr>
                      <w:rFonts w:hint="eastAsia" w:cs="Times New Roman"/>
                      <w:color w:val="auto"/>
                      <w:sz w:val="21"/>
                      <w:szCs w:val="21"/>
                      <w:lang w:val="en-US" w:eastAsia="zh-CN"/>
                    </w:rPr>
                    <w:t>等</w:t>
                  </w:r>
                </w:p>
              </w:tc>
              <w:tc>
                <w:tcPr>
                  <w:tcW w:w="590" w:type="pct"/>
                  <w:vAlign w:val="center"/>
                </w:tcPr>
                <w:p w14:paraId="0EF266C3">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0.05</w:t>
                  </w:r>
                </w:p>
              </w:tc>
              <w:tc>
                <w:tcPr>
                  <w:tcW w:w="0" w:type="auto"/>
                  <w:vAlign w:val="center"/>
                </w:tcPr>
                <w:p w14:paraId="55C0761E">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0.05</w:t>
                  </w:r>
                </w:p>
              </w:tc>
              <w:tc>
                <w:tcPr>
                  <w:tcW w:w="0" w:type="auto"/>
                  <w:vAlign w:val="center"/>
                </w:tcPr>
                <w:p w14:paraId="59308A0C">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200kg/桶</w:t>
                  </w:r>
                </w:p>
              </w:tc>
              <w:tc>
                <w:tcPr>
                  <w:tcW w:w="421" w:type="pct"/>
                  <w:vMerge w:val="continue"/>
                  <w:vAlign w:val="center"/>
                </w:tcPr>
                <w:p w14:paraId="14804861">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p>
              </w:tc>
            </w:tr>
            <w:tr w14:paraId="5606C5A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25" w:type="pct"/>
                  <w:shd w:val="clear" w:color="auto" w:fill="auto"/>
                  <w:vAlign w:val="center"/>
                </w:tcPr>
                <w:p w14:paraId="1A9DD0C9">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11</w:t>
                  </w:r>
                </w:p>
              </w:tc>
              <w:tc>
                <w:tcPr>
                  <w:tcW w:w="618" w:type="pct"/>
                  <w:shd w:val="clear" w:color="auto" w:fill="auto"/>
                  <w:vAlign w:val="center"/>
                </w:tcPr>
                <w:p w14:paraId="60F9D17E">
                  <w:pPr>
                    <w:pStyle w:val="2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切削液</w:t>
                  </w:r>
                </w:p>
              </w:tc>
              <w:tc>
                <w:tcPr>
                  <w:tcW w:w="1834" w:type="pct"/>
                  <w:vAlign w:val="center"/>
                </w:tcPr>
                <w:p w14:paraId="0E6AFA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羧酸盐10~20%、脂肪醇胺10~25%、润滑剂3~8%、防锈添加剂3~6%、矿物油10~20%</w:t>
                  </w:r>
                </w:p>
              </w:tc>
              <w:tc>
                <w:tcPr>
                  <w:tcW w:w="590" w:type="pct"/>
                  <w:vAlign w:val="center"/>
                </w:tcPr>
                <w:p w14:paraId="4BFDDEEC">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0.1</w:t>
                  </w:r>
                </w:p>
              </w:tc>
              <w:tc>
                <w:tcPr>
                  <w:tcW w:w="0" w:type="auto"/>
                  <w:vAlign w:val="center"/>
                </w:tcPr>
                <w:p w14:paraId="23327C68">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0.1</w:t>
                  </w:r>
                </w:p>
              </w:tc>
              <w:tc>
                <w:tcPr>
                  <w:tcW w:w="0" w:type="auto"/>
                  <w:vAlign w:val="center"/>
                </w:tcPr>
                <w:p w14:paraId="56C502F4">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200kg/桶</w:t>
                  </w:r>
                </w:p>
              </w:tc>
              <w:tc>
                <w:tcPr>
                  <w:tcW w:w="421" w:type="pct"/>
                  <w:vMerge w:val="continue"/>
                  <w:vAlign w:val="center"/>
                </w:tcPr>
                <w:p w14:paraId="4EEEDB85">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p>
              </w:tc>
            </w:tr>
            <w:tr w14:paraId="427CC05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325" w:type="pct"/>
                  <w:shd w:val="clear" w:color="auto" w:fill="auto"/>
                  <w:vAlign w:val="center"/>
                </w:tcPr>
                <w:p w14:paraId="49D0E1CF">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618" w:type="pct"/>
                  <w:shd w:val="clear" w:color="auto" w:fill="auto"/>
                  <w:vAlign w:val="center"/>
                </w:tcPr>
                <w:p w14:paraId="56B3F06A">
                  <w:pPr>
                    <w:pStyle w:val="2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磨料</w:t>
                  </w:r>
                </w:p>
              </w:tc>
              <w:tc>
                <w:tcPr>
                  <w:tcW w:w="1834" w:type="pct"/>
                  <w:vAlign w:val="center"/>
                </w:tcPr>
                <w:p w14:paraId="223117A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lang w:val="en-US" w:eastAsia="zh-CN"/>
                    </w:rPr>
                  </w:pPr>
                  <w:r>
                    <w:rPr>
                      <w:rFonts w:hint="default"/>
                      <w:color w:val="auto"/>
                    </w:rPr>
                    <w:t>碳化硅</w:t>
                  </w:r>
                </w:p>
              </w:tc>
              <w:tc>
                <w:tcPr>
                  <w:tcW w:w="590" w:type="pct"/>
                  <w:vAlign w:val="center"/>
                </w:tcPr>
                <w:p w14:paraId="0D7F685C">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0.1</w:t>
                  </w:r>
                </w:p>
              </w:tc>
              <w:tc>
                <w:tcPr>
                  <w:tcW w:w="0" w:type="auto"/>
                  <w:vAlign w:val="center"/>
                </w:tcPr>
                <w:p w14:paraId="2B1A78FE">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0.05</w:t>
                  </w:r>
                </w:p>
              </w:tc>
              <w:tc>
                <w:tcPr>
                  <w:tcW w:w="0" w:type="auto"/>
                  <w:vAlign w:val="center"/>
                </w:tcPr>
                <w:p w14:paraId="6C2ADFA1">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10kg/袋</w:t>
                  </w:r>
                </w:p>
              </w:tc>
              <w:tc>
                <w:tcPr>
                  <w:tcW w:w="421" w:type="pct"/>
                  <w:vMerge w:val="continue"/>
                  <w:vAlign w:val="center"/>
                </w:tcPr>
                <w:p w14:paraId="2EF61000">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p>
              </w:tc>
            </w:tr>
          </w:tbl>
          <w:p w14:paraId="3946EE64">
            <w:pPr>
              <w:spacing w:line="240" w:lineRule="auto"/>
              <w:ind w:firstLine="0" w:firstLineChars="0"/>
              <w:jc w:val="left"/>
              <w:rPr>
                <w:color w:val="auto"/>
              </w:rPr>
            </w:pPr>
            <w:r>
              <w:rPr>
                <w:rFonts w:hint="eastAsia" w:ascii="Times New Roman" w:hAnsi="Times New Roman" w:eastAsia="宋体" w:cs="Times New Roman"/>
                <w:bCs/>
                <w:color w:val="auto"/>
                <w:kern w:val="2"/>
                <w:sz w:val="21"/>
                <w:szCs w:val="21"/>
                <w:highlight w:val="none"/>
                <w:shd w:val="clear" w:color="auto" w:fill="auto"/>
                <w:lang w:val="en-US" w:eastAsia="zh-CN" w:bidi="ar-SA"/>
              </w:rPr>
              <w:t>①本项目使用外购的预着色塑料粒子。</w:t>
            </w:r>
          </w:p>
          <w:p w14:paraId="28848870">
            <w:pPr>
              <w:spacing w:line="240" w:lineRule="auto"/>
              <w:ind w:firstLine="0" w:firstLineChars="0"/>
              <w:jc w:val="center"/>
              <w:rPr>
                <w:b/>
                <w:bCs/>
                <w:color w:val="auto"/>
                <w:sz w:val="21"/>
                <w:szCs w:val="21"/>
              </w:rPr>
            </w:pPr>
            <w:r>
              <w:rPr>
                <w:b/>
                <w:bCs/>
                <w:color w:val="auto"/>
                <w:sz w:val="21"/>
                <w:szCs w:val="21"/>
              </w:rPr>
              <w:t>表2-</w:t>
            </w:r>
            <w:r>
              <w:rPr>
                <w:rFonts w:hint="eastAsia"/>
                <w:b/>
                <w:bCs/>
                <w:color w:val="auto"/>
                <w:sz w:val="21"/>
                <w:szCs w:val="21"/>
                <w:lang w:val="en-US" w:eastAsia="zh-CN"/>
              </w:rPr>
              <w:t>3</w:t>
            </w:r>
            <w:r>
              <w:rPr>
                <w:b/>
                <w:bCs/>
                <w:color w:val="auto"/>
                <w:sz w:val="21"/>
                <w:szCs w:val="21"/>
              </w:rPr>
              <w:t xml:space="preserve">  主要原辅料、理化特性、毒性毒理</w:t>
            </w:r>
          </w:p>
          <w:tbl>
            <w:tblPr>
              <w:tblStyle w:val="17"/>
              <w:tblW w:w="925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5"/>
              <w:gridCol w:w="1041"/>
              <w:gridCol w:w="5095"/>
              <w:gridCol w:w="1331"/>
              <w:gridCol w:w="1196"/>
            </w:tblGrid>
            <w:tr w14:paraId="1EBB96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95" w:type="dxa"/>
                  <w:noWrap w:val="0"/>
                  <w:vAlign w:val="center"/>
                </w:tcPr>
                <w:p w14:paraId="378CC9D9">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1041" w:type="dxa"/>
                  <w:noWrap w:val="0"/>
                  <w:vAlign w:val="center"/>
                </w:tcPr>
                <w:p w14:paraId="76F6552A">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5095" w:type="dxa"/>
                  <w:noWrap w:val="0"/>
                  <w:vAlign w:val="center"/>
                </w:tcPr>
                <w:p w14:paraId="2F933E46">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理化性质</w:t>
                  </w:r>
                </w:p>
              </w:tc>
              <w:tc>
                <w:tcPr>
                  <w:tcW w:w="1331" w:type="dxa"/>
                  <w:noWrap w:val="0"/>
                  <w:vAlign w:val="center"/>
                </w:tcPr>
                <w:p w14:paraId="5166D9E2">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燃烧爆炸性</w:t>
                  </w:r>
                </w:p>
              </w:tc>
              <w:tc>
                <w:tcPr>
                  <w:tcW w:w="1196" w:type="dxa"/>
                  <w:noWrap w:val="0"/>
                  <w:vAlign w:val="center"/>
                </w:tcPr>
                <w:p w14:paraId="0DF14324">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毒理毒性</w:t>
                  </w:r>
                </w:p>
              </w:tc>
            </w:tr>
            <w:tr w14:paraId="665B2A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95" w:type="dxa"/>
                  <w:noWrap w:val="0"/>
                  <w:vAlign w:val="center"/>
                </w:tcPr>
                <w:p w14:paraId="6DF95AE1">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41" w:type="dxa"/>
                  <w:shd w:val="clear" w:color="auto" w:fill="auto"/>
                  <w:noWrap w:val="0"/>
                  <w:vAlign w:val="center"/>
                </w:tcPr>
                <w:p w14:paraId="42442A1E">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bCs/>
                      <w:color w:val="auto"/>
                      <w:kern w:val="2"/>
                      <w:sz w:val="21"/>
                      <w:szCs w:val="21"/>
                      <w:lang w:val="en-US" w:eastAsia="zh-CN" w:bidi="ar-SA"/>
                    </w:rPr>
                    <w:t>ABS</w:t>
                  </w:r>
                </w:p>
              </w:tc>
              <w:tc>
                <w:tcPr>
                  <w:tcW w:w="5095" w:type="dxa"/>
                  <w:noWrap w:val="0"/>
                  <w:vAlign w:val="center"/>
                </w:tcPr>
                <w:p w14:paraId="60408A2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密度</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1.02~1.08 g/cm³</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略重于水，在水中会下沉。</w:t>
                  </w:r>
                </w:p>
                <w:p w14:paraId="0509DC7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抗冲击性</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极高（尤其是低温抗冲型）</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这是ABS最显著的优点，使其非常耐摔、耐磕碰。</w:t>
                  </w:r>
                </w:p>
                <w:p w14:paraId="2702168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硬度</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洛氏硬度R65 ~ R115</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表面硬度较好，抗刮擦能力中等。</w:t>
                  </w:r>
                </w:p>
                <w:p w14:paraId="4C2BD4E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拉伸强度</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30~50MPa</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强度良好，能承受一定的拉伸力。</w:t>
                  </w:r>
                </w:p>
                <w:p w14:paraId="28BC3F2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热变形温度</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85~110°C</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中等级别。可在80°C左右长期使用，但不宜用于高温环境。</w:t>
                  </w:r>
                </w:p>
                <w:p w14:paraId="4A93D37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电绝缘性</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优良是良好的绝缘材料，适用于电器外壳。</w:t>
                  </w:r>
                </w:p>
                <w:p w14:paraId="758B1A4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表面光泽度</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高易于染色和电镀，制品外观美观。</w:t>
                  </w:r>
                </w:p>
                <w:p w14:paraId="78ECB0C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耐化学性</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对水、无机盐、碱和稀酸有良好的耐受性。不耐浓硫酸、浓硝酸等氧化性酸；能被冰醋酸、植物油等溶剂侵蚀，导致应力开裂；溶于酮、醛、酯及某些氯代烃（如二氯乙烷、三氯甲烷）。</w:t>
                  </w:r>
                </w:p>
                <w:p w14:paraId="4B8CD77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耐候性</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较差</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在紫外线作用下易发生降解，导致颜色变黄、粉化、强度和韧性下降。户外使用需添加抗UV剂或进行表面处理。</w:t>
                  </w:r>
                </w:p>
                <w:p w14:paraId="0C7CE37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生物特性</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无毒无味</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符合食品接触标准的ABS可用于食品容器和玩具。</w:t>
                  </w:r>
                </w:p>
              </w:tc>
              <w:tc>
                <w:tcPr>
                  <w:tcW w:w="1331" w:type="dxa"/>
                  <w:noWrap w:val="0"/>
                  <w:vAlign w:val="center"/>
                </w:tcPr>
                <w:p w14:paraId="5AE77AF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易燃</w:t>
                  </w:r>
                </w:p>
              </w:tc>
              <w:tc>
                <w:tcPr>
                  <w:tcW w:w="1196" w:type="dxa"/>
                  <w:noWrap w:val="0"/>
                  <w:vAlign w:val="center"/>
                </w:tcPr>
                <w:p w14:paraId="113D43F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eastAsia" w:cs="Times New Roman"/>
                      <w:color w:val="auto"/>
                      <w:kern w:val="0"/>
                      <w:sz w:val="21"/>
                      <w:szCs w:val="21"/>
                      <w:lang w:val="en-US" w:eastAsia="zh-CN" w:bidi="ar"/>
                    </w:rPr>
                    <w:t>无毒</w:t>
                  </w:r>
                </w:p>
              </w:tc>
            </w:tr>
            <w:tr w14:paraId="7A414E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3" w:hRule="atLeast"/>
              </w:trPr>
              <w:tc>
                <w:tcPr>
                  <w:tcW w:w="595" w:type="dxa"/>
                  <w:noWrap w:val="0"/>
                  <w:vAlign w:val="center"/>
                </w:tcPr>
                <w:p w14:paraId="7FB23E31">
                  <w:pPr>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2</w:t>
                  </w:r>
                </w:p>
              </w:tc>
              <w:tc>
                <w:tcPr>
                  <w:tcW w:w="1041" w:type="dxa"/>
                  <w:shd w:val="clear" w:color="auto" w:fill="auto"/>
                  <w:noWrap w:val="0"/>
                  <w:vAlign w:val="center"/>
                </w:tcPr>
                <w:p w14:paraId="11E7209C">
                  <w:pPr>
                    <w:keepNext w:val="0"/>
                    <w:keepLines w:val="0"/>
                    <w:pageBreakBefore w:val="0"/>
                    <w:tabs>
                      <w:tab w:val="center" w:pos="1815"/>
                      <w:tab w:val="left" w:pos="2750"/>
                    </w:tabs>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bCs/>
                      <w:color w:val="auto"/>
                      <w:kern w:val="2"/>
                      <w:sz w:val="21"/>
                      <w:szCs w:val="21"/>
                      <w:lang w:val="en-US" w:eastAsia="zh-CN" w:bidi="ar-SA"/>
                    </w:rPr>
                    <w:t>PC</w:t>
                  </w:r>
                </w:p>
              </w:tc>
              <w:tc>
                <w:tcPr>
                  <w:tcW w:w="5095" w:type="dxa"/>
                  <w:noWrap w:val="0"/>
                  <w:vAlign w:val="center"/>
                </w:tcPr>
                <w:p w14:paraId="33803FA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透明度</w:t>
                  </w: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eastAsia="zh-CN"/>
                    </w:rPr>
                    <w:t>极高，透光率可达 85%-91%</w:t>
                  </w: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eastAsia="zh-CN"/>
                    </w:rPr>
                    <w:t>接近无机玻璃，可用于需要清晰视野的场合，如防护面罩、飞机舷窗。</w:t>
                  </w:r>
                </w:p>
                <w:p w14:paraId="0DCC3C2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抗冲击性</w:t>
                  </w: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eastAsia="zh-CN"/>
                    </w:rPr>
                    <w:t>极优异，是常见塑料中最好的之一其冲击强度是玻璃的80倍，是ABS的5倍以上。号称“不碎胶”，常用于安全防护。</w:t>
                  </w:r>
                </w:p>
                <w:p w14:paraId="01ECFEC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拉伸强度/刚性</w:t>
                  </w: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eastAsia="zh-CN"/>
                    </w:rPr>
                    <w:t>高，拉伸强度≈60-70MPa</w:t>
                  </w: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eastAsia="zh-CN"/>
                    </w:rPr>
                    <w:t>机械强度高，能作为结构件承受负载。</w:t>
                  </w:r>
                </w:p>
                <w:p w14:paraId="504D800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热变形温度</w:t>
                  </w: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eastAsia="zh-CN"/>
                    </w:rPr>
                    <w:t>高，130 - 140</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eastAsia="zh-CN"/>
                    </w:rPr>
                    <w:t>(1.82MPa)</w:t>
                  </w: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eastAsia="zh-CN"/>
                    </w:rPr>
                    <w:t>可在 -100</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eastAsia="zh-CN"/>
                    </w:rPr>
                    <w:t>至+135</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eastAsia="zh-CN"/>
                    </w:rPr>
                    <w:t>范围内长期使用，尺寸稳定，适合高温环境。</w:t>
                  </w:r>
                </w:p>
                <w:p w14:paraId="7C4DE20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阻燃性</w:t>
                  </w: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eastAsia="zh-CN"/>
                    </w:rPr>
                    <w:t>天生阻燃，可达UL94V-0至V-2级</w:t>
                  </w: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eastAsia="zh-CN"/>
                    </w:rPr>
                    <w:t>离火自熄，燃烧时火焰呈淡黄色，冒黑烟，散发花果臭味。</w:t>
                  </w:r>
                </w:p>
                <w:p w14:paraId="2B302B9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密度</w:t>
                  </w: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eastAsia="zh-CN"/>
                    </w:rPr>
                    <w:t>1.18 - 1.22 g/cm³</w:t>
                  </w: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eastAsia="zh-CN"/>
                    </w:rPr>
                    <w:t>比玻璃轻一半以上，实现轻量化。</w:t>
                  </w:r>
                </w:p>
                <w:p w14:paraId="65F221B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电绝缘性</w:t>
                  </w: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eastAsia="zh-CN"/>
                    </w:rPr>
                    <w:t>优良</w:t>
                  </w: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eastAsia="zh-CN"/>
                    </w:rPr>
                    <w:t>适用于电子电器部件。</w:t>
                  </w:r>
                </w:p>
                <w:p w14:paraId="7586E9A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耐化学性</w:t>
                  </w: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eastAsia="zh-CN"/>
                    </w:rPr>
                    <w:t>一般，这是PC的主要弱点</w:t>
                  </w: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eastAsia="zh-CN"/>
                    </w:rPr>
                    <w:t>耐稀酸、耐油、耐脂肪烃。不耐强酸、强碱、胺类、酮类、芳香烃。容易被这些化学品侵蚀而导致应力开裂。</w:t>
                  </w:r>
                </w:p>
                <w:p w14:paraId="3CE9E7D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耐候性</w:t>
                  </w: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eastAsia="zh-CN"/>
                    </w:rPr>
                    <w:t>良好，但需保护长期暴露在紫外线（UV）下会轻微变黄、物理性能下降。户外使用需添加紫外线吸收剂（UV）。</w:t>
                  </w:r>
                </w:p>
                <w:p w14:paraId="59E8B5C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生物特性</w:t>
                  </w: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eastAsia="zh-CN"/>
                    </w:rPr>
                    <w:t>无毒，生物相容性良好</w:t>
                  </w:r>
                  <w:r>
                    <w:rPr>
                      <w:rFonts w:hint="eastAsia" w:cs="Times New Roman"/>
                      <w:color w:val="auto"/>
                      <w:sz w:val="21"/>
                      <w:szCs w:val="21"/>
                      <w:lang w:eastAsia="zh-CN"/>
                    </w:rPr>
                    <w:t>。</w:t>
                  </w:r>
                </w:p>
              </w:tc>
              <w:tc>
                <w:tcPr>
                  <w:tcW w:w="1331" w:type="dxa"/>
                  <w:noWrap w:val="0"/>
                  <w:vAlign w:val="center"/>
                </w:tcPr>
                <w:p w14:paraId="199043C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可燃</w:t>
                  </w:r>
                </w:p>
              </w:tc>
              <w:tc>
                <w:tcPr>
                  <w:tcW w:w="1196" w:type="dxa"/>
                  <w:noWrap w:val="0"/>
                  <w:vAlign w:val="center"/>
                </w:tcPr>
                <w:p w14:paraId="293A254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无毒</w:t>
                  </w:r>
                </w:p>
              </w:tc>
            </w:tr>
            <w:tr w14:paraId="440B1A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595" w:type="dxa"/>
                  <w:noWrap w:val="0"/>
                  <w:vAlign w:val="center"/>
                </w:tcPr>
                <w:p w14:paraId="1F5D6A79">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1041" w:type="dxa"/>
                  <w:shd w:val="clear" w:color="auto" w:fill="auto"/>
                  <w:noWrap w:val="0"/>
                  <w:vAlign w:val="center"/>
                </w:tcPr>
                <w:p w14:paraId="2B23E09D">
                  <w:pPr>
                    <w:keepNext w:val="0"/>
                    <w:keepLines w:val="0"/>
                    <w:pageBreakBefore w:val="0"/>
                    <w:tabs>
                      <w:tab w:val="center" w:pos="1815"/>
                      <w:tab w:val="left" w:pos="2750"/>
                    </w:tabs>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eastAsia="宋体"/>
                      <w:bCs/>
                      <w:color w:val="auto"/>
                      <w:kern w:val="2"/>
                      <w:sz w:val="21"/>
                      <w:szCs w:val="21"/>
                      <w:highlight w:val="none"/>
                      <w:lang w:val="en-US" w:eastAsia="zh-CN" w:bidi="ar-SA"/>
                    </w:rPr>
                    <w:t>PP</w:t>
                  </w:r>
                </w:p>
              </w:tc>
              <w:tc>
                <w:tcPr>
                  <w:tcW w:w="5095" w:type="dxa"/>
                  <w:noWrap w:val="0"/>
                  <w:vAlign w:val="center"/>
                </w:tcPr>
                <w:p w14:paraId="41B1937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密度：聚丙烯的密度在0.90～0.91g/cm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之间，是所有合成树脂中密度最小的。</w:t>
                  </w:r>
                </w:p>
                <w:p w14:paraId="0826963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熔点：聚丙烯的熔点一般在160～170°C之间。</w:t>
                  </w:r>
                </w:p>
                <w:p w14:paraId="6C92370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硬度：聚丙烯的表面硬度在五类通用塑料中属低等，仅比PE好一些。</w:t>
                  </w:r>
                </w:p>
                <w:p w14:paraId="67FE382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耐热性：聚丙烯制品可在100°C下长时间工作，加热至150°C时也不会变形。</w:t>
                  </w:r>
                </w:p>
                <w:p w14:paraId="5B87CF5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化学稳定性：聚丙烯对大多数酸、碱、盐、氧化剂都显惰性，对极性溶剂十分稳定，但对部分非极性有机溶剂敏感。</w:t>
                  </w:r>
                </w:p>
                <w:p w14:paraId="05AF925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耐应力开裂性：聚丙烯在表面活性剂浸泡时具有良好的耐应力开裂性能，熔体流动速率越小，耐应力开裂性越强。</w:t>
                  </w:r>
                </w:p>
              </w:tc>
              <w:tc>
                <w:tcPr>
                  <w:tcW w:w="1331" w:type="dxa"/>
                  <w:noWrap w:val="0"/>
                  <w:vAlign w:val="center"/>
                </w:tcPr>
                <w:p w14:paraId="785ABDC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易燃</w:t>
                  </w:r>
                </w:p>
              </w:tc>
              <w:tc>
                <w:tcPr>
                  <w:tcW w:w="1196" w:type="dxa"/>
                  <w:noWrap w:val="0"/>
                  <w:vAlign w:val="center"/>
                </w:tcPr>
                <w:p w14:paraId="2C60F7B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无毒</w:t>
                  </w:r>
                </w:p>
              </w:tc>
            </w:tr>
            <w:tr w14:paraId="376136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1" w:hRule="atLeast"/>
              </w:trPr>
              <w:tc>
                <w:tcPr>
                  <w:tcW w:w="0" w:type="auto"/>
                  <w:vAlign w:val="center"/>
                </w:tcPr>
                <w:p w14:paraId="37822882">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1041" w:type="dxa"/>
                  <w:shd w:val="clear" w:color="auto" w:fill="auto"/>
                  <w:vAlign w:val="center"/>
                </w:tcPr>
                <w:p w14:paraId="4D45EBF9">
                  <w:pPr>
                    <w:keepNext w:val="0"/>
                    <w:keepLines w:val="0"/>
                    <w:pageBreakBefore w:val="0"/>
                    <w:tabs>
                      <w:tab w:val="center" w:pos="1815"/>
                      <w:tab w:val="left" w:pos="2750"/>
                    </w:tabs>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eastAsia="宋体"/>
                      <w:bCs/>
                      <w:color w:val="auto"/>
                      <w:kern w:val="2"/>
                      <w:sz w:val="21"/>
                      <w:szCs w:val="21"/>
                      <w:highlight w:val="none"/>
                      <w:lang w:val="en-US" w:eastAsia="zh-CN" w:bidi="ar-SA"/>
                    </w:rPr>
                    <w:t>PE</w:t>
                  </w:r>
                </w:p>
              </w:tc>
              <w:tc>
                <w:tcPr>
                  <w:tcW w:w="5095" w:type="dxa"/>
                  <w:vAlign w:val="center"/>
                </w:tcPr>
                <w:p w14:paraId="5C507F8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颜色和外观：聚乙烯颗粒通常呈白色或半透明状，无毒无味。</w:t>
                  </w:r>
                </w:p>
                <w:p w14:paraId="6B458DA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密度：聚乙烯的密度范围为0.91~0.96g/cm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p w14:paraId="79D7293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吸水性：吸水性极小，具有良好的耐水性。</w:t>
                  </w:r>
                </w:p>
                <w:p w14:paraId="2E08570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电绝缘性：具有优异的电绝缘性能，能够在广泛的温度范围内保持稳定的电气特性。</w:t>
                  </w:r>
                </w:p>
                <w:p w14:paraId="0E08084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熔点和软化点：熔点通常在131°C左右，软化点在120-125°C之间。</w:t>
                  </w:r>
                </w:p>
                <w:p w14:paraId="52A42EE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化学稳定性：对大多数酸、碱、盐等化学物质具有良好的耐腐蚀性，但对强氧化剂和高温环境敏感，可能会发生降解反应。</w:t>
                  </w:r>
                </w:p>
                <w:p w14:paraId="051C6E2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溶解性：在常温下，聚乙烯不溶于大多数溶剂，但在60°C以下对某些溶剂的稳定性较差</w:t>
                  </w:r>
                  <w:r>
                    <w:rPr>
                      <w:rFonts w:hint="eastAsia" w:cs="Times New Roman"/>
                      <w:color w:val="auto"/>
                      <w:sz w:val="21"/>
                      <w:szCs w:val="21"/>
                      <w:lang w:eastAsia="zh-CN"/>
                    </w:rPr>
                    <w:t>。</w:t>
                  </w:r>
                </w:p>
              </w:tc>
              <w:tc>
                <w:tcPr>
                  <w:tcW w:w="1331" w:type="dxa"/>
                  <w:vAlign w:val="center"/>
                </w:tcPr>
                <w:p w14:paraId="7017B27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易燃</w:t>
                  </w:r>
                </w:p>
              </w:tc>
              <w:tc>
                <w:tcPr>
                  <w:tcW w:w="1196" w:type="dxa"/>
                  <w:vAlign w:val="center"/>
                </w:tcPr>
                <w:p w14:paraId="4F3AFD9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无毒</w:t>
                  </w:r>
                </w:p>
              </w:tc>
            </w:tr>
            <w:tr w14:paraId="49B705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14:paraId="716A1CF9">
                  <w:pPr>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5</w:t>
                  </w:r>
                </w:p>
              </w:tc>
              <w:tc>
                <w:tcPr>
                  <w:tcW w:w="1041" w:type="dxa"/>
                  <w:shd w:val="clear" w:color="auto" w:fill="auto"/>
                  <w:vAlign w:val="center"/>
                </w:tcPr>
                <w:p w14:paraId="418BDE5E">
                  <w:pPr>
                    <w:keepNext w:val="0"/>
                    <w:keepLines w:val="0"/>
                    <w:pageBreakBefore w:val="0"/>
                    <w:tabs>
                      <w:tab w:val="center" w:pos="1815"/>
                      <w:tab w:val="left" w:pos="2750"/>
                    </w:tabs>
                    <w:kinsoku/>
                    <w:wordWrap/>
                    <w:overflowPunct/>
                    <w:topLinePunct w:val="0"/>
                    <w:autoSpaceDE/>
                    <w:autoSpaceDN/>
                    <w:bidi w:val="0"/>
                    <w:adjustRightInd/>
                    <w:spacing w:line="240" w:lineRule="auto"/>
                    <w:ind w:firstLine="0" w:firstLineChars="0"/>
                    <w:jc w:val="center"/>
                    <w:textAlignment w:val="auto"/>
                    <w:rPr>
                      <w:rFonts w:hint="default" w:eastAsia="宋体"/>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PA</w:t>
                  </w:r>
                </w:p>
              </w:tc>
              <w:tc>
                <w:tcPr>
                  <w:tcW w:w="5095" w:type="dxa"/>
                  <w:shd w:val="clear" w:color="auto" w:fill="auto"/>
                  <w:vAlign w:val="center"/>
                </w:tcPr>
                <w:p w14:paraId="29F735F6">
                  <w:pPr>
                    <w:widowControl/>
                    <w:spacing w:line="240" w:lineRule="auto"/>
                    <w:ind w:firstLine="0" w:firstLineChars="0"/>
                    <w:jc w:val="left"/>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机械性能</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高强度、高韧性、优异的耐磨性和自润滑性吸水后刚性下降</w:t>
                  </w:r>
                  <w:r>
                    <w:rPr>
                      <w:rFonts w:hint="eastAsia" w:ascii="Times New Roman" w:hAnsi="Times New Roman" w:eastAsia="宋体" w:cs="Times New Roman"/>
                      <w:color w:val="auto"/>
                      <w:lang w:eastAsia="zh-CN"/>
                    </w:rPr>
                    <w:t>。</w:t>
                  </w:r>
                </w:p>
                <w:p w14:paraId="33D2A235">
                  <w:pPr>
                    <w:widowControl/>
                    <w:spacing w:line="240" w:lineRule="auto"/>
                    <w:ind w:firstLine="0" w:firstLineChars="0"/>
                    <w:jc w:val="left"/>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热性能</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耐热性良好，玻璃纤维增强后大幅提升</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未增强型耐热温度较低</w:t>
                  </w:r>
                  <w:r>
                    <w:rPr>
                      <w:rFonts w:hint="eastAsia" w:ascii="Times New Roman" w:hAnsi="Times New Roman" w:eastAsia="宋体" w:cs="Times New Roman"/>
                      <w:color w:val="auto"/>
                      <w:lang w:eastAsia="zh-CN"/>
                    </w:rPr>
                    <w:t>。</w:t>
                  </w:r>
                </w:p>
                <w:p w14:paraId="1362F610">
                  <w:pPr>
                    <w:widowControl/>
                    <w:spacing w:line="240" w:lineRule="auto"/>
                    <w:ind w:firstLine="0" w:firstLineChars="0"/>
                    <w:jc w:val="left"/>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化学性能</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耐油、耐油脂性能极佳</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高吸水性，不耐强酸、强碱和极性溶剂</w:t>
                  </w:r>
                  <w:r>
                    <w:rPr>
                      <w:rFonts w:hint="eastAsia" w:ascii="Times New Roman" w:hAnsi="Times New Roman" w:eastAsia="宋体" w:cs="Times New Roman"/>
                      <w:color w:val="auto"/>
                      <w:lang w:eastAsia="zh-CN"/>
                    </w:rPr>
                    <w:t>。</w:t>
                  </w:r>
                </w:p>
                <w:p w14:paraId="4FE05582">
                  <w:pPr>
                    <w:widowControl/>
                    <w:spacing w:line="240" w:lineRule="auto"/>
                    <w:ind w:firstLine="0" w:firstLineChars="0"/>
                    <w:jc w:val="left"/>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电性能</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干态下良好的绝缘体</w:t>
                  </w:r>
                  <w:r>
                    <w:rPr>
                      <w:rFonts w:hint="default" w:ascii="Times New Roman" w:hAnsi="Times New Roman" w:eastAsia="宋体" w:cs="Times New Roman"/>
                      <w:color w:val="auto"/>
                    </w:rPr>
                    <w:tab/>
                  </w:r>
                  <w:r>
                    <w:rPr>
                      <w:rFonts w:hint="default" w:ascii="Times New Roman" w:hAnsi="Times New Roman" w:eastAsia="宋体" w:cs="Times New Roman"/>
                      <w:color w:val="auto"/>
                    </w:rPr>
                    <w:t>湿态下绝缘性能急剧下降</w:t>
                  </w:r>
                  <w:r>
                    <w:rPr>
                      <w:rFonts w:hint="eastAsia" w:ascii="Times New Roman" w:hAnsi="Times New Roman" w:eastAsia="宋体" w:cs="Times New Roman"/>
                      <w:color w:val="auto"/>
                      <w:lang w:eastAsia="zh-CN"/>
                    </w:rPr>
                    <w:t>。</w:t>
                  </w:r>
                </w:p>
                <w:p w14:paraId="41B71952">
                  <w:pPr>
                    <w:widowControl/>
                    <w:spacing w:line="240" w:lineRule="auto"/>
                    <w:ind w:firstLine="0" w:firstLineChars="0"/>
                    <w:jc w:val="left"/>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尺寸稳定性</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差，吸水后尺寸膨胀，必须进行调湿处理</w:t>
                  </w:r>
                  <w:r>
                    <w:rPr>
                      <w:rFonts w:hint="eastAsia" w:ascii="Times New Roman" w:hAnsi="Times New Roman" w:eastAsia="宋体" w:cs="Times New Roman"/>
                      <w:color w:val="auto"/>
                      <w:lang w:eastAsia="zh-CN"/>
                    </w:rPr>
                    <w:t>。</w:t>
                  </w:r>
                </w:p>
                <w:p w14:paraId="0E883E33">
                  <w:pPr>
                    <w:widowControl/>
                    <w:spacing w:line="240" w:lineRule="auto"/>
                    <w:ind w:firstLine="0" w:firstLineChars="0"/>
                    <w:jc w:val="left"/>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rPr>
                    <w:t>加工性</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流动性好</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必须充分干燥，收缩率大</w:t>
                  </w:r>
                  <w:r>
                    <w:rPr>
                      <w:rFonts w:hint="eastAsia" w:ascii="Times New Roman" w:hAnsi="Times New Roman" w:eastAsia="宋体" w:cs="Times New Roman"/>
                      <w:color w:val="auto"/>
                      <w:lang w:eastAsia="zh-CN"/>
                    </w:rPr>
                    <w:t>。</w:t>
                  </w:r>
                </w:p>
              </w:tc>
              <w:tc>
                <w:tcPr>
                  <w:tcW w:w="1331" w:type="dxa"/>
                  <w:shd w:val="clear" w:color="auto" w:fill="auto"/>
                  <w:vAlign w:val="center"/>
                </w:tcPr>
                <w:p w14:paraId="09AC956A">
                  <w:pPr>
                    <w:pStyle w:val="33"/>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无毒</w:t>
                  </w:r>
                </w:p>
              </w:tc>
              <w:tc>
                <w:tcPr>
                  <w:tcW w:w="1196" w:type="dxa"/>
                  <w:shd w:val="clear" w:color="auto" w:fill="auto"/>
                  <w:vAlign w:val="center"/>
                </w:tcPr>
                <w:p w14:paraId="7D89849C">
                  <w:pPr>
                    <w:pStyle w:val="33"/>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可燃</w:t>
                  </w:r>
                </w:p>
              </w:tc>
            </w:tr>
            <w:tr w14:paraId="54883D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1" w:hRule="atLeast"/>
              </w:trPr>
              <w:tc>
                <w:tcPr>
                  <w:tcW w:w="0" w:type="auto"/>
                  <w:shd w:val="clear" w:color="auto" w:fill="auto"/>
                  <w:vAlign w:val="center"/>
                </w:tcPr>
                <w:p w14:paraId="757FB20E">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6</w:t>
                  </w:r>
                </w:p>
              </w:tc>
              <w:tc>
                <w:tcPr>
                  <w:tcW w:w="1041" w:type="dxa"/>
                  <w:shd w:val="clear" w:color="auto" w:fill="auto"/>
                  <w:vAlign w:val="center"/>
                </w:tcPr>
                <w:p w14:paraId="0F445307">
                  <w:pPr>
                    <w:pStyle w:val="2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UV油墨</w:t>
                  </w:r>
                </w:p>
              </w:tc>
              <w:tc>
                <w:tcPr>
                  <w:tcW w:w="5095" w:type="dxa"/>
                  <w:vAlign w:val="center"/>
                </w:tcPr>
                <w:p w14:paraId="5F1E762A">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UV油墨是一种不用溶剂，干燥速度快，光泽好，色彩鲜艳，耐水、耐溶剂、耐磨性好的油墨</w:t>
                  </w:r>
                  <w:r>
                    <w:rPr>
                      <w:rFonts w:hint="eastAsia" w:cs="Times New Roman"/>
                      <w:color w:val="auto"/>
                      <w:sz w:val="21"/>
                      <w:szCs w:val="21"/>
                      <w:lang w:eastAsia="zh-CN"/>
                    </w:rPr>
                    <w:t>；</w:t>
                  </w:r>
                  <w:r>
                    <w:rPr>
                      <w:rFonts w:hint="default" w:ascii="Times New Roman" w:hAnsi="Times New Roman" w:cs="Times New Roman"/>
                      <w:color w:val="auto"/>
                      <w:sz w:val="21"/>
                      <w:szCs w:val="21"/>
                    </w:rPr>
                    <w:t>在紫外线照射下，利用不同波长和能量的紫外光使油墨连接料中的单体聚合成聚合物，使油墨成膜和干燥的油墨。</w:t>
                  </w:r>
                </w:p>
              </w:tc>
              <w:tc>
                <w:tcPr>
                  <w:tcW w:w="1331" w:type="dxa"/>
                  <w:vAlign w:val="center"/>
                </w:tcPr>
                <w:p w14:paraId="36E8704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可燃</w:t>
                  </w:r>
                </w:p>
              </w:tc>
              <w:tc>
                <w:tcPr>
                  <w:tcW w:w="1196" w:type="dxa"/>
                  <w:vAlign w:val="center"/>
                </w:tcPr>
                <w:p w14:paraId="32DA2AB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无资料</w:t>
                  </w:r>
                </w:p>
              </w:tc>
            </w:tr>
            <w:tr w14:paraId="6365E3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1" w:hRule="atLeast"/>
              </w:trPr>
              <w:tc>
                <w:tcPr>
                  <w:tcW w:w="0" w:type="auto"/>
                  <w:shd w:val="clear" w:color="auto" w:fill="auto"/>
                  <w:vAlign w:val="center"/>
                </w:tcPr>
                <w:p w14:paraId="7B60A92C">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7</w:t>
                  </w:r>
                </w:p>
              </w:tc>
              <w:tc>
                <w:tcPr>
                  <w:tcW w:w="1041" w:type="dxa"/>
                  <w:shd w:val="clear" w:color="auto" w:fill="auto"/>
                  <w:vAlign w:val="center"/>
                </w:tcPr>
                <w:p w14:paraId="706B8B06">
                  <w:pPr>
                    <w:pStyle w:val="2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脱脂粉</w:t>
                  </w:r>
                </w:p>
              </w:tc>
              <w:tc>
                <w:tcPr>
                  <w:tcW w:w="5095" w:type="dxa"/>
                  <w:vAlign w:val="center"/>
                </w:tcPr>
                <w:p w14:paraId="3BB77367">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白色粉末，微咸味。成分：氢氧化钾 3-6%，氧化锌 30-50%，活性剂5-10%，葡萄糖酸钠 10-30%。饱和蒸气压（kpa）：1.33（32℃），溶解性：与水</w:t>
                  </w:r>
                  <w:r>
                    <w:rPr>
                      <w:rFonts w:hint="eastAsia" w:cs="Times New Roman"/>
                      <w:color w:val="auto"/>
                      <w:sz w:val="21"/>
                      <w:szCs w:val="21"/>
                      <w:lang w:val="en-US" w:eastAsia="zh-CN"/>
                    </w:rPr>
                    <w:t>相融。</w:t>
                  </w:r>
                </w:p>
              </w:tc>
              <w:tc>
                <w:tcPr>
                  <w:tcW w:w="1331" w:type="dxa"/>
                  <w:vAlign w:val="center"/>
                </w:tcPr>
                <w:p w14:paraId="75420DD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不燃</w:t>
                  </w:r>
                </w:p>
              </w:tc>
              <w:tc>
                <w:tcPr>
                  <w:tcW w:w="1196" w:type="dxa"/>
                  <w:vAlign w:val="center"/>
                </w:tcPr>
                <w:p w14:paraId="6EE04A2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无资料</w:t>
                  </w:r>
                </w:p>
              </w:tc>
            </w:tr>
            <w:tr w14:paraId="4B0C33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1" w:hRule="atLeast"/>
              </w:trPr>
              <w:tc>
                <w:tcPr>
                  <w:tcW w:w="0" w:type="auto"/>
                  <w:shd w:val="clear" w:color="auto" w:fill="auto"/>
                  <w:vAlign w:val="center"/>
                </w:tcPr>
                <w:p w14:paraId="674469FF">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8</w:t>
                  </w:r>
                </w:p>
              </w:tc>
              <w:tc>
                <w:tcPr>
                  <w:tcW w:w="1041" w:type="dxa"/>
                  <w:shd w:val="clear" w:color="auto" w:fill="auto"/>
                  <w:vAlign w:val="center"/>
                </w:tcPr>
                <w:p w14:paraId="5D35C911">
                  <w:pPr>
                    <w:pStyle w:val="2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煤油</w:t>
                  </w:r>
                </w:p>
              </w:tc>
              <w:tc>
                <w:tcPr>
                  <w:tcW w:w="5095" w:type="dxa"/>
                  <w:shd w:val="clear" w:color="auto" w:fill="auto"/>
                  <w:vAlign w:val="center"/>
                </w:tcPr>
                <w:p w14:paraId="6F27D2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无色至淡黄色透明液体，有臭味，易挥发，不溶于水但易溶于有机溶剂，燃烧稳定且污染小。此外，其密度小于水，粘度较高，且点火温度适中</w:t>
                  </w:r>
                </w:p>
              </w:tc>
              <w:tc>
                <w:tcPr>
                  <w:tcW w:w="1331" w:type="dxa"/>
                  <w:shd w:val="clear" w:color="auto" w:fill="auto"/>
                  <w:vAlign w:val="center"/>
                </w:tcPr>
                <w:p w14:paraId="3DE5EB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FFFFFF"/>
                      <w:lang w:val="en-US" w:eastAsia="zh-CN" w:bidi="ar-SA"/>
                    </w:rPr>
                  </w:pPr>
                  <w:r>
                    <w:rPr>
                      <w:rFonts w:hint="eastAsia" w:ascii="Times New Roman" w:hAnsi="Times New Roman" w:eastAsia="宋体" w:cs="Times New Roman"/>
                      <w:color w:val="auto"/>
                      <w:kern w:val="0"/>
                      <w:sz w:val="21"/>
                      <w:szCs w:val="21"/>
                      <w:highlight w:val="none"/>
                      <w:shd w:val="clear" w:color="auto" w:fill="FFFFFF"/>
                      <w:lang w:val="en-US" w:eastAsia="zh-CN"/>
                    </w:rPr>
                    <w:t>易</w:t>
                  </w:r>
                  <w:r>
                    <w:rPr>
                      <w:rFonts w:hint="default" w:ascii="Times New Roman" w:hAnsi="Times New Roman" w:eastAsia="宋体" w:cs="Times New Roman"/>
                      <w:color w:val="auto"/>
                      <w:kern w:val="0"/>
                      <w:sz w:val="21"/>
                      <w:szCs w:val="21"/>
                      <w:highlight w:val="none"/>
                      <w:shd w:val="clear" w:color="auto" w:fill="FFFFFF"/>
                      <w:lang w:val="en-US" w:eastAsia="zh-CN"/>
                    </w:rPr>
                    <w:t>燃</w:t>
                  </w:r>
                </w:p>
              </w:tc>
              <w:tc>
                <w:tcPr>
                  <w:tcW w:w="1196" w:type="dxa"/>
                  <w:shd w:val="clear" w:color="auto" w:fill="auto"/>
                  <w:vAlign w:val="center"/>
                </w:tcPr>
                <w:p w14:paraId="17E384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无资料</w:t>
                  </w:r>
                </w:p>
              </w:tc>
            </w:tr>
            <w:tr w14:paraId="7C5BBD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0" w:type="auto"/>
                  <w:vAlign w:val="center"/>
                </w:tcPr>
                <w:p w14:paraId="55BE1AAD">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w:t>
                  </w:r>
                </w:p>
              </w:tc>
              <w:tc>
                <w:tcPr>
                  <w:tcW w:w="1041" w:type="dxa"/>
                  <w:shd w:val="clear" w:color="auto" w:fill="auto"/>
                  <w:vAlign w:val="center"/>
                </w:tcPr>
                <w:p w14:paraId="45954FFE">
                  <w:pPr>
                    <w:pStyle w:val="2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切削液</w:t>
                  </w:r>
                </w:p>
              </w:tc>
              <w:tc>
                <w:tcPr>
                  <w:tcW w:w="5095" w:type="dxa"/>
                  <w:shd w:val="clear" w:color="auto" w:fill="auto"/>
                  <w:vAlign w:val="center"/>
                </w:tcPr>
                <w:p w14:paraId="58F1D1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外观与性状：浅棕色透明液体，比重：0.88-1.00（与水相对值）</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
                    </w:rPr>
                    <w:t>气味：有特有气味</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
                    </w:rPr>
                    <w:t>自燃温度：无数据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
                    </w:rPr>
                    <w:t>水中溶解度：以任意比互溶</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
                    </w:rPr>
                    <w:t>闪点：无数据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
                    </w:rPr>
                    <w:t>5%水溶液PH：8.8-9.2）。</w:t>
                  </w:r>
                </w:p>
              </w:tc>
              <w:tc>
                <w:tcPr>
                  <w:tcW w:w="1331" w:type="dxa"/>
                  <w:shd w:val="clear" w:color="auto" w:fill="auto"/>
                  <w:vAlign w:val="center"/>
                </w:tcPr>
                <w:p w14:paraId="2F65E4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FFFFFF"/>
                      <w:lang w:val="en-US" w:eastAsia="zh-CN" w:bidi="ar-SA"/>
                    </w:rPr>
                  </w:pPr>
                  <w:r>
                    <w:rPr>
                      <w:rFonts w:hint="default" w:ascii="Times New Roman" w:hAnsi="Times New Roman" w:eastAsia="宋体" w:cs="Times New Roman"/>
                      <w:color w:val="auto"/>
                      <w:kern w:val="0"/>
                      <w:sz w:val="21"/>
                      <w:szCs w:val="21"/>
                      <w:highlight w:val="none"/>
                      <w:shd w:val="clear" w:color="auto" w:fill="FFFFFF"/>
                      <w:lang w:val="en-US" w:eastAsia="zh-CN"/>
                    </w:rPr>
                    <w:t>不燃</w:t>
                  </w:r>
                </w:p>
              </w:tc>
              <w:tc>
                <w:tcPr>
                  <w:tcW w:w="1196" w:type="dxa"/>
                  <w:shd w:val="clear" w:color="auto" w:fill="auto"/>
                  <w:vAlign w:val="center"/>
                </w:tcPr>
                <w:p w14:paraId="30EF9E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无资料</w:t>
                  </w:r>
                </w:p>
              </w:tc>
            </w:tr>
          </w:tbl>
          <w:p w14:paraId="4DFF8CB0">
            <w:pPr>
              <w:ind w:firstLine="0" w:firstLineChars="0"/>
              <w:rPr>
                <w:b/>
                <w:bCs/>
                <w:color w:val="auto"/>
                <w:sz w:val="24"/>
                <w:szCs w:val="24"/>
              </w:rPr>
            </w:pPr>
            <w:r>
              <w:rPr>
                <w:rFonts w:hint="eastAsia"/>
                <w:b/>
                <w:bCs/>
                <w:color w:val="auto"/>
                <w:sz w:val="24"/>
                <w:szCs w:val="24"/>
                <w:lang w:val="en-US" w:eastAsia="zh-CN"/>
              </w:rPr>
              <w:t>4</w:t>
            </w:r>
            <w:r>
              <w:rPr>
                <w:b/>
                <w:bCs/>
                <w:color w:val="auto"/>
                <w:sz w:val="24"/>
                <w:szCs w:val="24"/>
              </w:rPr>
              <w:t>、设备清单</w:t>
            </w:r>
          </w:p>
          <w:p w14:paraId="4230EE2D">
            <w:pPr>
              <w:ind w:firstLine="420"/>
              <w:rPr>
                <w:color w:val="auto"/>
                <w:sz w:val="24"/>
                <w:szCs w:val="24"/>
              </w:rPr>
            </w:pPr>
            <w:r>
              <w:rPr>
                <w:color w:val="auto"/>
                <w:sz w:val="24"/>
                <w:szCs w:val="24"/>
              </w:rPr>
              <w:t>本项目设备清单详见表2-</w:t>
            </w:r>
            <w:r>
              <w:rPr>
                <w:rFonts w:hint="eastAsia"/>
                <w:color w:val="auto"/>
                <w:sz w:val="24"/>
                <w:szCs w:val="24"/>
                <w:lang w:val="en-US" w:eastAsia="zh-CN"/>
              </w:rPr>
              <w:t>4</w:t>
            </w:r>
            <w:r>
              <w:rPr>
                <w:color w:val="auto"/>
                <w:sz w:val="24"/>
                <w:szCs w:val="24"/>
              </w:rPr>
              <w:t>。</w:t>
            </w:r>
          </w:p>
          <w:p w14:paraId="7B77223D">
            <w:pPr>
              <w:spacing w:line="240" w:lineRule="auto"/>
              <w:ind w:firstLine="0" w:firstLineChars="0"/>
              <w:jc w:val="center"/>
              <w:rPr>
                <w:b/>
                <w:bCs/>
                <w:color w:val="auto"/>
                <w:sz w:val="21"/>
                <w:szCs w:val="21"/>
              </w:rPr>
            </w:pPr>
            <w:r>
              <w:rPr>
                <w:b/>
                <w:bCs/>
                <w:color w:val="auto"/>
                <w:sz w:val="21"/>
                <w:szCs w:val="21"/>
              </w:rPr>
              <w:t>表2-</w:t>
            </w:r>
            <w:r>
              <w:rPr>
                <w:rFonts w:hint="eastAsia"/>
                <w:b/>
                <w:bCs/>
                <w:color w:val="auto"/>
                <w:sz w:val="21"/>
                <w:szCs w:val="21"/>
                <w:lang w:val="en-US" w:eastAsia="zh-CN"/>
              </w:rPr>
              <w:t>4</w:t>
            </w:r>
            <w:r>
              <w:rPr>
                <w:b/>
                <w:bCs/>
                <w:color w:val="auto"/>
                <w:sz w:val="21"/>
                <w:szCs w:val="21"/>
              </w:rPr>
              <w:t xml:space="preserve">  主要设备一览表</w:t>
            </w:r>
          </w:p>
          <w:tbl>
            <w:tblPr>
              <w:tblStyle w:val="17"/>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780"/>
              <w:gridCol w:w="763"/>
              <w:gridCol w:w="1628"/>
              <w:gridCol w:w="2624"/>
              <w:gridCol w:w="1131"/>
              <w:gridCol w:w="1107"/>
              <w:gridCol w:w="1215"/>
            </w:tblGrid>
            <w:tr w14:paraId="0E276A6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421" w:type="pct"/>
                  <w:noWrap/>
                  <w:vAlign w:val="center"/>
                </w:tcPr>
                <w:p w14:paraId="2D1EB36D">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设备类别</w:t>
                  </w:r>
                </w:p>
              </w:tc>
              <w:tc>
                <w:tcPr>
                  <w:tcW w:w="412" w:type="pct"/>
                  <w:noWrap/>
                  <w:vAlign w:val="center"/>
                </w:tcPr>
                <w:p w14:paraId="5C04966F">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880" w:type="pct"/>
                  <w:noWrap/>
                  <w:vAlign w:val="center"/>
                </w:tcPr>
                <w:p w14:paraId="2F542C40">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设备名称</w:t>
                  </w:r>
                </w:p>
              </w:tc>
              <w:tc>
                <w:tcPr>
                  <w:tcW w:w="1418" w:type="pct"/>
                  <w:noWrap/>
                  <w:vAlign w:val="center"/>
                </w:tcPr>
                <w:p w14:paraId="2704FA40">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规格型号</w:t>
                  </w:r>
                </w:p>
              </w:tc>
              <w:tc>
                <w:tcPr>
                  <w:tcW w:w="611" w:type="pct"/>
                  <w:noWrap/>
                  <w:vAlign w:val="center"/>
                </w:tcPr>
                <w:p w14:paraId="680AB87B">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数量</w:t>
                  </w:r>
                </w:p>
                <w:p w14:paraId="29AFDFEB">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（台/套）</w:t>
                  </w:r>
                </w:p>
              </w:tc>
              <w:tc>
                <w:tcPr>
                  <w:tcW w:w="598" w:type="pct"/>
                  <w:noWrap/>
                  <w:vAlign w:val="center"/>
                </w:tcPr>
                <w:p w14:paraId="4A9552DD">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备注</w:t>
                  </w:r>
                </w:p>
              </w:tc>
              <w:tc>
                <w:tcPr>
                  <w:tcW w:w="656" w:type="pct"/>
                  <w:noWrap/>
                  <w:vAlign w:val="center"/>
                </w:tcPr>
                <w:p w14:paraId="3B2FDF8D">
                  <w:pPr>
                    <w:keepNext w:val="0"/>
                    <w:keepLines w:val="0"/>
                    <w:pageBreakBefore w:val="0"/>
                    <w:kinsoku/>
                    <w:wordWrap/>
                    <w:overflowPunct/>
                    <w:topLinePunct w:val="0"/>
                    <w:autoSpaceDE/>
                    <w:autoSpaceDN/>
                    <w:bidi w:val="0"/>
                    <w:adjustRightInd/>
                    <w:spacing w:line="240" w:lineRule="auto"/>
                    <w:ind w:firstLine="0" w:firstLine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位置</w:t>
                  </w:r>
                </w:p>
              </w:tc>
            </w:tr>
            <w:tr w14:paraId="2D160FB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421" w:type="pct"/>
                  <w:vMerge w:val="restart"/>
                  <w:shd w:val="clear" w:color="auto" w:fill="auto"/>
                  <w:noWrap/>
                  <w:vAlign w:val="center"/>
                </w:tcPr>
                <w:p w14:paraId="23672DA7">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生产设备</w:t>
                  </w:r>
                </w:p>
                <w:p w14:paraId="773D0716">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412" w:type="pct"/>
                  <w:noWrap/>
                  <w:vAlign w:val="center"/>
                </w:tcPr>
                <w:p w14:paraId="167E315F">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p>
              </w:tc>
              <w:tc>
                <w:tcPr>
                  <w:tcW w:w="880" w:type="pct"/>
                  <w:shd w:val="clear" w:color="auto" w:fill="auto"/>
                  <w:noWrap/>
                  <w:vAlign w:val="center"/>
                </w:tcPr>
                <w:p w14:paraId="7BCEE30C">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超声波清洗机</w:t>
                  </w:r>
                </w:p>
              </w:tc>
              <w:tc>
                <w:tcPr>
                  <w:tcW w:w="1418" w:type="pct"/>
                  <w:noWrap/>
                  <w:vAlign w:val="center"/>
                </w:tcPr>
                <w:p w14:paraId="2F4691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3CGL</w:t>
                  </w:r>
                  <w:r>
                    <w:rPr>
                      <w:rFonts w:hint="eastAsia" w:cs="Times New Roman"/>
                      <w:i w:val="0"/>
                      <w:iCs w:val="0"/>
                      <w:color w:val="auto"/>
                      <w:kern w:val="0"/>
                      <w:sz w:val="21"/>
                      <w:szCs w:val="21"/>
                      <w:u w:val="none"/>
                      <w:lang w:val="en-US" w:eastAsia="zh-CN" w:bidi="ar"/>
                    </w:rPr>
                    <w:t>，</w:t>
                  </w:r>
                  <w:r>
                    <w:rPr>
                      <w:rFonts w:hint="eastAsia" w:cs="Times New Roman"/>
                      <w:color w:val="auto"/>
                      <w:sz w:val="21"/>
                      <w:szCs w:val="21"/>
                      <w:lang w:val="en-US" w:eastAsia="zh-CN"/>
                    </w:rPr>
                    <w:t>47*42*25cm*2</w:t>
                  </w:r>
                </w:p>
              </w:tc>
              <w:tc>
                <w:tcPr>
                  <w:tcW w:w="611" w:type="pct"/>
                  <w:noWrap/>
                  <w:vAlign w:val="center"/>
                </w:tcPr>
                <w:p w14:paraId="4F70EBE0">
                  <w:pPr>
                    <w:keepNext w:val="0"/>
                    <w:keepLines w:val="0"/>
                    <w:pageBreakBefore w:val="0"/>
                    <w:widowControl/>
                    <w:suppressLineNumbers w:val="0"/>
                    <w:tabs>
                      <w:tab w:val="left" w:pos="251"/>
                    </w:tabs>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598" w:type="pct"/>
                  <w:noWrap/>
                  <w:vAlign w:val="center"/>
                </w:tcPr>
                <w:p w14:paraId="203B55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清洗</w:t>
                  </w:r>
                </w:p>
              </w:tc>
              <w:tc>
                <w:tcPr>
                  <w:tcW w:w="656" w:type="pct"/>
                  <w:noWrap/>
                  <w:vAlign w:val="center"/>
                </w:tcPr>
                <w:p w14:paraId="7C14900E">
                  <w:pPr>
                    <w:keepNext w:val="0"/>
                    <w:keepLines w:val="0"/>
                    <w:pageBreakBefore w:val="0"/>
                    <w:kinsoku/>
                    <w:wordWrap/>
                    <w:overflowPunct/>
                    <w:topLinePunct w:val="0"/>
                    <w:autoSpaceDE/>
                    <w:autoSpaceDN/>
                    <w:bidi w:val="0"/>
                    <w:adjustRightInd/>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车间2F</w:t>
                  </w:r>
                </w:p>
              </w:tc>
            </w:tr>
            <w:tr w14:paraId="6067365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421" w:type="pct"/>
                  <w:vMerge w:val="continue"/>
                  <w:noWrap/>
                  <w:vAlign w:val="center"/>
                </w:tcPr>
                <w:p w14:paraId="62883426">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412" w:type="pct"/>
                  <w:noWrap/>
                  <w:vAlign w:val="center"/>
                </w:tcPr>
                <w:p w14:paraId="430E5C27">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p>
              </w:tc>
              <w:tc>
                <w:tcPr>
                  <w:tcW w:w="880" w:type="pct"/>
                  <w:shd w:val="clear" w:color="auto" w:fill="auto"/>
                  <w:noWrap/>
                  <w:vAlign w:val="center"/>
                </w:tcPr>
                <w:p w14:paraId="5A83805F">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UV打印机</w:t>
                  </w:r>
                </w:p>
              </w:tc>
              <w:tc>
                <w:tcPr>
                  <w:tcW w:w="1418" w:type="pct"/>
                  <w:noWrap/>
                  <w:vAlign w:val="center"/>
                </w:tcPr>
                <w:p w14:paraId="16D90A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611" w:type="pct"/>
                  <w:noWrap/>
                  <w:vAlign w:val="center"/>
                </w:tcPr>
                <w:p w14:paraId="7D668113">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598" w:type="pct"/>
                  <w:noWrap/>
                  <w:vAlign w:val="center"/>
                </w:tcPr>
                <w:p w14:paraId="73F5DB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bCs/>
                      <w:color w:val="auto"/>
                      <w:kern w:val="2"/>
                      <w:sz w:val="21"/>
                      <w:szCs w:val="21"/>
                      <w:lang w:val="en-US" w:eastAsia="zh-CN" w:bidi="ar-SA"/>
                    </w:rPr>
                    <w:t>UV打印</w:t>
                  </w:r>
                </w:p>
              </w:tc>
              <w:tc>
                <w:tcPr>
                  <w:tcW w:w="656" w:type="pct"/>
                  <w:noWrap/>
                  <w:vAlign w:val="center"/>
                </w:tcPr>
                <w:p w14:paraId="03A19E0E">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车间1F</w:t>
                  </w:r>
                </w:p>
              </w:tc>
            </w:tr>
            <w:tr w14:paraId="70E99FC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421" w:type="pct"/>
                  <w:vMerge w:val="continue"/>
                  <w:noWrap/>
                  <w:vAlign w:val="center"/>
                </w:tcPr>
                <w:p w14:paraId="448B830A">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rPr>
                  </w:pPr>
                </w:p>
              </w:tc>
              <w:tc>
                <w:tcPr>
                  <w:tcW w:w="412" w:type="pct"/>
                  <w:noWrap/>
                  <w:vAlign w:val="center"/>
                </w:tcPr>
                <w:p w14:paraId="7AE652E6">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w:t>
                  </w:r>
                </w:p>
              </w:tc>
              <w:tc>
                <w:tcPr>
                  <w:tcW w:w="880" w:type="pct"/>
                  <w:shd w:val="clear" w:color="auto" w:fill="auto"/>
                  <w:noWrap/>
                  <w:vAlign w:val="center"/>
                </w:tcPr>
                <w:p w14:paraId="0F31C461">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超声波焊接机</w:t>
                  </w:r>
                </w:p>
              </w:tc>
              <w:tc>
                <w:tcPr>
                  <w:tcW w:w="1418" w:type="pct"/>
                  <w:noWrap/>
                  <w:vAlign w:val="center"/>
                </w:tcPr>
                <w:p w14:paraId="125C12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JR-1526</w:t>
                  </w:r>
                </w:p>
              </w:tc>
              <w:tc>
                <w:tcPr>
                  <w:tcW w:w="611" w:type="pct"/>
                  <w:noWrap/>
                  <w:vAlign w:val="center"/>
                </w:tcPr>
                <w:p w14:paraId="26D0507D">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10</w:t>
                  </w:r>
                </w:p>
              </w:tc>
              <w:tc>
                <w:tcPr>
                  <w:tcW w:w="598" w:type="pct"/>
                  <w:noWrap/>
                  <w:vAlign w:val="center"/>
                </w:tcPr>
                <w:p w14:paraId="5039FF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bCs/>
                      <w:color w:val="auto"/>
                      <w:kern w:val="2"/>
                      <w:sz w:val="21"/>
                      <w:szCs w:val="21"/>
                      <w:lang w:val="en-US" w:eastAsia="zh-CN" w:bidi="ar-SA"/>
                    </w:rPr>
                    <w:t>焊接</w:t>
                  </w:r>
                </w:p>
              </w:tc>
              <w:tc>
                <w:tcPr>
                  <w:tcW w:w="656" w:type="pct"/>
                  <w:noWrap/>
                  <w:vAlign w:val="center"/>
                </w:tcPr>
                <w:p w14:paraId="4E723E70">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车间2F</w:t>
                  </w:r>
                </w:p>
              </w:tc>
            </w:tr>
            <w:tr w14:paraId="10A7F10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421" w:type="pct"/>
                  <w:vMerge w:val="continue"/>
                  <w:noWrap/>
                  <w:vAlign w:val="center"/>
                </w:tcPr>
                <w:p w14:paraId="07AC891B">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rPr>
                  </w:pPr>
                </w:p>
              </w:tc>
              <w:tc>
                <w:tcPr>
                  <w:tcW w:w="412" w:type="pct"/>
                  <w:noWrap/>
                  <w:vAlign w:val="center"/>
                </w:tcPr>
                <w:p w14:paraId="147D7469">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w:t>
                  </w:r>
                </w:p>
              </w:tc>
              <w:tc>
                <w:tcPr>
                  <w:tcW w:w="880" w:type="pct"/>
                  <w:shd w:val="clear" w:color="auto" w:fill="auto"/>
                  <w:noWrap/>
                  <w:vAlign w:val="center"/>
                </w:tcPr>
                <w:p w14:paraId="2ACEB44F">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lang w:val="en-US" w:eastAsia="zh-CN"/>
                    </w:rPr>
                    <w:t>磁力抛光机</w:t>
                  </w:r>
                </w:p>
              </w:tc>
              <w:tc>
                <w:tcPr>
                  <w:tcW w:w="1418" w:type="pct"/>
                  <w:noWrap/>
                  <w:vAlign w:val="center"/>
                </w:tcPr>
                <w:p w14:paraId="2239F6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TC-H55</w:t>
                  </w:r>
                </w:p>
              </w:tc>
              <w:tc>
                <w:tcPr>
                  <w:tcW w:w="611" w:type="pct"/>
                  <w:noWrap/>
                  <w:vAlign w:val="center"/>
                </w:tcPr>
                <w:p w14:paraId="4BBDBDA6">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1</w:t>
                  </w:r>
                </w:p>
              </w:tc>
              <w:tc>
                <w:tcPr>
                  <w:tcW w:w="598" w:type="pct"/>
                  <w:noWrap/>
                  <w:vAlign w:val="center"/>
                </w:tcPr>
                <w:p w14:paraId="57B594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Cs w:val="21"/>
                      <w:lang w:val="en-US" w:eastAsia="zh-CN"/>
                    </w:rPr>
                    <w:t>抛光</w:t>
                  </w:r>
                </w:p>
              </w:tc>
              <w:tc>
                <w:tcPr>
                  <w:tcW w:w="656" w:type="pct"/>
                  <w:noWrap/>
                  <w:vAlign w:val="center"/>
                </w:tcPr>
                <w:p w14:paraId="05D31D55">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车间1F</w:t>
                  </w:r>
                </w:p>
              </w:tc>
            </w:tr>
            <w:tr w14:paraId="28A561E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421" w:type="pct"/>
                  <w:vMerge w:val="continue"/>
                  <w:noWrap/>
                  <w:vAlign w:val="center"/>
                </w:tcPr>
                <w:p w14:paraId="06D81751">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rPr>
                  </w:pPr>
                </w:p>
              </w:tc>
              <w:tc>
                <w:tcPr>
                  <w:tcW w:w="412" w:type="pct"/>
                  <w:noWrap/>
                  <w:vAlign w:val="center"/>
                </w:tcPr>
                <w:p w14:paraId="4DE556A2">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880" w:type="pct"/>
                  <w:shd w:val="clear" w:color="auto" w:fill="auto"/>
                  <w:noWrap/>
                  <w:vAlign w:val="center"/>
                </w:tcPr>
                <w:p w14:paraId="451A0640">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干燥</w:t>
                  </w:r>
                  <w:r>
                    <w:rPr>
                      <w:rFonts w:hint="eastAsia" w:cs="Times New Roman"/>
                      <w:bCs/>
                      <w:color w:val="auto"/>
                      <w:kern w:val="2"/>
                      <w:sz w:val="21"/>
                      <w:szCs w:val="21"/>
                      <w:lang w:val="en-US" w:eastAsia="zh-CN" w:bidi="ar-SA"/>
                    </w:rPr>
                    <w:t>机</w:t>
                  </w:r>
                </w:p>
              </w:tc>
              <w:tc>
                <w:tcPr>
                  <w:tcW w:w="1418" w:type="pct"/>
                  <w:shd w:val="clear" w:color="auto" w:fill="auto"/>
                  <w:noWrap/>
                  <w:vAlign w:val="center"/>
                </w:tcPr>
                <w:p w14:paraId="063BC4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611" w:type="pct"/>
                  <w:shd w:val="clear" w:color="auto" w:fill="auto"/>
                  <w:noWrap/>
                  <w:vAlign w:val="center"/>
                </w:tcPr>
                <w:p w14:paraId="502FFB45">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25</w:t>
                  </w:r>
                </w:p>
              </w:tc>
              <w:tc>
                <w:tcPr>
                  <w:tcW w:w="598" w:type="pct"/>
                  <w:noWrap/>
                  <w:vAlign w:val="center"/>
                </w:tcPr>
                <w:p w14:paraId="68650E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bCs/>
                      <w:color w:val="auto"/>
                      <w:kern w:val="2"/>
                      <w:sz w:val="21"/>
                      <w:szCs w:val="21"/>
                      <w:lang w:val="en-US" w:eastAsia="zh-CN" w:bidi="ar-SA"/>
                    </w:rPr>
                    <w:t>干燥</w:t>
                  </w:r>
                </w:p>
              </w:tc>
              <w:tc>
                <w:tcPr>
                  <w:tcW w:w="656" w:type="pct"/>
                  <w:noWrap/>
                  <w:vAlign w:val="center"/>
                </w:tcPr>
                <w:p w14:paraId="4E337197">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车间1F</w:t>
                  </w:r>
                </w:p>
              </w:tc>
            </w:tr>
            <w:tr w14:paraId="122C26E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421" w:type="pct"/>
                  <w:vMerge w:val="continue"/>
                  <w:noWrap/>
                  <w:vAlign w:val="center"/>
                </w:tcPr>
                <w:p w14:paraId="2FE5C0AE">
                  <w:pPr>
                    <w:keepNext w:val="0"/>
                    <w:keepLines w:val="0"/>
                    <w:pageBreakBefore w:val="0"/>
                    <w:kinsoku/>
                    <w:wordWrap/>
                    <w:overflowPunct/>
                    <w:topLinePunct w:val="0"/>
                    <w:autoSpaceDE/>
                    <w:autoSpaceDN/>
                    <w:bidi w:val="0"/>
                    <w:adjustRightInd/>
                    <w:spacing w:line="240" w:lineRule="auto"/>
                    <w:ind w:firstLine="0" w:firstLineChars="0"/>
                    <w:jc w:val="center"/>
                    <w:rPr>
                      <w:rFonts w:hint="eastAsia" w:cs="Times New Roman"/>
                      <w:color w:val="auto"/>
                      <w:sz w:val="21"/>
                      <w:szCs w:val="21"/>
                      <w:lang w:val="en-US" w:eastAsia="zh-CN"/>
                    </w:rPr>
                  </w:pPr>
                </w:p>
              </w:tc>
              <w:tc>
                <w:tcPr>
                  <w:tcW w:w="412" w:type="pct"/>
                  <w:noWrap/>
                  <w:vAlign w:val="center"/>
                </w:tcPr>
                <w:p w14:paraId="2770BC20">
                  <w:pPr>
                    <w:keepNext w:val="0"/>
                    <w:keepLines w:val="0"/>
                    <w:pageBreakBefore w:val="0"/>
                    <w:kinsoku/>
                    <w:wordWrap/>
                    <w:overflowPunct/>
                    <w:topLinePunct w:val="0"/>
                    <w:autoSpaceDE/>
                    <w:autoSpaceDN/>
                    <w:bidi w:val="0"/>
                    <w:adjustRightInd/>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c>
                <w:tcPr>
                  <w:tcW w:w="880" w:type="pct"/>
                  <w:shd w:val="clear" w:color="auto" w:fill="auto"/>
                  <w:noWrap/>
                  <w:vAlign w:val="center"/>
                </w:tcPr>
                <w:p w14:paraId="2A47525A">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highlight w:val="none"/>
                      <w:lang w:val="en-US" w:eastAsia="zh-CN" w:bidi="ar-SA"/>
                    </w:rPr>
                    <w:t>破碎机</w:t>
                  </w:r>
                </w:p>
              </w:tc>
              <w:tc>
                <w:tcPr>
                  <w:tcW w:w="1418" w:type="pct"/>
                  <w:shd w:val="clear" w:color="auto" w:fill="auto"/>
                  <w:noWrap/>
                  <w:vAlign w:val="center"/>
                </w:tcPr>
                <w:p w14:paraId="7AD3E2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5HP</w:t>
                  </w:r>
                </w:p>
              </w:tc>
              <w:tc>
                <w:tcPr>
                  <w:tcW w:w="611" w:type="pct"/>
                  <w:shd w:val="clear" w:color="auto" w:fill="auto"/>
                  <w:noWrap/>
                  <w:vAlign w:val="center"/>
                </w:tcPr>
                <w:p w14:paraId="12CA889C">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w:t>
                  </w:r>
                </w:p>
              </w:tc>
              <w:tc>
                <w:tcPr>
                  <w:tcW w:w="598" w:type="pct"/>
                  <w:noWrap/>
                  <w:vAlign w:val="center"/>
                </w:tcPr>
                <w:p w14:paraId="5E8AAA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bCs/>
                      <w:color w:val="auto"/>
                      <w:kern w:val="2"/>
                      <w:sz w:val="21"/>
                      <w:szCs w:val="21"/>
                      <w:highlight w:val="none"/>
                      <w:lang w:val="en-US" w:eastAsia="zh-CN" w:bidi="ar-SA"/>
                    </w:rPr>
                    <w:t>破碎</w:t>
                  </w:r>
                </w:p>
              </w:tc>
              <w:tc>
                <w:tcPr>
                  <w:tcW w:w="656" w:type="pct"/>
                  <w:noWrap/>
                  <w:vAlign w:val="center"/>
                </w:tcPr>
                <w:p w14:paraId="5D9BE057">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车间1F</w:t>
                  </w:r>
                </w:p>
              </w:tc>
            </w:tr>
            <w:tr w14:paraId="54D4CF5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421" w:type="pct"/>
                  <w:vMerge w:val="continue"/>
                  <w:shd w:val="clear" w:color="auto" w:fill="auto"/>
                  <w:noWrap/>
                  <w:vAlign w:val="center"/>
                </w:tcPr>
                <w:p w14:paraId="4C0473A2">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rPr>
                  </w:pPr>
                </w:p>
              </w:tc>
              <w:tc>
                <w:tcPr>
                  <w:tcW w:w="412" w:type="pct"/>
                  <w:shd w:val="clear" w:color="auto" w:fill="auto"/>
                  <w:noWrap/>
                  <w:vAlign w:val="center"/>
                </w:tcPr>
                <w:p w14:paraId="46A709E4">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7</w:t>
                  </w:r>
                </w:p>
              </w:tc>
              <w:tc>
                <w:tcPr>
                  <w:tcW w:w="880" w:type="pct"/>
                  <w:shd w:val="clear" w:color="auto" w:fill="auto"/>
                  <w:noWrap/>
                  <w:vAlign w:val="center"/>
                </w:tcPr>
                <w:p w14:paraId="27F414E6">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注塑机</w:t>
                  </w:r>
                </w:p>
              </w:tc>
              <w:tc>
                <w:tcPr>
                  <w:tcW w:w="1418" w:type="pct"/>
                  <w:noWrap/>
                  <w:vAlign w:val="center"/>
                </w:tcPr>
                <w:p w14:paraId="3DDA79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HXF 130J5</w:t>
                  </w:r>
                </w:p>
              </w:tc>
              <w:tc>
                <w:tcPr>
                  <w:tcW w:w="611" w:type="pct"/>
                  <w:noWrap/>
                  <w:vAlign w:val="center"/>
                </w:tcPr>
                <w:p w14:paraId="67F0C90E">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25</w:t>
                  </w:r>
                </w:p>
              </w:tc>
              <w:tc>
                <w:tcPr>
                  <w:tcW w:w="598" w:type="pct"/>
                  <w:noWrap/>
                  <w:vAlign w:val="center"/>
                </w:tcPr>
                <w:p w14:paraId="56A1F9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bCs/>
                      <w:color w:val="auto"/>
                      <w:kern w:val="2"/>
                      <w:sz w:val="21"/>
                      <w:szCs w:val="21"/>
                      <w:lang w:val="en-US" w:eastAsia="zh-CN" w:bidi="ar-SA"/>
                    </w:rPr>
                    <w:t>注塑</w:t>
                  </w:r>
                </w:p>
              </w:tc>
              <w:tc>
                <w:tcPr>
                  <w:tcW w:w="656" w:type="pct"/>
                  <w:noWrap/>
                  <w:vAlign w:val="center"/>
                </w:tcPr>
                <w:p w14:paraId="2C6C4E3C">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车间1F</w:t>
                  </w:r>
                </w:p>
              </w:tc>
            </w:tr>
            <w:tr w14:paraId="2B583C0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421" w:type="pct"/>
                  <w:vMerge w:val="continue"/>
                  <w:shd w:val="clear" w:color="auto" w:fill="auto"/>
                  <w:noWrap/>
                  <w:vAlign w:val="center"/>
                </w:tcPr>
                <w:p w14:paraId="6BB6C24B">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rPr>
                  </w:pPr>
                </w:p>
              </w:tc>
              <w:tc>
                <w:tcPr>
                  <w:tcW w:w="412" w:type="pct"/>
                  <w:shd w:val="clear" w:color="auto" w:fill="auto"/>
                  <w:noWrap/>
                  <w:vAlign w:val="center"/>
                </w:tcPr>
                <w:p w14:paraId="778B0F54">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8</w:t>
                  </w:r>
                </w:p>
              </w:tc>
              <w:tc>
                <w:tcPr>
                  <w:tcW w:w="880" w:type="pct"/>
                  <w:shd w:val="clear" w:color="auto" w:fill="auto"/>
                  <w:noWrap/>
                  <w:vAlign w:val="center"/>
                </w:tcPr>
                <w:p w14:paraId="30A59E4D">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火花机</w:t>
                  </w:r>
                </w:p>
              </w:tc>
              <w:tc>
                <w:tcPr>
                  <w:tcW w:w="1418" w:type="pct"/>
                  <w:noWrap/>
                  <w:vAlign w:val="center"/>
                </w:tcPr>
                <w:p w14:paraId="51DA58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YD-C 630</w:t>
                  </w:r>
                </w:p>
              </w:tc>
              <w:tc>
                <w:tcPr>
                  <w:tcW w:w="611" w:type="pct"/>
                  <w:noWrap/>
                  <w:vAlign w:val="center"/>
                </w:tcPr>
                <w:p w14:paraId="70D86EAE">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598" w:type="pct"/>
                  <w:noWrap/>
                  <w:vAlign w:val="center"/>
                </w:tcPr>
                <w:p w14:paraId="644078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电火花</w:t>
                  </w:r>
                </w:p>
              </w:tc>
              <w:tc>
                <w:tcPr>
                  <w:tcW w:w="656" w:type="pct"/>
                  <w:noWrap/>
                  <w:vAlign w:val="center"/>
                </w:tcPr>
                <w:p w14:paraId="6F6D61E5">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车间1F</w:t>
                  </w:r>
                </w:p>
              </w:tc>
            </w:tr>
            <w:tr w14:paraId="723AAF9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421" w:type="pct"/>
                  <w:vMerge w:val="continue"/>
                  <w:shd w:val="clear" w:color="auto" w:fill="auto"/>
                  <w:noWrap/>
                  <w:vAlign w:val="center"/>
                </w:tcPr>
                <w:p w14:paraId="6B4C9716">
                  <w:pPr>
                    <w:keepNext w:val="0"/>
                    <w:keepLines w:val="0"/>
                    <w:pageBreakBefore w:val="0"/>
                    <w:kinsoku/>
                    <w:wordWrap/>
                    <w:overflowPunct/>
                    <w:topLinePunct w:val="0"/>
                    <w:autoSpaceDE/>
                    <w:autoSpaceDN/>
                    <w:bidi w:val="0"/>
                    <w:adjustRightInd/>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412" w:type="pct"/>
                  <w:shd w:val="clear" w:color="auto" w:fill="auto"/>
                  <w:noWrap/>
                  <w:vAlign w:val="center"/>
                </w:tcPr>
                <w:p w14:paraId="298F0D44">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w:t>
                  </w:r>
                </w:p>
              </w:tc>
              <w:tc>
                <w:tcPr>
                  <w:tcW w:w="880" w:type="pct"/>
                  <w:shd w:val="clear" w:color="auto" w:fill="auto"/>
                  <w:noWrap/>
                  <w:vAlign w:val="center"/>
                </w:tcPr>
                <w:p w14:paraId="12E18FA2">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铣床</w:t>
                  </w:r>
                </w:p>
              </w:tc>
              <w:tc>
                <w:tcPr>
                  <w:tcW w:w="1418" w:type="pct"/>
                  <w:noWrap/>
                  <w:vAlign w:val="center"/>
                </w:tcPr>
                <w:p w14:paraId="050571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HJ 205</w:t>
                  </w:r>
                </w:p>
              </w:tc>
              <w:tc>
                <w:tcPr>
                  <w:tcW w:w="611" w:type="pct"/>
                  <w:noWrap/>
                  <w:vAlign w:val="center"/>
                </w:tcPr>
                <w:p w14:paraId="135AE48C">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598" w:type="pct"/>
                  <w:noWrap/>
                  <w:vAlign w:val="center"/>
                </w:tcPr>
                <w:p w14:paraId="3726AB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机加工</w:t>
                  </w:r>
                </w:p>
              </w:tc>
              <w:tc>
                <w:tcPr>
                  <w:tcW w:w="656" w:type="pct"/>
                  <w:noWrap/>
                  <w:vAlign w:val="center"/>
                </w:tcPr>
                <w:p w14:paraId="7073BAF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lang w:val="en-US" w:eastAsia="zh-CN"/>
                    </w:rPr>
                    <w:t>车间1F</w:t>
                  </w:r>
                </w:p>
              </w:tc>
            </w:tr>
            <w:tr w14:paraId="70B4CFA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421" w:type="pct"/>
                  <w:vMerge w:val="continue"/>
                  <w:shd w:val="clear" w:color="auto" w:fill="auto"/>
                  <w:noWrap/>
                  <w:vAlign w:val="center"/>
                </w:tcPr>
                <w:p w14:paraId="33ACB94C">
                  <w:pPr>
                    <w:keepNext w:val="0"/>
                    <w:keepLines w:val="0"/>
                    <w:pageBreakBefore w:val="0"/>
                    <w:kinsoku/>
                    <w:wordWrap/>
                    <w:overflowPunct/>
                    <w:topLinePunct w:val="0"/>
                    <w:autoSpaceDE/>
                    <w:autoSpaceDN/>
                    <w:bidi w:val="0"/>
                    <w:adjustRightInd/>
                    <w:spacing w:line="240" w:lineRule="auto"/>
                    <w:ind w:firstLine="0" w:firstLineChars="0"/>
                    <w:jc w:val="center"/>
                    <w:rPr>
                      <w:rFonts w:hint="eastAsia" w:cs="Times New Roman"/>
                      <w:color w:val="auto"/>
                      <w:kern w:val="2"/>
                      <w:sz w:val="21"/>
                      <w:szCs w:val="21"/>
                      <w:lang w:val="en-US" w:eastAsia="zh-CN" w:bidi="ar-SA"/>
                    </w:rPr>
                  </w:pPr>
                </w:p>
              </w:tc>
              <w:tc>
                <w:tcPr>
                  <w:tcW w:w="412" w:type="pct"/>
                  <w:shd w:val="clear" w:color="auto" w:fill="auto"/>
                  <w:noWrap/>
                  <w:vAlign w:val="center"/>
                </w:tcPr>
                <w:p w14:paraId="15F117B5">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880" w:type="pct"/>
                  <w:shd w:val="clear" w:color="auto" w:fill="auto"/>
                  <w:noWrap/>
                  <w:vAlign w:val="center"/>
                </w:tcPr>
                <w:p w14:paraId="4655F2AE">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磨床</w:t>
                  </w:r>
                </w:p>
              </w:tc>
              <w:tc>
                <w:tcPr>
                  <w:tcW w:w="1418" w:type="pct"/>
                  <w:noWrap/>
                  <w:vAlign w:val="center"/>
                </w:tcPr>
                <w:p w14:paraId="70E345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M 260</w:t>
                  </w:r>
                </w:p>
              </w:tc>
              <w:tc>
                <w:tcPr>
                  <w:tcW w:w="611" w:type="pct"/>
                  <w:noWrap/>
                  <w:vAlign w:val="center"/>
                </w:tcPr>
                <w:p w14:paraId="430D7490">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598" w:type="pct"/>
                  <w:noWrap/>
                  <w:vAlign w:val="center"/>
                </w:tcPr>
                <w:p w14:paraId="4968D3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机加工</w:t>
                  </w:r>
                </w:p>
              </w:tc>
              <w:tc>
                <w:tcPr>
                  <w:tcW w:w="656" w:type="pct"/>
                  <w:noWrap/>
                  <w:vAlign w:val="center"/>
                </w:tcPr>
                <w:p w14:paraId="2EC761E5">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车间1F</w:t>
                  </w:r>
                </w:p>
              </w:tc>
            </w:tr>
            <w:tr w14:paraId="268B3FA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421" w:type="pct"/>
                  <w:vMerge w:val="continue"/>
                  <w:shd w:val="clear" w:color="auto" w:fill="auto"/>
                  <w:noWrap/>
                  <w:vAlign w:val="center"/>
                </w:tcPr>
                <w:p w14:paraId="68B0E028">
                  <w:pPr>
                    <w:keepNext w:val="0"/>
                    <w:keepLines w:val="0"/>
                    <w:pageBreakBefore w:val="0"/>
                    <w:kinsoku/>
                    <w:wordWrap/>
                    <w:overflowPunct/>
                    <w:topLinePunct w:val="0"/>
                    <w:autoSpaceDE/>
                    <w:autoSpaceDN/>
                    <w:bidi w:val="0"/>
                    <w:adjustRightInd/>
                    <w:spacing w:line="240" w:lineRule="auto"/>
                    <w:ind w:firstLine="0" w:firstLineChars="0"/>
                    <w:jc w:val="center"/>
                    <w:rPr>
                      <w:rFonts w:hint="eastAsia" w:cs="Times New Roman"/>
                      <w:color w:val="auto"/>
                      <w:kern w:val="2"/>
                      <w:sz w:val="21"/>
                      <w:szCs w:val="21"/>
                      <w:lang w:val="en-US" w:eastAsia="zh-CN" w:bidi="ar-SA"/>
                    </w:rPr>
                  </w:pPr>
                </w:p>
              </w:tc>
              <w:tc>
                <w:tcPr>
                  <w:tcW w:w="412" w:type="pct"/>
                  <w:shd w:val="clear" w:color="auto" w:fill="auto"/>
                  <w:noWrap/>
                  <w:vAlign w:val="center"/>
                </w:tcPr>
                <w:p w14:paraId="064CA104">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11</w:t>
                  </w:r>
                </w:p>
              </w:tc>
              <w:tc>
                <w:tcPr>
                  <w:tcW w:w="880" w:type="pct"/>
                  <w:shd w:val="clear" w:color="auto" w:fill="auto"/>
                  <w:noWrap/>
                  <w:vAlign w:val="center"/>
                </w:tcPr>
                <w:p w14:paraId="461ECF43">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砂轮机</w:t>
                  </w:r>
                </w:p>
              </w:tc>
              <w:tc>
                <w:tcPr>
                  <w:tcW w:w="1418" w:type="pct"/>
                  <w:noWrap/>
                  <w:vAlign w:val="center"/>
                </w:tcPr>
                <w:p w14:paraId="7DBFA7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S3ST-250</w:t>
                  </w:r>
                </w:p>
              </w:tc>
              <w:tc>
                <w:tcPr>
                  <w:tcW w:w="611" w:type="pct"/>
                  <w:noWrap/>
                  <w:vAlign w:val="center"/>
                </w:tcPr>
                <w:p w14:paraId="5DBD1703">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598" w:type="pct"/>
                  <w:noWrap/>
                  <w:vAlign w:val="center"/>
                </w:tcPr>
                <w:p w14:paraId="7506F2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机加工</w:t>
                  </w:r>
                </w:p>
              </w:tc>
              <w:tc>
                <w:tcPr>
                  <w:tcW w:w="656" w:type="pct"/>
                  <w:noWrap/>
                  <w:vAlign w:val="center"/>
                </w:tcPr>
                <w:p w14:paraId="192BEF7C">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车间1F</w:t>
                  </w:r>
                </w:p>
              </w:tc>
            </w:tr>
            <w:tr w14:paraId="749F52A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421" w:type="pct"/>
                  <w:vMerge w:val="continue"/>
                  <w:shd w:val="clear" w:color="auto" w:fill="auto"/>
                  <w:vAlign w:val="center"/>
                </w:tcPr>
                <w:p w14:paraId="7DE93AC6">
                  <w:pPr>
                    <w:keepNext w:val="0"/>
                    <w:keepLines w:val="0"/>
                    <w:pageBreakBefore w:val="0"/>
                    <w:kinsoku/>
                    <w:wordWrap/>
                    <w:overflowPunct/>
                    <w:topLinePunct w:val="0"/>
                    <w:autoSpaceDE/>
                    <w:autoSpaceDN/>
                    <w:bidi w:val="0"/>
                    <w:adjustRightInd/>
                    <w:spacing w:line="240" w:lineRule="auto"/>
                    <w:ind w:firstLine="0" w:firstLineChars="0"/>
                    <w:jc w:val="center"/>
                    <w:rPr>
                      <w:rFonts w:hint="eastAsia" w:cs="Times New Roman"/>
                      <w:color w:val="auto"/>
                      <w:kern w:val="2"/>
                      <w:sz w:val="21"/>
                      <w:szCs w:val="21"/>
                      <w:lang w:val="en-US" w:eastAsia="zh-CN" w:bidi="ar-SA"/>
                    </w:rPr>
                  </w:pPr>
                </w:p>
              </w:tc>
              <w:tc>
                <w:tcPr>
                  <w:tcW w:w="412" w:type="pct"/>
                  <w:shd w:val="clear" w:color="auto" w:fill="auto"/>
                  <w:vAlign w:val="center"/>
                </w:tcPr>
                <w:p w14:paraId="32711EE4">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880" w:type="pct"/>
                  <w:shd w:val="clear" w:color="auto" w:fill="auto"/>
                  <w:vAlign w:val="center"/>
                </w:tcPr>
                <w:p w14:paraId="200C722D">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lang w:val="en-US" w:eastAsia="zh-CN" w:bidi="ar-SA"/>
                    </w:rPr>
                    <w:t>冷却机</w:t>
                  </w:r>
                </w:p>
              </w:tc>
              <w:tc>
                <w:tcPr>
                  <w:tcW w:w="1418" w:type="pct"/>
                  <w:shd w:val="clear" w:color="auto" w:fill="auto"/>
                  <w:vAlign w:val="center"/>
                </w:tcPr>
                <w:p w14:paraId="4B5B63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PC500</w:t>
                  </w:r>
                </w:p>
              </w:tc>
              <w:tc>
                <w:tcPr>
                  <w:tcW w:w="611" w:type="pct"/>
                  <w:shd w:val="clear" w:color="auto" w:fill="auto"/>
                  <w:vAlign w:val="center"/>
                </w:tcPr>
                <w:p w14:paraId="1EB3A5BC">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4</w:t>
                  </w:r>
                </w:p>
              </w:tc>
              <w:tc>
                <w:tcPr>
                  <w:tcW w:w="598" w:type="pct"/>
                  <w:shd w:val="clear" w:color="auto" w:fill="auto"/>
                  <w:vAlign w:val="center"/>
                </w:tcPr>
                <w:p w14:paraId="26AAF7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冷却</w:t>
                  </w:r>
                </w:p>
              </w:tc>
              <w:tc>
                <w:tcPr>
                  <w:tcW w:w="656" w:type="pct"/>
                  <w:shd w:val="clear" w:color="auto" w:fill="auto"/>
                  <w:vAlign w:val="center"/>
                </w:tcPr>
                <w:p w14:paraId="2F1722A4">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车间1F</w:t>
                  </w:r>
                </w:p>
              </w:tc>
            </w:tr>
            <w:tr w14:paraId="2D66C36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421" w:type="pct"/>
                  <w:vMerge w:val="continue"/>
                  <w:shd w:val="clear" w:color="auto" w:fill="auto"/>
                  <w:vAlign w:val="center"/>
                </w:tcPr>
                <w:p w14:paraId="2A8B7E8C">
                  <w:pPr>
                    <w:keepNext w:val="0"/>
                    <w:keepLines w:val="0"/>
                    <w:pageBreakBefore w:val="0"/>
                    <w:kinsoku/>
                    <w:wordWrap/>
                    <w:overflowPunct/>
                    <w:topLinePunct w:val="0"/>
                    <w:autoSpaceDE/>
                    <w:autoSpaceDN/>
                    <w:bidi w:val="0"/>
                    <w:adjustRightInd/>
                    <w:spacing w:line="240" w:lineRule="auto"/>
                    <w:ind w:firstLine="0" w:firstLineChars="0"/>
                    <w:jc w:val="center"/>
                    <w:rPr>
                      <w:rFonts w:hint="eastAsia" w:cs="Times New Roman"/>
                      <w:color w:val="auto"/>
                      <w:kern w:val="2"/>
                      <w:sz w:val="21"/>
                      <w:szCs w:val="21"/>
                      <w:lang w:val="en-US" w:eastAsia="zh-CN" w:bidi="ar-SA"/>
                    </w:rPr>
                  </w:pPr>
                </w:p>
              </w:tc>
              <w:tc>
                <w:tcPr>
                  <w:tcW w:w="412" w:type="pct"/>
                  <w:shd w:val="clear" w:color="auto" w:fill="auto"/>
                  <w:vAlign w:val="center"/>
                </w:tcPr>
                <w:p w14:paraId="267A033C">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13</w:t>
                  </w:r>
                </w:p>
              </w:tc>
              <w:tc>
                <w:tcPr>
                  <w:tcW w:w="880" w:type="pct"/>
                  <w:shd w:val="clear" w:color="auto" w:fill="auto"/>
                  <w:vAlign w:val="center"/>
                </w:tcPr>
                <w:p w14:paraId="1A2B7930">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纯水制备机</w:t>
                  </w:r>
                </w:p>
              </w:tc>
              <w:tc>
                <w:tcPr>
                  <w:tcW w:w="1418" w:type="pct"/>
                  <w:shd w:val="clear" w:color="auto" w:fill="auto"/>
                  <w:vAlign w:val="center"/>
                </w:tcPr>
                <w:p w14:paraId="7447A0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FX-RO-05</w:t>
                  </w:r>
                </w:p>
              </w:tc>
              <w:tc>
                <w:tcPr>
                  <w:tcW w:w="611" w:type="pct"/>
                  <w:shd w:val="clear" w:color="auto" w:fill="auto"/>
                  <w:vAlign w:val="center"/>
                </w:tcPr>
                <w:p w14:paraId="5F3D8EFB">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w:t>
                  </w:r>
                </w:p>
              </w:tc>
              <w:tc>
                <w:tcPr>
                  <w:tcW w:w="598" w:type="pct"/>
                  <w:shd w:val="clear" w:color="auto" w:fill="auto"/>
                  <w:vAlign w:val="center"/>
                </w:tcPr>
                <w:p w14:paraId="0A66A0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制纯水</w:t>
                  </w:r>
                </w:p>
              </w:tc>
              <w:tc>
                <w:tcPr>
                  <w:tcW w:w="656" w:type="pct"/>
                  <w:shd w:val="clear" w:color="auto" w:fill="auto"/>
                  <w:vAlign w:val="center"/>
                </w:tcPr>
                <w:p w14:paraId="4C3A2D54">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车间2F</w:t>
                  </w:r>
                </w:p>
              </w:tc>
            </w:tr>
            <w:tr w14:paraId="21298AB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421" w:type="pct"/>
                  <w:shd w:val="clear" w:color="auto" w:fill="auto"/>
                  <w:vAlign w:val="center"/>
                </w:tcPr>
                <w:p w14:paraId="6A5D6CFD">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公辅设备</w:t>
                  </w:r>
                </w:p>
              </w:tc>
              <w:tc>
                <w:tcPr>
                  <w:tcW w:w="412" w:type="pct"/>
                  <w:shd w:val="clear" w:color="auto" w:fill="auto"/>
                  <w:vAlign w:val="center"/>
                </w:tcPr>
                <w:p w14:paraId="04EDC26E">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14</w:t>
                  </w:r>
                </w:p>
              </w:tc>
              <w:tc>
                <w:tcPr>
                  <w:tcW w:w="880" w:type="pct"/>
                  <w:shd w:val="clear" w:color="auto" w:fill="auto"/>
                  <w:vAlign w:val="center"/>
                </w:tcPr>
                <w:p w14:paraId="5E8A1FF8">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空压机</w:t>
                  </w:r>
                </w:p>
              </w:tc>
              <w:tc>
                <w:tcPr>
                  <w:tcW w:w="1418" w:type="pct"/>
                  <w:shd w:val="clear" w:color="auto" w:fill="auto"/>
                  <w:vAlign w:val="center"/>
                </w:tcPr>
                <w:p w14:paraId="35A97D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SE-10</w:t>
                  </w:r>
                </w:p>
              </w:tc>
              <w:tc>
                <w:tcPr>
                  <w:tcW w:w="611" w:type="pct"/>
                  <w:shd w:val="clear" w:color="auto" w:fill="auto"/>
                  <w:vAlign w:val="center"/>
                </w:tcPr>
                <w:p w14:paraId="095FA00D">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w:t>
                  </w:r>
                </w:p>
              </w:tc>
              <w:tc>
                <w:tcPr>
                  <w:tcW w:w="598" w:type="pct"/>
                  <w:shd w:val="clear" w:color="auto" w:fill="auto"/>
                  <w:vAlign w:val="center"/>
                </w:tcPr>
                <w:p w14:paraId="32CF5B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656" w:type="pct"/>
                  <w:shd w:val="clear" w:color="auto" w:fill="auto"/>
                  <w:vAlign w:val="center"/>
                </w:tcPr>
                <w:p w14:paraId="4F40D5DA">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车间外</w:t>
                  </w:r>
                </w:p>
              </w:tc>
            </w:tr>
            <w:tr w14:paraId="6421C63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421" w:type="pct"/>
                  <w:shd w:val="clear" w:color="auto" w:fill="auto"/>
                  <w:vAlign w:val="center"/>
                </w:tcPr>
                <w:p w14:paraId="7C5FDA70">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环保设备</w:t>
                  </w:r>
                </w:p>
              </w:tc>
              <w:tc>
                <w:tcPr>
                  <w:tcW w:w="412" w:type="pct"/>
                  <w:shd w:val="clear" w:color="auto" w:fill="auto"/>
                  <w:vAlign w:val="center"/>
                </w:tcPr>
                <w:p w14:paraId="5BDD26A3">
                  <w:pPr>
                    <w:keepNext w:val="0"/>
                    <w:keepLines w:val="0"/>
                    <w:pageBreakBefore w:val="0"/>
                    <w:kinsoku/>
                    <w:wordWrap/>
                    <w:overflowPunct/>
                    <w:topLinePunct w:val="0"/>
                    <w:autoSpaceDE/>
                    <w:autoSpaceDN/>
                    <w:bidi w:val="0"/>
                    <w:adjustRightInd/>
                    <w:spacing w:line="240" w:lineRule="auto"/>
                    <w:ind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15</w:t>
                  </w:r>
                </w:p>
              </w:tc>
              <w:tc>
                <w:tcPr>
                  <w:tcW w:w="880" w:type="pct"/>
                  <w:shd w:val="clear" w:color="auto" w:fill="auto"/>
                  <w:vAlign w:val="center"/>
                </w:tcPr>
                <w:p w14:paraId="6279B840">
                  <w:pPr>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二级活性炭</w:t>
                  </w:r>
                </w:p>
              </w:tc>
              <w:tc>
                <w:tcPr>
                  <w:tcW w:w="1418" w:type="pct"/>
                  <w:shd w:val="clear" w:color="auto" w:fill="auto"/>
                  <w:vAlign w:val="center"/>
                </w:tcPr>
                <w:p w14:paraId="11B35C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风量</w:t>
                  </w:r>
                  <w:r>
                    <w:rPr>
                      <w:rFonts w:hint="eastAsia" w:cs="Times New Roman"/>
                      <w:color w:val="auto"/>
                      <w:szCs w:val="21"/>
                      <w:highlight w:val="none"/>
                      <w:lang w:val="en-US" w:eastAsia="zh-CN"/>
                    </w:rPr>
                    <w:t>140</w:t>
                  </w:r>
                  <w:r>
                    <w:rPr>
                      <w:rFonts w:hint="eastAsia" w:ascii="Times New Roman" w:hAnsi="Times New Roman" w:eastAsia="宋体" w:cs="Times New Roman"/>
                      <w:color w:val="auto"/>
                      <w:szCs w:val="21"/>
                      <w:highlight w:val="none"/>
                      <w:lang w:val="en-US" w:eastAsia="zh-CN"/>
                    </w:rPr>
                    <w:t>00</w:t>
                  </w:r>
                  <w:r>
                    <w:rPr>
                      <w:color w:val="auto"/>
                      <w:sz w:val="21"/>
                      <w:szCs w:val="21"/>
                      <w:highlight w:val="none"/>
                    </w:rPr>
                    <w:t>m</w:t>
                  </w:r>
                  <w:r>
                    <w:rPr>
                      <w:color w:val="auto"/>
                      <w:sz w:val="21"/>
                      <w:szCs w:val="21"/>
                      <w:highlight w:val="none"/>
                      <w:vertAlign w:val="superscript"/>
                    </w:rPr>
                    <w:t>3</w:t>
                  </w:r>
                  <w:r>
                    <w:rPr>
                      <w:color w:val="auto"/>
                      <w:sz w:val="21"/>
                      <w:szCs w:val="21"/>
                      <w:highlight w:val="none"/>
                    </w:rPr>
                    <w:t>/h</w:t>
                  </w:r>
                </w:p>
              </w:tc>
              <w:tc>
                <w:tcPr>
                  <w:tcW w:w="611" w:type="pct"/>
                  <w:shd w:val="clear" w:color="auto" w:fill="auto"/>
                  <w:vAlign w:val="center"/>
                </w:tcPr>
                <w:p w14:paraId="14A2D484">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598" w:type="pct"/>
                  <w:shd w:val="clear" w:color="auto" w:fill="auto"/>
                  <w:vAlign w:val="center"/>
                </w:tcPr>
                <w:p w14:paraId="43A5C3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废气处理</w:t>
                  </w:r>
                </w:p>
              </w:tc>
              <w:tc>
                <w:tcPr>
                  <w:tcW w:w="656" w:type="pct"/>
                  <w:shd w:val="clear" w:color="auto" w:fill="auto"/>
                  <w:vAlign w:val="center"/>
                </w:tcPr>
                <w:p w14:paraId="34523E3B">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车间外</w:t>
                  </w:r>
                </w:p>
              </w:tc>
            </w:tr>
          </w:tbl>
          <w:p w14:paraId="61E4443A">
            <w:pPr>
              <w:ind w:firstLine="0" w:firstLineChars="0"/>
              <w:rPr>
                <w:rFonts w:hint="eastAsia" w:ascii="Times New Roman" w:hAnsi="Times New Roman" w:eastAsia="宋体" w:cs="Times New Roman"/>
                <w:b/>
                <w:color w:val="auto"/>
                <w:sz w:val="24"/>
                <w:szCs w:val="24"/>
                <w:lang w:val="en-US" w:eastAsia="zh-CN"/>
              </w:rPr>
            </w:pPr>
          </w:p>
          <w:p w14:paraId="00C9B4D7">
            <w:pPr>
              <w:ind w:firstLine="0" w:firstLineChars="0"/>
              <w:rPr>
                <w:rFonts w:hint="eastAsia" w:ascii="Times New Roman" w:hAnsi="Times New Roman" w:eastAsia="宋体" w:cs="Times New Roman"/>
                <w:b/>
                <w:color w:val="auto"/>
                <w:sz w:val="24"/>
                <w:szCs w:val="24"/>
                <w:lang w:val="en-US" w:eastAsia="zh-CN"/>
              </w:rPr>
            </w:pPr>
          </w:p>
          <w:p w14:paraId="3F8385BB">
            <w:pPr>
              <w:ind w:firstLine="0" w:firstLineChars="0"/>
              <w:rPr>
                <w:rFonts w:hint="eastAsia" w:ascii="Times New Roman" w:hAnsi="Times New Roman" w:eastAsia="宋体" w:cs="Times New Roman"/>
                <w:b/>
                <w:color w:val="auto"/>
                <w:sz w:val="24"/>
                <w:szCs w:val="24"/>
                <w:lang w:val="en-US" w:eastAsia="zh-CN"/>
              </w:rPr>
            </w:pPr>
          </w:p>
          <w:p w14:paraId="6D16889F">
            <w:pPr>
              <w:ind w:firstLine="0" w:firstLineChars="0"/>
              <w:rPr>
                <w:rFonts w:hint="eastAsia" w:ascii="Times New Roman" w:hAnsi="Times New Roman" w:eastAsia="宋体" w:cs="Times New Roman"/>
                <w:b/>
                <w:color w:val="auto"/>
                <w:sz w:val="24"/>
                <w:szCs w:val="24"/>
                <w:lang w:val="en-US" w:eastAsia="zh-CN"/>
              </w:rPr>
            </w:pPr>
          </w:p>
          <w:p w14:paraId="760F5FE1">
            <w:pPr>
              <w:ind w:firstLine="0" w:firstLineChars="0"/>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本项目产能与关键设备匹配性分析：</w:t>
            </w:r>
          </w:p>
          <w:p w14:paraId="360F7C97">
            <w:pPr>
              <w:ind w:firstLine="0" w:firstLineChars="0"/>
              <w:jc w:val="center"/>
              <w:rPr>
                <w:color w:val="auto"/>
                <w:sz w:val="21"/>
                <w:szCs w:val="21"/>
              </w:rPr>
            </w:pPr>
            <w:r>
              <w:rPr>
                <w:b/>
                <w:bCs/>
                <w:color w:val="auto"/>
                <w:sz w:val="21"/>
                <w:szCs w:val="21"/>
              </w:rPr>
              <w:t>表2-</w:t>
            </w:r>
            <w:r>
              <w:rPr>
                <w:rFonts w:hint="eastAsia"/>
                <w:b/>
                <w:bCs/>
                <w:color w:val="auto"/>
                <w:sz w:val="21"/>
                <w:szCs w:val="21"/>
                <w:lang w:val="en-US" w:eastAsia="zh-CN"/>
              </w:rPr>
              <w:t>5</w:t>
            </w:r>
            <w:r>
              <w:rPr>
                <w:b/>
                <w:bCs/>
                <w:color w:val="auto"/>
                <w:sz w:val="21"/>
                <w:szCs w:val="21"/>
              </w:rPr>
              <w:t xml:space="preserve"> </w:t>
            </w:r>
            <w:r>
              <w:rPr>
                <w:rFonts w:hint="eastAsia"/>
                <w:b/>
                <w:bCs/>
                <w:color w:val="auto"/>
                <w:sz w:val="21"/>
                <w:szCs w:val="21"/>
              </w:rPr>
              <w:t>本项目产能与关键设备匹配性分</w:t>
            </w:r>
            <w:r>
              <w:rPr>
                <w:b/>
                <w:bCs/>
                <w:color w:val="auto"/>
                <w:sz w:val="21"/>
                <w:szCs w:val="21"/>
              </w:rPr>
              <w:t>析一览表</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8"/>
              <w:gridCol w:w="763"/>
              <w:gridCol w:w="809"/>
              <w:gridCol w:w="705"/>
              <w:gridCol w:w="1758"/>
              <w:gridCol w:w="706"/>
              <w:gridCol w:w="900"/>
              <w:gridCol w:w="2849"/>
            </w:tblGrid>
            <w:tr w14:paraId="3DCBB3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9" w:type="pct"/>
                  <w:noWrap w:val="0"/>
                  <w:vAlign w:val="center"/>
                </w:tcPr>
                <w:p w14:paraId="0CA0FAC8">
                  <w:pPr>
                    <w:spacing w:line="240" w:lineRule="auto"/>
                    <w:ind w:firstLine="0" w:firstLineChars="0"/>
                    <w:jc w:val="center"/>
                    <w:rPr>
                      <w:b/>
                      <w:bCs/>
                      <w:color w:val="auto"/>
                      <w:sz w:val="21"/>
                      <w:szCs w:val="21"/>
                    </w:rPr>
                  </w:pPr>
                  <w:r>
                    <w:rPr>
                      <w:b/>
                      <w:bCs/>
                      <w:color w:val="auto"/>
                      <w:sz w:val="21"/>
                      <w:szCs w:val="21"/>
                    </w:rPr>
                    <w:t>生产工序</w:t>
                  </w:r>
                </w:p>
              </w:tc>
              <w:tc>
                <w:tcPr>
                  <w:tcW w:w="412" w:type="pct"/>
                  <w:noWrap w:val="0"/>
                  <w:vAlign w:val="center"/>
                </w:tcPr>
                <w:p w14:paraId="5CFEB3F7">
                  <w:pPr>
                    <w:spacing w:line="240" w:lineRule="auto"/>
                    <w:ind w:firstLine="0" w:firstLineChars="0"/>
                    <w:jc w:val="center"/>
                    <w:rPr>
                      <w:b/>
                      <w:bCs/>
                      <w:color w:val="auto"/>
                      <w:sz w:val="21"/>
                      <w:szCs w:val="21"/>
                    </w:rPr>
                  </w:pPr>
                  <w:r>
                    <w:rPr>
                      <w:b/>
                      <w:bCs/>
                      <w:color w:val="auto"/>
                      <w:sz w:val="21"/>
                      <w:szCs w:val="21"/>
                    </w:rPr>
                    <w:t>设备名称</w:t>
                  </w:r>
                </w:p>
              </w:tc>
              <w:tc>
                <w:tcPr>
                  <w:tcW w:w="437" w:type="pct"/>
                  <w:noWrap w:val="0"/>
                  <w:vAlign w:val="center"/>
                </w:tcPr>
                <w:p w14:paraId="5AF04860">
                  <w:pPr>
                    <w:spacing w:line="240" w:lineRule="auto"/>
                    <w:ind w:firstLine="0" w:firstLineChars="0"/>
                    <w:jc w:val="center"/>
                    <w:rPr>
                      <w:b/>
                      <w:bCs/>
                      <w:color w:val="auto"/>
                      <w:sz w:val="21"/>
                      <w:szCs w:val="21"/>
                    </w:rPr>
                  </w:pPr>
                  <w:r>
                    <w:rPr>
                      <w:b/>
                      <w:bCs/>
                      <w:color w:val="auto"/>
                      <w:sz w:val="21"/>
                      <w:szCs w:val="21"/>
                    </w:rPr>
                    <w:t>规格参数</w:t>
                  </w:r>
                </w:p>
              </w:tc>
              <w:tc>
                <w:tcPr>
                  <w:tcW w:w="381" w:type="pct"/>
                  <w:noWrap w:val="0"/>
                  <w:vAlign w:val="center"/>
                </w:tcPr>
                <w:p w14:paraId="5A446E32">
                  <w:pPr>
                    <w:spacing w:line="240" w:lineRule="auto"/>
                    <w:ind w:firstLine="0" w:firstLineChars="0"/>
                    <w:jc w:val="center"/>
                    <w:rPr>
                      <w:b/>
                      <w:bCs/>
                      <w:color w:val="auto"/>
                      <w:sz w:val="21"/>
                      <w:szCs w:val="21"/>
                    </w:rPr>
                  </w:pPr>
                  <w:r>
                    <w:rPr>
                      <w:b/>
                      <w:bCs/>
                      <w:color w:val="auto"/>
                      <w:sz w:val="21"/>
                      <w:szCs w:val="21"/>
                    </w:rPr>
                    <w:t>设备数量</w:t>
                  </w:r>
                </w:p>
              </w:tc>
              <w:tc>
                <w:tcPr>
                  <w:tcW w:w="950" w:type="pct"/>
                  <w:noWrap w:val="0"/>
                  <w:vAlign w:val="center"/>
                </w:tcPr>
                <w:p w14:paraId="375320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单台生产能力</w:t>
                  </w:r>
                </w:p>
              </w:tc>
              <w:tc>
                <w:tcPr>
                  <w:tcW w:w="381" w:type="pct"/>
                  <w:noWrap w:val="0"/>
                  <w:vAlign w:val="center"/>
                </w:tcPr>
                <w:p w14:paraId="6FC0F6F4">
                  <w:pPr>
                    <w:spacing w:line="240" w:lineRule="auto"/>
                    <w:ind w:firstLine="0" w:firstLineChars="0"/>
                    <w:jc w:val="center"/>
                    <w:rPr>
                      <w:b/>
                      <w:bCs/>
                      <w:color w:val="auto"/>
                      <w:sz w:val="21"/>
                      <w:szCs w:val="21"/>
                    </w:rPr>
                  </w:pPr>
                  <w:r>
                    <w:rPr>
                      <w:b/>
                      <w:bCs/>
                      <w:color w:val="auto"/>
                      <w:sz w:val="21"/>
                      <w:szCs w:val="21"/>
                    </w:rPr>
                    <w:t>年工作天数</w:t>
                  </w:r>
                </w:p>
              </w:tc>
              <w:tc>
                <w:tcPr>
                  <w:tcW w:w="486" w:type="pct"/>
                  <w:noWrap w:val="0"/>
                  <w:vAlign w:val="center"/>
                </w:tcPr>
                <w:p w14:paraId="743DB39C">
                  <w:pPr>
                    <w:spacing w:line="240" w:lineRule="auto"/>
                    <w:ind w:firstLine="0" w:firstLineChars="0"/>
                    <w:jc w:val="center"/>
                    <w:rPr>
                      <w:b/>
                      <w:bCs/>
                      <w:color w:val="auto"/>
                      <w:sz w:val="21"/>
                      <w:szCs w:val="21"/>
                    </w:rPr>
                  </w:pPr>
                  <w:r>
                    <w:rPr>
                      <w:rFonts w:hint="eastAsia"/>
                      <w:b/>
                      <w:bCs/>
                      <w:color w:val="auto"/>
                      <w:sz w:val="21"/>
                      <w:szCs w:val="21"/>
                      <w:lang w:val="en-US" w:eastAsia="zh-CN"/>
                    </w:rPr>
                    <w:t>总</w:t>
                  </w:r>
                  <w:r>
                    <w:rPr>
                      <w:b/>
                      <w:bCs/>
                      <w:color w:val="auto"/>
                      <w:sz w:val="21"/>
                      <w:szCs w:val="21"/>
                    </w:rPr>
                    <w:t>生产能力</w:t>
                  </w:r>
                </w:p>
              </w:tc>
              <w:tc>
                <w:tcPr>
                  <w:tcW w:w="1540" w:type="pct"/>
                  <w:noWrap w:val="0"/>
                  <w:vAlign w:val="center"/>
                </w:tcPr>
                <w:p w14:paraId="647C89AA">
                  <w:pPr>
                    <w:spacing w:line="240" w:lineRule="auto"/>
                    <w:ind w:firstLine="0" w:firstLineChars="0"/>
                    <w:jc w:val="center"/>
                    <w:rPr>
                      <w:b/>
                      <w:bCs/>
                      <w:color w:val="auto"/>
                      <w:sz w:val="21"/>
                      <w:szCs w:val="21"/>
                    </w:rPr>
                  </w:pPr>
                  <w:r>
                    <w:rPr>
                      <w:b/>
                      <w:bCs/>
                      <w:color w:val="auto"/>
                      <w:sz w:val="21"/>
                      <w:szCs w:val="21"/>
                    </w:rPr>
                    <w:t>申报产能及匹配性分析</w:t>
                  </w:r>
                </w:p>
              </w:tc>
            </w:tr>
            <w:tr w14:paraId="76BB49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9" w:type="pct"/>
                  <w:noWrap w:val="0"/>
                  <w:vAlign w:val="center"/>
                </w:tcPr>
                <w:p w14:paraId="4AF3BA87">
                  <w:pPr>
                    <w:spacing w:line="240" w:lineRule="auto"/>
                    <w:ind w:firstLine="0" w:firstLineChars="0"/>
                    <w:jc w:val="center"/>
                    <w:rPr>
                      <w:rFonts w:hint="eastAsia" w:eastAsia="宋体"/>
                      <w:color w:val="auto"/>
                      <w:sz w:val="21"/>
                      <w:szCs w:val="21"/>
                      <w:lang w:eastAsia="zh-CN"/>
                    </w:rPr>
                  </w:pPr>
                  <w:r>
                    <w:rPr>
                      <w:rFonts w:hint="eastAsia"/>
                      <w:color w:val="auto"/>
                      <w:sz w:val="21"/>
                      <w:szCs w:val="21"/>
                      <w:lang w:val="en-US" w:eastAsia="zh-CN"/>
                    </w:rPr>
                    <w:t>注塑</w:t>
                  </w:r>
                </w:p>
              </w:tc>
              <w:tc>
                <w:tcPr>
                  <w:tcW w:w="412" w:type="pct"/>
                  <w:noWrap w:val="0"/>
                  <w:vAlign w:val="center"/>
                </w:tcPr>
                <w:p w14:paraId="24771E26">
                  <w:pPr>
                    <w:spacing w:line="240" w:lineRule="auto"/>
                    <w:ind w:firstLine="0" w:firstLineChars="0"/>
                    <w:jc w:val="center"/>
                    <w:rPr>
                      <w:rFonts w:hint="eastAsia" w:eastAsia="宋体"/>
                      <w:color w:val="auto"/>
                      <w:kern w:val="2"/>
                      <w:sz w:val="21"/>
                      <w:szCs w:val="21"/>
                      <w:lang w:val="en-US" w:eastAsia="zh-CN" w:bidi="ar-SA"/>
                    </w:rPr>
                  </w:pPr>
                  <w:r>
                    <w:rPr>
                      <w:rFonts w:hint="eastAsia"/>
                      <w:color w:val="auto"/>
                      <w:sz w:val="21"/>
                      <w:szCs w:val="21"/>
                      <w:lang w:val="en-US" w:eastAsia="zh-CN"/>
                    </w:rPr>
                    <w:t>注塑机</w:t>
                  </w:r>
                </w:p>
              </w:tc>
              <w:tc>
                <w:tcPr>
                  <w:tcW w:w="437" w:type="pct"/>
                  <w:noWrap w:val="0"/>
                  <w:vAlign w:val="center"/>
                </w:tcPr>
                <w:p w14:paraId="35F68FBC">
                  <w:pPr>
                    <w:spacing w:line="240" w:lineRule="auto"/>
                    <w:ind w:firstLine="0" w:firstLineChars="0"/>
                    <w:jc w:val="center"/>
                    <w:rPr>
                      <w:rFonts w:hint="eastAsia" w:eastAsia="宋体"/>
                      <w:color w:val="auto"/>
                      <w:kern w:val="2"/>
                      <w:sz w:val="21"/>
                      <w:szCs w:val="21"/>
                      <w:lang w:val="en-US" w:eastAsia="zh-CN" w:bidi="ar-SA"/>
                    </w:rPr>
                  </w:pPr>
                  <w:r>
                    <w:rPr>
                      <w:rFonts w:hint="eastAsia" w:cs="Times New Roman"/>
                      <w:color w:val="auto"/>
                      <w:sz w:val="21"/>
                      <w:szCs w:val="21"/>
                      <w:lang w:val="en-US" w:eastAsia="zh-CN"/>
                    </w:rPr>
                    <w:t>HXF 130J5</w:t>
                  </w:r>
                </w:p>
              </w:tc>
              <w:tc>
                <w:tcPr>
                  <w:tcW w:w="381" w:type="pct"/>
                  <w:noWrap w:val="0"/>
                  <w:vAlign w:val="center"/>
                </w:tcPr>
                <w:p w14:paraId="46EE8810">
                  <w:pPr>
                    <w:spacing w:line="240" w:lineRule="auto"/>
                    <w:ind w:firstLine="0" w:firstLineChars="0"/>
                    <w:jc w:val="center"/>
                    <w:rPr>
                      <w:color w:val="auto"/>
                      <w:kern w:val="2"/>
                      <w:sz w:val="21"/>
                      <w:szCs w:val="21"/>
                      <w:lang w:val="en-US" w:eastAsia="zh-CN" w:bidi="ar-SA"/>
                    </w:rPr>
                  </w:pPr>
                  <w:r>
                    <w:rPr>
                      <w:rFonts w:hint="eastAsia"/>
                      <w:color w:val="auto"/>
                      <w:sz w:val="21"/>
                      <w:szCs w:val="21"/>
                      <w:lang w:val="en-US" w:eastAsia="zh-CN"/>
                    </w:rPr>
                    <w:t>25</w:t>
                  </w:r>
                  <w:r>
                    <w:rPr>
                      <w:color w:val="auto"/>
                      <w:sz w:val="21"/>
                      <w:szCs w:val="21"/>
                    </w:rPr>
                    <w:t>台</w:t>
                  </w:r>
                </w:p>
              </w:tc>
              <w:tc>
                <w:tcPr>
                  <w:tcW w:w="950" w:type="pct"/>
                  <w:noWrap w:val="0"/>
                  <w:vAlign w:val="center"/>
                </w:tcPr>
                <w:p w14:paraId="42DCBA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sz w:val="21"/>
                      <w:szCs w:val="21"/>
                      <w:lang w:val="en-US" w:eastAsia="zh-CN"/>
                    </w:rPr>
                    <w:t>注塑</w:t>
                  </w:r>
                  <w:r>
                    <w:rPr>
                      <w:color w:val="auto"/>
                      <w:sz w:val="21"/>
                      <w:szCs w:val="21"/>
                    </w:rPr>
                    <w:t>能力</w:t>
                  </w:r>
                  <w:r>
                    <w:rPr>
                      <w:rFonts w:hint="eastAsia"/>
                      <w:color w:val="auto"/>
                      <w:sz w:val="21"/>
                      <w:szCs w:val="21"/>
                      <w:lang w:val="en-US" w:eastAsia="zh-CN"/>
                    </w:rPr>
                    <w:t>300套/d</w:t>
                  </w:r>
                </w:p>
              </w:tc>
              <w:tc>
                <w:tcPr>
                  <w:tcW w:w="381" w:type="pct"/>
                  <w:noWrap w:val="0"/>
                  <w:vAlign w:val="center"/>
                </w:tcPr>
                <w:p w14:paraId="72E196CE">
                  <w:pPr>
                    <w:spacing w:line="240" w:lineRule="auto"/>
                    <w:ind w:firstLine="0" w:firstLineChars="0"/>
                    <w:jc w:val="center"/>
                    <w:rPr>
                      <w:rFonts w:hint="eastAsia" w:eastAsia="宋体"/>
                      <w:color w:val="auto"/>
                      <w:kern w:val="2"/>
                      <w:sz w:val="21"/>
                      <w:szCs w:val="21"/>
                      <w:lang w:val="en-US" w:eastAsia="zh-CN" w:bidi="ar-SA"/>
                    </w:rPr>
                  </w:pPr>
                  <w:r>
                    <w:rPr>
                      <w:rFonts w:hint="eastAsia"/>
                      <w:color w:val="auto"/>
                      <w:sz w:val="21"/>
                      <w:szCs w:val="21"/>
                      <w:lang w:val="en-US" w:eastAsia="zh-CN"/>
                    </w:rPr>
                    <w:t>300d</w:t>
                  </w:r>
                </w:p>
              </w:tc>
              <w:tc>
                <w:tcPr>
                  <w:tcW w:w="486" w:type="pct"/>
                  <w:noWrap w:val="0"/>
                  <w:vAlign w:val="center"/>
                </w:tcPr>
                <w:p w14:paraId="14472A92">
                  <w:pPr>
                    <w:spacing w:line="240" w:lineRule="auto"/>
                    <w:ind w:firstLine="0" w:firstLineChars="0"/>
                    <w:jc w:val="center"/>
                    <w:rPr>
                      <w:color w:val="auto"/>
                      <w:sz w:val="21"/>
                      <w:szCs w:val="21"/>
                    </w:rPr>
                  </w:pPr>
                  <w:r>
                    <w:rPr>
                      <w:rFonts w:hint="eastAsia"/>
                      <w:color w:val="auto"/>
                      <w:sz w:val="21"/>
                      <w:szCs w:val="21"/>
                      <w:lang w:val="en-US" w:eastAsia="zh-CN"/>
                    </w:rPr>
                    <w:t>225万套</w:t>
                  </w:r>
                  <w:r>
                    <w:rPr>
                      <w:color w:val="auto"/>
                      <w:sz w:val="21"/>
                      <w:szCs w:val="21"/>
                    </w:rPr>
                    <w:t>/a</w:t>
                  </w:r>
                </w:p>
              </w:tc>
              <w:tc>
                <w:tcPr>
                  <w:tcW w:w="1540" w:type="pct"/>
                  <w:noWrap w:val="0"/>
                  <w:vAlign w:val="center"/>
                </w:tcPr>
                <w:p w14:paraId="63B76F18">
                  <w:pPr>
                    <w:spacing w:line="240" w:lineRule="auto"/>
                    <w:ind w:firstLine="0" w:firstLineChars="0"/>
                    <w:jc w:val="center"/>
                    <w:outlineLvl w:val="2"/>
                    <w:rPr>
                      <w:rFonts w:hint="default" w:eastAsia="宋体"/>
                      <w:color w:val="auto"/>
                      <w:sz w:val="21"/>
                      <w:szCs w:val="21"/>
                      <w:lang w:val="en-US" w:eastAsia="zh-CN"/>
                    </w:rPr>
                  </w:pPr>
                  <w:r>
                    <w:rPr>
                      <w:rFonts w:hint="eastAsia"/>
                      <w:color w:val="auto"/>
                      <w:sz w:val="21"/>
                      <w:szCs w:val="21"/>
                      <w:lang w:val="en-US" w:eastAsia="zh-CN"/>
                    </w:rPr>
                    <w:t>本项目注塑机生产能力约为225万套</w:t>
                  </w:r>
                  <w:r>
                    <w:rPr>
                      <w:color w:val="auto"/>
                      <w:sz w:val="21"/>
                      <w:szCs w:val="21"/>
                    </w:rPr>
                    <w:t>/a</w:t>
                  </w:r>
                  <w:r>
                    <w:rPr>
                      <w:rFonts w:hint="eastAsia"/>
                      <w:color w:val="auto"/>
                      <w:sz w:val="21"/>
                      <w:szCs w:val="21"/>
                      <w:lang w:val="en-US" w:eastAsia="zh-CN"/>
                    </w:rPr>
                    <w:t>，本项目预计产能为200万套/a，占注塑机最大生产能力的89%，满足生产需求</w:t>
                  </w:r>
                </w:p>
              </w:tc>
            </w:tr>
          </w:tbl>
          <w:p w14:paraId="26134555">
            <w:pPr>
              <w:ind w:firstLine="0" w:firstLineChars="0"/>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本项目产能与油墨用量匹配性分析：</w:t>
            </w:r>
          </w:p>
          <w:p w14:paraId="1167359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auto"/>
                <w:sz w:val="21"/>
                <w:lang w:val="en-US" w:eastAsia="zh-CN"/>
              </w:rPr>
            </w:pPr>
            <w:r>
              <w:rPr>
                <w:rFonts w:hint="eastAsia" w:ascii="Times New Roman" w:hAnsi="Times New Roman" w:eastAsia="宋体" w:cs="Times New Roman"/>
                <w:b/>
                <w:bCs/>
                <w:color w:val="auto"/>
                <w:sz w:val="21"/>
              </w:rPr>
              <w:t>表2-</w:t>
            </w:r>
            <w:r>
              <w:rPr>
                <w:rFonts w:hint="eastAsia" w:cs="Times New Roman"/>
                <w:b/>
                <w:bCs/>
                <w:color w:val="auto"/>
                <w:sz w:val="21"/>
                <w:lang w:val="en-US" w:eastAsia="zh-CN"/>
              </w:rPr>
              <w:t>6</w:t>
            </w:r>
            <w:r>
              <w:rPr>
                <w:rFonts w:hint="eastAsia" w:ascii="Times New Roman" w:hAnsi="Times New Roman" w:eastAsia="宋体" w:cs="Times New Roman"/>
                <w:b/>
                <w:bCs/>
                <w:color w:val="auto"/>
                <w:sz w:val="21"/>
              </w:rPr>
              <w:t xml:space="preserve"> 本项目</w:t>
            </w:r>
            <w:r>
              <w:rPr>
                <w:rFonts w:hint="eastAsia" w:ascii="Times New Roman" w:hAnsi="Times New Roman" w:eastAsia="宋体" w:cs="Times New Roman"/>
                <w:b/>
                <w:bCs/>
                <w:color w:val="auto"/>
                <w:sz w:val="21"/>
                <w:lang w:val="en-US" w:eastAsia="zh-CN"/>
              </w:rPr>
              <w:t>油墨</w:t>
            </w:r>
            <w:r>
              <w:rPr>
                <w:rFonts w:hint="eastAsia" w:ascii="Times New Roman" w:hAnsi="Times New Roman" w:eastAsia="宋体" w:cs="Times New Roman"/>
                <w:b/>
                <w:bCs/>
                <w:color w:val="auto"/>
                <w:sz w:val="21"/>
              </w:rPr>
              <w:t>消耗计算表</w:t>
            </w:r>
          </w:p>
          <w:tbl>
            <w:tblPr>
              <w:tblStyle w:val="18"/>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1"/>
              <w:gridCol w:w="1373"/>
              <w:gridCol w:w="1427"/>
              <w:gridCol w:w="1114"/>
              <w:gridCol w:w="1082"/>
              <w:gridCol w:w="1098"/>
              <w:gridCol w:w="1114"/>
              <w:gridCol w:w="1099"/>
            </w:tblGrid>
            <w:tr w14:paraId="3952E6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1" w:type="dxa"/>
                  <w:tcBorders>
                    <w:tl2br w:val="nil"/>
                    <w:tr2bl w:val="nil"/>
                  </w:tcBorders>
                  <w:vAlign w:val="center"/>
                </w:tcPr>
                <w:p w14:paraId="548556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eastAsia" w:ascii="Times New Roman" w:hAnsi="Times New Roman" w:eastAsia="宋体" w:cs="Times New Roman"/>
                      <w:b/>
                      <w:bCs w:val="0"/>
                      <w:color w:val="auto"/>
                      <w:sz w:val="21"/>
                      <w:szCs w:val="21"/>
                      <w:vertAlign w:val="baseline"/>
                      <w:lang w:val="en-US" w:eastAsia="zh-CN"/>
                    </w:rPr>
                    <w:t>产品</w:t>
                  </w:r>
                </w:p>
              </w:tc>
              <w:tc>
                <w:tcPr>
                  <w:tcW w:w="1373" w:type="dxa"/>
                  <w:tcBorders>
                    <w:tl2br w:val="nil"/>
                    <w:tr2bl w:val="nil"/>
                  </w:tcBorders>
                  <w:shd w:val="clear" w:color="auto" w:fill="auto"/>
                  <w:vAlign w:val="center"/>
                </w:tcPr>
                <w:p w14:paraId="3F4A80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kern w:val="2"/>
                      <w:sz w:val="21"/>
                      <w:szCs w:val="21"/>
                      <w:vertAlign w:val="baseline"/>
                      <w:lang w:val="en-US" w:eastAsia="zh-CN" w:bidi="ar-SA"/>
                    </w:rPr>
                  </w:pPr>
                  <w:r>
                    <w:rPr>
                      <w:rFonts w:hint="eastAsia" w:ascii="Times New Roman" w:hAnsi="Times New Roman" w:eastAsia="宋体" w:cs="Times New Roman"/>
                      <w:b/>
                      <w:bCs w:val="0"/>
                      <w:color w:val="auto"/>
                      <w:sz w:val="21"/>
                      <w:szCs w:val="21"/>
                      <w:vertAlign w:val="baseline"/>
                      <w:lang w:val="en-US" w:eastAsia="zh-CN"/>
                    </w:rPr>
                    <w:t>单个产品打印面积</w:t>
                  </w:r>
                  <w:r>
                    <w:rPr>
                      <w:rFonts w:hint="default" w:ascii="Times New Roman" w:hAnsi="Times New Roman" w:eastAsia="宋体" w:cs="Times New Roman"/>
                      <w:b/>
                      <w:bCs w:val="0"/>
                      <w:color w:val="auto"/>
                      <w:sz w:val="21"/>
                      <w:szCs w:val="21"/>
                      <w:vertAlign w:val="baseline"/>
                      <w:lang w:val="en-US" w:eastAsia="zh-CN"/>
                    </w:rPr>
                    <w:t>（m</w:t>
                  </w:r>
                  <w:r>
                    <w:rPr>
                      <w:rFonts w:hint="default" w:ascii="Times New Roman" w:hAnsi="Times New Roman" w:eastAsia="宋体" w:cs="Times New Roman"/>
                      <w:b/>
                      <w:bCs w:val="0"/>
                      <w:color w:val="auto"/>
                      <w:sz w:val="21"/>
                      <w:szCs w:val="21"/>
                      <w:vertAlign w:val="superscript"/>
                      <w:lang w:val="en-US" w:eastAsia="zh-CN"/>
                    </w:rPr>
                    <w:t>2</w:t>
                  </w:r>
                  <w:r>
                    <w:rPr>
                      <w:rFonts w:hint="default" w:ascii="Times New Roman" w:hAnsi="Times New Roman" w:eastAsia="宋体" w:cs="Times New Roman"/>
                      <w:b/>
                      <w:bCs w:val="0"/>
                      <w:color w:val="auto"/>
                      <w:sz w:val="21"/>
                      <w:szCs w:val="21"/>
                      <w:vertAlign w:val="baseline"/>
                      <w:lang w:val="en-US" w:eastAsia="zh-CN"/>
                    </w:rPr>
                    <w:t>）</w:t>
                  </w:r>
                </w:p>
              </w:tc>
              <w:tc>
                <w:tcPr>
                  <w:tcW w:w="1427" w:type="dxa"/>
                  <w:tcBorders>
                    <w:tl2br w:val="nil"/>
                    <w:tr2bl w:val="nil"/>
                  </w:tcBorders>
                  <w:shd w:val="clear" w:color="auto" w:fill="auto"/>
                  <w:vAlign w:val="center"/>
                </w:tcPr>
                <w:p w14:paraId="2436A190">
                  <w:pPr>
                    <w:spacing w:line="240" w:lineRule="auto"/>
                    <w:ind w:firstLine="0" w:firstLineChars="0"/>
                    <w:jc w:val="center"/>
                    <w:rPr>
                      <w:rFonts w:hint="eastAsia" w:ascii="Times New Roman" w:hAnsi="Times New Roman" w:eastAsia="宋体" w:cs="Times New Roman"/>
                      <w:b/>
                      <w:bCs w:val="0"/>
                      <w:color w:val="auto"/>
                      <w:sz w:val="21"/>
                      <w:szCs w:val="21"/>
                      <w:vertAlign w:val="baseline"/>
                      <w:lang w:val="en-US" w:eastAsia="zh-CN"/>
                    </w:rPr>
                  </w:pPr>
                  <w:r>
                    <w:rPr>
                      <w:rFonts w:hint="eastAsia"/>
                      <w:b/>
                      <w:bCs/>
                      <w:color w:val="auto"/>
                      <w:sz w:val="21"/>
                      <w:szCs w:val="21"/>
                    </w:rPr>
                    <w:t>产品</w:t>
                  </w:r>
                  <w:r>
                    <w:rPr>
                      <w:b/>
                      <w:bCs/>
                      <w:color w:val="auto"/>
                      <w:sz w:val="21"/>
                      <w:szCs w:val="21"/>
                    </w:rPr>
                    <w:t>设计产量</w:t>
                  </w:r>
                  <w:r>
                    <w:rPr>
                      <w:rFonts w:hint="eastAsia"/>
                      <w:b/>
                      <w:bCs/>
                      <w:color w:val="auto"/>
                      <w:sz w:val="21"/>
                      <w:szCs w:val="21"/>
                      <w:lang w:eastAsia="zh-CN"/>
                    </w:rPr>
                    <w:t>（</w:t>
                  </w:r>
                  <w:r>
                    <w:rPr>
                      <w:rFonts w:hint="eastAsia" w:eastAsia="宋体"/>
                      <w:b/>
                      <w:bCs/>
                      <w:color w:val="auto"/>
                      <w:sz w:val="21"/>
                      <w:szCs w:val="21"/>
                      <w:highlight w:val="none"/>
                      <w:lang w:val="en-US" w:eastAsia="zh-CN"/>
                    </w:rPr>
                    <w:t>万套/年</w:t>
                  </w:r>
                  <w:r>
                    <w:rPr>
                      <w:rFonts w:hint="eastAsia"/>
                      <w:b/>
                      <w:bCs/>
                      <w:color w:val="auto"/>
                      <w:sz w:val="21"/>
                      <w:szCs w:val="21"/>
                      <w:lang w:eastAsia="zh-CN"/>
                    </w:rPr>
                    <w:t>）</w:t>
                  </w:r>
                </w:p>
              </w:tc>
              <w:tc>
                <w:tcPr>
                  <w:tcW w:w="1114" w:type="dxa"/>
                  <w:tcBorders>
                    <w:tl2br w:val="nil"/>
                    <w:tr2bl w:val="nil"/>
                  </w:tcBorders>
                  <w:shd w:val="clear" w:color="auto" w:fill="auto"/>
                  <w:vAlign w:val="center"/>
                </w:tcPr>
                <w:p w14:paraId="18D888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kern w:val="2"/>
                      <w:sz w:val="21"/>
                      <w:szCs w:val="21"/>
                      <w:vertAlign w:val="baseline"/>
                      <w:lang w:val="en-US" w:eastAsia="zh-CN" w:bidi="ar-SA"/>
                    </w:rPr>
                  </w:pPr>
                  <w:r>
                    <w:rPr>
                      <w:rFonts w:hint="eastAsia" w:ascii="Times New Roman" w:hAnsi="Times New Roman" w:eastAsia="宋体" w:cs="Times New Roman"/>
                      <w:b/>
                      <w:bCs w:val="0"/>
                      <w:color w:val="auto"/>
                      <w:sz w:val="21"/>
                      <w:szCs w:val="21"/>
                      <w:vertAlign w:val="baseline"/>
                      <w:lang w:val="en-US" w:eastAsia="zh-CN"/>
                    </w:rPr>
                    <w:t>打印面积（</w:t>
                  </w:r>
                  <w:r>
                    <w:rPr>
                      <w:rFonts w:hint="default" w:ascii="Times New Roman" w:hAnsi="Times New Roman" w:eastAsia="宋体" w:cs="Times New Roman"/>
                      <w:b/>
                      <w:bCs w:val="0"/>
                      <w:color w:val="auto"/>
                      <w:sz w:val="21"/>
                      <w:szCs w:val="21"/>
                      <w:vertAlign w:val="baseline"/>
                      <w:lang w:val="en-US" w:eastAsia="zh-CN"/>
                    </w:rPr>
                    <w:t>m</w:t>
                  </w:r>
                  <w:r>
                    <w:rPr>
                      <w:rFonts w:hint="default" w:ascii="Times New Roman" w:hAnsi="Times New Roman" w:eastAsia="宋体" w:cs="Times New Roman"/>
                      <w:b/>
                      <w:bCs w:val="0"/>
                      <w:color w:val="auto"/>
                      <w:sz w:val="21"/>
                      <w:szCs w:val="21"/>
                      <w:vertAlign w:val="superscript"/>
                      <w:lang w:val="en-US" w:eastAsia="zh-CN"/>
                    </w:rPr>
                    <w:t>2</w:t>
                  </w:r>
                  <w:r>
                    <w:rPr>
                      <w:rFonts w:hint="eastAsia" w:ascii="Times New Roman" w:hAnsi="Times New Roman" w:eastAsia="宋体" w:cs="Times New Roman"/>
                      <w:b/>
                      <w:bCs w:val="0"/>
                      <w:color w:val="auto"/>
                      <w:sz w:val="21"/>
                      <w:szCs w:val="21"/>
                      <w:vertAlign w:val="baseline"/>
                      <w:lang w:val="en-US" w:eastAsia="zh-CN"/>
                    </w:rPr>
                    <w:t>）</w:t>
                  </w:r>
                </w:p>
              </w:tc>
              <w:tc>
                <w:tcPr>
                  <w:tcW w:w="1082" w:type="dxa"/>
                  <w:tcBorders>
                    <w:tl2br w:val="nil"/>
                    <w:tr2bl w:val="nil"/>
                  </w:tcBorders>
                  <w:vAlign w:val="center"/>
                </w:tcPr>
                <w:p w14:paraId="78C2FA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eastAsia" w:ascii="Times New Roman" w:hAnsi="Times New Roman" w:eastAsia="宋体" w:cs="Times New Roman"/>
                      <w:b/>
                      <w:bCs w:val="0"/>
                      <w:color w:val="auto"/>
                      <w:sz w:val="21"/>
                      <w:szCs w:val="21"/>
                      <w:vertAlign w:val="baseline"/>
                      <w:lang w:val="en-US" w:eastAsia="zh-CN"/>
                    </w:rPr>
                    <w:t>打印厚度（</w:t>
                  </w:r>
                  <w:r>
                    <w:rPr>
                      <w:rFonts w:hint="eastAsia" w:ascii="Times New Roman" w:hAnsi="Times New Roman" w:eastAsia="宋体" w:cs="Times New Roman"/>
                      <w:b/>
                      <w:color w:val="auto"/>
                      <w:lang w:val="en-US" w:eastAsia="zh-CN"/>
                    </w:rPr>
                    <w:t>μ</w:t>
                  </w:r>
                  <w:r>
                    <w:rPr>
                      <w:rFonts w:hint="eastAsia" w:ascii="Times New Roman" w:hAnsi="Times New Roman" w:eastAsia="宋体" w:cs="Times New Roman"/>
                      <w:b/>
                      <w:color w:val="auto"/>
                    </w:rPr>
                    <w:t>m</w:t>
                  </w:r>
                  <w:r>
                    <w:rPr>
                      <w:rFonts w:hint="eastAsia" w:ascii="Times New Roman" w:hAnsi="Times New Roman" w:eastAsia="宋体" w:cs="Times New Roman"/>
                      <w:b/>
                      <w:bCs w:val="0"/>
                      <w:color w:val="auto"/>
                      <w:sz w:val="21"/>
                      <w:szCs w:val="21"/>
                      <w:vertAlign w:val="baseline"/>
                      <w:lang w:val="en-US" w:eastAsia="zh-CN"/>
                    </w:rPr>
                    <w:t>）</w:t>
                  </w:r>
                </w:p>
              </w:tc>
              <w:tc>
                <w:tcPr>
                  <w:tcW w:w="1098" w:type="dxa"/>
                  <w:tcBorders>
                    <w:tl2br w:val="nil"/>
                    <w:tr2bl w:val="nil"/>
                  </w:tcBorders>
                  <w:vAlign w:val="center"/>
                </w:tcPr>
                <w:p w14:paraId="03E538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eastAsia" w:ascii="Times New Roman" w:hAnsi="Times New Roman" w:eastAsia="宋体" w:cs="Times New Roman"/>
                      <w:b/>
                      <w:bCs w:val="0"/>
                      <w:color w:val="auto"/>
                      <w:sz w:val="21"/>
                      <w:szCs w:val="21"/>
                      <w:vertAlign w:val="baseline"/>
                      <w:lang w:val="en-US" w:eastAsia="zh-CN"/>
                    </w:rPr>
                    <w:t>油墨密度（</w:t>
                  </w:r>
                  <w:r>
                    <w:rPr>
                      <w:rFonts w:hint="eastAsia" w:ascii="Times New Roman" w:hAnsi="Times New Roman" w:eastAsia="宋体" w:cs="Times New Roman"/>
                      <w:b/>
                      <w:color w:val="auto"/>
                    </w:rPr>
                    <w:t>g/cm</w:t>
                  </w:r>
                  <w:r>
                    <w:rPr>
                      <w:rFonts w:hint="eastAsia" w:ascii="Times New Roman" w:hAnsi="Times New Roman" w:eastAsia="宋体" w:cs="Times New Roman"/>
                      <w:b/>
                      <w:color w:val="auto"/>
                      <w:vertAlign w:val="superscript"/>
                    </w:rPr>
                    <w:t>3</w:t>
                  </w:r>
                  <w:r>
                    <w:rPr>
                      <w:rFonts w:hint="eastAsia" w:ascii="Times New Roman" w:hAnsi="Times New Roman" w:eastAsia="宋体" w:cs="Times New Roman"/>
                      <w:b/>
                      <w:bCs w:val="0"/>
                      <w:color w:val="auto"/>
                      <w:sz w:val="21"/>
                      <w:szCs w:val="21"/>
                      <w:vertAlign w:val="baseline"/>
                      <w:lang w:val="en-US" w:eastAsia="zh-CN"/>
                    </w:rPr>
                    <w:t>）</w:t>
                  </w:r>
                </w:p>
              </w:tc>
              <w:tc>
                <w:tcPr>
                  <w:tcW w:w="1114" w:type="dxa"/>
                  <w:tcBorders>
                    <w:tl2br w:val="nil"/>
                    <w:tr2bl w:val="nil"/>
                  </w:tcBorders>
                  <w:vAlign w:val="center"/>
                </w:tcPr>
                <w:p w14:paraId="0C1BBF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理论用量（t</w:t>
                  </w:r>
                  <w:r>
                    <w:rPr>
                      <w:rFonts w:hint="eastAsia" w:ascii="Times New Roman" w:hAnsi="Times New Roman" w:eastAsia="宋体" w:cs="Times New Roman"/>
                      <w:b/>
                      <w:bCs w:val="0"/>
                      <w:color w:val="auto"/>
                      <w:sz w:val="21"/>
                      <w:szCs w:val="21"/>
                      <w:vertAlign w:val="baseline"/>
                      <w:lang w:val="en-US" w:eastAsia="zh-CN"/>
                    </w:rPr>
                    <w:t>/a</w:t>
                  </w:r>
                  <w:r>
                    <w:rPr>
                      <w:rFonts w:hint="default" w:ascii="Times New Roman" w:hAnsi="Times New Roman" w:eastAsia="宋体" w:cs="Times New Roman"/>
                      <w:b/>
                      <w:bCs w:val="0"/>
                      <w:color w:val="auto"/>
                      <w:sz w:val="21"/>
                      <w:szCs w:val="21"/>
                      <w:vertAlign w:val="baseline"/>
                      <w:lang w:val="en-US" w:eastAsia="zh-CN"/>
                    </w:rPr>
                    <w:t>）</w:t>
                  </w:r>
                </w:p>
              </w:tc>
              <w:tc>
                <w:tcPr>
                  <w:tcW w:w="1099" w:type="dxa"/>
                  <w:tcBorders>
                    <w:tl2br w:val="nil"/>
                    <w:tr2bl w:val="nil"/>
                  </w:tcBorders>
                  <w:vAlign w:val="center"/>
                </w:tcPr>
                <w:p w14:paraId="5E0EB0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eastAsia" w:ascii="Times New Roman" w:hAnsi="Times New Roman" w:eastAsia="宋体" w:cs="Times New Roman"/>
                      <w:b/>
                      <w:bCs w:val="0"/>
                      <w:color w:val="auto"/>
                      <w:sz w:val="21"/>
                      <w:szCs w:val="21"/>
                      <w:vertAlign w:val="baseline"/>
                      <w:lang w:val="en-US" w:eastAsia="zh-CN"/>
                    </w:rPr>
                    <w:t>设计</w:t>
                  </w:r>
                  <w:r>
                    <w:rPr>
                      <w:rFonts w:hint="default" w:ascii="Times New Roman" w:hAnsi="Times New Roman" w:eastAsia="宋体" w:cs="Times New Roman"/>
                      <w:b/>
                      <w:bCs w:val="0"/>
                      <w:color w:val="auto"/>
                      <w:sz w:val="21"/>
                      <w:szCs w:val="21"/>
                      <w:vertAlign w:val="baseline"/>
                      <w:lang w:val="en-US" w:eastAsia="zh-CN"/>
                    </w:rPr>
                    <w:t>用量（t</w:t>
                  </w:r>
                  <w:r>
                    <w:rPr>
                      <w:rFonts w:hint="eastAsia" w:ascii="Times New Roman" w:hAnsi="Times New Roman" w:eastAsia="宋体" w:cs="Times New Roman"/>
                      <w:b/>
                      <w:bCs w:val="0"/>
                      <w:color w:val="auto"/>
                      <w:sz w:val="21"/>
                      <w:szCs w:val="21"/>
                      <w:vertAlign w:val="baseline"/>
                      <w:lang w:val="en-US" w:eastAsia="zh-CN"/>
                    </w:rPr>
                    <w:t>/a</w:t>
                  </w:r>
                  <w:r>
                    <w:rPr>
                      <w:rFonts w:hint="default" w:ascii="Times New Roman" w:hAnsi="Times New Roman" w:eastAsia="宋体" w:cs="Times New Roman"/>
                      <w:b/>
                      <w:bCs w:val="0"/>
                      <w:color w:val="auto"/>
                      <w:sz w:val="21"/>
                      <w:szCs w:val="21"/>
                      <w:vertAlign w:val="baseline"/>
                      <w:lang w:val="en-US" w:eastAsia="zh-CN"/>
                    </w:rPr>
                    <w:t>）</w:t>
                  </w:r>
                </w:p>
              </w:tc>
            </w:tr>
            <w:tr w14:paraId="605D0D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1" w:type="dxa"/>
                  <w:tcBorders>
                    <w:tl2br w:val="nil"/>
                    <w:tr2bl w:val="nil"/>
                  </w:tcBorders>
                  <w:shd w:val="clear" w:color="auto" w:fill="auto"/>
                  <w:vAlign w:val="center"/>
                </w:tcPr>
                <w:p w14:paraId="408B29AD">
                  <w:pPr>
                    <w:spacing w:line="320" w:lineRule="exact"/>
                    <w:ind w:left="0" w:leftChars="0" w:firstLine="0" w:firstLineChars="0"/>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eastAsia="宋体"/>
                      <w:color w:val="auto"/>
                      <w:sz w:val="21"/>
                      <w:szCs w:val="21"/>
                      <w:lang w:val="en-US" w:eastAsia="zh-CN"/>
                    </w:rPr>
                    <w:t>吻合器零配件</w:t>
                  </w:r>
                </w:p>
              </w:tc>
              <w:tc>
                <w:tcPr>
                  <w:tcW w:w="1373" w:type="dxa"/>
                  <w:tcBorders>
                    <w:tl2br w:val="nil"/>
                    <w:tr2bl w:val="nil"/>
                  </w:tcBorders>
                  <w:shd w:val="clear" w:color="auto" w:fill="auto"/>
                  <w:vAlign w:val="center"/>
                </w:tcPr>
                <w:p w14:paraId="18B8E8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Cs/>
                      <w:color w:val="auto"/>
                    </w:rPr>
                    <w:t>0.00038</w:t>
                  </w:r>
                </w:p>
              </w:tc>
              <w:tc>
                <w:tcPr>
                  <w:tcW w:w="1427" w:type="dxa"/>
                  <w:tcBorders>
                    <w:tl2br w:val="nil"/>
                    <w:tr2bl w:val="nil"/>
                  </w:tcBorders>
                  <w:shd w:val="clear" w:color="auto" w:fill="auto"/>
                  <w:vAlign w:val="center"/>
                </w:tcPr>
                <w:p w14:paraId="4DAE90C3">
                  <w:pPr>
                    <w:adjustRightInd w:val="0"/>
                    <w:snapToGrid w:val="0"/>
                    <w:ind w:left="0" w:leftChars="0" w:firstLine="0" w:firstLineChars="0"/>
                    <w:jc w:val="center"/>
                    <w:rPr>
                      <w:rFonts w:hint="eastAsia" w:ascii="Times New Roman" w:hAnsi="Times New Roman" w:eastAsia="宋体" w:cs="Times New Roman"/>
                      <w:bCs/>
                      <w:color w:val="auto"/>
                    </w:rPr>
                  </w:pPr>
                  <w:r>
                    <w:rPr>
                      <w:rFonts w:hint="eastAsia" w:eastAsia="宋体"/>
                      <w:color w:val="auto"/>
                      <w:sz w:val="21"/>
                      <w:szCs w:val="21"/>
                      <w:highlight w:val="none"/>
                      <w:lang w:val="en-US" w:eastAsia="zh-CN"/>
                    </w:rPr>
                    <w:t>150</w:t>
                  </w:r>
                </w:p>
              </w:tc>
              <w:tc>
                <w:tcPr>
                  <w:tcW w:w="1114" w:type="dxa"/>
                  <w:tcBorders>
                    <w:tl2br w:val="nil"/>
                    <w:tr2bl w:val="nil"/>
                  </w:tcBorders>
                  <w:shd w:val="clear" w:color="auto" w:fill="auto"/>
                  <w:vAlign w:val="center"/>
                </w:tcPr>
                <w:p w14:paraId="7EC38E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sz w:val="21"/>
                      <w:szCs w:val="21"/>
                      <w:vertAlign w:val="baseline"/>
                      <w:lang w:val="en-US" w:eastAsia="zh-CN"/>
                    </w:rPr>
                    <w:t>570</w:t>
                  </w:r>
                </w:p>
              </w:tc>
              <w:tc>
                <w:tcPr>
                  <w:tcW w:w="1082" w:type="dxa"/>
                  <w:vMerge w:val="restart"/>
                  <w:tcBorders>
                    <w:tl2br w:val="nil"/>
                    <w:tr2bl w:val="nil"/>
                  </w:tcBorders>
                  <w:shd w:val="clear" w:color="auto" w:fill="auto"/>
                  <w:vAlign w:val="center"/>
                </w:tcPr>
                <w:p w14:paraId="4863F2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15</w:t>
                  </w:r>
                </w:p>
              </w:tc>
              <w:tc>
                <w:tcPr>
                  <w:tcW w:w="1098" w:type="dxa"/>
                  <w:vMerge w:val="restart"/>
                  <w:tcBorders>
                    <w:tl2br w:val="nil"/>
                    <w:tr2bl w:val="nil"/>
                  </w:tcBorders>
                  <w:shd w:val="clear" w:color="auto" w:fill="auto"/>
                  <w:vAlign w:val="center"/>
                </w:tcPr>
                <w:p w14:paraId="17C1C3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1.15</w:t>
                  </w:r>
                </w:p>
              </w:tc>
              <w:tc>
                <w:tcPr>
                  <w:tcW w:w="1114" w:type="dxa"/>
                  <w:tcBorders>
                    <w:tl2br w:val="nil"/>
                    <w:tr2bl w:val="nil"/>
                  </w:tcBorders>
                  <w:shd w:val="clear" w:color="auto" w:fill="auto"/>
                  <w:vAlign w:val="center"/>
                </w:tcPr>
                <w:p w14:paraId="0FC05E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0.0098</w:t>
                  </w:r>
                </w:p>
              </w:tc>
              <w:tc>
                <w:tcPr>
                  <w:tcW w:w="1099" w:type="dxa"/>
                  <w:tcBorders>
                    <w:tl2br w:val="nil"/>
                    <w:tr2bl w:val="nil"/>
                  </w:tcBorders>
                  <w:shd w:val="clear" w:color="auto" w:fill="auto"/>
                  <w:vAlign w:val="center"/>
                </w:tcPr>
                <w:p w14:paraId="3F71C3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0.01</w:t>
                  </w:r>
                </w:p>
              </w:tc>
            </w:tr>
            <w:tr w14:paraId="36D916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1" w:type="dxa"/>
                  <w:tcBorders>
                    <w:tl2br w:val="nil"/>
                    <w:tr2bl w:val="nil"/>
                  </w:tcBorders>
                  <w:vAlign w:val="center"/>
                </w:tcPr>
                <w:p w14:paraId="78430B50">
                  <w:pPr>
                    <w:spacing w:line="320" w:lineRule="exact"/>
                    <w:ind w:left="0" w:leftChars="0" w:firstLine="0" w:firstLineChars="0"/>
                    <w:jc w:val="center"/>
                    <w:rPr>
                      <w:rFonts w:hint="default" w:ascii="Times New Roman" w:hAnsi="Times New Roman" w:eastAsia="宋体" w:cs="Times New Roman"/>
                      <w:b w:val="0"/>
                      <w:bCs/>
                      <w:color w:val="auto"/>
                      <w:sz w:val="21"/>
                      <w:szCs w:val="21"/>
                      <w:vertAlign w:val="baseline"/>
                      <w:lang w:val="en-US" w:eastAsia="zh-CN"/>
                    </w:rPr>
                  </w:pPr>
                  <w:r>
                    <w:rPr>
                      <w:rFonts w:hint="eastAsia" w:eastAsia="宋体"/>
                      <w:color w:val="auto"/>
                      <w:sz w:val="21"/>
                      <w:szCs w:val="21"/>
                      <w:lang w:val="en-US" w:eastAsia="zh-CN"/>
                    </w:rPr>
                    <w:t>电器零配件</w:t>
                  </w:r>
                </w:p>
              </w:tc>
              <w:tc>
                <w:tcPr>
                  <w:tcW w:w="1373" w:type="dxa"/>
                  <w:tcBorders>
                    <w:tl2br w:val="nil"/>
                    <w:tr2bl w:val="nil"/>
                  </w:tcBorders>
                  <w:vAlign w:val="center"/>
                </w:tcPr>
                <w:p w14:paraId="1DC40C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0.01</w:t>
                  </w:r>
                </w:p>
              </w:tc>
              <w:tc>
                <w:tcPr>
                  <w:tcW w:w="1427" w:type="dxa"/>
                  <w:tcBorders>
                    <w:tl2br w:val="nil"/>
                    <w:tr2bl w:val="nil"/>
                  </w:tcBorders>
                  <w:vAlign w:val="center"/>
                </w:tcPr>
                <w:p w14:paraId="197A405C">
                  <w:pPr>
                    <w:adjustRightInd w:val="0"/>
                    <w:snapToGrid w:val="0"/>
                    <w:ind w:left="0" w:leftChars="0" w:firstLine="0" w:firstLineChars="0"/>
                    <w:jc w:val="center"/>
                    <w:rPr>
                      <w:rFonts w:hint="eastAsia" w:ascii="Times New Roman" w:hAnsi="Times New Roman" w:eastAsia="宋体" w:cs="Times New Roman"/>
                      <w:b w:val="0"/>
                      <w:bCs/>
                      <w:color w:val="auto"/>
                      <w:sz w:val="21"/>
                      <w:szCs w:val="21"/>
                      <w:vertAlign w:val="baseline"/>
                      <w:lang w:val="en-US" w:eastAsia="zh-CN"/>
                    </w:rPr>
                  </w:pPr>
                  <w:r>
                    <w:rPr>
                      <w:rFonts w:hint="eastAsia" w:eastAsia="宋体"/>
                      <w:color w:val="auto"/>
                      <w:sz w:val="21"/>
                      <w:szCs w:val="21"/>
                      <w:lang w:val="en-US" w:eastAsia="zh-CN"/>
                    </w:rPr>
                    <w:t>50</w:t>
                  </w:r>
                </w:p>
              </w:tc>
              <w:tc>
                <w:tcPr>
                  <w:tcW w:w="1114" w:type="dxa"/>
                  <w:tcBorders>
                    <w:tl2br w:val="nil"/>
                    <w:tr2bl w:val="nil"/>
                  </w:tcBorders>
                  <w:vAlign w:val="center"/>
                </w:tcPr>
                <w:p w14:paraId="13F361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5000</w:t>
                  </w:r>
                </w:p>
              </w:tc>
              <w:tc>
                <w:tcPr>
                  <w:tcW w:w="1082" w:type="dxa"/>
                  <w:vMerge w:val="continue"/>
                  <w:tcBorders>
                    <w:tl2br w:val="nil"/>
                    <w:tr2bl w:val="nil"/>
                  </w:tcBorders>
                  <w:vAlign w:val="center"/>
                </w:tcPr>
                <w:p w14:paraId="1705B3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1098" w:type="dxa"/>
                  <w:vMerge w:val="continue"/>
                  <w:tcBorders>
                    <w:tl2br w:val="nil"/>
                    <w:tr2bl w:val="nil"/>
                  </w:tcBorders>
                  <w:vAlign w:val="center"/>
                </w:tcPr>
                <w:p w14:paraId="300A75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1114" w:type="dxa"/>
                  <w:tcBorders>
                    <w:tl2br w:val="nil"/>
                    <w:tr2bl w:val="nil"/>
                  </w:tcBorders>
                  <w:vAlign w:val="center"/>
                </w:tcPr>
                <w:p w14:paraId="756ADA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0.0863</w:t>
                  </w:r>
                </w:p>
              </w:tc>
              <w:tc>
                <w:tcPr>
                  <w:tcW w:w="1099" w:type="dxa"/>
                  <w:tcBorders>
                    <w:tl2br w:val="nil"/>
                    <w:tr2bl w:val="nil"/>
                  </w:tcBorders>
                  <w:vAlign w:val="center"/>
                </w:tcPr>
                <w:p w14:paraId="54065B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0.09</w:t>
                  </w:r>
                </w:p>
              </w:tc>
            </w:tr>
          </w:tbl>
          <w:p w14:paraId="22BD31E9">
            <w:pPr>
              <w:ind w:firstLine="480" w:firstLineChars="200"/>
              <w:rPr>
                <w:rFonts w:hint="eastAsia"/>
                <w:b/>
                <w:bCs/>
                <w:color w:val="auto"/>
                <w:sz w:val="24"/>
                <w:szCs w:val="24"/>
                <w:lang w:val="en-US" w:eastAsia="zh-CN"/>
              </w:rPr>
            </w:pPr>
            <w:r>
              <w:rPr>
                <w:rFonts w:hint="default" w:ascii="Times New Roman" w:hAnsi="Times New Roman" w:eastAsia="宋体" w:cs="Times New Roman"/>
                <w:color w:val="auto"/>
                <w:sz w:val="24"/>
                <w:szCs w:val="24"/>
              </w:rPr>
              <w:t>考虑到</w:t>
            </w:r>
            <w:r>
              <w:rPr>
                <w:rFonts w:hint="eastAsia" w:ascii="Times New Roman" w:hAnsi="Times New Roman" w:eastAsia="宋体" w:cs="Times New Roman"/>
                <w:color w:val="auto"/>
                <w:sz w:val="24"/>
                <w:szCs w:val="24"/>
                <w:lang w:val="en-US" w:eastAsia="zh-CN"/>
              </w:rPr>
              <w:t>打印</w:t>
            </w:r>
            <w:r>
              <w:rPr>
                <w:rFonts w:hint="default" w:ascii="Times New Roman" w:hAnsi="Times New Roman" w:eastAsia="宋体" w:cs="Times New Roman"/>
                <w:color w:val="auto"/>
                <w:sz w:val="24"/>
                <w:szCs w:val="24"/>
              </w:rPr>
              <w:t>工序存在不可避免的原辅料损耗（包括仓储浪费、设备挂壁等），实际原辅料用量需考虑损耗，确保物料供应充足</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由上表计算可知本项目</w:t>
            </w:r>
            <w:r>
              <w:rPr>
                <w:rFonts w:hint="eastAsia" w:ascii="Times New Roman" w:hAnsi="Times New Roman" w:eastAsia="宋体" w:cs="Times New Roman"/>
                <w:color w:val="auto"/>
                <w:sz w:val="24"/>
                <w:szCs w:val="24"/>
                <w:lang w:val="en-US" w:eastAsia="zh-CN"/>
              </w:rPr>
              <w:t>设计</w:t>
            </w:r>
            <w:r>
              <w:rPr>
                <w:rFonts w:hint="default" w:ascii="Times New Roman" w:hAnsi="Times New Roman" w:eastAsia="宋体" w:cs="Times New Roman"/>
                <w:color w:val="auto"/>
                <w:sz w:val="24"/>
                <w:szCs w:val="24"/>
              </w:rPr>
              <w:t>原辅料用量</w:t>
            </w:r>
            <w:r>
              <w:rPr>
                <w:rFonts w:hint="eastAsia" w:ascii="Times New Roman" w:hAnsi="Times New Roman" w:eastAsia="宋体" w:cs="Times New Roman"/>
                <w:color w:val="auto"/>
                <w:sz w:val="24"/>
                <w:szCs w:val="24"/>
                <w:lang w:val="en-US" w:eastAsia="zh-CN"/>
              </w:rPr>
              <w:t>为0.1t/a</w:t>
            </w:r>
            <w:r>
              <w:rPr>
                <w:rFonts w:hint="default" w:ascii="Times New Roman" w:hAnsi="Times New Roman" w:eastAsia="宋体" w:cs="Times New Roman"/>
                <w:color w:val="auto"/>
                <w:sz w:val="24"/>
                <w:szCs w:val="24"/>
              </w:rPr>
              <w:t>，与产品的生产量相匹配。</w:t>
            </w:r>
          </w:p>
          <w:p w14:paraId="398B2C8F">
            <w:pPr>
              <w:ind w:firstLine="0" w:firstLineChars="0"/>
              <w:rPr>
                <w:b/>
                <w:bCs/>
                <w:color w:val="auto"/>
                <w:sz w:val="24"/>
                <w:szCs w:val="24"/>
              </w:rPr>
            </w:pPr>
            <w:r>
              <w:rPr>
                <w:rFonts w:hint="eastAsia"/>
                <w:b/>
                <w:bCs/>
                <w:color w:val="auto"/>
                <w:sz w:val="24"/>
                <w:szCs w:val="24"/>
                <w:lang w:val="en-US" w:eastAsia="zh-CN"/>
              </w:rPr>
              <w:t>5</w:t>
            </w:r>
            <w:r>
              <w:rPr>
                <w:b/>
                <w:bCs/>
                <w:color w:val="auto"/>
                <w:sz w:val="24"/>
                <w:szCs w:val="24"/>
              </w:rPr>
              <w:t>、公辅工程</w:t>
            </w:r>
          </w:p>
          <w:p w14:paraId="38D677BF">
            <w:pPr>
              <w:ind w:firstLine="420"/>
              <w:rPr>
                <w:color w:val="auto"/>
                <w:sz w:val="24"/>
                <w:szCs w:val="24"/>
              </w:rPr>
            </w:pPr>
            <w:r>
              <w:rPr>
                <w:color w:val="auto"/>
                <w:sz w:val="24"/>
                <w:szCs w:val="24"/>
              </w:rPr>
              <w:t>本项目</w:t>
            </w:r>
            <w:r>
              <w:rPr>
                <w:rFonts w:hint="eastAsia"/>
                <w:color w:val="auto"/>
                <w:sz w:val="24"/>
                <w:szCs w:val="24"/>
                <w:lang w:eastAsia="zh-CN"/>
              </w:rPr>
              <w:t>公用</w:t>
            </w:r>
            <w:r>
              <w:rPr>
                <w:color w:val="auto"/>
                <w:sz w:val="24"/>
                <w:szCs w:val="24"/>
              </w:rPr>
              <w:t>及辅助工程见表2-</w:t>
            </w:r>
            <w:r>
              <w:rPr>
                <w:rFonts w:hint="eastAsia"/>
                <w:color w:val="auto"/>
                <w:sz w:val="24"/>
                <w:szCs w:val="24"/>
                <w:lang w:val="en-US" w:eastAsia="zh-CN"/>
              </w:rPr>
              <w:t>7</w:t>
            </w:r>
            <w:r>
              <w:rPr>
                <w:color w:val="auto"/>
                <w:sz w:val="24"/>
                <w:szCs w:val="24"/>
              </w:rPr>
              <w:t>。</w:t>
            </w:r>
          </w:p>
          <w:p w14:paraId="0612B027">
            <w:pPr>
              <w:spacing w:line="240" w:lineRule="auto"/>
              <w:ind w:firstLine="0" w:firstLineChars="0"/>
              <w:jc w:val="center"/>
              <w:rPr>
                <w:b/>
                <w:bCs/>
                <w:color w:val="auto"/>
                <w:sz w:val="21"/>
                <w:szCs w:val="21"/>
                <w:highlight w:val="yellow"/>
              </w:rPr>
            </w:pPr>
            <w:r>
              <w:rPr>
                <w:b/>
                <w:bCs/>
                <w:color w:val="auto"/>
                <w:sz w:val="21"/>
                <w:szCs w:val="21"/>
                <w:highlight w:val="none"/>
              </w:rPr>
              <w:t>表2-</w:t>
            </w:r>
            <w:r>
              <w:rPr>
                <w:rFonts w:hint="eastAsia"/>
                <w:b/>
                <w:bCs/>
                <w:color w:val="auto"/>
                <w:sz w:val="21"/>
                <w:szCs w:val="21"/>
                <w:highlight w:val="none"/>
                <w:lang w:val="en-US" w:eastAsia="zh-CN"/>
              </w:rPr>
              <w:t>7</w:t>
            </w:r>
            <w:r>
              <w:rPr>
                <w:b/>
                <w:bCs/>
                <w:color w:val="auto"/>
                <w:sz w:val="21"/>
                <w:szCs w:val="21"/>
                <w:highlight w:val="none"/>
              </w:rPr>
              <w:t xml:space="preserve">  项目公辅工程一览表</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85"/>
              <w:gridCol w:w="2"/>
              <w:gridCol w:w="565"/>
              <w:gridCol w:w="1791"/>
              <w:gridCol w:w="1019"/>
              <w:gridCol w:w="1012"/>
              <w:gridCol w:w="1014"/>
              <w:gridCol w:w="3442"/>
            </w:tblGrid>
            <w:tr w14:paraId="10B8C9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59" w:type="pct"/>
                  <w:noWrap w:val="0"/>
                  <w:vAlign w:val="center"/>
                </w:tcPr>
                <w:p w14:paraId="16C594F6">
                  <w:pPr>
                    <w:spacing w:line="240" w:lineRule="auto"/>
                    <w:ind w:firstLine="0" w:firstLineChars="0"/>
                    <w:jc w:val="center"/>
                    <w:rPr>
                      <w:b/>
                      <w:bCs/>
                      <w:color w:val="auto"/>
                      <w:sz w:val="21"/>
                      <w:szCs w:val="21"/>
                    </w:rPr>
                  </w:pPr>
                  <w:bookmarkStart w:id="1" w:name="_Hlk119941849"/>
                  <w:r>
                    <w:rPr>
                      <w:b/>
                      <w:bCs/>
                      <w:color w:val="auto"/>
                      <w:sz w:val="21"/>
                      <w:szCs w:val="21"/>
                    </w:rPr>
                    <w:t>类别</w:t>
                  </w:r>
                </w:p>
              </w:tc>
              <w:tc>
                <w:tcPr>
                  <w:tcW w:w="1263" w:type="pct"/>
                  <w:gridSpan w:val="3"/>
                  <w:noWrap w:val="0"/>
                  <w:vAlign w:val="center"/>
                </w:tcPr>
                <w:p w14:paraId="3CC9152B">
                  <w:pPr>
                    <w:spacing w:line="240" w:lineRule="auto"/>
                    <w:ind w:firstLine="0" w:firstLineChars="0"/>
                    <w:jc w:val="center"/>
                    <w:rPr>
                      <w:b/>
                      <w:bCs/>
                      <w:color w:val="auto"/>
                      <w:sz w:val="21"/>
                      <w:szCs w:val="21"/>
                    </w:rPr>
                  </w:pPr>
                  <w:r>
                    <w:rPr>
                      <w:b/>
                      <w:bCs/>
                      <w:color w:val="auto"/>
                      <w:sz w:val="21"/>
                      <w:szCs w:val="21"/>
                    </w:rPr>
                    <w:t>建设名称</w:t>
                  </w:r>
                </w:p>
              </w:tc>
              <w:tc>
                <w:tcPr>
                  <w:tcW w:w="1631" w:type="pct"/>
                  <w:gridSpan w:val="3"/>
                  <w:noWrap w:val="0"/>
                  <w:vAlign w:val="center"/>
                </w:tcPr>
                <w:p w14:paraId="3BC4BFAC">
                  <w:pPr>
                    <w:spacing w:line="240" w:lineRule="auto"/>
                    <w:ind w:firstLine="0" w:firstLineChars="0"/>
                    <w:jc w:val="center"/>
                    <w:rPr>
                      <w:b/>
                      <w:bCs/>
                      <w:color w:val="auto"/>
                      <w:sz w:val="21"/>
                      <w:szCs w:val="21"/>
                    </w:rPr>
                  </w:pPr>
                  <w:r>
                    <w:rPr>
                      <w:b/>
                      <w:bCs/>
                      <w:color w:val="auto"/>
                      <w:sz w:val="21"/>
                      <w:szCs w:val="21"/>
                    </w:rPr>
                    <w:t>设计能力</w:t>
                  </w:r>
                </w:p>
              </w:tc>
              <w:tc>
                <w:tcPr>
                  <w:tcW w:w="1844" w:type="pct"/>
                  <w:noWrap w:val="0"/>
                  <w:vAlign w:val="center"/>
                </w:tcPr>
                <w:p w14:paraId="7C2984A2">
                  <w:pPr>
                    <w:spacing w:line="240" w:lineRule="auto"/>
                    <w:ind w:firstLine="0" w:firstLineChars="0"/>
                    <w:jc w:val="center"/>
                    <w:rPr>
                      <w:b/>
                      <w:bCs/>
                      <w:color w:val="auto"/>
                      <w:sz w:val="21"/>
                      <w:szCs w:val="21"/>
                    </w:rPr>
                  </w:pPr>
                  <w:r>
                    <w:rPr>
                      <w:b/>
                      <w:bCs/>
                      <w:color w:val="auto"/>
                      <w:sz w:val="21"/>
                      <w:szCs w:val="21"/>
                    </w:rPr>
                    <w:t>备注</w:t>
                  </w:r>
                </w:p>
              </w:tc>
            </w:tr>
            <w:tr w14:paraId="6AE1FC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259" w:type="pct"/>
                  <w:vMerge w:val="restart"/>
                  <w:noWrap w:val="0"/>
                  <w:vAlign w:val="center"/>
                </w:tcPr>
                <w:p w14:paraId="07E1F349">
                  <w:pPr>
                    <w:spacing w:line="240" w:lineRule="auto"/>
                    <w:ind w:firstLine="0" w:firstLineChars="0"/>
                    <w:jc w:val="center"/>
                    <w:rPr>
                      <w:color w:val="auto"/>
                      <w:sz w:val="21"/>
                      <w:szCs w:val="21"/>
                    </w:rPr>
                  </w:pPr>
                  <w:r>
                    <w:rPr>
                      <w:color w:val="auto"/>
                      <w:sz w:val="21"/>
                      <w:szCs w:val="21"/>
                    </w:rPr>
                    <w:t>主体工程</w:t>
                  </w:r>
                </w:p>
              </w:tc>
              <w:tc>
                <w:tcPr>
                  <w:tcW w:w="1263" w:type="pct"/>
                  <w:gridSpan w:val="3"/>
                  <w:noWrap w:val="0"/>
                  <w:vAlign w:val="center"/>
                </w:tcPr>
                <w:p w14:paraId="2B8C3D4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color w:val="auto"/>
                      <w:sz w:val="21"/>
                      <w:szCs w:val="21"/>
                      <w:highlight w:val="none"/>
                    </w:rPr>
                  </w:pPr>
                  <w:r>
                    <w:rPr>
                      <w:rFonts w:hint="eastAsia" w:cs="Times New Roman"/>
                      <w:color w:val="auto"/>
                      <w:szCs w:val="21"/>
                      <w:highlight w:val="none"/>
                      <w:lang w:val="en-US" w:eastAsia="zh-CN"/>
                    </w:rPr>
                    <w:t>1F</w:t>
                  </w:r>
                  <w:r>
                    <w:rPr>
                      <w:rFonts w:hint="default" w:ascii="Times New Roman" w:hAnsi="Times New Roman" w:eastAsia="宋体" w:cs="Times New Roman"/>
                      <w:color w:val="auto"/>
                      <w:szCs w:val="21"/>
                      <w:highlight w:val="none"/>
                    </w:rPr>
                    <w:t>生产车间</w:t>
                  </w:r>
                </w:p>
              </w:tc>
              <w:tc>
                <w:tcPr>
                  <w:tcW w:w="1631" w:type="pct"/>
                  <w:gridSpan w:val="3"/>
                  <w:noWrap w:val="0"/>
                  <w:vAlign w:val="center"/>
                </w:tcPr>
                <w:p w14:paraId="6E967C0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olor w:val="auto"/>
                      <w:sz w:val="21"/>
                      <w:szCs w:val="21"/>
                      <w:highlight w:val="none"/>
                      <w:lang w:val="en-US" w:eastAsia="zh-CN"/>
                    </w:rPr>
                  </w:pPr>
                  <w:r>
                    <w:rPr>
                      <w:rFonts w:hint="default" w:ascii="Times New Roman" w:hAnsi="Times New Roman" w:eastAsia="宋体" w:cs="Times New Roman"/>
                      <w:color w:val="auto"/>
                      <w:szCs w:val="21"/>
                      <w:highlight w:val="none"/>
                      <w:lang w:val="en-US" w:eastAsia="zh-CN"/>
                    </w:rPr>
                    <w:t>建筑面积约</w:t>
                  </w:r>
                  <w:r>
                    <w:rPr>
                      <w:rFonts w:hint="eastAsia" w:cs="Times New Roman"/>
                      <w:color w:val="auto"/>
                      <w:szCs w:val="21"/>
                      <w:highlight w:val="none"/>
                      <w:lang w:val="en-US" w:eastAsia="zh-CN"/>
                    </w:rPr>
                    <w:t>1080</w:t>
                  </w:r>
                  <w:r>
                    <w:rPr>
                      <w:rFonts w:hint="eastAsia" w:ascii="Times New Roman" w:hAnsi="Times New Roman" w:eastAsia="宋体" w:cs="Times New Roman"/>
                      <w:color w:val="auto"/>
                      <w:szCs w:val="21"/>
                      <w:highlight w:val="none"/>
                      <w:lang w:val="en-US" w:eastAsia="zh-CN"/>
                    </w:rPr>
                    <w:t>m</w:t>
                  </w:r>
                  <w:r>
                    <w:rPr>
                      <w:rFonts w:hint="default" w:ascii="Times New Roman" w:hAnsi="Times New Roman" w:eastAsia="宋体" w:cs="Times New Roman"/>
                      <w:color w:val="auto"/>
                      <w:szCs w:val="21"/>
                      <w:highlight w:val="none"/>
                      <w:vertAlign w:val="superscript"/>
                    </w:rPr>
                    <w:t>2</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包括</w:t>
                  </w:r>
                  <w:r>
                    <w:rPr>
                      <w:rFonts w:hint="eastAsia" w:cs="Times New Roman"/>
                      <w:color w:val="auto"/>
                      <w:szCs w:val="21"/>
                      <w:highlight w:val="none"/>
                      <w:lang w:val="en-US" w:eastAsia="zh-CN"/>
                    </w:rPr>
                    <w:t>注塑区、打印区、机加工区、电火花区、抛光区、破碎区</w:t>
                  </w:r>
                </w:p>
              </w:tc>
              <w:tc>
                <w:tcPr>
                  <w:tcW w:w="1844" w:type="pct"/>
                  <w:noWrap w:val="0"/>
                  <w:vAlign w:val="center"/>
                </w:tcPr>
                <w:p w14:paraId="3676AD1E">
                  <w:pPr>
                    <w:spacing w:line="240" w:lineRule="auto"/>
                    <w:ind w:firstLine="0" w:firstLineChars="0"/>
                    <w:jc w:val="center"/>
                    <w:rPr>
                      <w:rFonts w:hint="default"/>
                      <w:color w:val="auto"/>
                      <w:sz w:val="21"/>
                      <w:szCs w:val="21"/>
                      <w:lang w:val="en-US"/>
                    </w:rPr>
                  </w:pPr>
                  <w:r>
                    <w:rPr>
                      <w:rFonts w:hint="eastAsia" w:cs="Times New Roman"/>
                      <w:color w:val="auto"/>
                      <w:szCs w:val="21"/>
                      <w:highlight w:val="none"/>
                      <w:lang w:val="en-US" w:eastAsia="zh-CN"/>
                    </w:rPr>
                    <w:t>依托园区</w:t>
                  </w:r>
                  <w:r>
                    <w:rPr>
                      <w:rFonts w:hint="default" w:ascii="Times New Roman" w:hAnsi="Times New Roman" w:eastAsia="宋体" w:cs="Times New Roman"/>
                      <w:color w:val="auto"/>
                      <w:szCs w:val="21"/>
                      <w:highlight w:val="none"/>
                      <w:lang w:val="en-US" w:eastAsia="zh-CN"/>
                    </w:rPr>
                    <w:t>现有空置厂房</w:t>
                  </w:r>
                </w:p>
              </w:tc>
            </w:tr>
            <w:tr w14:paraId="76F985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259" w:type="pct"/>
                  <w:vMerge w:val="continue"/>
                  <w:noWrap w:val="0"/>
                  <w:vAlign w:val="center"/>
                </w:tcPr>
                <w:p w14:paraId="71B3E179">
                  <w:pPr>
                    <w:spacing w:line="240" w:lineRule="auto"/>
                    <w:ind w:firstLine="0" w:firstLineChars="0"/>
                    <w:jc w:val="center"/>
                    <w:rPr>
                      <w:color w:val="auto"/>
                      <w:sz w:val="21"/>
                      <w:szCs w:val="21"/>
                    </w:rPr>
                  </w:pPr>
                </w:p>
              </w:tc>
              <w:tc>
                <w:tcPr>
                  <w:tcW w:w="1263" w:type="pct"/>
                  <w:gridSpan w:val="3"/>
                  <w:noWrap w:val="0"/>
                  <w:vAlign w:val="center"/>
                </w:tcPr>
                <w:p w14:paraId="111DA21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2F生产车间</w:t>
                  </w:r>
                </w:p>
              </w:tc>
              <w:tc>
                <w:tcPr>
                  <w:tcW w:w="1631" w:type="pct"/>
                  <w:gridSpan w:val="3"/>
                  <w:noWrap w:val="0"/>
                  <w:vAlign w:val="center"/>
                </w:tcPr>
                <w:p w14:paraId="4EE0522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建筑面积约</w:t>
                  </w:r>
                  <w:r>
                    <w:rPr>
                      <w:rFonts w:hint="eastAsia" w:cs="Times New Roman"/>
                      <w:color w:val="auto"/>
                      <w:szCs w:val="21"/>
                      <w:highlight w:val="none"/>
                      <w:lang w:val="en-US" w:eastAsia="zh-CN"/>
                    </w:rPr>
                    <w:t>1103.66</w:t>
                  </w:r>
                  <w:r>
                    <w:rPr>
                      <w:rFonts w:hint="eastAsia" w:ascii="Times New Roman" w:hAnsi="Times New Roman" w:eastAsia="宋体" w:cs="Times New Roman"/>
                      <w:color w:val="auto"/>
                      <w:szCs w:val="21"/>
                      <w:highlight w:val="none"/>
                      <w:lang w:val="en-US" w:eastAsia="zh-CN"/>
                    </w:rPr>
                    <w:t>m</w:t>
                  </w:r>
                  <w:r>
                    <w:rPr>
                      <w:rFonts w:hint="default" w:ascii="Times New Roman" w:hAnsi="Times New Roman" w:eastAsia="宋体" w:cs="Times New Roman"/>
                      <w:color w:val="auto"/>
                      <w:szCs w:val="21"/>
                      <w:highlight w:val="none"/>
                      <w:vertAlign w:val="superscript"/>
                    </w:rPr>
                    <w:t>2</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包括</w:t>
                  </w:r>
                  <w:r>
                    <w:rPr>
                      <w:rFonts w:hint="eastAsia" w:cs="Times New Roman"/>
                      <w:color w:val="auto"/>
                      <w:szCs w:val="21"/>
                      <w:highlight w:val="none"/>
                      <w:lang w:val="en-US" w:eastAsia="zh-CN"/>
                    </w:rPr>
                    <w:t>洁净车间和办公室</w:t>
                  </w:r>
                </w:p>
              </w:tc>
              <w:tc>
                <w:tcPr>
                  <w:tcW w:w="1844" w:type="pct"/>
                  <w:noWrap w:val="0"/>
                  <w:vAlign w:val="center"/>
                </w:tcPr>
                <w:p w14:paraId="190C67EB">
                  <w:pPr>
                    <w:spacing w:line="240" w:lineRule="auto"/>
                    <w:ind w:firstLine="0" w:firstLineChars="0"/>
                    <w:jc w:val="center"/>
                    <w:rPr>
                      <w:rFonts w:hint="eastAsia"/>
                      <w:color w:val="auto"/>
                      <w:sz w:val="21"/>
                      <w:szCs w:val="21"/>
                      <w:lang w:eastAsia="zh-CN"/>
                    </w:rPr>
                  </w:pPr>
                  <w:r>
                    <w:rPr>
                      <w:rFonts w:hint="eastAsia" w:cs="Times New Roman"/>
                      <w:color w:val="auto"/>
                      <w:szCs w:val="21"/>
                      <w:highlight w:val="none"/>
                      <w:lang w:val="en-US" w:eastAsia="zh-CN"/>
                    </w:rPr>
                    <w:t>依托园区</w:t>
                  </w:r>
                  <w:r>
                    <w:rPr>
                      <w:rFonts w:hint="default" w:ascii="Times New Roman" w:hAnsi="Times New Roman" w:eastAsia="宋体" w:cs="Times New Roman"/>
                      <w:color w:val="auto"/>
                      <w:szCs w:val="21"/>
                      <w:highlight w:val="none"/>
                      <w:lang w:val="en-US" w:eastAsia="zh-CN"/>
                    </w:rPr>
                    <w:t>现有空置厂房</w:t>
                  </w:r>
                </w:p>
              </w:tc>
            </w:tr>
            <w:tr w14:paraId="64AA77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259" w:type="pct"/>
                  <w:vMerge w:val="continue"/>
                  <w:noWrap w:val="0"/>
                  <w:vAlign w:val="center"/>
                </w:tcPr>
                <w:p w14:paraId="4DAFFD27">
                  <w:pPr>
                    <w:spacing w:line="240" w:lineRule="auto"/>
                    <w:ind w:firstLine="0" w:firstLineChars="0"/>
                    <w:jc w:val="center"/>
                    <w:rPr>
                      <w:color w:val="auto"/>
                      <w:sz w:val="21"/>
                      <w:szCs w:val="21"/>
                    </w:rPr>
                  </w:pPr>
                </w:p>
              </w:tc>
              <w:tc>
                <w:tcPr>
                  <w:tcW w:w="1263" w:type="pct"/>
                  <w:gridSpan w:val="3"/>
                  <w:noWrap w:val="0"/>
                  <w:vAlign w:val="center"/>
                </w:tcPr>
                <w:p w14:paraId="464FE78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洁净车间</w:t>
                  </w:r>
                </w:p>
              </w:tc>
              <w:tc>
                <w:tcPr>
                  <w:tcW w:w="1631" w:type="pct"/>
                  <w:gridSpan w:val="3"/>
                  <w:noWrap w:val="0"/>
                  <w:vAlign w:val="center"/>
                </w:tcPr>
                <w:p w14:paraId="5C5C651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位于2层，</w:t>
                  </w:r>
                  <w:r>
                    <w:rPr>
                      <w:rFonts w:hint="default" w:ascii="Times New Roman" w:hAnsi="Times New Roman" w:eastAsia="宋体" w:cs="Times New Roman"/>
                      <w:color w:val="auto"/>
                      <w:szCs w:val="21"/>
                      <w:highlight w:val="none"/>
                      <w:lang w:val="en-US" w:eastAsia="zh-CN"/>
                    </w:rPr>
                    <w:t>建筑面积约</w:t>
                  </w:r>
                  <w:r>
                    <w:rPr>
                      <w:rFonts w:hint="eastAsia" w:cs="Times New Roman"/>
                      <w:color w:val="auto"/>
                      <w:szCs w:val="21"/>
                      <w:highlight w:val="none"/>
                      <w:lang w:val="en-US" w:eastAsia="zh-CN"/>
                    </w:rPr>
                    <w:t>557.52</w:t>
                  </w:r>
                  <w:r>
                    <w:rPr>
                      <w:rFonts w:hint="eastAsia" w:ascii="Times New Roman" w:hAnsi="Times New Roman" w:eastAsia="宋体" w:cs="Times New Roman"/>
                      <w:color w:val="auto"/>
                      <w:szCs w:val="21"/>
                      <w:highlight w:val="none"/>
                      <w:lang w:val="en-US" w:eastAsia="zh-CN"/>
                    </w:rPr>
                    <w:t>m</w:t>
                  </w:r>
                  <w:r>
                    <w:rPr>
                      <w:rFonts w:hint="default" w:ascii="Times New Roman" w:hAnsi="Times New Roman" w:eastAsia="宋体" w:cs="Times New Roman"/>
                      <w:color w:val="auto"/>
                      <w:szCs w:val="21"/>
                      <w:highlight w:val="none"/>
                      <w:vertAlign w:val="superscript"/>
                    </w:rPr>
                    <w:t>2</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包括</w:t>
                  </w:r>
                  <w:r>
                    <w:rPr>
                      <w:rFonts w:hint="eastAsia" w:cs="Times New Roman"/>
                      <w:color w:val="auto"/>
                      <w:szCs w:val="21"/>
                      <w:highlight w:val="none"/>
                      <w:lang w:val="en-US" w:eastAsia="zh-CN"/>
                    </w:rPr>
                    <w:t>清洗区、焊接区、组装区</w:t>
                  </w:r>
                </w:p>
              </w:tc>
              <w:tc>
                <w:tcPr>
                  <w:tcW w:w="1844" w:type="pct"/>
                  <w:noWrap w:val="0"/>
                  <w:vAlign w:val="center"/>
                </w:tcPr>
                <w:p w14:paraId="6C681D93">
                  <w:pPr>
                    <w:spacing w:line="240" w:lineRule="auto"/>
                    <w:ind w:firstLine="0" w:firstLineChars="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本项目新建，洁净级别十万级，换气次数≥15次/h，新风量40m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val="en-US" w:eastAsia="zh-CN"/>
                    </w:rPr>
                    <w:t>/h，过滤空气</w:t>
                  </w:r>
                  <w:r>
                    <w:rPr>
                      <w:rFonts w:hint="eastAsia"/>
                      <w:color w:val="auto"/>
                      <w:highlight w:val="none"/>
                    </w:rPr>
                    <w:t>采用G4初效、F7中效、H13高效三级过滤的处理方式</w:t>
                  </w:r>
                </w:p>
              </w:tc>
            </w:tr>
            <w:tr w14:paraId="58BF39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59" w:type="pct"/>
                  <w:vMerge w:val="restart"/>
                  <w:noWrap w:val="0"/>
                  <w:vAlign w:val="center"/>
                </w:tcPr>
                <w:p w14:paraId="0D941DAF">
                  <w:pPr>
                    <w:spacing w:line="240" w:lineRule="auto"/>
                    <w:ind w:firstLine="0" w:firstLineChars="0"/>
                    <w:jc w:val="center"/>
                    <w:rPr>
                      <w:color w:val="auto"/>
                      <w:sz w:val="21"/>
                      <w:szCs w:val="21"/>
                    </w:rPr>
                  </w:pPr>
                  <w:r>
                    <w:rPr>
                      <w:color w:val="auto"/>
                      <w:sz w:val="21"/>
                      <w:szCs w:val="21"/>
                    </w:rPr>
                    <w:t>贮运</w:t>
                  </w:r>
                </w:p>
                <w:p w14:paraId="0162A7FD">
                  <w:pPr>
                    <w:spacing w:line="240" w:lineRule="auto"/>
                    <w:ind w:firstLine="0" w:firstLineChars="0"/>
                    <w:jc w:val="center"/>
                    <w:rPr>
                      <w:color w:val="auto"/>
                      <w:sz w:val="21"/>
                      <w:szCs w:val="21"/>
                    </w:rPr>
                  </w:pPr>
                  <w:r>
                    <w:rPr>
                      <w:color w:val="auto"/>
                      <w:sz w:val="21"/>
                      <w:szCs w:val="21"/>
                    </w:rPr>
                    <w:t>工程</w:t>
                  </w:r>
                </w:p>
              </w:tc>
              <w:tc>
                <w:tcPr>
                  <w:tcW w:w="1263" w:type="pct"/>
                  <w:gridSpan w:val="3"/>
                  <w:noWrap w:val="0"/>
                  <w:vAlign w:val="center"/>
                </w:tcPr>
                <w:p w14:paraId="7A5F8ED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olor w:val="auto"/>
                      <w:sz w:val="21"/>
                      <w:szCs w:val="21"/>
                      <w:highlight w:val="none"/>
                      <w:lang w:val="en-US" w:eastAsia="zh-CN"/>
                    </w:rPr>
                  </w:pPr>
                  <w:r>
                    <w:rPr>
                      <w:rFonts w:hint="default" w:ascii="Times New Roman" w:hAnsi="Times New Roman" w:eastAsia="宋体" w:cs="Times New Roman"/>
                      <w:color w:val="auto"/>
                      <w:szCs w:val="21"/>
                      <w:highlight w:val="none"/>
                    </w:rPr>
                    <w:t>成品</w:t>
                  </w:r>
                  <w:r>
                    <w:rPr>
                      <w:rFonts w:hint="eastAsia" w:cs="Times New Roman"/>
                      <w:color w:val="auto"/>
                      <w:szCs w:val="21"/>
                      <w:highlight w:val="none"/>
                      <w:lang w:val="en-US" w:eastAsia="zh-CN"/>
                    </w:rPr>
                    <w:t>堆场</w:t>
                  </w:r>
                </w:p>
              </w:tc>
              <w:tc>
                <w:tcPr>
                  <w:tcW w:w="1631" w:type="pct"/>
                  <w:gridSpan w:val="3"/>
                  <w:noWrap w:val="0"/>
                  <w:vAlign w:val="center"/>
                </w:tcPr>
                <w:p w14:paraId="5692DAD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olor w:val="auto"/>
                      <w:sz w:val="21"/>
                      <w:szCs w:val="21"/>
                      <w:highlight w:val="none"/>
                      <w:lang w:val="en-US" w:eastAsia="zh-CN"/>
                    </w:rPr>
                  </w:pPr>
                  <w:r>
                    <w:rPr>
                      <w:rFonts w:hint="eastAsia" w:ascii="Times New Roman" w:hAnsi="Times New Roman" w:eastAsia="宋体" w:cs="Times New Roman"/>
                      <w:color w:val="auto"/>
                      <w:szCs w:val="21"/>
                      <w:highlight w:val="none"/>
                      <w:lang w:val="en-US" w:eastAsia="zh-CN"/>
                    </w:rPr>
                    <w:t>位于</w:t>
                  </w:r>
                  <w:r>
                    <w:rPr>
                      <w:rFonts w:hint="eastAsia" w:cs="Times New Roman"/>
                      <w:color w:val="auto"/>
                      <w:szCs w:val="21"/>
                      <w:highlight w:val="none"/>
                      <w:lang w:val="en-US" w:eastAsia="zh-CN"/>
                    </w:rPr>
                    <w:t>1</w:t>
                  </w:r>
                  <w:r>
                    <w:rPr>
                      <w:rFonts w:hint="eastAsia" w:ascii="Times New Roman" w:hAnsi="Times New Roman" w:eastAsia="宋体" w:cs="Times New Roman"/>
                      <w:color w:val="auto"/>
                      <w:szCs w:val="21"/>
                      <w:highlight w:val="none"/>
                      <w:lang w:val="en-US" w:eastAsia="zh-CN"/>
                    </w:rPr>
                    <w:t>层，</w:t>
                  </w:r>
                  <w:r>
                    <w:rPr>
                      <w:rFonts w:hint="default" w:ascii="Times New Roman" w:hAnsi="Times New Roman" w:eastAsia="宋体" w:cs="Times New Roman"/>
                      <w:color w:val="auto"/>
                      <w:szCs w:val="21"/>
                      <w:highlight w:val="none"/>
                      <w:lang w:val="en-US" w:eastAsia="zh-CN"/>
                    </w:rPr>
                    <w:t>建筑面积约</w:t>
                  </w:r>
                  <w:r>
                    <w:rPr>
                      <w:rFonts w:hint="eastAsia" w:cs="Times New Roman"/>
                      <w:color w:val="auto"/>
                      <w:szCs w:val="21"/>
                      <w:highlight w:val="none"/>
                      <w:lang w:val="en-US" w:eastAsia="zh-CN"/>
                    </w:rPr>
                    <w:t>5</w:t>
                  </w:r>
                  <w:r>
                    <w:rPr>
                      <w:rFonts w:hint="default" w:ascii="Times New Roman" w:hAnsi="Times New Roman" w:eastAsia="宋体" w:cs="Times New Roman"/>
                      <w:color w:val="auto"/>
                      <w:szCs w:val="21"/>
                      <w:highlight w:val="none"/>
                      <w:lang w:val="en-US" w:eastAsia="zh-CN"/>
                    </w:rPr>
                    <w:t>0</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2</w:t>
                  </w:r>
                </w:p>
              </w:tc>
              <w:tc>
                <w:tcPr>
                  <w:tcW w:w="1844" w:type="pct"/>
                  <w:noWrap w:val="0"/>
                  <w:vAlign w:val="center"/>
                </w:tcPr>
                <w:p w14:paraId="6AF932F3">
                  <w:pPr>
                    <w:spacing w:line="240" w:lineRule="auto"/>
                    <w:ind w:firstLine="0" w:firstLineChars="0"/>
                    <w:jc w:val="center"/>
                    <w:rPr>
                      <w:color w:val="auto"/>
                      <w:sz w:val="21"/>
                      <w:szCs w:val="21"/>
                    </w:rPr>
                  </w:pPr>
                  <w:r>
                    <w:rPr>
                      <w:rFonts w:hint="eastAsia"/>
                      <w:color w:val="auto"/>
                      <w:sz w:val="21"/>
                      <w:szCs w:val="21"/>
                      <w:lang w:val="en-US" w:eastAsia="zh-CN"/>
                    </w:rPr>
                    <w:t>成品</w:t>
                  </w:r>
                  <w:r>
                    <w:rPr>
                      <w:color w:val="auto"/>
                      <w:sz w:val="21"/>
                      <w:szCs w:val="21"/>
                    </w:rPr>
                    <w:t>储存</w:t>
                  </w:r>
                  <w:r>
                    <w:rPr>
                      <w:rFonts w:hint="eastAsia"/>
                      <w:color w:val="auto"/>
                      <w:sz w:val="21"/>
                      <w:szCs w:val="21"/>
                      <w:lang w:eastAsia="zh-CN"/>
                    </w:rPr>
                    <w:t>，</w:t>
                  </w:r>
                  <w:r>
                    <w:rPr>
                      <w:rFonts w:hint="eastAsia" w:cs="Times New Roman"/>
                      <w:color w:val="auto"/>
                      <w:szCs w:val="21"/>
                      <w:highlight w:val="none"/>
                      <w:lang w:val="en-US" w:eastAsia="zh-CN"/>
                    </w:rPr>
                    <w:t>依托园区</w:t>
                  </w:r>
                  <w:r>
                    <w:rPr>
                      <w:rFonts w:hint="default" w:ascii="Times New Roman" w:hAnsi="Times New Roman" w:eastAsia="宋体" w:cs="Times New Roman"/>
                      <w:color w:val="auto"/>
                      <w:szCs w:val="21"/>
                      <w:highlight w:val="none"/>
                      <w:lang w:val="en-US" w:eastAsia="zh-CN"/>
                    </w:rPr>
                    <w:t>现有空置厂房</w:t>
                  </w:r>
                </w:p>
              </w:tc>
            </w:tr>
            <w:tr w14:paraId="5663B8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59" w:type="pct"/>
                  <w:vMerge w:val="continue"/>
                  <w:noWrap w:val="0"/>
                  <w:vAlign w:val="center"/>
                </w:tcPr>
                <w:p w14:paraId="756B873F">
                  <w:pPr>
                    <w:spacing w:line="240" w:lineRule="auto"/>
                    <w:ind w:firstLine="0" w:firstLineChars="0"/>
                    <w:jc w:val="center"/>
                    <w:rPr>
                      <w:color w:val="auto"/>
                      <w:sz w:val="21"/>
                      <w:szCs w:val="21"/>
                    </w:rPr>
                  </w:pPr>
                </w:p>
              </w:tc>
              <w:tc>
                <w:tcPr>
                  <w:tcW w:w="1263" w:type="pct"/>
                  <w:gridSpan w:val="3"/>
                  <w:noWrap w:val="0"/>
                  <w:vAlign w:val="center"/>
                </w:tcPr>
                <w:p w14:paraId="2ABDC06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原料堆场</w:t>
                  </w:r>
                </w:p>
              </w:tc>
              <w:tc>
                <w:tcPr>
                  <w:tcW w:w="1631" w:type="pct"/>
                  <w:gridSpan w:val="3"/>
                  <w:noWrap w:val="0"/>
                  <w:vAlign w:val="center"/>
                </w:tcPr>
                <w:p w14:paraId="608930E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位于</w:t>
                  </w:r>
                  <w:r>
                    <w:rPr>
                      <w:rFonts w:hint="eastAsia" w:cs="Times New Roman"/>
                      <w:color w:val="auto"/>
                      <w:szCs w:val="21"/>
                      <w:highlight w:val="none"/>
                      <w:lang w:val="en-US" w:eastAsia="zh-CN"/>
                    </w:rPr>
                    <w:t>1</w:t>
                  </w:r>
                  <w:r>
                    <w:rPr>
                      <w:rFonts w:hint="eastAsia" w:ascii="Times New Roman" w:hAnsi="Times New Roman" w:eastAsia="宋体" w:cs="Times New Roman"/>
                      <w:color w:val="auto"/>
                      <w:szCs w:val="21"/>
                      <w:highlight w:val="none"/>
                      <w:lang w:val="en-US" w:eastAsia="zh-CN"/>
                    </w:rPr>
                    <w:t>层，</w:t>
                  </w:r>
                  <w:r>
                    <w:rPr>
                      <w:rFonts w:hint="default" w:ascii="Times New Roman" w:hAnsi="Times New Roman" w:eastAsia="宋体" w:cs="Times New Roman"/>
                      <w:color w:val="auto"/>
                      <w:szCs w:val="21"/>
                      <w:highlight w:val="none"/>
                      <w:lang w:val="en-US" w:eastAsia="zh-CN"/>
                    </w:rPr>
                    <w:t>建筑面积约</w:t>
                  </w:r>
                  <w:r>
                    <w:rPr>
                      <w:rFonts w:hint="eastAsia" w:cs="Times New Roman"/>
                      <w:color w:val="auto"/>
                      <w:szCs w:val="21"/>
                      <w:highlight w:val="none"/>
                      <w:lang w:val="en-US" w:eastAsia="zh-CN"/>
                    </w:rPr>
                    <w:t>5</w:t>
                  </w:r>
                  <w:r>
                    <w:rPr>
                      <w:rFonts w:hint="default" w:ascii="Times New Roman" w:hAnsi="Times New Roman" w:eastAsia="宋体" w:cs="Times New Roman"/>
                      <w:color w:val="auto"/>
                      <w:szCs w:val="21"/>
                      <w:highlight w:val="none"/>
                      <w:lang w:val="en-US" w:eastAsia="zh-CN"/>
                    </w:rPr>
                    <w:t>0</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2</w:t>
                  </w:r>
                </w:p>
              </w:tc>
              <w:tc>
                <w:tcPr>
                  <w:tcW w:w="1844" w:type="pct"/>
                  <w:noWrap w:val="0"/>
                  <w:vAlign w:val="center"/>
                </w:tcPr>
                <w:p w14:paraId="34D1FD93">
                  <w:pPr>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ABS、PC、PA、PP、PE、钣金件、模具钢</w:t>
                  </w:r>
                  <w:r>
                    <w:rPr>
                      <w:color w:val="auto"/>
                      <w:sz w:val="21"/>
                      <w:szCs w:val="21"/>
                    </w:rPr>
                    <w:t>等原料储存</w:t>
                  </w:r>
                  <w:r>
                    <w:rPr>
                      <w:rFonts w:hint="eastAsia"/>
                      <w:color w:val="auto"/>
                      <w:sz w:val="21"/>
                      <w:szCs w:val="21"/>
                      <w:lang w:eastAsia="zh-CN"/>
                    </w:rPr>
                    <w:t>，</w:t>
                  </w:r>
                  <w:r>
                    <w:rPr>
                      <w:rFonts w:hint="eastAsia" w:cs="Times New Roman"/>
                      <w:color w:val="auto"/>
                      <w:szCs w:val="21"/>
                      <w:highlight w:val="none"/>
                      <w:lang w:val="en-US" w:eastAsia="zh-CN"/>
                    </w:rPr>
                    <w:t>依托园区</w:t>
                  </w:r>
                  <w:r>
                    <w:rPr>
                      <w:rFonts w:hint="default" w:ascii="Times New Roman" w:hAnsi="Times New Roman" w:eastAsia="宋体" w:cs="Times New Roman"/>
                      <w:color w:val="auto"/>
                      <w:szCs w:val="21"/>
                      <w:highlight w:val="none"/>
                      <w:lang w:val="en-US" w:eastAsia="zh-CN"/>
                    </w:rPr>
                    <w:t>现有空置厂房</w:t>
                  </w:r>
                </w:p>
              </w:tc>
            </w:tr>
            <w:tr w14:paraId="7FBB46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59" w:type="pct"/>
                  <w:vMerge w:val="continue"/>
                  <w:noWrap w:val="0"/>
                  <w:vAlign w:val="center"/>
                </w:tcPr>
                <w:p w14:paraId="11F047BB">
                  <w:pPr>
                    <w:spacing w:line="240" w:lineRule="auto"/>
                    <w:ind w:firstLine="0" w:firstLineChars="0"/>
                    <w:jc w:val="center"/>
                    <w:rPr>
                      <w:color w:val="auto"/>
                      <w:sz w:val="21"/>
                      <w:szCs w:val="21"/>
                    </w:rPr>
                  </w:pPr>
                </w:p>
              </w:tc>
              <w:tc>
                <w:tcPr>
                  <w:tcW w:w="1263" w:type="pct"/>
                  <w:gridSpan w:val="3"/>
                  <w:noWrap w:val="0"/>
                  <w:vAlign w:val="center"/>
                </w:tcPr>
                <w:p w14:paraId="2B4F350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highlight w:val="none"/>
                      <w:lang w:val="en-US" w:eastAsia="zh-CN"/>
                    </w:rPr>
                  </w:pPr>
                  <w:r>
                    <w:rPr>
                      <w:rFonts w:hint="eastAsia" w:cs="Times New Roman"/>
                      <w:color w:val="auto"/>
                      <w:szCs w:val="21"/>
                      <w:highlight w:val="none"/>
                      <w:lang w:val="en-US" w:eastAsia="zh-CN"/>
                    </w:rPr>
                    <w:t>原辅料仓库</w:t>
                  </w:r>
                </w:p>
              </w:tc>
              <w:tc>
                <w:tcPr>
                  <w:tcW w:w="1631" w:type="pct"/>
                  <w:gridSpan w:val="3"/>
                  <w:noWrap w:val="0"/>
                  <w:vAlign w:val="center"/>
                </w:tcPr>
                <w:p w14:paraId="7C1C61C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olor w:val="auto"/>
                      <w:sz w:val="21"/>
                      <w:szCs w:val="21"/>
                      <w:highlight w:val="none"/>
                      <w:lang w:val="en-US" w:eastAsia="zh-CN"/>
                    </w:rPr>
                  </w:pPr>
                  <w:r>
                    <w:rPr>
                      <w:rFonts w:hint="eastAsia" w:ascii="Times New Roman" w:hAnsi="Times New Roman" w:eastAsia="宋体" w:cs="Times New Roman"/>
                      <w:color w:val="auto"/>
                      <w:szCs w:val="21"/>
                      <w:highlight w:val="none"/>
                      <w:lang w:val="en-US" w:eastAsia="zh-CN"/>
                    </w:rPr>
                    <w:t>位于1层，</w:t>
                  </w:r>
                  <w:r>
                    <w:rPr>
                      <w:rFonts w:hint="default" w:ascii="Times New Roman" w:hAnsi="Times New Roman" w:eastAsia="宋体" w:cs="Times New Roman"/>
                      <w:color w:val="auto"/>
                      <w:szCs w:val="21"/>
                      <w:highlight w:val="none"/>
                      <w:lang w:val="en-US" w:eastAsia="zh-CN"/>
                    </w:rPr>
                    <w:t>建筑面积约</w:t>
                  </w:r>
                  <w:r>
                    <w:rPr>
                      <w:rFonts w:hint="eastAsia" w:cs="Times New Roman"/>
                      <w:color w:val="auto"/>
                      <w:szCs w:val="21"/>
                      <w:highlight w:val="none"/>
                      <w:lang w:val="en-US" w:eastAsia="zh-CN"/>
                    </w:rPr>
                    <w:t>20</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2</w:t>
                  </w:r>
                </w:p>
              </w:tc>
              <w:tc>
                <w:tcPr>
                  <w:tcW w:w="1844" w:type="pct"/>
                  <w:noWrap w:val="0"/>
                  <w:vAlign w:val="center"/>
                </w:tcPr>
                <w:p w14:paraId="3935FD8C">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UV油墨、脱脂粉、煤油、切削液</w:t>
                  </w:r>
                  <w:r>
                    <w:rPr>
                      <w:color w:val="auto"/>
                      <w:sz w:val="21"/>
                      <w:szCs w:val="21"/>
                    </w:rPr>
                    <w:t>等原辅料储存</w:t>
                  </w:r>
                  <w:r>
                    <w:rPr>
                      <w:rFonts w:hint="eastAsia"/>
                      <w:color w:val="auto"/>
                      <w:sz w:val="21"/>
                      <w:szCs w:val="21"/>
                      <w:lang w:eastAsia="zh-CN"/>
                    </w:rPr>
                    <w:t>，</w:t>
                  </w:r>
                  <w:r>
                    <w:rPr>
                      <w:rFonts w:hint="eastAsia" w:cs="Times New Roman"/>
                      <w:color w:val="auto"/>
                      <w:szCs w:val="21"/>
                      <w:highlight w:val="none"/>
                      <w:lang w:val="en-US" w:eastAsia="zh-CN"/>
                    </w:rPr>
                    <w:t>依托园区</w:t>
                  </w:r>
                  <w:r>
                    <w:rPr>
                      <w:rFonts w:hint="default" w:ascii="Times New Roman" w:hAnsi="Times New Roman" w:eastAsia="宋体" w:cs="Times New Roman"/>
                      <w:color w:val="auto"/>
                      <w:szCs w:val="21"/>
                      <w:highlight w:val="none"/>
                      <w:lang w:val="en-US" w:eastAsia="zh-CN"/>
                    </w:rPr>
                    <w:t>现有空置厂房</w:t>
                  </w:r>
                </w:p>
              </w:tc>
            </w:tr>
            <w:tr w14:paraId="466861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59" w:type="pct"/>
                  <w:vMerge w:val="restart"/>
                  <w:noWrap w:val="0"/>
                  <w:vAlign w:val="center"/>
                </w:tcPr>
                <w:p w14:paraId="466DB122">
                  <w:pPr>
                    <w:spacing w:line="240" w:lineRule="auto"/>
                    <w:ind w:firstLine="0" w:firstLineChars="0"/>
                    <w:jc w:val="center"/>
                    <w:rPr>
                      <w:color w:val="auto"/>
                      <w:sz w:val="21"/>
                      <w:szCs w:val="21"/>
                    </w:rPr>
                  </w:pPr>
                  <w:r>
                    <w:rPr>
                      <w:color w:val="auto"/>
                      <w:sz w:val="21"/>
                      <w:szCs w:val="21"/>
                    </w:rPr>
                    <w:t>公用</w:t>
                  </w:r>
                </w:p>
                <w:p w14:paraId="74763F62">
                  <w:pPr>
                    <w:spacing w:line="240" w:lineRule="auto"/>
                    <w:ind w:firstLine="0" w:firstLineChars="0"/>
                    <w:jc w:val="center"/>
                    <w:rPr>
                      <w:color w:val="auto"/>
                      <w:sz w:val="21"/>
                      <w:szCs w:val="21"/>
                    </w:rPr>
                  </w:pPr>
                  <w:r>
                    <w:rPr>
                      <w:color w:val="auto"/>
                      <w:sz w:val="21"/>
                      <w:szCs w:val="21"/>
                    </w:rPr>
                    <w:t>工程</w:t>
                  </w:r>
                </w:p>
              </w:tc>
              <w:tc>
                <w:tcPr>
                  <w:tcW w:w="1263" w:type="pct"/>
                  <w:gridSpan w:val="3"/>
                  <w:noWrap w:val="0"/>
                  <w:vAlign w:val="center"/>
                </w:tcPr>
                <w:p w14:paraId="675F9409">
                  <w:pPr>
                    <w:spacing w:line="240" w:lineRule="auto"/>
                    <w:ind w:firstLine="0" w:firstLineChars="0"/>
                    <w:jc w:val="center"/>
                    <w:rPr>
                      <w:color w:val="auto"/>
                      <w:sz w:val="21"/>
                      <w:szCs w:val="21"/>
                    </w:rPr>
                  </w:pPr>
                  <w:r>
                    <w:rPr>
                      <w:color w:val="auto"/>
                      <w:sz w:val="21"/>
                      <w:szCs w:val="21"/>
                    </w:rPr>
                    <w:t>给水系统</w:t>
                  </w:r>
                </w:p>
              </w:tc>
              <w:tc>
                <w:tcPr>
                  <w:tcW w:w="1631" w:type="pct"/>
                  <w:gridSpan w:val="3"/>
                  <w:noWrap w:val="0"/>
                  <w:vAlign w:val="center"/>
                </w:tcPr>
                <w:p w14:paraId="6B7EFDCF">
                  <w:pPr>
                    <w:spacing w:line="240" w:lineRule="auto"/>
                    <w:ind w:firstLine="0" w:firstLineChars="0"/>
                    <w:jc w:val="center"/>
                    <w:rPr>
                      <w:color w:val="auto"/>
                      <w:sz w:val="21"/>
                      <w:szCs w:val="21"/>
                    </w:rPr>
                  </w:pPr>
                  <w:r>
                    <w:rPr>
                      <w:color w:val="auto"/>
                      <w:sz w:val="21"/>
                      <w:szCs w:val="21"/>
                    </w:rPr>
                    <w:t>用水量</w:t>
                  </w:r>
                  <w:r>
                    <w:rPr>
                      <w:rFonts w:hint="eastAsia"/>
                      <w:color w:val="auto"/>
                      <w:sz w:val="21"/>
                      <w:szCs w:val="21"/>
                      <w:lang w:val="en-US" w:eastAsia="zh-CN"/>
                    </w:rPr>
                    <w:t>1610.72</w:t>
                  </w:r>
                  <w:r>
                    <w:rPr>
                      <w:color w:val="auto"/>
                      <w:sz w:val="21"/>
                      <w:szCs w:val="21"/>
                    </w:rPr>
                    <w:t>t/a</w:t>
                  </w:r>
                </w:p>
              </w:tc>
              <w:tc>
                <w:tcPr>
                  <w:tcW w:w="1844" w:type="pct"/>
                  <w:noWrap w:val="0"/>
                  <w:vAlign w:val="center"/>
                </w:tcPr>
                <w:p w14:paraId="21B2A58F">
                  <w:pPr>
                    <w:spacing w:line="240" w:lineRule="auto"/>
                    <w:ind w:firstLine="0" w:firstLineChars="0"/>
                    <w:jc w:val="center"/>
                    <w:rPr>
                      <w:rFonts w:hint="default" w:eastAsia="宋体"/>
                      <w:color w:val="auto"/>
                      <w:sz w:val="21"/>
                      <w:szCs w:val="21"/>
                      <w:lang w:val="en-US" w:eastAsia="zh-CN"/>
                    </w:rPr>
                  </w:pPr>
                  <w:r>
                    <w:rPr>
                      <w:color w:val="auto"/>
                      <w:sz w:val="21"/>
                      <w:szCs w:val="21"/>
                    </w:rPr>
                    <w:t>由市政自来水管网供水</w:t>
                  </w:r>
                  <w:r>
                    <w:rPr>
                      <w:rFonts w:hint="eastAsia"/>
                      <w:color w:val="auto"/>
                      <w:sz w:val="21"/>
                      <w:szCs w:val="21"/>
                      <w:lang w:eastAsia="zh-CN"/>
                    </w:rPr>
                    <w:t>，</w:t>
                  </w:r>
                  <w:r>
                    <w:rPr>
                      <w:rFonts w:hint="eastAsia"/>
                      <w:color w:val="auto"/>
                      <w:sz w:val="21"/>
                      <w:szCs w:val="21"/>
                      <w:lang w:val="en-US" w:eastAsia="zh-CN"/>
                    </w:rPr>
                    <w:t>依托园区现有</w:t>
                  </w:r>
                </w:p>
              </w:tc>
            </w:tr>
            <w:tr w14:paraId="1081D0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59" w:type="pct"/>
                  <w:vMerge w:val="continue"/>
                  <w:noWrap w:val="0"/>
                  <w:vAlign w:val="center"/>
                </w:tcPr>
                <w:p w14:paraId="5D0E4676">
                  <w:pPr>
                    <w:spacing w:line="240" w:lineRule="auto"/>
                    <w:ind w:firstLine="0" w:firstLineChars="0"/>
                    <w:jc w:val="center"/>
                    <w:rPr>
                      <w:color w:val="auto"/>
                      <w:sz w:val="21"/>
                      <w:szCs w:val="21"/>
                    </w:rPr>
                  </w:pPr>
                </w:p>
              </w:tc>
              <w:tc>
                <w:tcPr>
                  <w:tcW w:w="1263" w:type="pct"/>
                  <w:gridSpan w:val="3"/>
                  <w:noWrap w:val="0"/>
                  <w:vAlign w:val="center"/>
                </w:tcPr>
                <w:p w14:paraId="487A97E6">
                  <w:pPr>
                    <w:spacing w:line="240" w:lineRule="auto"/>
                    <w:ind w:firstLine="0" w:firstLineChars="0"/>
                    <w:jc w:val="center"/>
                    <w:rPr>
                      <w:color w:val="auto"/>
                      <w:sz w:val="21"/>
                      <w:szCs w:val="21"/>
                    </w:rPr>
                  </w:pPr>
                  <w:r>
                    <w:rPr>
                      <w:color w:val="auto"/>
                      <w:sz w:val="21"/>
                      <w:szCs w:val="21"/>
                    </w:rPr>
                    <w:t>排水系统</w:t>
                  </w:r>
                </w:p>
              </w:tc>
              <w:tc>
                <w:tcPr>
                  <w:tcW w:w="1631" w:type="pct"/>
                  <w:gridSpan w:val="3"/>
                  <w:noWrap w:val="0"/>
                  <w:vAlign w:val="center"/>
                </w:tcPr>
                <w:p w14:paraId="43C0F95E">
                  <w:pPr>
                    <w:spacing w:line="240" w:lineRule="auto"/>
                    <w:ind w:firstLine="0" w:firstLineChars="0"/>
                    <w:jc w:val="center"/>
                    <w:rPr>
                      <w:color w:val="auto"/>
                      <w:sz w:val="21"/>
                      <w:szCs w:val="21"/>
                    </w:rPr>
                  </w:pPr>
                  <w:r>
                    <w:rPr>
                      <w:color w:val="auto"/>
                      <w:sz w:val="21"/>
                      <w:szCs w:val="21"/>
                    </w:rPr>
                    <w:t>生活污水</w:t>
                  </w:r>
                  <w:r>
                    <w:rPr>
                      <w:rFonts w:hint="eastAsia"/>
                      <w:color w:val="auto"/>
                      <w:sz w:val="21"/>
                      <w:szCs w:val="21"/>
                      <w:lang w:val="en-US" w:eastAsia="zh-CN"/>
                    </w:rPr>
                    <w:t>1200</w:t>
                  </w:r>
                  <w:r>
                    <w:rPr>
                      <w:color w:val="auto"/>
                      <w:sz w:val="21"/>
                      <w:szCs w:val="21"/>
                    </w:rPr>
                    <w:t>t/a</w:t>
                  </w:r>
                </w:p>
              </w:tc>
              <w:tc>
                <w:tcPr>
                  <w:tcW w:w="1844" w:type="pct"/>
                  <w:noWrap w:val="0"/>
                  <w:vAlign w:val="center"/>
                </w:tcPr>
                <w:p w14:paraId="4FEBC7FB">
                  <w:pPr>
                    <w:spacing w:line="240" w:lineRule="auto"/>
                    <w:ind w:firstLine="0" w:firstLineChars="0"/>
                    <w:jc w:val="center"/>
                    <w:rPr>
                      <w:color w:val="auto"/>
                      <w:sz w:val="21"/>
                      <w:szCs w:val="21"/>
                    </w:rPr>
                  </w:pPr>
                  <w:r>
                    <w:rPr>
                      <w:color w:val="auto"/>
                      <w:sz w:val="21"/>
                      <w:szCs w:val="21"/>
                    </w:rPr>
                    <w:t>污水达标接管进</w:t>
                  </w:r>
                  <w:r>
                    <w:rPr>
                      <w:rFonts w:hint="eastAsia"/>
                      <w:color w:val="auto"/>
                      <w:sz w:val="21"/>
                      <w:szCs w:val="21"/>
                      <w:lang w:eastAsia="zh-CN"/>
                    </w:rPr>
                    <w:t>金坛第二污水处理厂</w:t>
                  </w:r>
                  <w:r>
                    <w:rPr>
                      <w:color w:val="auto"/>
                      <w:sz w:val="21"/>
                      <w:szCs w:val="21"/>
                    </w:rPr>
                    <w:t>集中处理</w:t>
                  </w:r>
                  <w:r>
                    <w:rPr>
                      <w:rFonts w:hint="eastAsia"/>
                      <w:color w:val="auto"/>
                      <w:sz w:val="21"/>
                      <w:szCs w:val="21"/>
                      <w:lang w:eastAsia="zh-CN"/>
                    </w:rPr>
                    <w:t>，</w:t>
                  </w:r>
                  <w:r>
                    <w:rPr>
                      <w:rFonts w:hint="eastAsia"/>
                      <w:color w:val="auto"/>
                      <w:sz w:val="21"/>
                      <w:szCs w:val="21"/>
                      <w:lang w:val="en-US" w:eastAsia="zh-CN"/>
                    </w:rPr>
                    <w:t>依托园区现有</w:t>
                  </w:r>
                </w:p>
              </w:tc>
            </w:tr>
            <w:tr w14:paraId="424372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59" w:type="pct"/>
                  <w:vMerge w:val="continue"/>
                  <w:noWrap w:val="0"/>
                  <w:vAlign w:val="center"/>
                </w:tcPr>
                <w:p w14:paraId="66DF944C">
                  <w:pPr>
                    <w:spacing w:line="240" w:lineRule="auto"/>
                    <w:ind w:firstLine="0" w:firstLineChars="0"/>
                    <w:jc w:val="center"/>
                    <w:rPr>
                      <w:color w:val="auto"/>
                      <w:sz w:val="21"/>
                      <w:szCs w:val="21"/>
                    </w:rPr>
                  </w:pPr>
                </w:p>
              </w:tc>
              <w:tc>
                <w:tcPr>
                  <w:tcW w:w="1263" w:type="pct"/>
                  <w:gridSpan w:val="3"/>
                  <w:noWrap w:val="0"/>
                  <w:vAlign w:val="center"/>
                </w:tcPr>
                <w:p w14:paraId="188C4202">
                  <w:pPr>
                    <w:spacing w:line="240" w:lineRule="auto"/>
                    <w:ind w:firstLine="0" w:firstLineChars="0"/>
                    <w:jc w:val="center"/>
                    <w:rPr>
                      <w:color w:val="auto"/>
                      <w:sz w:val="21"/>
                      <w:szCs w:val="21"/>
                    </w:rPr>
                  </w:pPr>
                  <w:r>
                    <w:rPr>
                      <w:color w:val="auto"/>
                      <w:sz w:val="21"/>
                      <w:szCs w:val="21"/>
                    </w:rPr>
                    <w:t>供电系统</w:t>
                  </w:r>
                </w:p>
              </w:tc>
              <w:tc>
                <w:tcPr>
                  <w:tcW w:w="1631" w:type="pct"/>
                  <w:gridSpan w:val="3"/>
                  <w:noWrap w:val="0"/>
                  <w:vAlign w:val="center"/>
                </w:tcPr>
                <w:p w14:paraId="19A2FD0B">
                  <w:pPr>
                    <w:spacing w:line="240" w:lineRule="auto"/>
                    <w:ind w:firstLine="0" w:firstLineChars="0"/>
                    <w:jc w:val="center"/>
                    <w:rPr>
                      <w:color w:val="auto"/>
                      <w:sz w:val="21"/>
                      <w:szCs w:val="21"/>
                    </w:rPr>
                  </w:pPr>
                  <w:r>
                    <w:rPr>
                      <w:color w:val="auto"/>
                      <w:sz w:val="21"/>
                      <w:szCs w:val="21"/>
                    </w:rPr>
                    <w:t>用电</w:t>
                  </w:r>
                  <w:r>
                    <w:rPr>
                      <w:rFonts w:hint="eastAsia"/>
                      <w:color w:val="auto"/>
                      <w:sz w:val="21"/>
                      <w:szCs w:val="21"/>
                      <w:lang w:val="en-US" w:eastAsia="zh-CN"/>
                    </w:rPr>
                    <w:t>30万</w:t>
                  </w:r>
                  <w:r>
                    <w:rPr>
                      <w:color w:val="auto"/>
                      <w:sz w:val="21"/>
                      <w:szCs w:val="21"/>
                    </w:rPr>
                    <w:t>kwh/a</w:t>
                  </w:r>
                </w:p>
              </w:tc>
              <w:tc>
                <w:tcPr>
                  <w:tcW w:w="1844" w:type="pct"/>
                  <w:noWrap w:val="0"/>
                  <w:vAlign w:val="center"/>
                </w:tcPr>
                <w:p w14:paraId="1A4C4DD1">
                  <w:pPr>
                    <w:spacing w:line="240" w:lineRule="auto"/>
                    <w:ind w:firstLine="0" w:firstLineChars="0"/>
                    <w:jc w:val="center"/>
                    <w:rPr>
                      <w:color w:val="auto"/>
                      <w:sz w:val="21"/>
                      <w:szCs w:val="21"/>
                    </w:rPr>
                  </w:pPr>
                  <w:r>
                    <w:rPr>
                      <w:color w:val="auto"/>
                      <w:sz w:val="21"/>
                      <w:szCs w:val="21"/>
                    </w:rPr>
                    <w:t>由市政电力管网供电</w:t>
                  </w:r>
                  <w:r>
                    <w:rPr>
                      <w:rFonts w:hint="eastAsia"/>
                      <w:color w:val="auto"/>
                      <w:sz w:val="21"/>
                      <w:szCs w:val="21"/>
                      <w:lang w:eastAsia="zh-CN"/>
                    </w:rPr>
                    <w:t>，</w:t>
                  </w:r>
                  <w:r>
                    <w:rPr>
                      <w:rFonts w:hint="eastAsia"/>
                      <w:color w:val="auto"/>
                      <w:sz w:val="21"/>
                      <w:szCs w:val="21"/>
                      <w:lang w:val="en-US" w:eastAsia="zh-CN"/>
                    </w:rPr>
                    <w:t>依托园区现有</w:t>
                  </w:r>
                </w:p>
              </w:tc>
            </w:tr>
            <w:tr w14:paraId="0A5562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59" w:type="pct"/>
                  <w:vMerge w:val="continue"/>
                  <w:noWrap w:val="0"/>
                  <w:vAlign w:val="center"/>
                </w:tcPr>
                <w:p w14:paraId="4F964C81">
                  <w:pPr>
                    <w:spacing w:line="240" w:lineRule="auto"/>
                    <w:ind w:firstLine="0" w:firstLineChars="0"/>
                    <w:jc w:val="center"/>
                    <w:rPr>
                      <w:color w:val="auto"/>
                      <w:sz w:val="21"/>
                      <w:szCs w:val="21"/>
                    </w:rPr>
                  </w:pPr>
                </w:p>
              </w:tc>
              <w:tc>
                <w:tcPr>
                  <w:tcW w:w="1263" w:type="pct"/>
                  <w:gridSpan w:val="3"/>
                  <w:noWrap w:val="0"/>
                  <w:vAlign w:val="center"/>
                </w:tcPr>
                <w:p w14:paraId="109EB4FD">
                  <w:pPr>
                    <w:spacing w:line="240" w:lineRule="auto"/>
                    <w:ind w:firstLine="0" w:firstLineChars="0"/>
                    <w:jc w:val="center"/>
                    <w:rPr>
                      <w:color w:val="auto"/>
                      <w:sz w:val="21"/>
                      <w:szCs w:val="21"/>
                    </w:rPr>
                  </w:pPr>
                  <w:r>
                    <w:rPr>
                      <w:rFonts w:hint="eastAsia"/>
                      <w:color w:val="auto"/>
                      <w:sz w:val="21"/>
                      <w:szCs w:val="21"/>
                      <w:lang w:val="en-US" w:eastAsia="zh-CN"/>
                    </w:rPr>
                    <w:t>雨水排放</w:t>
                  </w:r>
                  <w:r>
                    <w:rPr>
                      <w:color w:val="auto"/>
                      <w:sz w:val="21"/>
                      <w:szCs w:val="21"/>
                    </w:rPr>
                    <w:t>系统</w:t>
                  </w:r>
                </w:p>
              </w:tc>
              <w:tc>
                <w:tcPr>
                  <w:tcW w:w="1631" w:type="pct"/>
                  <w:gridSpan w:val="3"/>
                  <w:noWrap w:val="0"/>
                  <w:vAlign w:val="center"/>
                </w:tcPr>
                <w:p w14:paraId="449D6DF8">
                  <w:pPr>
                    <w:spacing w:line="240" w:lineRule="auto"/>
                    <w:ind w:firstLine="0" w:firstLineChars="0"/>
                    <w:jc w:val="center"/>
                    <w:rPr>
                      <w:rFonts w:hint="eastAsia" w:eastAsia="宋体"/>
                      <w:color w:val="auto"/>
                      <w:sz w:val="21"/>
                      <w:szCs w:val="21"/>
                      <w:lang w:eastAsia="zh-CN"/>
                    </w:rPr>
                  </w:pPr>
                  <w:r>
                    <w:rPr>
                      <w:rFonts w:hint="eastAsia"/>
                      <w:color w:val="auto"/>
                      <w:sz w:val="21"/>
                      <w:szCs w:val="21"/>
                      <w:lang w:val="en-US" w:eastAsia="zh-CN"/>
                    </w:rPr>
                    <w:t>/</w:t>
                  </w:r>
                </w:p>
              </w:tc>
              <w:tc>
                <w:tcPr>
                  <w:tcW w:w="1844" w:type="pct"/>
                  <w:noWrap w:val="0"/>
                  <w:vAlign w:val="center"/>
                </w:tcPr>
                <w:p w14:paraId="4EA451AF">
                  <w:pPr>
                    <w:spacing w:line="240" w:lineRule="auto"/>
                    <w:ind w:firstLine="0" w:firstLineChars="0"/>
                    <w:jc w:val="center"/>
                    <w:rPr>
                      <w:rFonts w:hint="eastAsia"/>
                      <w:color w:val="auto"/>
                      <w:sz w:val="21"/>
                      <w:szCs w:val="21"/>
                    </w:rPr>
                  </w:pPr>
                  <w:r>
                    <w:rPr>
                      <w:rFonts w:hint="eastAsia"/>
                      <w:color w:val="auto"/>
                      <w:sz w:val="21"/>
                      <w:szCs w:val="21"/>
                      <w:lang w:eastAsia="zh-CN"/>
                    </w:rPr>
                    <w:t>雨水通过</w:t>
                  </w:r>
                  <w:r>
                    <w:rPr>
                      <w:rFonts w:hint="eastAsia"/>
                      <w:color w:val="auto"/>
                      <w:sz w:val="21"/>
                      <w:szCs w:val="21"/>
                      <w:lang w:val="en-US" w:eastAsia="zh-CN"/>
                    </w:rPr>
                    <w:t>厂区</w:t>
                  </w:r>
                  <w:r>
                    <w:rPr>
                      <w:rFonts w:hint="eastAsia"/>
                      <w:color w:val="auto"/>
                      <w:sz w:val="21"/>
                      <w:szCs w:val="21"/>
                      <w:lang w:eastAsia="zh-CN"/>
                    </w:rPr>
                    <w:t>内现有雨水管网排入市政雨水管网，</w:t>
                  </w:r>
                  <w:r>
                    <w:rPr>
                      <w:rFonts w:hint="eastAsia"/>
                      <w:color w:val="auto"/>
                      <w:sz w:val="21"/>
                      <w:szCs w:val="21"/>
                      <w:lang w:val="en-US" w:eastAsia="zh-CN"/>
                    </w:rPr>
                    <w:t>依托园区现有</w:t>
                  </w:r>
                </w:p>
              </w:tc>
            </w:tr>
            <w:tr w14:paraId="022F3B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60" w:type="pct"/>
                  <w:gridSpan w:val="2"/>
                  <w:vMerge w:val="restart"/>
                  <w:noWrap w:val="0"/>
                  <w:vAlign w:val="center"/>
                </w:tcPr>
                <w:p w14:paraId="0633F130">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环保工程</w:t>
                  </w:r>
                </w:p>
              </w:tc>
              <w:tc>
                <w:tcPr>
                  <w:tcW w:w="302" w:type="pct"/>
                  <w:vMerge w:val="restart"/>
                  <w:noWrap w:val="0"/>
                  <w:vAlign w:val="center"/>
                </w:tcPr>
                <w:p w14:paraId="303381B5">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废气处理设施</w:t>
                  </w:r>
                </w:p>
              </w:tc>
              <w:tc>
                <w:tcPr>
                  <w:tcW w:w="959" w:type="pct"/>
                  <w:noWrap w:val="0"/>
                  <w:vAlign w:val="center"/>
                </w:tcPr>
                <w:p w14:paraId="41D003E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highlight w:val="none"/>
                      <w:lang w:val="en-US" w:eastAsia="zh-CN"/>
                    </w:rPr>
                  </w:pPr>
                  <w:r>
                    <w:rPr>
                      <w:rFonts w:hint="eastAsia" w:cs="Times New Roman"/>
                      <w:color w:val="auto"/>
                      <w:szCs w:val="21"/>
                      <w:highlight w:val="none"/>
                      <w:lang w:val="en-US" w:eastAsia="zh-CN"/>
                    </w:rPr>
                    <w:t>注塑</w:t>
                  </w:r>
                  <w:r>
                    <w:rPr>
                      <w:rFonts w:hint="eastAsia" w:ascii="Times New Roman" w:hAnsi="Times New Roman" w:eastAsia="宋体" w:cs="Times New Roman"/>
                      <w:color w:val="auto"/>
                      <w:szCs w:val="21"/>
                      <w:highlight w:val="none"/>
                      <w:lang w:val="en-US" w:eastAsia="zh-CN"/>
                    </w:rPr>
                    <w:t>废气</w:t>
                  </w:r>
                  <w:r>
                    <w:rPr>
                      <w:rFonts w:hint="eastAsia" w:cs="Times New Roman"/>
                      <w:color w:val="auto"/>
                      <w:szCs w:val="21"/>
                      <w:highlight w:val="none"/>
                      <w:lang w:val="en-US" w:eastAsia="zh-CN"/>
                    </w:rPr>
                    <w:t>、打印废气</w:t>
                  </w:r>
                </w:p>
              </w:tc>
              <w:tc>
                <w:tcPr>
                  <w:tcW w:w="546" w:type="pct"/>
                  <w:noWrap w:val="0"/>
                  <w:vAlign w:val="center"/>
                </w:tcPr>
                <w:p w14:paraId="631B8A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szCs w:val="21"/>
                      <w:highlight w:val="none"/>
                      <w:lang w:val="en-US" w:eastAsia="zh-CN"/>
                    </w:rPr>
                    <w:t>集气罩</w:t>
                  </w:r>
                  <w:r>
                    <w:rPr>
                      <w:rFonts w:hint="eastAsia" w:ascii="Times New Roman" w:hAnsi="Times New Roman" w:eastAsia="宋体" w:cs="Times New Roman"/>
                      <w:color w:val="auto"/>
                      <w:szCs w:val="21"/>
                      <w:highlight w:val="none"/>
                      <w:lang w:val="en-US" w:eastAsia="zh-CN"/>
                    </w:rPr>
                    <w:t>收集</w:t>
                  </w:r>
                </w:p>
              </w:tc>
              <w:tc>
                <w:tcPr>
                  <w:tcW w:w="542" w:type="pct"/>
                  <w:noWrap w:val="0"/>
                  <w:vAlign w:val="center"/>
                </w:tcPr>
                <w:p w14:paraId="694E8A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处理方式为一套</w:t>
                  </w:r>
                  <w:r>
                    <w:rPr>
                      <w:rFonts w:hint="eastAsia" w:ascii="Times New Roman" w:hAnsi="Times New Roman" w:eastAsia="宋体" w:cs="Times New Roman"/>
                      <w:color w:val="auto"/>
                      <w:szCs w:val="21"/>
                      <w:highlight w:val="none"/>
                      <w:lang w:val="en-US" w:eastAsia="zh-CN"/>
                    </w:rPr>
                    <w:t>二级活性炭吸附装置</w:t>
                  </w:r>
                </w:p>
              </w:tc>
              <w:tc>
                <w:tcPr>
                  <w:tcW w:w="543" w:type="pct"/>
                  <w:noWrap w:val="0"/>
                  <w:vAlign w:val="center"/>
                </w:tcPr>
                <w:p w14:paraId="5F42E2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风量</w:t>
                  </w:r>
                  <w:r>
                    <w:rPr>
                      <w:rFonts w:hint="eastAsia" w:cs="Times New Roman"/>
                      <w:color w:val="auto"/>
                      <w:szCs w:val="21"/>
                      <w:highlight w:val="none"/>
                      <w:lang w:val="en-US" w:eastAsia="zh-CN"/>
                    </w:rPr>
                    <w:t>140</w:t>
                  </w:r>
                  <w:r>
                    <w:rPr>
                      <w:rFonts w:hint="eastAsia" w:ascii="Times New Roman" w:hAnsi="Times New Roman" w:eastAsia="宋体" w:cs="Times New Roman"/>
                      <w:color w:val="auto"/>
                      <w:szCs w:val="21"/>
                      <w:highlight w:val="none"/>
                      <w:lang w:val="en-US" w:eastAsia="zh-CN"/>
                    </w:rPr>
                    <w:t>00</w:t>
                  </w:r>
                  <w:r>
                    <w:rPr>
                      <w:color w:val="auto"/>
                      <w:sz w:val="21"/>
                      <w:szCs w:val="21"/>
                      <w:highlight w:val="none"/>
                    </w:rPr>
                    <w:t>m</w:t>
                  </w:r>
                  <w:r>
                    <w:rPr>
                      <w:color w:val="auto"/>
                      <w:sz w:val="21"/>
                      <w:szCs w:val="21"/>
                      <w:highlight w:val="none"/>
                      <w:vertAlign w:val="superscript"/>
                    </w:rPr>
                    <w:t>3</w:t>
                  </w:r>
                  <w:r>
                    <w:rPr>
                      <w:color w:val="auto"/>
                      <w:sz w:val="21"/>
                      <w:szCs w:val="21"/>
                      <w:highlight w:val="none"/>
                    </w:rPr>
                    <w:t>/h</w:t>
                  </w:r>
                </w:p>
              </w:tc>
              <w:tc>
                <w:tcPr>
                  <w:tcW w:w="1844" w:type="pct"/>
                  <w:noWrap w:val="0"/>
                  <w:vAlign w:val="center"/>
                </w:tcPr>
                <w:p w14:paraId="21925CFC">
                  <w:pPr>
                    <w:snapToGrid w:val="0"/>
                    <w:spacing w:line="240" w:lineRule="auto"/>
                    <w:ind w:firstLine="0" w:firstLineChars="0"/>
                    <w:jc w:val="center"/>
                    <w:rPr>
                      <w:color w:val="auto"/>
                      <w:sz w:val="21"/>
                      <w:szCs w:val="21"/>
                    </w:rPr>
                  </w:pPr>
                  <w:r>
                    <w:rPr>
                      <w:rFonts w:hint="eastAsia"/>
                      <w:bCs/>
                      <w:color w:val="auto"/>
                      <w:sz w:val="21"/>
                      <w:szCs w:val="21"/>
                      <w:lang w:val="en-US" w:eastAsia="zh-CN"/>
                    </w:rPr>
                    <w:t>20</w:t>
                  </w:r>
                  <w:r>
                    <w:rPr>
                      <w:bCs/>
                      <w:color w:val="auto"/>
                      <w:sz w:val="21"/>
                      <w:szCs w:val="21"/>
                    </w:rPr>
                    <w:t>m高排气筒</w:t>
                  </w:r>
                  <w:r>
                    <w:rPr>
                      <w:rFonts w:hint="eastAsia"/>
                      <w:bCs/>
                      <w:color w:val="auto"/>
                      <w:sz w:val="21"/>
                      <w:szCs w:val="21"/>
                      <w:lang w:val="en-US" w:eastAsia="zh-CN"/>
                    </w:rPr>
                    <w:t>DA001</w:t>
                  </w:r>
                  <w:r>
                    <w:rPr>
                      <w:bCs/>
                      <w:color w:val="auto"/>
                      <w:sz w:val="21"/>
                      <w:szCs w:val="21"/>
                    </w:rPr>
                    <w:t>排放</w:t>
                  </w:r>
                  <w:r>
                    <w:rPr>
                      <w:rFonts w:hint="eastAsia"/>
                      <w:color w:val="auto"/>
                      <w:sz w:val="21"/>
                      <w:szCs w:val="21"/>
                      <w:lang w:eastAsia="zh-CN"/>
                    </w:rPr>
                    <w:t>，</w:t>
                  </w:r>
                  <w:r>
                    <w:rPr>
                      <w:rFonts w:hint="eastAsia"/>
                      <w:color w:val="auto"/>
                      <w:sz w:val="21"/>
                      <w:szCs w:val="21"/>
                      <w:lang w:val="en-US" w:eastAsia="zh-CN"/>
                    </w:rPr>
                    <w:t>新建</w:t>
                  </w:r>
                </w:p>
              </w:tc>
            </w:tr>
            <w:tr w14:paraId="199176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0" w:type="pct"/>
                  <w:gridSpan w:val="2"/>
                  <w:vMerge w:val="continue"/>
                  <w:noWrap w:val="0"/>
                  <w:vAlign w:val="center"/>
                </w:tcPr>
                <w:p w14:paraId="55561B2E">
                  <w:pPr>
                    <w:spacing w:line="240" w:lineRule="auto"/>
                    <w:ind w:firstLine="0" w:firstLineChars="0"/>
                    <w:jc w:val="center"/>
                    <w:rPr>
                      <w:color w:val="auto"/>
                      <w:sz w:val="21"/>
                      <w:szCs w:val="21"/>
                    </w:rPr>
                  </w:pPr>
                </w:p>
              </w:tc>
              <w:tc>
                <w:tcPr>
                  <w:tcW w:w="302" w:type="pct"/>
                  <w:vMerge w:val="continue"/>
                  <w:noWrap w:val="0"/>
                  <w:vAlign w:val="center"/>
                </w:tcPr>
                <w:p w14:paraId="034B4106">
                  <w:pPr>
                    <w:spacing w:line="240" w:lineRule="auto"/>
                    <w:ind w:firstLine="0" w:firstLineChars="0"/>
                    <w:jc w:val="center"/>
                    <w:rPr>
                      <w:color w:val="auto"/>
                      <w:sz w:val="21"/>
                      <w:szCs w:val="21"/>
                    </w:rPr>
                  </w:pPr>
                </w:p>
              </w:tc>
              <w:tc>
                <w:tcPr>
                  <w:tcW w:w="959" w:type="pct"/>
                  <w:noWrap w:val="0"/>
                  <w:vAlign w:val="center"/>
                </w:tcPr>
                <w:p w14:paraId="7B0180C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color w:val="auto"/>
                      <w:sz w:val="21"/>
                      <w:szCs w:val="21"/>
                      <w:highlight w:val="none"/>
                    </w:rPr>
                  </w:pPr>
                  <w:r>
                    <w:rPr>
                      <w:rFonts w:hint="eastAsia" w:cs="Times New Roman"/>
                      <w:color w:val="auto"/>
                      <w:szCs w:val="21"/>
                      <w:highlight w:val="none"/>
                      <w:lang w:val="en-US" w:eastAsia="zh-CN"/>
                    </w:rPr>
                    <w:t>破碎粉尘</w:t>
                  </w:r>
                </w:p>
              </w:tc>
              <w:tc>
                <w:tcPr>
                  <w:tcW w:w="1631" w:type="pct"/>
                  <w:gridSpan w:val="3"/>
                  <w:noWrap w:val="0"/>
                  <w:vAlign w:val="center"/>
                </w:tcPr>
                <w:p w14:paraId="28869F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1844" w:type="pct"/>
                  <w:noWrap w:val="0"/>
                  <w:vAlign w:val="center"/>
                </w:tcPr>
                <w:p w14:paraId="713BDF92">
                  <w:pPr>
                    <w:snapToGrid w:val="0"/>
                    <w:spacing w:line="240" w:lineRule="auto"/>
                    <w:ind w:firstLine="0" w:firstLineChars="0"/>
                    <w:jc w:val="center"/>
                    <w:rPr>
                      <w:rFonts w:hint="default" w:eastAsia="宋体"/>
                      <w:color w:val="auto"/>
                      <w:sz w:val="21"/>
                      <w:szCs w:val="21"/>
                      <w:lang w:val="en-US" w:eastAsia="zh-CN"/>
                    </w:rPr>
                  </w:pPr>
                  <w:r>
                    <w:rPr>
                      <w:rFonts w:hint="eastAsia" w:cs="Times New Roman"/>
                      <w:bCs/>
                      <w:color w:val="auto"/>
                      <w:kern w:val="2"/>
                      <w:sz w:val="21"/>
                      <w:szCs w:val="21"/>
                      <w:lang w:val="en-US" w:eastAsia="zh-CN" w:bidi="ar-SA"/>
                    </w:rPr>
                    <w:t>经设备自带的布袋除尘器处理后无组织排放</w:t>
                  </w:r>
                </w:p>
              </w:tc>
            </w:tr>
            <w:tr w14:paraId="59CA4C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0" w:type="pct"/>
                  <w:gridSpan w:val="2"/>
                  <w:vMerge w:val="continue"/>
                  <w:noWrap w:val="0"/>
                  <w:vAlign w:val="center"/>
                </w:tcPr>
                <w:p w14:paraId="07002884">
                  <w:pPr>
                    <w:spacing w:line="240" w:lineRule="auto"/>
                    <w:ind w:firstLine="0" w:firstLineChars="0"/>
                    <w:jc w:val="center"/>
                    <w:rPr>
                      <w:color w:val="auto"/>
                      <w:sz w:val="21"/>
                      <w:szCs w:val="21"/>
                    </w:rPr>
                  </w:pPr>
                </w:p>
              </w:tc>
              <w:tc>
                <w:tcPr>
                  <w:tcW w:w="302" w:type="pct"/>
                  <w:vMerge w:val="continue"/>
                  <w:noWrap w:val="0"/>
                  <w:vAlign w:val="center"/>
                </w:tcPr>
                <w:p w14:paraId="59394129">
                  <w:pPr>
                    <w:spacing w:line="240" w:lineRule="auto"/>
                    <w:ind w:firstLine="0" w:firstLineChars="0"/>
                    <w:jc w:val="center"/>
                    <w:rPr>
                      <w:color w:val="auto"/>
                      <w:sz w:val="21"/>
                      <w:szCs w:val="21"/>
                    </w:rPr>
                  </w:pPr>
                </w:p>
              </w:tc>
              <w:tc>
                <w:tcPr>
                  <w:tcW w:w="959" w:type="pct"/>
                  <w:noWrap w:val="0"/>
                  <w:vAlign w:val="center"/>
                </w:tcPr>
                <w:p w14:paraId="083A886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Cs w:val="21"/>
                      <w:highlight w:val="none"/>
                      <w:lang w:val="en-US" w:eastAsia="zh-CN"/>
                    </w:rPr>
                  </w:pPr>
                  <w:r>
                    <w:rPr>
                      <w:rFonts w:hint="eastAsia" w:cs="Times New Roman"/>
                      <w:color w:val="auto"/>
                      <w:sz w:val="21"/>
                      <w:szCs w:val="21"/>
                      <w:highlight w:val="none"/>
                      <w:lang w:val="en-US" w:eastAsia="zh-CN"/>
                    </w:rPr>
                    <w:t>焊接废气</w:t>
                  </w:r>
                </w:p>
              </w:tc>
              <w:tc>
                <w:tcPr>
                  <w:tcW w:w="1631" w:type="pct"/>
                  <w:gridSpan w:val="3"/>
                  <w:noWrap w:val="0"/>
                  <w:vAlign w:val="center"/>
                </w:tcPr>
                <w:p w14:paraId="7C10F7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w:t>
                  </w:r>
                </w:p>
              </w:tc>
              <w:tc>
                <w:tcPr>
                  <w:tcW w:w="1844" w:type="pct"/>
                  <w:noWrap w:val="0"/>
                  <w:vAlign w:val="center"/>
                </w:tcPr>
                <w:p w14:paraId="6FC1DC3D">
                  <w:pPr>
                    <w:snapToGrid w:val="0"/>
                    <w:spacing w:line="240" w:lineRule="auto"/>
                    <w:ind w:firstLine="0" w:firstLineChars="0"/>
                    <w:jc w:val="center"/>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无组织排放</w:t>
                  </w:r>
                </w:p>
              </w:tc>
            </w:tr>
            <w:tr w14:paraId="24685C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0" w:type="pct"/>
                  <w:gridSpan w:val="2"/>
                  <w:vMerge w:val="continue"/>
                  <w:noWrap w:val="0"/>
                  <w:vAlign w:val="center"/>
                </w:tcPr>
                <w:p w14:paraId="290E3822">
                  <w:pPr>
                    <w:spacing w:line="240" w:lineRule="auto"/>
                    <w:ind w:firstLine="0" w:firstLineChars="0"/>
                    <w:jc w:val="center"/>
                    <w:rPr>
                      <w:color w:val="auto"/>
                      <w:sz w:val="21"/>
                      <w:szCs w:val="21"/>
                    </w:rPr>
                  </w:pPr>
                </w:p>
              </w:tc>
              <w:tc>
                <w:tcPr>
                  <w:tcW w:w="302" w:type="pct"/>
                  <w:vMerge w:val="continue"/>
                  <w:noWrap w:val="0"/>
                  <w:vAlign w:val="center"/>
                </w:tcPr>
                <w:p w14:paraId="7EE0FCD0">
                  <w:pPr>
                    <w:spacing w:line="240" w:lineRule="auto"/>
                    <w:ind w:firstLine="0" w:firstLineChars="0"/>
                    <w:jc w:val="center"/>
                    <w:rPr>
                      <w:color w:val="auto"/>
                      <w:sz w:val="21"/>
                      <w:szCs w:val="21"/>
                    </w:rPr>
                  </w:pPr>
                </w:p>
              </w:tc>
              <w:tc>
                <w:tcPr>
                  <w:tcW w:w="959" w:type="pct"/>
                  <w:shd w:val="clear" w:color="auto" w:fill="auto"/>
                  <w:noWrap w:val="0"/>
                  <w:vAlign w:val="center"/>
                </w:tcPr>
                <w:p w14:paraId="2FFBDAB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yellow"/>
                      <w:lang w:val="en-US" w:eastAsia="zh-CN" w:bidi="ar-SA"/>
                    </w:rPr>
                  </w:pPr>
                  <w:r>
                    <w:rPr>
                      <w:rFonts w:hint="eastAsia" w:cs="Times New Roman"/>
                      <w:color w:val="auto"/>
                      <w:sz w:val="21"/>
                      <w:szCs w:val="21"/>
                      <w:highlight w:val="none"/>
                      <w:lang w:val="en-US" w:eastAsia="zh-CN"/>
                    </w:rPr>
                    <w:t>打磨粉尘</w:t>
                  </w:r>
                </w:p>
              </w:tc>
              <w:tc>
                <w:tcPr>
                  <w:tcW w:w="1631" w:type="pct"/>
                  <w:gridSpan w:val="3"/>
                  <w:shd w:val="clear" w:color="auto" w:fill="auto"/>
                  <w:noWrap w:val="0"/>
                  <w:vAlign w:val="center"/>
                </w:tcPr>
                <w:p w14:paraId="35EC9D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yellow"/>
                      <w:lang w:val="en-US" w:eastAsia="zh-CN" w:bidi="ar-SA"/>
                    </w:rPr>
                  </w:pPr>
                  <w:r>
                    <w:rPr>
                      <w:rFonts w:hint="eastAsia" w:cs="Times New Roman"/>
                      <w:color w:val="auto"/>
                      <w:szCs w:val="21"/>
                      <w:highlight w:val="none"/>
                      <w:lang w:val="en-US" w:eastAsia="zh-CN"/>
                    </w:rPr>
                    <w:t>/</w:t>
                  </w:r>
                </w:p>
              </w:tc>
              <w:tc>
                <w:tcPr>
                  <w:tcW w:w="1844" w:type="pct"/>
                  <w:shd w:val="clear" w:color="auto" w:fill="auto"/>
                  <w:noWrap w:val="0"/>
                  <w:vAlign w:val="center"/>
                </w:tcPr>
                <w:p w14:paraId="5413FD97">
                  <w:pPr>
                    <w:snapToGrid w:val="0"/>
                    <w:spacing w:line="240" w:lineRule="auto"/>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经移动式除尘器处理后无组织排放</w:t>
                  </w:r>
                </w:p>
              </w:tc>
            </w:tr>
            <w:tr w14:paraId="58D268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0" w:type="pct"/>
                  <w:gridSpan w:val="2"/>
                  <w:vMerge w:val="continue"/>
                  <w:noWrap w:val="0"/>
                  <w:vAlign w:val="center"/>
                </w:tcPr>
                <w:p w14:paraId="554C6641">
                  <w:pPr>
                    <w:spacing w:line="240" w:lineRule="auto"/>
                    <w:ind w:firstLine="0" w:firstLineChars="0"/>
                    <w:jc w:val="center"/>
                    <w:rPr>
                      <w:color w:val="auto"/>
                      <w:sz w:val="21"/>
                      <w:szCs w:val="21"/>
                    </w:rPr>
                  </w:pPr>
                </w:p>
              </w:tc>
              <w:tc>
                <w:tcPr>
                  <w:tcW w:w="302" w:type="pct"/>
                  <w:vMerge w:val="continue"/>
                  <w:noWrap w:val="0"/>
                  <w:vAlign w:val="center"/>
                </w:tcPr>
                <w:p w14:paraId="2A9C43AF">
                  <w:pPr>
                    <w:spacing w:line="240" w:lineRule="auto"/>
                    <w:ind w:firstLine="0" w:firstLineChars="0"/>
                    <w:jc w:val="center"/>
                    <w:rPr>
                      <w:color w:val="auto"/>
                      <w:sz w:val="21"/>
                      <w:szCs w:val="21"/>
                    </w:rPr>
                  </w:pPr>
                </w:p>
              </w:tc>
              <w:tc>
                <w:tcPr>
                  <w:tcW w:w="959" w:type="pct"/>
                  <w:shd w:val="clear" w:color="auto" w:fill="auto"/>
                  <w:noWrap w:val="0"/>
                  <w:vAlign w:val="center"/>
                </w:tcPr>
                <w:p w14:paraId="74A1D37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电火花废气</w:t>
                  </w:r>
                </w:p>
              </w:tc>
              <w:tc>
                <w:tcPr>
                  <w:tcW w:w="1631" w:type="pct"/>
                  <w:gridSpan w:val="3"/>
                  <w:shd w:val="clear" w:color="auto" w:fill="auto"/>
                  <w:noWrap w:val="0"/>
                  <w:vAlign w:val="center"/>
                </w:tcPr>
                <w:p w14:paraId="1122B3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w:t>
                  </w:r>
                </w:p>
              </w:tc>
              <w:tc>
                <w:tcPr>
                  <w:tcW w:w="1844" w:type="pct"/>
                  <w:shd w:val="clear" w:color="auto" w:fill="auto"/>
                  <w:noWrap w:val="0"/>
                  <w:vAlign w:val="center"/>
                </w:tcPr>
                <w:p w14:paraId="7FFBBFA9">
                  <w:pPr>
                    <w:snapToGrid w:val="0"/>
                    <w:spacing w:line="240" w:lineRule="auto"/>
                    <w:ind w:firstLine="0" w:firstLineChars="0"/>
                    <w:jc w:val="center"/>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无组织排放</w:t>
                  </w:r>
                </w:p>
              </w:tc>
            </w:tr>
            <w:tr w14:paraId="5B79EC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0" w:type="pct"/>
                  <w:gridSpan w:val="2"/>
                  <w:vMerge w:val="continue"/>
                  <w:noWrap w:val="0"/>
                  <w:vAlign w:val="center"/>
                </w:tcPr>
                <w:p w14:paraId="04E10C29">
                  <w:pPr>
                    <w:spacing w:line="240" w:lineRule="auto"/>
                    <w:ind w:firstLine="0" w:firstLineChars="0"/>
                    <w:jc w:val="center"/>
                    <w:rPr>
                      <w:color w:val="auto"/>
                      <w:sz w:val="21"/>
                      <w:szCs w:val="21"/>
                    </w:rPr>
                  </w:pPr>
                </w:p>
              </w:tc>
              <w:tc>
                <w:tcPr>
                  <w:tcW w:w="302" w:type="pct"/>
                  <w:vMerge w:val="continue"/>
                  <w:noWrap w:val="0"/>
                  <w:vAlign w:val="center"/>
                </w:tcPr>
                <w:p w14:paraId="66EA8B9C">
                  <w:pPr>
                    <w:spacing w:line="240" w:lineRule="auto"/>
                    <w:ind w:firstLine="0" w:firstLineChars="0"/>
                    <w:jc w:val="center"/>
                    <w:rPr>
                      <w:color w:val="auto"/>
                      <w:sz w:val="21"/>
                      <w:szCs w:val="21"/>
                    </w:rPr>
                  </w:pPr>
                </w:p>
              </w:tc>
              <w:tc>
                <w:tcPr>
                  <w:tcW w:w="959" w:type="pct"/>
                  <w:noWrap w:val="0"/>
                  <w:vAlign w:val="center"/>
                </w:tcPr>
                <w:p w14:paraId="46C9BE9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Cs w:val="21"/>
                      <w:highlight w:val="yellow"/>
                      <w:lang w:val="en-US" w:eastAsia="zh-CN"/>
                    </w:rPr>
                  </w:pPr>
                  <w:r>
                    <w:rPr>
                      <w:rFonts w:hint="eastAsia" w:cs="Times New Roman"/>
                      <w:color w:val="auto"/>
                      <w:szCs w:val="21"/>
                      <w:highlight w:val="none"/>
                      <w:lang w:val="en-US" w:eastAsia="zh-CN"/>
                    </w:rPr>
                    <w:t>危废仓库废气</w:t>
                  </w:r>
                </w:p>
              </w:tc>
              <w:tc>
                <w:tcPr>
                  <w:tcW w:w="1631" w:type="pct"/>
                  <w:gridSpan w:val="3"/>
                  <w:noWrap w:val="0"/>
                  <w:vAlign w:val="center"/>
                </w:tcPr>
                <w:p w14:paraId="487C3F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Cs w:val="21"/>
                      <w:highlight w:val="yellow"/>
                      <w:lang w:val="en-US" w:eastAsia="zh-CN"/>
                    </w:rPr>
                  </w:pPr>
                  <w:r>
                    <w:rPr>
                      <w:rFonts w:hint="eastAsia" w:cs="Times New Roman"/>
                      <w:color w:val="auto"/>
                      <w:szCs w:val="21"/>
                      <w:highlight w:val="none"/>
                      <w:lang w:val="en-US" w:eastAsia="zh-CN"/>
                    </w:rPr>
                    <w:t>/</w:t>
                  </w:r>
                </w:p>
              </w:tc>
              <w:tc>
                <w:tcPr>
                  <w:tcW w:w="1844" w:type="pct"/>
                  <w:noWrap w:val="0"/>
                  <w:vAlign w:val="center"/>
                </w:tcPr>
                <w:p w14:paraId="4EDCC316">
                  <w:pPr>
                    <w:snapToGrid w:val="0"/>
                    <w:spacing w:line="240" w:lineRule="auto"/>
                    <w:ind w:firstLine="0" w:firstLineChars="0"/>
                    <w:jc w:val="center"/>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无组织排放</w:t>
                  </w:r>
                </w:p>
              </w:tc>
            </w:tr>
            <w:tr w14:paraId="49D67C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04" w:hRule="atLeast"/>
              </w:trPr>
              <w:tc>
                <w:tcPr>
                  <w:tcW w:w="260" w:type="pct"/>
                  <w:gridSpan w:val="2"/>
                  <w:vMerge w:val="continue"/>
                  <w:noWrap w:val="0"/>
                  <w:vAlign w:val="center"/>
                </w:tcPr>
                <w:p w14:paraId="41FBD619">
                  <w:pPr>
                    <w:spacing w:line="240" w:lineRule="auto"/>
                    <w:ind w:firstLine="0" w:firstLineChars="0"/>
                    <w:jc w:val="center"/>
                    <w:rPr>
                      <w:color w:val="auto"/>
                      <w:sz w:val="21"/>
                      <w:szCs w:val="21"/>
                    </w:rPr>
                  </w:pPr>
                </w:p>
              </w:tc>
              <w:tc>
                <w:tcPr>
                  <w:tcW w:w="302" w:type="pct"/>
                  <w:noWrap w:val="0"/>
                  <w:vAlign w:val="center"/>
                </w:tcPr>
                <w:p w14:paraId="7A51B844">
                  <w:pPr>
                    <w:spacing w:line="240" w:lineRule="auto"/>
                    <w:ind w:firstLine="0" w:firstLineChars="0"/>
                    <w:jc w:val="center"/>
                    <w:rPr>
                      <w:color w:val="auto"/>
                      <w:sz w:val="21"/>
                      <w:szCs w:val="21"/>
                      <w:lang w:val="zh-CN"/>
                    </w:rPr>
                  </w:pPr>
                  <w:r>
                    <w:rPr>
                      <w:color w:val="auto"/>
                      <w:sz w:val="21"/>
                      <w:szCs w:val="21"/>
                    </w:rPr>
                    <w:t>废水处理设施</w:t>
                  </w:r>
                </w:p>
              </w:tc>
              <w:tc>
                <w:tcPr>
                  <w:tcW w:w="959" w:type="pct"/>
                  <w:noWrap w:val="0"/>
                  <w:vAlign w:val="center"/>
                </w:tcPr>
                <w:p w14:paraId="0BD508C6">
                  <w:pPr>
                    <w:spacing w:line="240" w:lineRule="auto"/>
                    <w:ind w:firstLine="0" w:firstLineChars="0"/>
                    <w:jc w:val="center"/>
                    <w:rPr>
                      <w:color w:val="auto"/>
                      <w:sz w:val="21"/>
                      <w:szCs w:val="21"/>
                    </w:rPr>
                  </w:pPr>
                  <w:r>
                    <w:rPr>
                      <w:rFonts w:hint="eastAsia"/>
                      <w:color w:val="auto"/>
                      <w:sz w:val="21"/>
                      <w:szCs w:val="21"/>
                      <w:lang w:val="en-US" w:eastAsia="zh-CN"/>
                    </w:rPr>
                    <w:t>生活污水</w:t>
                  </w:r>
                </w:p>
              </w:tc>
              <w:tc>
                <w:tcPr>
                  <w:tcW w:w="1631" w:type="pct"/>
                  <w:gridSpan w:val="3"/>
                  <w:noWrap w:val="0"/>
                  <w:vAlign w:val="center"/>
                </w:tcPr>
                <w:p w14:paraId="4D6986C0">
                  <w:pPr>
                    <w:spacing w:line="240" w:lineRule="auto"/>
                    <w:ind w:firstLine="0" w:firstLineChars="0"/>
                    <w:jc w:val="center"/>
                    <w:rPr>
                      <w:rFonts w:hint="default" w:eastAsia="宋体"/>
                      <w:color w:val="auto"/>
                      <w:sz w:val="21"/>
                      <w:szCs w:val="21"/>
                      <w:lang w:val="en-US" w:eastAsia="zh-CN"/>
                    </w:rPr>
                  </w:pPr>
                  <w:r>
                    <w:rPr>
                      <w:rFonts w:hint="eastAsia" w:cs="Times New Roman"/>
                      <w:color w:val="auto"/>
                      <w:kern w:val="2"/>
                      <w:sz w:val="21"/>
                      <w:szCs w:val="21"/>
                      <w:highlight w:val="none"/>
                      <w:lang w:val="en-US" w:eastAsia="zh-CN" w:bidi="ar-SA"/>
                    </w:rPr>
                    <w:t>120</w:t>
                  </w:r>
                  <w:r>
                    <w:rPr>
                      <w:rFonts w:hint="eastAsia" w:ascii="Times New Roman" w:hAnsi="Times New Roman" w:eastAsia="宋体" w:cs="Times New Roman"/>
                      <w:color w:val="auto"/>
                      <w:kern w:val="2"/>
                      <w:sz w:val="21"/>
                      <w:szCs w:val="21"/>
                      <w:highlight w:val="none"/>
                      <w:lang w:val="en-US" w:eastAsia="zh-CN" w:bidi="ar-SA"/>
                    </w:rPr>
                    <w:t>0</w:t>
                  </w:r>
                  <w:r>
                    <w:rPr>
                      <w:rFonts w:hint="eastAsia" w:cs="Times New Roman"/>
                      <w:color w:val="auto"/>
                      <w:szCs w:val="21"/>
                      <w:highlight w:val="none"/>
                      <w:lang w:val="en-US" w:eastAsia="zh-CN"/>
                    </w:rPr>
                    <w:t>t</w:t>
                  </w:r>
                  <w:r>
                    <w:rPr>
                      <w:rFonts w:hint="default" w:ascii="Times New Roman" w:hAnsi="Times New Roman" w:eastAsia="宋体" w:cs="Times New Roman"/>
                      <w:color w:val="auto"/>
                      <w:szCs w:val="21"/>
                      <w:highlight w:val="none"/>
                    </w:rPr>
                    <w:t>/a</w:t>
                  </w:r>
                </w:p>
              </w:tc>
              <w:tc>
                <w:tcPr>
                  <w:tcW w:w="1844" w:type="pct"/>
                  <w:noWrap w:val="0"/>
                  <w:vAlign w:val="center"/>
                </w:tcPr>
                <w:p w14:paraId="2D87B927">
                  <w:pPr>
                    <w:spacing w:line="240" w:lineRule="auto"/>
                    <w:ind w:firstLine="0" w:firstLineChars="0"/>
                    <w:jc w:val="center"/>
                    <w:rPr>
                      <w:rFonts w:hint="eastAsia" w:eastAsia="宋体"/>
                      <w:color w:val="auto"/>
                      <w:sz w:val="21"/>
                      <w:szCs w:val="21"/>
                      <w:lang w:eastAsia="zh-CN"/>
                    </w:rPr>
                  </w:pPr>
                  <w:r>
                    <w:rPr>
                      <w:rFonts w:hint="eastAsia"/>
                      <w:color w:val="auto"/>
                      <w:sz w:val="21"/>
                      <w:szCs w:val="21"/>
                      <w:lang w:val="en-US" w:eastAsia="zh-CN"/>
                    </w:rPr>
                    <w:t>经化粪池处理后</w:t>
                  </w:r>
                  <w:r>
                    <w:rPr>
                      <w:color w:val="auto"/>
                      <w:sz w:val="21"/>
                      <w:szCs w:val="21"/>
                    </w:rPr>
                    <w:t>接管</w:t>
                  </w:r>
                  <w:r>
                    <w:rPr>
                      <w:rFonts w:hint="eastAsia"/>
                      <w:color w:val="auto"/>
                      <w:sz w:val="21"/>
                      <w:szCs w:val="21"/>
                      <w:lang w:val="en-US" w:eastAsia="zh-CN"/>
                    </w:rPr>
                    <w:t>至</w:t>
                  </w:r>
                  <w:r>
                    <w:rPr>
                      <w:rFonts w:hint="eastAsia"/>
                      <w:color w:val="auto"/>
                      <w:sz w:val="21"/>
                      <w:szCs w:val="21"/>
                      <w:lang w:eastAsia="zh-CN"/>
                    </w:rPr>
                    <w:t>金坛第二污水处理厂，</w:t>
                  </w:r>
                  <w:r>
                    <w:rPr>
                      <w:rFonts w:hint="eastAsia"/>
                      <w:color w:val="auto"/>
                      <w:sz w:val="21"/>
                      <w:szCs w:val="21"/>
                      <w:lang w:val="en-US" w:eastAsia="zh-CN"/>
                    </w:rPr>
                    <w:t>依托园区现有</w:t>
                  </w:r>
                </w:p>
              </w:tc>
            </w:tr>
            <w:tr w14:paraId="1DF2D5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0" w:type="pct"/>
                  <w:gridSpan w:val="2"/>
                  <w:vMerge w:val="continue"/>
                  <w:noWrap w:val="0"/>
                  <w:vAlign w:val="center"/>
                </w:tcPr>
                <w:p w14:paraId="5465181C">
                  <w:pPr>
                    <w:spacing w:line="240" w:lineRule="auto"/>
                    <w:ind w:firstLine="0" w:firstLineChars="0"/>
                    <w:jc w:val="center"/>
                    <w:rPr>
                      <w:color w:val="auto"/>
                      <w:sz w:val="21"/>
                      <w:szCs w:val="21"/>
                    </w:rPr>
                  </w:pPr>
                </w:p>
              </w:tc>
              <w:tc>
                <w:tcPr>
                  <w:tcW w:w="302" w:type="pct"/>
                  <w:vMerge w:val="restart"/>
                  <w:noWrap w:val="0"/>
                  <w:vAlign w:val="center"/>
                </w:tcPr>
                <w:p w14:paraId="3B509C0E">
                  <w:pPr>
                    <w:spacing w:line="240" w:lineRule="auto"/>
                    <w:ind w:firstLine="0" w:firstLineChars="0"/>
                    <w:jc w:val="center"/>
                    <w:rPr>
                      <w:color w:val="auto"/>
                      <w:sz w:val="21"/>
                      <w:szCs w:val="21"/>
                    </w:rPr>
                  </w:pPr>
                  <w:r>
                    <w:rPr>
                      <w:color w:val="auto"/>
                      <w:sz w:val="21"/>
                      <w:szCs w:val="21"/>
                    </w:rPr>
                    <w:t>固废处理</w:t>
                  </w:r>
                </w:p>
              </w:tc>
              <w:tc>
                <w:tcPr>
                  <w:tcW w:w="959" w:type="pct"/>
                  <w:noWrap w:val="0"/>
                  <w:vAlign w:val="center"/>
                </w:tcPr>
                <w:p w14:paraId="130AC562">
                  <w:pPr>
                    <w:spacing w:line="240" w:lineRule="auto"/>
                    <w:ind w:firstLine="0" w:firstLineChars="0"/>
                    <w:jc w:val="center"/>
                    <w:rPr>
                      <w:color w:val="auto"/>
                      <w:sz w:val="21"/>
                      <w:szCs w:val="21"/>
                    </w:rPr>
                  </w:pPr>
                  <w:r>
                    <w:rPr>
                      <w:color w:val="auto"/>
                      <w:sz w:val="21"/>
                      <w:szCs w:val="21"/>
                    </w:rPr>
                    <w:t>一般固废堆场</w:t>
                  </w:r>
                </w:p>
              </w:tc>
              <w:tc>
                <w:tcPr>
                  <w:tcW w:w="1631" w:type="pct"/>
                  <w:gridSpan w:val="3"/>
                  <w:noWrap w:val="0"/>
                  <w:vAlign w:val="center"/>
                </w:tcPr>
                <w:p w14:paraId="56EDE231">
                  <w:pPr>
                    <w:spacing w:line="240" w:lineRule="auto"/>
                    <w:ind w:firstLine="0" w:firstLineChars="0"/>
                    <w:jc w:val="center"/>
                    <w:rPr>
                      <w:color w:val="auto"/>
                      <w:sz w:val="21"/>
                      <w:szCs w:val="21"/>
                    </w:rPr>
                  </w:pPr>
                  <w:r>
                    <w:rPr>
                      <w:rFonts w:hint="eastAsia"/>
                      <w:color w:val="auto"/>
                      <w:sz w:val="21"/>
                      <w:szCs w:val="21"/>
                      <w:lang w:val="en-US" w:eastAsia="zh-CN"/>
                    </w:rPr>
                    <w:t>1</w:t>
                  </w:r>
                  <w:r>
                    <w:rPr>
                      <w:color w:val="auto"/>
                      <w:sz w:val="21"/>
                      <w:szCs w:val="21"/>
                    </w:rPr>
                    <w:t>0m</w:t>
                  </w:r>
                  <w:r>
                    <w:rPr>
                      <w:color w:val="auto"/>
                      <w:sz w:val="21"/>
                      <w:szCs w:val="21"/>
                      <w:vertAlign w:val="superscript"/>
                    </w:rPr>
                    <w:t>2</w:t>
                  </w:r>
                </w:p>
              </w:tc>
              <w:tc>
                <w:tcPr>
                  <w:tcW w:w="1844" w:type="pct"/>
                  <w:noWrap w:val="0"/>
                  <w:vAlign w:val="center"/>
                </w:tcPr>
                <w:p w14:paraId="234A9A73">
                  <w:pPr>
                    <w:spacing w:line="240" w:lineRule="auto"/>
                    <w:ind w:firstLine="0" w:firstLineChars="0"/>
                    <w:jc w:val="center"/>
                    <w:rPr>
                      <w:color w:val="auto"/>
                      <w:sz w:val="21"/>
                      <w:szCs w:val="21"/>
                    </w:rPr>
                  </w:pPr>
                  <w:r>
                    <w:rPr>
                      <w:color w:val="auto"/>
                      <w:sz w:val="21"/>
                      <w:szCs w:val="21"/>
                    </w:rPr>
                    <w:t>位于</w:t>
                  </w:r>
                  <w:r>
                    <w:rPr>
                      <w:rFonts w:hint="eastAsia"/>
                      <w:color w:val="auto"/>
                      <w:sz w:val="21"/>
                      <w:szCs w:val="21"/>
                      <w:lang w:val="en-US" w:eastAsia="zh-CN"/>
                    </w:rPr>
                    <w:t>车间</w:t>
                  </w:r>
                  <w:r>
                    <w:rPr>
                      <w:rFonts w:hint="eastAsia" w:cs="Times New Roman"/>
                      <w:color w:val="auto"/>
                      <w:szCs w:val="21"/>
                      <w:highlight w:val="none"/>
                      <w:lang w:val="en-US" w:eastAsia="zh-CN"/>
                    </w:rPr>
                    <w:t>1F</w:t>
                  </w:r>
                  <w:r>
                    <w:rPr>
                      <w:rFonts w:hint="eastAsia" w:ascii="Times New Roman" w:hAnsi="Times New Roman" w:eastAsia="宋体" w:cs="Times New Roman"/>
                      <w:color w:val="auto"/>
                      <w:szCs w:val="21"/>
                      <w:highlight w:val="none"/>
                      <w:lang w:val="en-US" w:eastAsia="zh-CN"/>
                    </w:rPr>
                    <w:t>东侧</w:t>
                  </w:r>
                  <w:r>
                    <w:rPr>
                      <w:rFonts w:hint="eastAsia"/>
                      <w:color w:val="auto"/>
                      <w:sz w:val="21"/>
                      <w:szCs w:val="21"/>
                      <w:lang w:eastAsia="zh-CN"/>
                    </w:rPr>
                    <w:t>，</w:t>
                  </w:r>
                  <w:r>
                    <w:rPr>
                      <w:rFonts w:hint="eastAsia"/>
                      <w:color w:val="auto"/>
                      <w:sz w:val="21"/>
                      <w:szCs w:val="21"/>
                      <w:lang w:val="en-US" w:eastAsia="zh-CN"/>
                    </w:rPr>
                    <w:t>新建</w:t>
                  </w:r>
                </w:p>
              </w:tc>
            </w:tr>
            <w:tr w14:paraId="118D59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74" w:hRule="atLeast"/>
              </w:trPr>
              <w:tc>
                <w:tcPr>
                  <w:tcW w:w="260" w:type="pct"/>
                  <w:gridSpan w:val="2"/>
                  <w:vMerge w:val="continue"/>
                  <w:noWrap w:val="0"/>
                  <w:vAlign w:val="center"/>
                </w:tcPr>
                <w:p w14:paraId="568EC35C">
                  <w:pPr>
                    <w:spacing w:line="240" w:lineRule="auto"/>
                    <w:ind w:firstLine="0" w:firstLineChars="0"/>
                    <w:jc w:val="center"/>
                    <w:rPr>
                      <w:color w:val="auto"/>
                      <w:sz w:val="21"/>
                      <w:szCs w:val="21"/>
                    </w:rPr>
                  </w:pPr>
                </w:p>
              </w:tc>
              <w:tc>
                <w:tcPr>
                  <w:tcW w:w="302" w:type="pct"/>
                  <w:vMerge w:val="continue"/>
                  <w:noWrap w:val="0"/>
                  <w:vAlign w:val="center"/>
                </w:tcPr>
                <w:p w14:paraId="195E9274">
                  <w:pPr>
                    <w:spacing w:line="240" w:lineRule="auto"/>
                    <w:ind w:firstLine="0" w:firstLineChars="0"/>
                    <w:jc w:val="center"/>
                    <w:rPr>
                      <w:color w:val="auto"/>
                      <w:sz w:val="21"/>
                      <w:szCs w:val="21"/>
                    </w:rPr>
                  </w:pPr>
                </w:p>
              </w:tc>
              <w:tc>
                <w:tcPr>
                  <w:tcW w:w="959" w:type="pct"/>
                  <w:noWrap w:val="0"/>
                  <w:vAlign w:val="center"/>
                </w:tcPr>
                <w:p w14:paraId="0EB91208">
                  <w:pPr>
                    <w:spacing w:line="240" w:lineRule="auto"/>
                    <w:ind w:firstLine="0" w:firstLineChars="0"/>
                    <w:jc w:val="center"/>
                    <w:rPr>
                      <w:color w:val="auto"/>
                      <w:sz w:val="21"/>
                      <w:szCs w:val="21"/>
                    </w:rPr>
                  </w:pPr>
                  <w:r>
                    <w:rPr>
                      <w:color w:val="auto"/>
                      <w:sz w:val="21"/>
                      <w:szCs w:val="21"/>
                    </w:rPr>
                    <w:t>危废暂存间</w:t>
                  </w:r>
                </w:p>
              </w:tc>
              <w:tc>
                <w:tcPr>
                  <w:tcW w:w="1631" w:type="pct"/>
                  <w:gridSpan w:val="3"/>
                  <w:noWrap w:val="0"/>
                  <w:vAlign w:val="center"/>
                </w:tcPr>
                <w:p w14:paraId="4288B625">
                  <w:pPr>
                    <w:spacing w:line="240" w:lineRule="auto"/>
                    <w:ind w:firstLine="0" w:firstLineChars="0"/>
                    <w:jc w:val="center"/>
                    <w:rPr>
                      <w:color w:val="auto"/>
                      <w:sz w:val="21"/>
                      <w:szCs w:val="21"/>
                    </w:rPr>
                  </w:pPr>
                  <w:r>
                    <w:rPr>
                      <w:rFonts w:hint="eastAsia"/>
                      <w:color w:val="auto"/>
                      <w:sz w:val="21"/>
                      <w:szCs w:val="21"/>
                      <w:lang w:val="en-US" w:eastAsia="zh-CN"/>
                    </w:rPr>
                    <w:t>12</w:t>
                  </w:r>
                  <w:r>
                    <w:rPr>
                      <w:color w:val="auto"/>
                      <w:sz w:val="21"/>
                      <w:szCs w:val="21"/>
                    </w:rPr>
                    <w:t>m</w:t>
                  </w:r>
                  <w:r>
                    <w:rPr>
                      <w:color w:val="auto"/>
                      <w:sz w:val="21"/>
                      <w:szCs w:val="21"/>
                      <w:vertAlign w:val="superscript"/>
                    </w:rPr>
                    <w:t>2</w:t>
                  </w:r>
                </w:p>
              </w:tc>
              <w:tc>
                <w:tcPr>
                  <w:tcW w:w="1844" w:type="pct"/>
                  <w:noWrap w:val="0"/>
                  <w:vAlign w:val="center"/>
                </w:tcPr>
                <w:p w14:paraId="1335EA4A">
                  <w:pPr>
                    <w:spacing w:line="240" w:lineRule="auto"/>
                    <w:ind w:firstLine="0" w:firstLineChars="0"/>
                    <w:jc w:val="center"/>
                    <w:rPr>
                      <w:color w:val="auto"/>
                      <w:sz w:val="21"/>
                      <w:szCs w:val="21"/>
                    </w:rPr>
                  </w:pPr>
                  <w:r>
                    <w:rPr>
                      <w:color w:val="auto"/>
                      <w:sz w:val="21"/>
                      <w:szCs w:val="21"/>
                    </w:rPr>
                    <w:t>位于</w:t>
                  </w:r>
                  <w:r>
                    <w:rPr>
                      <w:rFonts w:hint="eastAsia"/>
                      <w:color w:val="auto"/>
                      <w:sz w:val="21"/>
                      <w:szCs w:val="21"/>
                      <w:lang w:val="en-US" w:eastAsia="zh-CN"/>
                    </w:rPr>
                    <w:t>车间</w:t>
                  </w:r>
                  <w:r>
                    <w:rPr>
                      <w:rFonts w:hint="eastAsia" w:cs="Times New Roman"/>
                      <w:color w:val="auto"/>
                      <w:szCs w:val="21"/>
                      <w:highlight w:val="none"/>
                      <w:lang w:val="en-US" w:eastAsia="zh-CN"/>
                    </w:rPr>
                    <w:t>1F东</w:t>
                  </w:r>
                  <w:r>
                    <w:rPr>
                      <w:rFonts w:hint="eastAsia" w:ascii="Times New Roman" w:hAnsi="Times New Roman" w:eastAsia="宋体" w:cs="Times New Roman"/>
                      <w:color w:val="auto"/>
                      <w:szCs w:val="21"/>
                      <w:highlight w:val="none"/>
                      <w:lang w:val="en-US" w:eastAsia="zh-CN"/>
                    </w:rPr>
                    <w:t>侧</w:t>
                  </w:r>
                  <w:r>
                    <w:rPr>
                      <w:rFonts w:hint="eastAsia"/>
                      <w:color w:val="auto"/>
                      <w:sz w:val="21"/>
                      <w:szCs w:val="21"/>
                      <w:lang w:eastAsia="zh-CN"/>
                    </w:rPr>
                    <w:t>，</w:t>
                  </w:r>
                  <w:r>
                    <w:rPr>
                      <w:rFonts w:hint="eastAsia"/>
                      <w:color w:val="auto"/>
                      <w:sz w:val="21"/>
                      <w:szCs w:val="21"/>
                      <w:lang w:val="en-US" w:eastAsia="zh-CN"/>
                    </w:rPr>
                    <w:t>新建</w:t>
                  </w:r>
                </w:p>
              </w:tc>
            </w:tr>
            <w:tr w14:paraId="679648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59" w:type="pct"/>
                  <w:vMerge w:val="continue"/>
                  <w:noWrap w:val="0"/>
                  <w:vAlign w:val="center"/>
                </w:tcPr>
                <w:p w14:paraId="71435E0F">
                  <w:pPr>
                    <w:spacing w:line="240" w:lineRule="auto"/>
                    <w:ind w:firstLine="0" w:firstLineChars="0"/>
                    <w:jc w:val="center"/>
                    <w:rPr>
                      <w:rFonts w:hint="eastAsia" w:eastAsia="宋体"/>
                      <w:color w:val="auto"/>
                      <w:sz w:val="21"/>
                      <w:szCs w:val="21"/>
                      <w:lang w:eastAsia="zh-CN"/>
                    </w:rPr>
                  </w:pPr>
                </w:p>
              </w:tc>
              <w:tc>
                <w:tcPr>
                  <w:tcW w:w="1263" w:type="pct"/>
                  <w:gridSpan w:val="3"/>
                  <w:noWrap w:val="0"/>
                  <w:vAlign w:val="center"/>
                </w:tcPr>
                <w:p w14:paraId="636240F3">
                  <w:pPr>
                    <w:spacing w:line="240" w:lineRule="auto"/>
                    <w:ind w:firstLine="0" w:firstLineChars="0"/>
                    <w:jc w:val="center"/>
                    <w:rPr>
                      <w:color w:val="auto"/>
                      <w:sz w:val="21"/>
                      <w:szCs w:val="21"/>
                    </w:rPr>
                  </w:pPr>
                  <w:r>
                    <w:rPr>
                      <w:color w:val="auto"/>
                      <w:sz w:val="21"/>
                      <w:szCs w:val="21"/>
                    </w:rPr>
                    <w:t>噪声防治</w:t>
                  </w:r>
                </w:p>
              </w:tc>
              <w:tc>
                <w:tcPr>
                  <w:tcW w:w="1631" w:type="pct"/>
                  <w:gridSpan w:val="3"/>
                  <w:noWrap w:val="0"/>
                  <w:vAlign w:val="center"/>
                </w:tcPr>
                <w:p w14:paraId="0E8C31D3">
                  <w:pPr>
                    <w:spacing w:line="240" w:lineRule="auto"/>
                    <w:ind w:firstLine="0" w:firstLineChars="0"/>
                    <w:jc w:val="center"/>
                    <w:rPr>
                      <w:color w:val="auto"/>
                      <w:sz w:val="21"/>
                      <w:szCs w:val="21"/>
                    </w:rPr>
                  </w:pPr>
                  <w:r>
                    <w:rPr>
                      <w:color w:val="auto"/>
                      <w:sz w:val="21"/>
                      <w:szCs w:val="21"/>
                    </w:rPr>
                    <w:t>隔声、减震</w:t>
                  </w:r>
                </w:p>
              </w:tc>
              <w:tc>
                <w:tcPr>
                  <w:tcW w:w="1844" w:type="pct"/>
                  <w:noWrap w:val="0"/>
                  <w:vAlign w:val="center"/>
                </w:tcPr>
                <w:p w14:paraId="73909FB6">
                  <w:pPr>
                    <w:spacing w:line="240" w:lineRule="auto"/>
                    <w:ind w:firstLine="0" w:firstLineChars="0"/>
                    <w:jc w:val="center"/>
                    <w:rPr>
                      <w:color w:val="auto"/>
                      <w:sz w:val="21"/>
                      <w:szCs w:val="21"/>
                    </w:rPr>
                  </w:pPr>
                  <w:r>
                    <w:rPr>
                      <w:color w:val="auto"/>
                      <w:sz w:val="21"/>
                      <w:szCs w:val="21"/>
                    </w:rPr>
                    <w:t>达标排放</w:t>
                  </w:r>
                  <w:r>
                    <w:rPr>
                      <w:rFonts w:hint="eastAsia"/>
                      <w:color w:val="auto"/>
                      <w:sz w:val="21"/>
                      <w:szCs w:val="21"/>
                      <w:lang w:eastAsia="zh-CN"/>
                    </w:rPr>
                    <w:t>，</w:t>
                  </w:r>
                  <w:r>
                    <w:rPr>
                      <w:rFonts w:hint="eastAsia"/>
                      <w:color w:val="auto"/>
                      <w:sz w:val="21"/>
                      <w:szCs w:val="21"/>
                      <w:lang w:val="en-US" w:eastAsia="zh-CN"/>
                    </w:rPr>
                    <w:t>新建</w:t>
                  </w:r>
                </w:p>
              </w:tc>
            </w:tr>
            <w:tr w14:paraId="326E0D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59" w:type="pct"/>
                  <w:vMerge w:val="continue"/>
                  <w:noWrap w:val="0"/>
                  <w:vAlign w:val="center"/>
                </w:tcPr>
                <w:p w14:paraId="14BF7A25">
                  <w:pPr>
                    <w:spacing w:line="240" w:lineRule="auto"/>
                    <w:ind w:firstLine="0" w:firstLineChars="0"/>
                    <w:jc w:val="center"/>
                    <w:rPr>
                      <w:color w:val="auto"/>
                      <w:sz w:val="21"/>
                      <w:szCs w:val="21"/>
                    </w:rPr>
                  </w:pPr>
                </w:p>
              </w:tc>
              <w:tc>
                <w:tcPr>
                  <w:tcW w:w="1263" w:type="pct"/>
                  <w:gridSpan w:val="3"/>
                  <w:noWrap w:val="0"/>
                  <w:vAlign w:val="center"/>
                </w:tcPr>
                <w:p w14:paraId="68DE222E">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应急</w:t>
                  </w:r>
                </w:p>
              </w:tc>
              <w:tc>
                <w:tcPr>
                  <w:tcW w:w="1631" w:type="pct"/>
                  <w:gridSpan w:val="3"/>
                  <w:noWrap w:val="0"/>
                  <w:vAlign w:val="center"/>
                </w:tcPr>
                <w:p w14:paraId="124B412B">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事故应急池210m</w:t>
                  </w:r>
                  <w:r>
                    <w:rPr>
                      <w:rFonts w:hint="eastAsia"/>
                      <w:color w:val="auto"/>
                      <w:sz w:val="21"/>
                      <w:szCs w:val="21"/>
                      <w:vertAlign w:val="superscript"/>
                      <w:lang w:val="en-US" w:eastAsia="zh-CN"/>
                    </w:rPr>
                    <w:t>3</w:t>
                  </w:r>
                </w:p>
              </w:tc>
              <w:tc>
                <w:tcPr>
                  <w:tcW w:w="1844" w:type="pct"/>
                  <w:noWrap w:val="0"/>
                  <w:vAlign w:val="center"/>
                </w:tcPr>
                <w:p w14:paraId="71243133">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依托园区现有</w:t>
                  </w:r>
                </w:p>
              </w:tc>
            </w:tr>
            <w:bookmarkEnd w:id="1"/>
          </w:tbl>
          <w:p w14:paraId="33C8C15B">
            <w:pPr>
              <w:ind w:firstLine="480" w:firstLineChars="200"/>
              <w:rPr>
                <w:b/>
                <w:bCs/>
                <w:color w:val="auto"/>
                <w:sz w:val="24"/>
                <w:szCs w:val="24"/>
              </w:rPr>
            </w:pPr>
            <w:r>
              <w:rPr>
                <w:rFonts w:hint="eastAsia"/>
                <w:b/>
                <w:bCs/>
                <w:color w:val="auto"/>
                <w:sz w:val="24"/>
                <w:szCs w:val="24"/>
                <w:lang w:val="en-US" w:eastAsia="zh-CN"/>
              </w:rPr>
              <w:t>6</w:t>
            </w:r>
            <w:r>
              <w:rPr>
                <w:b/>
                <w:bCs/>
                <w:color w:val="auto"/>
                <w:sz w:val="24"/>
                <w:szCs w:val="24"/>
              </w:rPr>
              <w:t>、人员及班制</w:t>
            </w:r>
          </w:p>
          <w:p w14:paraId="0AC508B1">
            <w:pPr>
              <w:ind w:firstLine="420"/>
              <w:rPr>
                <w:color w:val="auto"/>
                <w:sz w:val="24"/>
                <w:szCs w:val="24"/>
              </w:rPr>
            </w:pPr>
            <w:r>
              <w:rPr>
                <w:color w:val="auto"/>
                <w:sz w:val="24"/>
                <w:szCs w:val="24"/>
              </w:rPr>
              <w:t>本项目配有职工</w:t>
            </w:r>
            <w:r>
              <w:rPr>
                <w:rFonts w:hint="eastAsia"/>
                <w:color w:val="auto"/>
                <w:sz w:val="24"/>
                <w:szCs w:val="24"/>
                <w:lang w:val="en-US" w:eastAsia="zh-CN"/>
              </w:rPr>
              <w:t>50</w:t>
            </w:r>
            <w:r>
              <w:rPr>
                <w:color w:val="auto"/>
                <w:sz w:val="24"/>
                <w:szCs w:val="24"/>
              </w:rPr>
              <w:t>人，工作制度为</w:t>
            </w:r>
            <w:r>
              <w:rPr>
                <w:rFonts w:hint="eastAsia"/>
                <w:color w:val="auto"/>
                <w:sz w:val="24"/>
                <w:szCs w:val="24"/>
                <w:lang w:val="en-US" w:eastAsia="zh-CN"/>
              </w:rPr>
              <w:t>1</w:t>
            </w:r>
            <w:r>
              <w:rPr>
                <w:color w:val="auto"/>
                <w:sz w:val="24"/>
                <w:szCs w:val="24"/>
              </w:rPr>
              <w:t>班制，每班工作</w:t>
            </w:r>
            <w:r>
              <w:rPr>
                <w:rFonts w:hint="eastAsia"/>
                <w:color w:val="auto"/>
                <w:sz w:val="24"/>
                <w:szCs w:val="24"/>
                <w:lang w:val="en-US" w:eastAsia="zh-CN"/>
              </w:rPr>
              <w:t>8</w:t>
            </w:r>
            <w:r>
              <w:rPr>
                <w:color w:val="auto"/>
                <w:sz w:val="24"/>
                <w:szCs w:val="24"/>
              </w:rPr>
              <w:t>h，年工作天数为</w:t>
            </w:r>
            <w:r>
              <w:rPr>
                <w:rFonts w:hint="eastAsia"/>
                <w:color w:val="auto"/>
                <w:sz w:val="24"/>
                <w:szCs w:val="24"/>
                <w:lang w:val="en-US" w:eastAsia="zh-CN"/>
              </w:rPr>
              <w:t>30</w:t>
            </w:r>
            <w:r>
              <w:rPr>
                <w:color w:val="auto"/>
                <w:sz w:val="24"/>
                <w:szCs w:val="24"/>
              </w:rPr>
              <w:t>0天，年工作时间为</w:t>
            </w:r>
            <w:r>
              <w:rPr>
                <w:rFonts w:hint="eastAsia"/>
                <w:color w:val="auto"/>
                <w:sz w:val="24"/>
                <w:szCs w:val="24"/>
                <w:lang w:val="en-US" w:eastAsia="zh-CN"/>
              </w:rPr>
              <w:t>24</w:t>
            </w:r>
            <w:r>
              <w:rPr>
                <w:color w:val="auto"/>
                <w:sz w:val="24"/>
                <w:szCs w:val="24"/>
              </w:rPr>
              <w:t>00h</w:t>
            </w:r>
            <w:r>
              <w:rPr>
                <w:rFonts w:hint="eastAsia"/>
                <w:color w:val="auto"/>
                <w:sz w:val="24"/>
                <w:szCs w:val="24"/>
                <w:lang w:eastAsia="zh-CN"/>
              </w:rPr>
              <w:t>，</w:t>
            </w:r>
            <w:r>
              <w:rPr>
                <w:rFonts w:hint="eastAsia"/>
                <w:color w:val="auto"/>
                <w:sz w:val="24"/>
                <w:szCs w:val="24"/>
                <w:lang w:val="en-US" w:eastAsia="zh-CN"/>
              </w:rPr>
              <w:t>涉及产污工段的年工作时间均为2400h</w:t>
            </w:r>
            <w:r>
              <w:rPr>
                <w:color w:val="auto"/>
                <w:sz w:val="24"/>
                <w:szCs w:val="24"/>
              </w:rPr>
              <w:t>。</w:t>
            </w:r>
          </w:p>
          <w:p w14:paraId="198F21CA">
            <w:pPr>
              <w:ind w:firstLine="0" w:firstLineChars="0"/>
              <w:rPr>
                <w:b/>
                <w:bCs/>
                <w:color w:val="auto"/>
                <w:sz w:val="24"/>
                <w:szCs w:val="24"/>
              </w:rPr>
            </w:pPr>
            <w:r>
              <w:rPr>
                <w:rFonts w:hint="eastAsia"/>
                <w:b/>
                <w:bCs/>
                <w:color w:val="auto"/>
                <w:sz w:val="24"/>
                <w:szCs w:val="24"/>
                <w:lang w:val="en-US" w:eastAsia="zh-CN"/>
              </w:rPr>
              <w:t>7</w:t>
            </w:r>
            <w:r>
              <w:rPr>
                <w:b/>
                <w:bCs/>
                <w:color w:val="auto"/>
                <w:sz w:val="24"/>
                <w:szCs w:val="24"/>
              </w:rPr>
              <w:t>、物料及水平衡</w:t>
            </w:r>
          </w:p>
          <w:p w14:paraId="100A8D37">
            <w:pPr>
              <w:ind w:firstLine="0" w:firstLineChars="0"/>
              <w:rPr>
                <w:b/>
                <w:bCs/>
                <w:color w:val="auto"/>
                <w:sz w:val="24"/>
                <w:szCs w:val="24"/>
              </w:rPr>
            </w:pPr>
            <w:r>
              <w:rPr>
                <w:b/>
                <w:bCs/>
                <w:color w:val="auto"/>
                <w:sz w:val="24"/>
                <w:szCs w:val="24"/>
              </w:rPr>
              <w:t>（1）水平衡</w:t>
            </w:r>
          </w:p>
          <w:p w14:paraId="12E61086">
            <w:pPr>
              <w:keepNext w:val="0"/>
              <w:keepLines w:val="0"/>
              <w:pageBreakBefore w:val="0"/>
              <w:widowControl w:val="0"/>
              <w:kinsoku/>
              <w:wordWrap/>
              <w:overflowPunct/>
              <w:topLinePunct w:val="0"/>
              <w:autoSpaceDE/>
              <w:autoSpaceDN/>
              <w:bidi w:val="0"/>
              <w:adjustRightInd/>
              <w:snapToGrid/>
              <w:ind w:firstLine="420"/>
              <w:textAlignment w:val="auto"/>
              <w:rPr>
                <w:color w:val="auto"/>
                <w:sz w:val="24"/>
                <w:szCs w:val="24"/>
              </w:rPr>
            </w:pPr>
            <w:r>
              <w:rPr>
                <w:color w:val="auto"/>
                <w:sz w:val="24"/>
                <w:szCs w:val="24"/>
              </w:rPr>
              <w:t>本项目用水</w:t>
            </w:r>
            <w:r>
              <w:rPr>
                <w:rFonts w:hint="eastAsia"/>
                <w:color w:val="auto"/>
                <w:sz w:val="24"/>
                <w:szCs w:val="24"/>
              </w:rPr>
              <w:t>环节</w:t>
            </w:r>
            <w:r>
              <w:rPr>
                <w:rFonts w:hint="eastAsia"/>
                <w:color w:val="auto"/>
                <w:sz w:val="24"/>
                <w:szCs w:val="24"/>
                <w:lang w:val="en-US" w:eastAsia="zh-CN"/>
              </w:rPr>
              <w:t>包括</w:t>
            </w:r>
            <w:r>
              <w:rPr>
                <w:rFonts w:hint="eastAsia"/>
                <w:color w:val="auto"/>
                <w:sz w:val="24"/>
                <w:szCs w:val="24"/>
              </w:rPr>
              <w:t>办公生活、</w:t>
            </w:r>
            <w:r>
              <w:rPr>
                <w:rFonts w:hint="eastAsia"/>
                <w:color w:val="auto"/>
                <w:sz w:val="24"/>
                <w:szCs w:val="24"/>
                <w:lang w:val="en-US" w:eastAsia="zh-CN"/>
              </w:rPr>
              <w:t>清洗、制纯水、冷却、抛光、切削液调配</w:t>
            </w:r>
            <w:r>
              <w:rPr>
                <w:color w:val="auto"/>
                <w:sz w:val="24"/>
                <w:szCs w:val="24"/>
              </w:rPr>
              <w:t>。</w:t>
            </w:r>
          </w:p>
          <w:p w14:paraId="4324F5B3">
            <w:pPr>
              <w:keepNext w:val="0"/>
              <w:keepLines w:val="0"/>
              <w:pageBreakBefore w:val="0"/>
              <w:widowControl w:val="0"/>
              <w:kinsoku/>
              <w:wordWrap/>
              <w:overflowPunct/>
              <w:topLinePunct w:val="0"/>
              <w:autoSpaceDE/>
              <w:autoSpaceDN/>
              <w:bidi w:val="0"/>
              <w:adjustRightInd/>
              <w:snapToGrid/>
              <w:ind w:firstLine="420"/>
              <w:textAlignment w:val="auto"/>
              <w:rPr>
                <w:rFonts w:hint="default" w:eastAsia="宋体"/>
                <w:color w:val="auto"/>
                <w:sz w:val="24"/>
                <w:szCs w:val="24"/>
                <w:lang w:val="en-US" w:eastAsia="zh-CN"/>
              </w:rPr>
            </w:pPr>
            <w:r>
              <w:rPr>
                <w:rFonts w:hint="eastAsia"/>
                <w:color w:val="auto"/>
                <w:sz w:val="24"/>
                <w:szCs w:val="24"/>
                <w:lang w:val="en-US" w:eastAsia="zh-CN"/>
              </w:rPr>
              <w:t>①生活用水及排水</w:t>
            </w:r>
          </w:p>
          <w:p w14:paraId="5514E6E8">
            <w:pPr>
              <w:keepNext w:val="0"/>
              <w:keepLines w:val="0"/>
              <w:pageBreakBefore w:val="0"/>
              <w:widowControl w:val="0"/>
              <w:kinsoku/>
              <w:wordWrap/>
              <w:overflowPunct/>
              <w:topLinePunct w:val="0"/>
              <w:autoSpaceDE/>
              <w:autoSpaceDN/>
              <w:bidi w:val="0"/>
              <w:adjustRightInd/>
              <w:snapToGrid/>
              <w:ind w:firstLine="420"/>
              <w:textAlignment w:val="auto"/>
              <w:rPr>
                <w:rFonts w:hint="default" w:eastAsia="宋体"/>
                <w:color w:val="auto"/>
                <w:sz w:val="24"/>
                <w:szCs w:val="24"/>
                <w:lang w:val="en-US" w:eastAsia="zh-CN"/>
              </w:rPr>
            </w:pPr>
            <w:r>
              <w:rPr>
                <w:color w:val="auto"/>
                <w:sz w:val="24"/>
                <w:szCs w:val="24"/>
              </w:rPr>
              <w:t>本项目劳动定员</w:t>
            </w:r>
            <w:r>
              <w:rPr>
                <w:rFonts w:hint="eastAsia"/>
                <w:color w:val="auto"/>
                <w:sz w:val="24"/>
                <w:szCs w:val="24"/>
                <w:lang w:val="en-US" w:eastAsia="zh-CN"/>
              </w:rPr>
              <w:t>50</w:t>
            </w:r>
            <w:r>
              <w:rPr>
                <w:color w:val="auto"/>
                <w:sz w:val="24"/>
                <w:szCs w:val="24"/>
              </w:rPr>
              <w:t>人，年工作</w:t>
            </w:r>
            <w:r>
              <w:rPr>
                <w:rFonts w:hint="eastAsia"/>
                <w:color w:val="auto"/>
                <w:sz w:val="24"/>
                <w:szCs w:val="24"/>
                <w:lang w:val="en-US" w:eastAsia="zh-CN"/>
              </w:rPr>
              <w:t>30</w:t>
            </w:r>
            <w:r>
              <w:rPr>
                <w:color w:val="auto"/>
                <w:sz w:val="24"/>
                <w:szCs w:val="24"/>
              </w:rPr>
              <w:t>0天，根据《建筑给水排水设计标准》（GB50015-2019），生活用水定额按1</w:t>
            </w:r>
            <w:r>
              <w:rPr>
                <w:rFonts w:hint="eastAsia"/>
                <w:color w:val="auto"/>
                <w:sz w:val="24"/>
                <w:szCs w:val="24"/>
                <w:lang w:val="en-US" w:eastAsia="zh-CN"/>
              </w:rPr>
              <w:t>0</w:t>
            </w:r>
            <w:r>
              <w:rPr>
                <w:color w:val="auto"/>
                <w:sz w:val="24"/>
                <w:szCs w:val="24"/>
              </w:rPr>
              <w:t>0L/（人·日），日常生活用水量为</w:t>
            </w:r>
            <w:r>
              <w:rPr>
                <w:rFonts w:hint="eastAsia"/>
                <w:color w:val="auto"/>
                <w:sz w:val="24"/>
                <w:szCs w:val="24"/>
                <w:lang w:val="en-US" w:eastAsia="zh-CN"/>
              </w:rPr>
              <w:t>1500</w:t>
            </w:r>
            <w:r>
              <w:rPr>
                <w:color w:val="auto"/>
                <w:sz w:val="24"/>
                <w:szCs w:val="24"/>
              </w:rPr>
              <w:t>m</w:t>
            </w:r>
            <w:r>
              <w:rPr>
                <w:color w:val="auto"/>
                <w:sz w:val="24"/>
                <w:szCs w:val="24"/>
                <w:vertAlign w:val="superscript"/>
              </w:rPr>
              <w:t>3</w:t>
            </w:r>
            <w:r>
              <w:rPr>
                <w:color w:val="auto"/>
                <w:sz w:val="24"/>
                <w:szCs w:val="24"/>
              </w:rPr>
              <w:t>/a</w:t>
            </w:r>
            <w:r>
              <w:rPr>
                <w:rFonts w:hint="eastAsia"/>
                <w:color w:val="auto"/>
                <w:sz w:val="24"/>
                <w:szCs w:val="24"/>
                <w:lang w:eastAsia="zh-CN"/>
              </w:rPr>
              <w:t>（</w:t>
            </w:r>
            <w:r>
              <w:rPr>
                <w:rFonts w:hint="eastAsia"/>
                <w:color w:val="auto"/>
                <w:sz w:val="24"/>
                <w:szCs w:val="24"/>
                <w:lang w:val="en-US" w:eastAsia="zh-CN"/>
              </w:rPr>
              <w:t>含制纯水产生的浓水2.1m</w:t>
            </w:r>
            <w:r>
              <w:rPr>
                <w:color w:val="auto"/>
                <w:sz w:val="24"/>
                <w:szCs w:val="24"/>
                <w:vertAlign w:val="superscript"/>
              </w:rPr>
              <w:t>3</w:t>
            </w:r>
            <w:r>
              <w:rPr>
                <w:rFonts w:hint="eastAsia"/>
                <w:color w:val="auto"/>
                <w:sz w:val="24"/>
                <w:szCs w:val="24"/>
                <w:vertAlign w:val="baseline"/>
                <w:lang w:val="en-US" w:eastAsia="zh-CN"/>
              </w:rPr>
              <w:t>，用于冲厕</w:t>
            </w:r>
            <w:r>
              <w:rPr>
                <w:rFonts w:hint="eastAsia"/>
                <w:color w:val="auto"/>
                <w:sz w:val="24"/>
                <w:szCs w:val="24"/>
                <w:lang w:eastAsia="zh-CN"/>
              </w:rPr>
              <w:t>）</w:t>
            </w:r>
            <w:r>
              <w:rPr>
                <w:color w:val="auto"/>
                <w:sz w:val="24"/>
                <w:szCs w:val="24"/>
              </w:rPr>
              <w:t>。生活污水产生量按用水量的80%计，生活污水量为</w:t>
            </w:r>
            <w:r>
              <w:rPr>
                <w:rFonts w:hint="eastAsia"/>
                <w:color w:val="auto"/>
                <w:sz w:val="24"/>
                <w:szCs w:val="24"/>
                <w:lang w:val="en-US" w:eastAsia="zh-CN"/>
              </w:rPr>
              <w:t>120</w:t>
            </w:r>
            <w:r>
              <w:rPr>
                <w:color w:val="auto"/>
                <w:sz w:val="24"/>
                <w:szCs w:val="24"/>
              </w:rPr>
              <w:t>0m</w:t>
            </w:r>
            <w:r>
              <w:rPr>
                <w:color w:val="auto"/>
                <w:sz w:val="24"/>
                <w:szCs w:val="24"/>
                <w:vertAlign w:val="superscript"/>
              </w:rPr>
              <w:t>3</w:t>
            </w:r>
            <w:r>
              <w:rPr>
                <w:color w:val="auto"/>
                <w:sz w:val="24"/>
                <w:szCs w:val="24"/>
              </w:rPr>
              <w:t>/a。</w:t>
            </w:r>
            <w:r>
              <w:rPr>
                <w:rFonts w:hint="default" w:ascii="Times New Roman" w:hAnsi="Times New Roman" w:eastAsia="宋体" w:cs="Times New Roman"/>
                <w:color w:val="auto"/>
                <w:sz w:val="24"/>
                <w:szCs w:val="24"/>
              </w:rPr>
              <w:t>主要污染物为COD、SS、氨氮、TN、TP</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产生浓度分别为400mg/L、2</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0mg/L、</w:t>
            </w:r>
            <w:r>
              <w:rPr>
                <w:rFonts w:hint="eastAsia"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rPr>
              <w:t>mg/L、</w:t>
            </w:r>
            <w:r>
              <w:rPr>
                <w:rFonts w:hint="eastAsia" w:ascii="Times New Roman" w:hAnsi="Times New Roman" w:eastAsia="宋体" w:cs="Times New Roman"/>
                <w:color w:val="auto"/>
                <w:sz w:val="24"/>
                <w:szCs w:val="24"/>
                <w:lang w:val="en-US" w:eastAsia="zh-CN"/>
              </w:rPr>
              <w:t>35</w:t>
            </w:r>
            <w:r>
              <w:rPr>
                <w:rFonts w:hint="default" w:ascii="Times New Roman" w:hAnsi="Times New Roman" w:eastAsia="宋体" w:cs="Times New Roman"/>
                <w:color w:val="auto"/>
                <w:sz w:val="24"/>
                <w:szCs w:val="24"/>
              </w:rPr>
              <w:t>mg/L、</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mg/L。</w:t>
            </w:r>
          </w:p>
          <w:p w14:paraId="724E16B1">
            <w:pPr>
              <w:keepNext w:val="0"/>
              <w:keepLines w:val="0"/>
              <w:pageBreakBefore w:val="0"/>
              <w:widowControl w:val="0"/>
              <w:numPr>
                <w:ilvl w:val="-1"/>
                <w:numId w:val="0"/>
              </w:numPr>
              <w:kinsoku/>
              <w:wordWrap/>
              <w:overflowPunct/>
              <w:topLinePunct w:val="0"/>
              <w:autoSpaceDE/>
              <w:autoSpaceDN/>
              <w:bidi w:val="0"/>
              <w:adjustRightInd/>
              <w:snapToGrid/>
              <w:ind w:firstLine="480" w:firstLineChars="200"/>
              <w:textAlignment w:val="auto"/>
              <w:rPr>
                <w:rFonts w:hint="eastAsia"/>
                <w:color w:val="auto"/>
                <w:sz w:val="24"/>
                <w:szCs w:val="24"/>
                <w:lang w:val="en-US" w:eastAsia="zh-CN"/>
              </w:rPr>
            </w:pPr>
            <w:r>
              <w:rPr>
                <w:rFonts w:hint="eastAsia"/>
                <w:color w:val="auto"/>
                <w:sz w:val="24"/>
                <w:szCs w:val="24"/>
                <w:lang w:val="en-US" w:eastAsia="zh-CN"/>
              </w:rPr>
              <w:t>②清洗用水</w:t>
            </w:r>
          </w:p>
          <w:p w14:paraId="19BCD05D">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color w:val="auto"/>
                <w:sz w:val="24"/>
                <w:szCs w:val="24"/>
                <w:lang w:val="en-US" w:eastAsia="zh-CN"/>
              </w:rPr>
            </w:pPr>
            <w:r>
              <w:rPr>
                <w:rFonts w:hint="eastAsia"/>
                <w:color w:val="auto"/>
                <w:sz w:val="24"/>
                <w:szCs w:val="24"/>
                <w:lang w:val="en-US" w:eastAsia="zh-CN"/>
              </w:rPr>
              <w:t>本项目运用超声波清洗技术对塑料件和钣金件进行分步清洗，先进行粗洗，随后进行精洗，其中粗洗过程需添加纯水和脱脂粉，</w:t>
            </w:r>
            <w:r>
              <w:rPr>
                <w:rFonts w:hint="eastAsia" w:ascii="Times New Roman" w:hAnsi="Times New Roman" w:eastAsia="宋体" w:cs="Times New Roman"/>
                <w:b w:val="0"/>
                <w:bCs/>
                <w:color w:val="auto"/>
                <w:sz w:val="24"/>
                <w:szCs w:val="24"/>
                <w:highlight w:val="none"/>
                <w:lang w:val="en-US" w:eastAsia="zh-CN"/>
              </w:rPr>
              <w:t>纯水与脱脂粉的配比为20:1。</w:t>
            </w:r>
            <w:r>
              <w:rPr>
                <w:rFonts w:hint="eastAsia" w:cs="Times New Roman"/>
                <w:b w:val="0"/>
                <w:bCs/>
                <w:color w:val="auto"/>
                <w:sz w:val="24"/>
                <w:szCs w:val="24"/>
                <w:highlight w:val="none"/>
                <w:lang w:val="en-US" w:eastAsia="zh-CN"/>
              </w:rPr>
              <w:t>企业有2台</w:t>
            </w:r>
            <w:r>
              <w:rPr>
                <w:rFonts w:hint="eastAsia"/>
                <w:color w:val="auto"/>
                <w:sz w:val="24"/>
                <w:szCs w:val="24"/>
                <w:lang w:val="en-US" w:eastAsia="zh-CN"/>
              </w:rPr>
              <w:t>超声波清洗机，一台超声波清洗机有2个槽体（51*42*25cm*2），分别用于精洗和粗洗，有效容积为70%。槽体里的纯水定期排空，则清洗工段一次排空量约0.15t。槽体每9天定期排空，则清洗工段排空量约5t/a。损耗量按10%计算，则清洗用水的补充水量为5.5t/a，脱脂粉用量约为0.14t/a。</w:t>
            </w:r>
          </w:p>
          <w:p w14:paraId="5AF7E21F">
            <w:pPr>
              <w:keepNext w:val="0"/>
              <w:keepLines w:val="0"/>
              <w:pageBreakBefore w:val="0"/>
              <w:widowControl w:val="0"/>
              <w:numPr>
                <w:ilvl w:val="-1"/>
                <w:numId w:val="0"/>
              </w:numPr>
              <w:kinsoku/>
              <w:wordWrap/>
              <w:overflowPunct/>
              <w:topLinePunct w:val="0"/>
              <w:autoSpaceDE/>
              <w:autoSpaceDN/>
              <w:bidi w:val="0"/>
              <w:adjustRightInd/>
              <w:snapToGrid/>
              <w:ind w:left="420" w:leftChars="200" w:firstLine="0" w:firstLineChars="0"/>
              <w:textAlignment w:val="auto"/>
              <w:rPr>
                <w:rFonts w:hint="eastAsia"/>
                <w:color w:val="auto"/>
                <w:sz w:val="24"/>
                <w:szCs w:val="24"/>
                <w:lang w:val="en-US" w:eastAsia="zh-CN"/>
              </w:rPr>
            </w:pPr>
            <w:r>
              <w:rPr>
                <w:rFonts w:hint="eastAsia"/>
                <w:color w:val="auto"/>
                <w:sz w:val="24"/>
                <w:szCs w:val="24"/>
                <w:lang w:val="en-US" w:eastAsia="zh-CN"/>
              </w:rPr>
              <w:t>③制纯水用水</w:t>
            </w:r>
          </w:p>
          <w:p w14:paraId="34477FA9">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color w:val="auto"/>
                <w:sz w:val="24"/>
                <w:szCs w:val="24"/>
                <w:lang w:val="en-US" w:eastAsia="zh-CN"/>
              </w:rPr>
            </w:pPr>
            <w:r>
              <w:rPr>
                <w:rFonts w:hint="eastAsia"/>
                <w:color w:val="auto"/>
                <w:sz w:val="24"/>
                <w:szCs w:val="24"/>
                <w:lang w:val="en-US" w:eastAsia="zh-CN"/>
              </w:rPr>
              <w:t>本项目清洗使用纯水，纯水需求量为5.5t/a。根据企业提供资料，纯水机制备效率以70%计，则自来水用量约7.86t/a，浓水产生量为2.36t/a，</w:t>
            </w:r>
            <w:r>
              <w:rPr>
                <w:rFonts w:hint="default" w:ascii="Times New Roman" w:hAnsi="Times New Roman" w:eastAsia="宋体" w:cs="Times New Roman"/>
                <w:color w:val="auto"/>
                <w:sz w:val="24"/>
                <w:szCs w:val="24"/>
              </w:rPr>
              <w:t>主要污染物为COD、SS</w:t>
            </w:r>
            <w:r>
              <w:rPr>
                <w:rFonts w:hint="eastAsia"/>
                <w:color w:val="auto"/>
                <w:sz w:val="24"/>
                <w:szCs w:val="24"/>
                <w:lang w:val="en-US" w:eastAsia="zh-CN"/>
              </w:rPr>
              <w:t>，可用于冲厕，计入生活用水。</w:t>
            </w:r>
          </w:p>
          <w:p w14:paraId="31C65C1B">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color w:val="auto"/>
                <w:sz w:val="24"/>
                <w:szCs w:val="24"/>
              </w:rPr>
            </w:pPr>
            <w:r>
              <w:rPr>
                <w:rFonts w:hint="eastAsia"/>
                <w:color w:val="auto"/>
                <w:sz w:val="24"/>
                <w:szCs w:val="24"/>
                <w:lang w:val="en-US" w:eastAsia="zh-CN"/>
              </w:rPr>
              <w:t>④冷却</w:t>
            </w:r>
            <w:r>
              <w:rPr>
                <w:color w:val="auto"/>
                <w:sz w:val="24"/>
                <w:szCs w:val="24"/>
              </w:rPr>
              <w:t>用水</w:t>
            </w:r>
          </w:p>
          <w:p w14:paraId="19B9C377">
            <w:pPr>
              <w:keepNext w:val="0"/>
              <w:keepLines w:val="0"/>
              <w:pageBreakBefore w:val="0"/>
              <w:widowControl w:val="0"/>
              <w:kinsoku/>
              <w:wordWrap/>
              <w:overflowPunct/>
              <w:topLinePunct w:val="0"/>
              <w:autoSpaceDE/>
              <w:autoSpaceDN/>
              <w:bidi w:val="0"/>
              <w:adjustRightInd/>
              <w:snapToGrid/>
              <w:ind w:firstLine="420"/>
              <w:textAlignment w:val="auto"/>
              <w:rPr>
                <w:rFonts w:hint="default" w:eastAsia="宋体"/>
                <w:color w:val="auto"/>
                <w:sz w:val="24"/>
                <w:szCs w:val="24"/>
                <w:lang w:val="en-US" w:eastAsia="zh-CN"/>
              </w:rPr>
            </w:pPr>
            <w:r>
              <w:rPr>
                <w:rFonts w:hint="eastAsia"/>
                <w:color w:val="auto"/>
                <w:sz w:val="24"/>
                <w:szCs w:val="24"/>
                <w:lang w:val="en-US" w:eastAsia="zh-CN"/>
              </w:rPr>
              <w:t>本项目产品注塑冷却工段物料需用冷却水间接夹套冷却，冷却机的设计能力5m</w:t>
            </w:r>
            <w:r>
              <w:rPr>
                <w:rFonts w:hint="eastAsia"/>
                <w:color w:val="auto"/>
                <w:sz w:val="24"/>
                <w:szCs w:val="24"/>
                <w:vertAlign w:val="superscript"/>
                <w:lang w:val="en-US" w:eastAsia="zh-CN"/>
              </w:rPr>
              <w:t>3</w:t>
            </w:r>
            <w:r>
              <w:rPr>
                <w:rFonts w:hint="eastAsia"/>
                <w:color w:val="auto"/>
                <w:sz w:val="24"/>
                <w:szCs w:val="24"/>
                <w:lang w:val="en-US" w:eastAsia="zh-CN"/>
              </w:rPr>
              <w:t>/h，冷却水在冷却机中循环使用，蒸发损耗水定期添加，不外排。根据企业提供资料，预计本项目冷却用水100t/a。</w:t>
            </w:r>
          </w:p>
          <w:p w14:paraId="0E912BBB">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color w:val="auto"/>
                <w:sz w:val="24"/>
                <w:szCs w:val="24"/>
                <w:lang w:val="en-US" w:eastAsia="zh-CN"/>
              </w:rPr>
            </w:pPr>
            <w:r>
              <w:rPr>
                <w:rFonts w:hint="eastAsia"/>
                <w:color w:val="auto"/>
                <w:sz w:val="24"/>
                <w:szCs w:val="24"/>
                <w:lang w:val="en-US" w:eastAsia="zh-CN"/>
              </w:rPr>
              <w:t>⑤抛光用水</w:t>
            </w:r>
          </w:p>
          <w:p w14:paraId="1B715846">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color w:val="auto"/>
                <w:sz w:val="24"/>
                <w:szCs w:val="24"/>
                <w:lang w:val="en-US" w:eastAsia="zh-CN"/>
              </w:rPr>
            </w:pPr>
            <w:r>
              <w:rPr>
                <w:rFonts w:hint="eastAsia"/>
                <w:color w:val="auto"/>
                <w:sz w:val="24"/>
                <w:szCs w:val="24"/>
                <w:lang w:val="en-US" w:eastAsia="zh-CN"/>
              </w:rPr>
              <w:t>本项目磁力抛光过程中需用到水，磁力抛光机一次装填水量为0.25t，抛光用水每1个月定期排空，则抛光工段排空量约为3t/a，损耗量按10%计算，则抛光用水的补充水量为3.3t/a。</w:t>
            </w:r>
          </w:p>
          <w:p w14:paraId="2C62B943">
            <w:pPr>
              <w:keepNext w:val="0"/>
              <w:keepLines w:val="0"/>
              <w:pageBreakBefore w:val="0"/>
              <w:widowControl w:val="0"/>
              <w:kinsoku/>
              <w:wordWrap/>
              <w:overflowPunct/>
              <w:topLinePunct w:val="0"/>
              <w:autoSpaceDE/>
              <w:autoSpaceDN/>
              <w:bidi w:val="0"/>
              <w:adjustRightInd/>
              <w:snapToGrid/>
              <w:ind w:firstLine="420"/>
              <w:textAlignment w:val="auto"/>
              <w:rPr>
                <w:rFonts w:hint="default"/>
                <w:color w:val="auto"/>
                <w:sz w:val="24"/>
                <w:szCs w:val="24"/>
                <w:lang w:val="en-US" w:eastAsia="zh-CN"/>
              </w:rPr>
            </w:pPr>
            <w:r>
              <w:rPr>
                <w:rFonts w:hint="eastAsia"/>
                <w:color w:val="auto"/>
                <w:sz w:val="24"/>
                <w:szCs w:val="24"/>
                <w:lang w:val="en-US" w:eastAsia="zh-CN"/>
              </w:rPr>
              <w:t>⑥切削液调配用水</w:t>
            </w:r>
          </w:p>
          <w:p w14:paraId="36F0D35D">
            <w:pPr>
              <w:keepNext w:val="0"/>
              <w:keepLines w:val="0"/>
              <w:pageBreakBefore w:val="0"/>
              <w:widowControl w:val="0"/>
              <w:kinsoku/>
              <w:wordWrap/>
              <w:overflowPunct/>
              <w:topLinePunct w:val="0"/>
              <w:autoSpaceDE/>
              <w:autoSpaceDN/>
              <w:bidi w:val="0"/>
              <w:adjustRightInd/>
              <w:snapToGrid/>
              <w:ind w:firstLine="420"/>
              <w:textAlignment w:val="auto"/>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本项目</w:t>
            </w:r>
            <w:r>
              <w:rPr>
                <w:rFonts w:hint="eastAsia" w:eastAsia="宋体" w:cs="Times New Roman"/>
                <w:b w:val="0"/>
                <w:bCs/>
                <w:color w:val="auto"/>
                <w:sz w:val="24"/>
                <w:highlight w:val="none"/>
                <w:lang w:val="en-US" w:eastAsia="zh-CN"/>
              </w:rPr>
              <w:t>铣</w:t>
            </w:r>
            <w:r>
              <w:rPr>
                <w:rFonts w:hint="default" w:ascii="Times New Roman" w:hAnsi="Times New Roman" w:eastAsia="宋体" w:cs="Times New Roman"/>
                <w:b w:val="0"/>
                <w:bCs/>
                <w:color w:val="auto"/>
                <w:sz w:val="24"/>
                <w:highlight w:val="none"/>
                <w:lang w:val="en-US" w:eastAsia="zh-CN"/>
              </w:rPr>
              <w:t>削加工需用到切削液，切削液加水进行调配，切削液与水的配制比为1:</w:t>
            </w:r>
            <w:r>
              <w:rPr>
                <w:rFonts w:hint="eastAsia" w:eastAsia="宋体" w:cs="Times New Roman"/>
                <w:b w:val="0"/>
                <w:bCs/>
                <w:color w:val="auto"/>
                <w:sz w:val="24"/>
                <w:highlight w:val="none"/>
                <w:lang w:val="en-US" w:eastAsia="zh-CN"/>
              </w:rPr>
              <w:t>20</w:t>
            </w:r>
            <w:r>
              <w:rPr>
                <w:rFonts w:hint="eastAsia" w:cs="Times New Roman"/>
                <w:b w:val="0"/>
                <w:bCs/>
                <w:color w:val="auto"/>
                <w:sz w:val="24"/>
                <w:highlight w:val="none"/>
                <w:lang w:val="en-US" w:eastAsia="zh-CN"/>
              </w:rPr>
              <w:t>。铣削加工一次添加0.008t的切削液，则需要加入0.16t的自来水进行调配，</w:t>
            </w:r>
            <w:r>
              <w:rPr>
                <w:rFonts w:hint="default" w:ascii="Times New Roman" w:hAnsi="Times New Roman" w:eastAsia="宋体" w:cs="Times New Roman"/>
                <w:b w:val="0"/>
                <w:bCs/>
                <w:color w:val="auto"/>
                <w:sz w:val="24"/>
                <w:highlight w:val="none"/>
                <w:lang w:val="en-US" w:eastAsia="zh-CN"/>
              </w:rPr>
              <w:t>切削</w:t>
            </w:r>
            <w:r>
              <w:rPr>
                <w:rFonts w:hint="eastAsia" w:cs="Times New Roman"/>
                <w:b w:val="0"/>
                <w:bCs/>
                <w:color w:val="auto"/>
                <w:sz w:val="24"/>
                <w:highlight w:val="none"/>
                <w:lang w:val="en-US" w:eastAsia="zh-CN"/>
              </w:rPr>
              <w:t>调配</w:t>
            </w:r>
            <w:r>
              <w:rPr>
                <w:rFonts w:hint="default" w:ascii="Times New Roman" w:hAnsi="Times New Roman" w:eastAsia="宋体" w:cs="Times New Roman"/>
                <w:b w:val="0"/>
                <w:bCs/>
                <w:color w:val="auto"/>
                <w:sz w:val="24"/>
                <w:highlight w:val="none"/>
                <w:lang w:val="en-US" w:eastAsia="zh-CN"/>
              </w:rPr>
              <w:t>液</w:t>
            </w:r>
            <w:r>
              <w:rPr>
                <w:rFonts w:hint="eastAsia" w:cs="Times New Roman"/>
                <w:b w:val="0"/>
                <w:bCs/>
                <w:color w:val="auto"/>
                <w:sz w:val="24"/>
                <w:highlight w:val="none"/>
                <w:lang w:val="en-US" w:eastAsia="zh-CN"/>
              </w:rPr>
              <w:t>每1个月更换一次，</w:t>
            </w:r>
            <w:r>
              <w:rPr>
                <w:rFonts w:hint="eastAsia"/>
                <w:color w:val="auto"/>
                <w:sz w:val="24"/>
                <w:szCs w:val="24"/>
                <w:lang w:val="en-US" w:eastAsia="zh-CN"/>
              </w:rPr>
              <w:t>则切削调配液用量约为2.02t/a，</w:t>
            </w:r>
            <w:r>
              <w:rPr>
                <w:rFonts w:hint="eastAsia" w:cs="Times New Roman"/>
                <w:b w:val="0"/>
                <w:bCs/>
                <w:color w:val="auto"/>
                <w:sz w:val="24"/>
                <w:highlight w:val="none"/>
                <w:lang w:val="en-US" w:eastAsia="zh-CN"/>
              </w:rPr>
              <w:t>其中</w:t>
            </w:r>
            <w:r>
              <w:rPr>
                <w:rFonts w:hint="default" w:ascii="Times New Roman" w:hAnsi="Times New Roman" w:eastAsia="宋体" w:cs="Times New Roman"/>
                <w:b w:val="0"/>
                <w:bCs/>
                <w:color w:val="auto"/>
                <w:sz w:val="24"/>
                <w:highlight w:val="none"/>
                <w:lang w:val="en-US" w:eastAsia="zh-CN"/>
              </w:rPr>
              <w:t>切削液</w:t>
            </w:r>
            <w:r>
              <w:rPr>
                <w:rFonts w:hint="eastAsia" w:cs="Times New Roman"/>
                <w:b w:val="0"/>
                <w:bCs/>
                <w:color w:val="auto"/>
                <w:sz w:val="24"/>
                <w:highlight w:val="none"/>
                <w:lang w:val="en-US" w:eastAsia="zh-CN"/>
              </w:rPr>
              <w:t>用量约</w:t>
            </w:r>
            <w:r>
              <w:rPr>
                <w:rFonts w:hint="default" w:ascii="Times New Roman" w:hAnsi="Times New Roman" w:eastAsia="宋体" w:cs="Times New Roman"/>
                <w:b w:val="0"/>
                <w:bCs/>
                <w:color w:val="auto"/>
                <w:sz w:val="24"/>
                <w:highlight w:val="none"/>
                <w:lang w:val="en-US" w:eastAsia="zh-CN"/>
              </w:rPr>
              <w:t>为</w:t>
            </w:r>
            <w:r>
              <w:rPr>
                <w:rFonts w:hint="eastAsia" w:eastAsia="宋体" w:cs="Times New Roman"/>
                <w:b w:val="0"/>
                <w:bCs/>
                <w:color w:val="auto"/>
                <w:sz w:val="24"/>
                <w:highlight w:val="none"/>
                <w:lang w:val="en-US" w:eastAsia="zh-CN"/>
              </w:rPr>
              <w:t>0.</w:t>
            </w:r>
            <w:r>
              <w:rPr>
                <w:rFonts w:hint="eastAsia" w:cs="Times New Roman"/>
                <w:b w:val="0"/>
                <w:bCs/>
                <w:color w:val="auto"/>
                <w:sz w:val="24"/>
                <w:highlight w:val="none"/>
                <w:lang w:val="en-US" w:eastAsia="zh-CN"/>
              </w:rPr>
              <w:t>1</w:t>
            </w:r>
            <w:r>
              <w:rPr>
                <w:rFonts w:hint="default" w:ascii="Times New Roman" w:hAnsi="Times New Roman" w:eastAsia="宋体" w:cs="Times New Roman"/>
                <w:b w:val="0"/>
                <w:bCs/>
                <w:color w:val="auto"/>
                <w:sz w:val="24"/>
                <w:highlight w:val="none"/>
                <w:lang w:val="en-US" w:eastAsia="zh-CN"/>
              </w:rPr>
              <w:t>t/a，</w:t>
            </w:r>
            <w:r>
              <w:rPr>
                <w:rFonts w:hint="eastAsia" w:cs="Times New Roman"/>
                <w:b w:val="0"/>
                <w:bCs/>
                <w:color w:val="auto"/>
                <w:sz w:val="24"/>
                <w:highlight w:val="none"/>
                <w:lang w:val="en-US" w:eastAsia="zh-CN"/>
              </w:rPr>
              <w:t>自来水用量约</w:t>
            </w:r>
            <w:r>
              <w:rPr>
                <w:rFonts w:hint="default" w:ascii="Times New Roman" w:hAnsi="Times New Roman" w:eastAsia="宋体" w:cs="Times New Roman"/>
                <w:b w:val="0"/>
                <w:bCs/>
                <w:color w:val="auto"/>
                <w:sz w:val="24"/>
                <w:highlight w:val="none"/>
                <w:lang w:val="en-US" w:eastAsia="zh-CN"/>
              </w:rPr>
              <w:t>为</w:t>
            </w:r>
            <w:r>
              <w:rPr>
                <w:rFonts w:hint="eastAsia" w:cs="Times New Roman"/>
                <w:b w:val="0"/>
                <w:bCs/>
                <w:color w:val="auto"/>
                <w:sz w:val="24"/>
                <w:highlight w:val="none"/>
                <w:lang w:val="en-US" w:eastAsia="zh-CN"/>
              </w:rPr>
              <w:t>1.92</w:t>
            </w:r>
            <w:r>
              <w:rPr>
                <w:rFonts w:hint="default" w:ascii="Times New Roman" w:hAnsi="Times New Roman" w:eastAsia="宋体" w:cs="Times New Roman"/>
                <w:b w:val="0"/>
                <w:bCs/>
                <w:color w:val="auto"/>
                <w:sz w:val="24"/>
                <w:highlight w:val="none"/>
                <w:lang w:val="en-US" w:eastAsia="zh-CN"/>
              </w:rPr>
              <w:t>t/a，</w:t>
            </w:r>
            <w:r>
              <w:rPr>
                <w:rFonts w:hint="eastAsia"/>
                <w:color w:val="auto"/>
                <w:sz w:val="24"/>
                <w:szCs w:val="24"/>
                <w:lang w:val="en-US" w:eastAsia="zh-CN"/>
              </w:rPr>
              <w:t>损耗量按70%计算，</w:t>
            </w:r>
            <w:r>
              <w:rPr>
                <w:rFonts w:hint="eastAsia" w:cs="Times New Roman"/>
                <w:b w:val="0"/>
                <w:bCs/>
                <w:color w:val="auto"/>
                <w:sz w:val="24"/>
                <w:highlight w:val="none"/>
                <w:lang w:val="en-US" w:eastAsia="zh-CN"/>
              </w:rPr>
              <w:t>则废切削液</w:t>
            </w:r>
            <w:r>
              <w:rPr>
                <w:rFonts w:hint="default" w:ascii="Times New Roman" w:hAnsi="Times New Roman" w:eastAsia="宋体" w:cs="Times New Roman"/>
                <w:b w:val="0"/>
                <w:bCs/>
                <w:color w:val="auto"/>
                <w:sz w:val="24"/>
                <w:highlight w:val="none"/>
                <w:lang w:val="en-US" w:eastAsia="zh-CN"/>
              </w:rPr>
              <w:t>产生量为0.</w:t>
            </w:r>
            <w:r>
              <w:rPr>
                <w:rFonts w:hint="eastAsia" w:eastAsia="宋体" w:cs="Times New Roman"/>
                <w:b w:val="0"/>
                <w:bCs/>
                <w:color w:val="auto"/>
                <w:sz w:val="24"/>
                <w:highlight w:val="none"/>
                <w:lang w:val="en-US" w:eastAsia="zh-CN"/>
              </w:rPr>
              <w:t>6</w:t>
            </w:r>
            <w:r>
              <w:rPr>
                <w:rFonts w:hint="eastAsia" w:cs="Times New Roman"/>
                <w:b w:val="0"/>
                <w:bCs/>
                <w:color w:val="auto"/>
                <w:sz w:val="24"/>
                <w:highlight w:val="none"/>
                <w:lang w:val="en-US" w:eastAsia="zh-CN"/>
              </w:rPr>
              <w:t>1</w:t>
            </w:r>
            <w:r>
              <w:rPr>
                <w:rFonts w:hint="default" w:ascii="Times New Roman" w:hAnsi="Times New Roman" w:eastAsia="宋体" w:cs="Times New Roman"/>
                <w:b w:val="0"/>
                <w:bCs/>
                <w:color w:val="auto"/>
                <w:sz w:val="24"/>
                <w:highlight w:val="none"/>
                <w:lang w:val="en-US" w:eastAsia="zh-CN"/>
              </w:rPr>
              <w:t>t/a。</w:t>
            </w:r>
          </w:p>
          <w:p w14:paraId="51398C3B">
            <w:pPr>
              <w:ind w:firstLine="480" w:firstLineChars="200"/>
              <w:rPr>
                <w:rFonts w:hint="eastAsia"/>
                <w:b w:val="0"/>
                <w:bCs w:val="0"/>
                <w:color w:val="auto"/>
                <w:sz w:val="24"/>
                <w:szCs w:val="24"/>
              </w:rPr>
            </w:pPr>
            <w:r>
              <w:rPr>
                <w:rFonts w:hint="eastAsia"/>
                <w:color w:val="auto"/>
                <w:sz w:val="24"/>
                <w:szCs w:val="24"/>
              </w:rPr>
              <w:t>生产过程中，地面基本保持清洁，仅进行定期的扫地，不需地面清洗，不产生清洗废水。</w:t>
            </w:r>
            <w:r>
              <w:rPr>
                <w:rFonts w:hint="eastAsia"/>
                <w:color w:val="auto"/>
                <w:sz w:val="24"/>
                <w:szCs w:val="24"/>
                <w:lang w:val="en-US" w:eastAsia="zh-CN"/>
              </w:rPr>
              <w:t>企业物料运输及生产过程中均在厂房内进行，不涉及污染物跑冒滴漏现象，不需收集初期雨水。雨水排放口设置切断阀。</w:t>
            </w:r>
          </w:p>
          <w:p w14:paraId="7AEA12E9">
            <w:pPr>
              <w:ind w:firstLine="480" w:firstLineChars="200"/>
              <w:rPr>
                <w:b w:val="0"/>
                <w:bCs w:val="0"/>
                <w:color w:val="auto"/>
                <w:sz w:val="24"/>
                <w:szCs w:val="24"/>
              </w:rPr>
            </w:pPr>
            <w:r>
              <w:rPr>
                <w:rFonts w:hint="default" w:ascii="Times New Roman" w:hAnsi="Times New Roman" w:eastAsia="宋体" w:cs="Times New Roman"/>
                <w:color w:val="auto"/>
                <w:sz w:val="24"/>
                <w:szCs w:val="24"/>
                <w:highlight w:val="none"/>
                <w:lang w:eastAsia="zh-CN"/>
              </w:rPr>
              <w:t>具体水平衡图见图2-</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p>
          <w:p w14:paraId="755D3BC5">
            <w:pPr>
              <w:spacing w:line="240" w:lineRule="auto"/>
              <w:ind w:firstLine="0" w:firstLineChars="0"/>
              <w:jc w:val="center"/>
              <w:rPr>
                <w:rFonts w:hint="eastAsia" w:eastAsia="宋体"/>
                <w:color w:val="auto"/>
                <w:sz w:val="24"/>
                <w:szCs w:val="24"/>
                <w:lang w:eastAsia="zh-CN"/>
              </w:rPr>
            </w:pPr>
            <w:r>
              <w:rPr>
                <w:rFonts w:hint="eastAsia" w:eastAsia="宋体"/>
                <w:color w:val="auto"/>
                <w:sz w:val="24"/>
                <w:szCs w:val="24"/>
                <w:lang w:eastAsia="zh-CN"/>
              </w:rPr>
              <w:drawing>
                <wp:inline distT="0" distB="0" distL="114300" distR="114300">
                  <wp:extent cx="4726940" cy="3717925"/>
                  <wp:effectExtent l="0" t="0" r="0" b="0"/>
                  <wp:docPr id="1" name="ECB019B1-382A-4266-B25C-5B523AA43C14-1" descr="C:/Users/29147/AppData/Local/Temp/wps.aljkps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C:/Users/29147/AppData/Local/Temp/wps.aljkpswps"/>
                          <pic:cNvPicPr>
                            <a:picLocks noChangeAspect="1"/>
                          </pic:cNvPicPr>
                        </pic:nvPicPr>
                        <pic:blipFill>
                          <a:blip r:embed="rId14"/>
                          <a:stretch>
                            <a:fillRect/>
                          </a:stretch>
                        </pic:blipFill>
                        <pic:spPr>
                          <a:xfrm>
                            <a:off x="0" y="0"/>
                            <a:ext cx="4726940" cy="3717925"/>
                          </a:xfrm>
                          <a:prstGeom prst="rect">
                            <a:avLst/>
                          </a:prstGeom>
                        </pic:spPr>
                      </pic:pic>
                    </a:graphicData>
                  </a:graphic>
                </wp:inline>
              </w:drawing>
            </w:r>
          </w:p>
          <w:p w14:paraId="1D596664">
            <w:pPr>
              <w:spacing w:line="240" w:lineRule="auto"/>
              <w:ind w:firstLine="0" w:firstLineChars="0"/>
              <w:jc w:val="center"/>
              <w:rPr>
                <w:rFonts w:hint="eastAsia"/>
                <w:b/>
                <w:bCs/>
                <w:color w:val="auto"/>
                <w:sz w:val="24"/>
                <w:szCs w:val="24"/>
              </w:rPr>
            </w:pPr>
            <w:r>
              <w:rPr>
                <w:b/>
                <w:bCs/>
                <w:color w:val="auto"/>
                <w:sz w:val="21"/>
                <w:szCs w:val="21"/>
              </w:rPr>
              <w:t>图2-</w:t>
            </w:r>
            <w:r>
              <w:rPr>
                <w:rFonts w:hint="eastAsia"/>
                <w:b/>
                <w:bCs/>
                <w:color w:val="auto"/>
                <w:sz w:val="21"/>
                <w:szCs w:val="21"/>
                <w:lang w:val="en-US" w:eastAsia="zh-CN"/>
              </w:rPr>
              <w:t>1</w:t>
            </w:r>
            <w:r>
              <w:rPr>
                <w:b/>
                <w:bCs/>
                <w:color w:val="auto"/>
                <w:sz w:val="21"/>
                <w:szCs w:val="21"/>
              </w:rPr>
              <w:t xml:space="preserve">  项目水平衡图 单位</w:t>
            </w:r>
            <w:r>
              <w:rPr>
                <w:rFonts w:hint="eastAsia"/>
                <w:b/>
                <w:bCs/>
                <w:color w:val="auto"/>
                <w:sz w:val="21"/>
                <w:szCs w:val="21"/>
              </w:rPr>
              <w:t>：</w:t>
            </w:r>
            <w:r>
              <w:rPr>
                <w:b/>
                <w:bCs/>
                <w:color w:val="auto"/>
                <w:sz w:val="21"/>
                <w:szCs w:val="21"/>
              </w:rPr>
              <w:t>t/a</w:t>
            </w:r>
          </w:p>
          <w:p w14:paraId="4CB7AB0F">
            <w:pPr>
              <w:ind w:firstLine="0" w:firstLineChars="0"/>
              <w:rPr>
                <w:b/>
                <w:bCs/>
                <w:color w:val="auto"/>
                <w:sz w:val="24"/>
                <w:szCs w:val="24"/>
              </w:rPr>
            </w:pPr>
            <w:r>
              <w:rPr>
                <w:b/>
                <w:bCs/>
                <w:color w:val="auto"/>
                <w:sz w:val="24"/>
                <w:szCs w:val="24"/>
              </w:rPr>
              <w:t>（2）</w:t>
            </w:r>
            <w:r>
              <w:rPr>
                <w:rFonts w:hint="default"/>
                <w:b/>
                <w:bCs/>
                <w:color w:val="auto"/>
                <w:sz w:val="24"/>
                <w:szCs w:val="24"/>
                <w:lang w:val="en-US" w:eastAsia="zh-CN"/>
              </w:rPr>
              <w:t>VOCs</w:t>
            </w:r>
            <w:r>
              <w:rPr>
                <w:b/>
                <w:bCs/>
                <w:color w:val="auto"/>
                <w:sz w:val="24"/>
                <w:szCs w:val="24"/>
              </w:rPr>
              <w:t>平衡</w:t>
            </w:r>
          </w:p>
          <w:p w14:paraId="4E28E795">
            <w:pPr>
              <w:ind w:firstLine="420"/>
              <w:rPr>
                <w:color w:val="auto"/>
                <w:sz w:val="24"/>
                <w:szCs w:val="24"/>
              </w:rPr>
            </w:pPr>
            <w:r>
              <w:rPr>
                <w:color w:val="auto"/>
                <w:sz w:val="24"/>
                <w:szCs w:val="24"/>
              </w:rPr>
              <w:t>本项目</w:t>
            </w:r>
            <w:r>
              <w:rPr>
                <w:rFonts w:hint="default"/>
                <w:color w:val="auto"/>
                <w:sz w:val="24"/>
                <w:szCs w:val="24"/>
                <w:lang w:val="en-US" w:eastAsia="zh-CN"/>
              </w:rPr>
              <w:t>VOCs</w:t>
            </w:r>
            <w:r>
              <w:rPr>
                <w:rFonts w:hint="eastAsia"/>
                <w:color w:val="auto"/>
                <w:sz w:val="24"/>
                <w:szCs w:val="24"/>
                <w:lang w:val="en-US" w:eastAsia="zh-CN"/>
              </w:rPr>
              <w:t>含量分析</w:t>
            </w:r>
            <w:r>
              <w:rPr>
                <w:color w:val="auto"/>
                <w:sz w:val="24"/>
                <w:szCs w:val="24"/>
              </w:rPr>
              <w:t>详见表2-</w:t>
            </w:r>
            <w:r>
              <w:rPr>
                <w:rFonts w:hint="eastAsia"/>
                <w:color w:val="auto"/>
                <w:sz w:val="24"/>
                <w:szCs w:val="24"/>
                <w:lang w:val="en-US" w:eastAsia="zh-CN"/>
              </w:rPr>
              <w:t>8</w:t>
            </w:r>
            <w:r>
              <w:rPr>
                <w:color w:val="auto"/>
                <w:sz w:val="24"/>
                <w:szCs w:val="24"/>
              </w:rPr>
              <w:t>。</w:t>
            </w:r>
          </w:p>
          <w:p w14:paraId="5CB7883D">
            <w:pPr>
              <w:spacing w:line="240" w:lineRule="auto"/>
              <w:ind w:firstLine="0" w:firstLineChars="0"/>
              <w:jc w:val="center"/>
              <w:rPr>
                <w:b/>
                <w:bCs/>
                <w:color w:val="auto"/>
                <w:sz w:val="21"/>
                <w:szCs w:val="21"/>
              </w:rPr>
            </w:pPr>
            <w:r>
              <w:rPr>
                <w:b/>
                <w:bCs/>
                <w:color w:val="auto"/>
                <w:sz w:val="21"/>
                <w:szCs w:val="21"/>
                <w:highlight w:val="none"/>
              </w:rPr>
              <w:t>表2-</w:t>
            </w:r>
            <w:r>
              <w:rPr>
                <w:rFonts w:hint="eastAsia"/>
                <w:b/>
                <w:bCs/>
                <w:color w:val="auto"/>
                <w:sz w:val="21"/>
                <w:szCs w:val="21"/>
                <w:highlight w:val="none"/>
                <w:lang w:val="en-US" w:eastAsia="zh-CN"/>
              </w:rPr>
              <w:t>8</w:t>
            </w:r>
            <w:r>
              <w:rPr>
                <w:b/>
                <w:bCs/>
                <w:color w:val="auto"/>
                <w:sz w:val="21"/>
                <w:szCs w:val="21"/>
                <w:highlight w:val="none"/>
              </w:rPr>
              <w:t xml:space="preserve"> </w:t>
            </w:r>
            <w:r>
              <w:rPr>
                <w:rFonts w:hint="eastAsia"/>
                <w:b/>
                <w:bCs/>
                <w:color w:val="auto"/>
                <w:sz w:val="21"/>
                <w:szCs w:val="21"/>
                <w:highlight w:val="none"/>
                <w:lang w:val="en-US" w:eastAsia="zh-CN"/>
              </w:rPr>
              <w:t>物料</w:t>
            </w:r>
            <w:r>
              <w:rPr>
                <w:rFonts w:hint="default"/>
                <w:b/>
                <w:bCs/>
                <w:color w:val="auto"/>
                <w:sz w:val="21"/>
                <w:szCs w:val="21"/>
                <w:highlight w:val="none"/>
                <w:lang w:val="en-US" w:eastAsia="zh-CN"/>
              </w:rPr>
              <w:t>VOCs</w:t>
            </w:r>
            <w:r>
              <w:rPr>
                <w:rFonts w:hint="eastAsia"/>
                <w:b/>
                <w:bCs/>
                <w:color w:val="auto"/>
                <w:sz w:val="21"/>
                <w:szCs w:val="21"/>
                <w:highlight w:val="none"/>
                <w:lang w:val="en-US" w:eastAsia="zh-CN"/>
              </w:rPr>
              <w:t>产生</w:t>
            </w:r>
            <w:r>
              <w:rPr>
                <w:b/>
                <w:bCs/>
                <w:color w:val="auto"/>
                <w:sz w:val="21"/>
                <w:szCs w:val="21"/>
                <w:highlight w:val="none"/>
              </w:rPr>
              <w:t>一览表</w:t>
            </w:r>
            <w:r>
              <w:rPr>
                <w:rFonts w:hint="eastAsia"/>
                <w:b/>
                <w:bCs/>
                <w:color w:val="auto"/>
                <w:sz w:val="21"/>
                <w:szCs w:val="21"/>
                <w:highlight w:val="none"/>
              </w:rPr>
              <w:t>（单位：t/a）</w:t>
            </w:r>
          </w:p>
          <w:tbl>
            <w:tblPr>
              <w:tblStyle w:val="18"/>
              <w:tblW w:w="498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425"/>
              <w:gridCol w:w="1064"/>
              <w:gridCol w:w="1335"/>
              <w:gridCol w:w="1533"/>
              <w:gridCol w:w="684"/>
              <w:gridCol w:w="1162"/>
              <w:gridCol w:w="1309"/>
            </w:tblGrid>
            <w:tr w14:paraId="2CD77E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290" w:type="pct"/>
                  <w:gridSpan w:val="5"/>
                  <w:tcBorders>
                    <w:tl2br w:val="nil"/>
                    <w:tr2bl w:val="nil"/>
                  </w:tcBorders>
                  <w:noWrap w:val="0"/>
                  <w:vAlign w:val="center"/>
                </w:tcPr>
                <w:p w14:paraId="434BFC6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入方</w:t>
                  </w:r>
                </w:p>
              </w:tc>
              <w:tc>
                <w:tcPr>
                  <w:tcW w:w="1709" w:type="pct"/>
                  <w:gridSpan w:val="3"/>
                  <w:tcBorders>
                    <w:tl2br w:val="nil"/>
                    <w:tr2bl w:val="nil"/>
                  </w:tcBorders>
                  <w:noWrap w:val="0"/>
                  <w:vAlign w:val="center"/>
                </w:tcPr>
                <w:p w14:paraId="631BC91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出方</w:t>
                  </w:r>
                </w:p>
              </w:tc>
            </w:tr>
            <w:tr w14:paraId="584EFD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87" w:type="pct"/>
                  <w:tcBorders>
                    <w:tl2br w:val="nil"/>
                    <w:tr2bl w:val="nil"/>
                  </w:tcBorders>
                  <w:noWrap w:val="0"/>
                  <w:vAlign w:val="center"/>
                </w:tcPr>
                <w:p w14:paraId="77FD958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生产工序</w:t>
                  </w:r>
                </w:p>
              </w:tc>
              <w:tc>
                <w:tcPr>
                  <w:tcW w:w="772" w:type="pct"/>
                  <w:tcBorders>
                    <w:tl2br w:val="nil"/>
                    <w:tr2bl w:val="nil"/>
                  </w:tcBorders>
                  <w:noWrap w:val="0"/>
                  <w:vAlign w:val="center"/>
                </w:tcPr>
                <w:p w14:paraId="39B0C08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原料名称</w:t>
                  </w:r>
                </w:p>
              </w:tc>
              <w:tc>
                <w:tcPr>
                  <w:tcW w:w="576" w:type="pct"/>
                  <w:tcBorders>
                    <w:tl2br w:val="nil"/>
                    <w:tr2bl w:val="nil"/>
                  </w:tcBorders>
                  <w:noWrap w:val="0"/>
                  <w:vAlign w:val="center"/>
                </w:tcPr>
                <w:p w14:paraId="3F7F755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原料用量</w:t>
                  </w:r>
                  <w:r>
                    <w:rPr>
                      <w:rFonts w:hint="eastAsia" w:ascii="Times New Roman" w:hAnsi="Times New Roman" w:eastAsia="宋体" w:cs="Times New Roman"/>
                      <w:b/>
                      <w:color w:val="auto"/>
                      <w:sz w:val="21"/>
                      <w:szCs w:val="21"/>
                      <w:vertAlign w:val="baseline"/>
                      <w:lang w:val="en-US" w:eastAsia="zh-CN"/>
                    </w:rPr>
                    <w:t>（t/a）</w:t>
                  </w:r>
                </w:p>
              </w:tc>
              <w:tc>
                <w:tcPr>
                  <w:tcW w:w="723" w:type="pct"/>
                  <w:tcBorders>
                    <w:tl2br w:val="nil"/>
                    <w:tr2bl w:val="nil"/>
                  </w:tcBorders>
                  <w:noWrap w:val="0"/>
                  <w:vAlign w:val="center"/>
                </w:tcPr>
                <w:p w14:paraId="3853FB5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lang w:val="en-US" w:eastAsia="zh-CN"/>
                    </w:rPr>
                    <w:t>产污系数</w:t>
                  </w:r>
                </w:p>
              </w:tc>
              <w:tc>
                <w:tcPr>
                  <w:tcW w:w="830" w:type="pct"/>
                  <w:tcBorders>
                    <w:tl2br w:val="nil"/>
                    <w:tr2bl w:val="nil"/>
                  </w:tcBorders>
                  <w:noWrap w:val="0"/>
                  <w:vAlign w:val="center"/>
                </w:tcPr>
                <w:p w14:paraId="0226375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lang w:val="en-US" w:eastAsia="zh-CN"/>
                    </w:rPr>
                    <w:t>VOCs产生量（t</w:t>
                  </w:r>
                  <w:r>
                    <w:rPr>
                      <w:rFonts w:hint="eastAsia" w:ascii="Times New Roman" w:hAnsi="Times New Roman" w:eastAsia="宋体" w:cs="Times New Roman"/>
                      <w:b/>
                      <w:bCs/>
                      <w:color w:val="auto"/>
                      <w:sz w:val="21"/>
                      <w:szCs w:val="21"/>
                      <w:lang w:val="en-US" w:eastAsia="zh-CN"/>
                    </w:rPr>
                    <w:t>/a</w:t>
                  </w:r>
                  <w:r>
                    <w:rPr>
                      <w:rFonts w:hint="default" w:ascii="Times New Roman" w:hAnsi="Times New Roman" w:eastAsia="宋体" w:cs="Times New Roman"/>
                      <w:b/>
                      <w:bCs/>
                      <w:color w:val="auto"/>
                      <w:sz w:val="21"/>
                      <w:szCs w:val="21"/>
                      <w:lang w:val="en-US" w:eastAsia="zh-CN"/>
                    </w:rPr>
                    <w:t>）</w:t>
                  </w:r>
                </w:p>
              </w:tc>
              <w:tc>
                <w:tcPr>
                  <w:tcW w:w="1000" w:type="pct"/>
                  <w:gridSpan w:val="2"/>
                  <w:tcBorders>
                    <w:tl2br w:val="nil"/>
                    <w:tr2bl w:val="nil"/>
                  </w:tcBorders>
                  <w:noWrap w:val="0"/>
                  <w:vAlign w:val="center"/>
                </w:tcPr>
                <w:p w14:paraId="146DB3B7">
                  <w:pPr>
                    <w:pStyle w:val="2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highlight w:val="none"/>
                      <w:lang w:val="en-US" w:eastAsia="zh-CN"/>
                    </w:rPr>
                    <w:t>去向</w:t>
                  </w:r>
                </w:p>
              </w:tc>
              <w:tc>
                <w:tcPr>
                  <w:tcW w:w="709" w:type="pct"/>
                  <w:tcBorders>
                    <w:tl2br w:val="nil"/>
                    <w:tr2bl w:val="nil"/>
                  </w:tcBorders>
                  <w:noWrap w:val="0"/>
                  <w:vAlign w:val="center"/>
                </w:tcPr>
                <w:p w14:paraId="5CF1790C">
                  <w:pPr>
                    <w:pStyle w:val="2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highlight w:val="none"/>
                      <w:lang w:val="en-US" w:eastAsia="zh-CN"/>
                    </w:rPr>
                    <w:t>VOCs</w:t>
                  </w:r>
                  <w:r>
                    <w:rPr>
                      <w:rFonts w:hint="eastAsia" w:ascii="Times New Roman" w:hAnsi="Times New Roman" w:eastAsia="宋体" w:cs="Times New Roman"/>
                      <w:b/>
                      <w:bCs/>
                      <w:color w:val="auto"/>
                      <w:sz w:val="21"/>
                      <w:szCs w:val="21"/>
                      <w:highlight w:val="none"/>
                      <w:lang w:val="en-US" w:eastAsia="zh-CN"/>
                    </w:rPr>
                    <w:t>产生</w:t>
                  </w:r>
                  <w:r>
                    <w:rPr>
                      <w:rFonts w:hint="default" w:ascii="Times New Roman" w:hAnsi="Times New Roman" w:eastAsia="宋体" w:cs="Times New Roman"/>
                      <w:b/>
                      <w:bCs/>
                      <w:color w:val="auto"/>
                      <w:sz w:val="21"/>
                      <w:szCs w:val="21"/>
                      <w:highlight w:val="none"/>
                      <w:lang w:val="en-US" w:eastAsia="zh-CN"/>
                    </w:rPr>
                    <w:t>量（t）</w:t>
                  </w:r>
                </w:p>
              </w:tc>
            </w:tr>
            <w:tr w14:paraId="2B8B29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87" w:type="pct"/>
                  <w:vMerge w:val="restart"/>
                  <w:tcBorders>
                    <w:tl2br w:val="nil"/>
                    <w:tr2bl w:val="nil"/>
                  </w:tcBorders>
                  <w:noWrap w:val="0"/>
                  <w:vAlign w:val="center"/>
                </w:tcPr>
                <w:p w14:paraId="6247899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注塑</w:t>
                  </w:r>
                </w:p>
              </w:tc>
              <w:tc>
                <w:tcPr>
                  <w:tcW w:w="772" w:type="pct"/>
                  <w:vMerge w:val="restart"/>
                  <w:tcBorders>
                    <w:tl2br w:val="nil"/>
                    <w:tr2bl w:val="nil"/>
                  </w:tcBorders>
                  <w:noWrap w:val="0"/>
                  <w:vAlign w:val="center"/>
                </w:tcPr>
                <w:p w14:paraId="3DACBA5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ABS</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PC</w:t>
                  </w:r>
                  <w:r>
                    <w:rPr>
                      <w:rFonts w:hint="eastAsia" w:cs="Times New Roman"/>
                      <w:b w:val="0"/>
                      <w:bCs w:val="0"/>
                      <w:color w:val="auto"/>
                      <w:sz w:val="21"/>
                      <w:szCs w:val="21"/>
                      <w:lang w:val="en-US" w:eastAsia="zh-CN"/>
                    </w:rPr>
                    <w:t>、</w:t>
                  </w:r>
                </w:p>
                <w:p w14:paraId="1F0E0D2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PP</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PE</w:t>
                  </w:r>
                  <w:r>
                    <w:rPr>
                      <w:rFonts w:hint="eastAsia" w:cs="Times New Roman"/>
                      <w:b w:val="0"/>
                      <w:bCs w:val="0"/>
                      <w:color w:val="auto"/>
                      <w:sz w:val="21"/>
                      <w:szCs w:val="21"/>
                      <w:lang w:val="en-US" w:eastAsia="zh-CN"/>
                    </w:rPr>
                    <w:t>、PA</w:t>
                  </w:r>
                </w:p>
              </w:tc>
              <w:tc>
                <w:tcPr>
                  <w:tcW w:w="576" w:type="pct"/>
                  <w:vMerge w:val="restart"/>
                  <w:tcBorders>
                    <w:tl2br w:val="nil"/>
                    <w:tr2bl w:val="nil"/>
                  </w:tcBorders>
                  <w:noWrap w:val="0"/>
                  <w:vAlign w:val="center"/>
                </w:tcPr>
                <w:p w14:paraId="43E2601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145</w:t>
                  </w:r>
                </w:p>
              </w:tc>
              <w:tc>
                <w:tcPr>
                  <w:tcW w:w="723" w:type="pct"/>
                  <w:vMerge w:val="restart"/>
                  <w:tcBorders>
                    <w:tl2br w:val="nil"/>
                    <w:tr2bl w:val="nil"/>
                  </w:tcBorders>
                  <w:noWrap w:val="0"/>
                  <w:vAlign w:val="center"/>
                </w:tcPr>
                <w:p w14:paraId="6D5CEB8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lang w:val="en-US" w:eastAsia="zh-CN"/>
                    </w:rPr>
                  </w:pPr>
                  <w:r>
                    <w:rPr>
                      <w:rFonts w:hint="eastAsia"/>
                      <w:b w:val="0"/>
                      <w:bCs w:val="0"/>
                      <w:color w:val="auto"/>
                      <w:lang w:val="en-US" w:eastAsia="zh-CN"/>
                    </w:rPr>
                    <w:t>2.7</w:t>
                  </w:r>
                  <w:r>
                    <w:rPr>
                      <w:rFonts w:hint="eastAsia" w:cs="Times New Roman"/>
                      <w:b w:val="0"/>
                      <w:bCs w:val="0"/>
                      <w:color w:val="auto"/>
                      <w:sz w:val="21"/>
                      <w:szCs w:val="21"/>
                      <w:lang w:val="en-US" w:eastAsia="zh-CN"/>
                    </w:rPr>
                    <w:t>kg</w:t>
                  </w:r>
                  <w:r>
                    <w:rPr>
                      <w:rFonts w:hint="eastAsia" w:ascii="Times New Roman" w:hAnsi="Times New Roman" w:eastAsia="宋体" w:cs="Times New Roman"/>
                      <w:b w:val="0"/>
                      <w:bCs w:val="0"/>
                      <w:color w:val="auto"/>
                      <w:sz w:val="21"/>
                      <w:szCs w:val="21"/>
                      <w:lang w:val="en-US" w:eastAsia="zh-CN"/>
                    </w:rPr>
                    <w:t>/</w:t>
                  </w:r>
                  <w:r>
                    <w:rPr>
                      <w:rFonts w:hint="eastAsia" w:cs="Times New Roman"/>
                      <w:b w:val="0"/>
                      <w:bCs w:val="0"/>
                      <w:color w:val="auto"/>
                      <w:sz w:val="21"/>
                      <w:szCs w:val="21"/>
                      <w:lang w:val="en-US" w:eastAsia="zh-CN"/>
                    </w:rPr>
                    <w:t>吨-产品</w:t>
                  </w:r>
                </w:p>
              </w:tc>
              <w:tc>
                <w:tcPr>
                  <w:tcW w:w="830" w:type="pct"/>
                  <w:vMerge w:val="restart"/>
                  <w:tcBorders>
                    <w:tl2br w:val="nil"/>
                    <w:tr2bl w:val="nil"/>
                  </w:tcBorders>
                  <w:noWrap w:val="0"/>
                  <w:vAlign w:val="center"/>
                </w:tcPr>
                <w:p w14:paraId="01B8691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w:t>
                  </w:r>
                  <w:r>
                    <w:rPr>
                      <w:rFonts w:hint="eastAsia" w:cs="Times New Roman"/>
                      <w:b w:val="0"/>
                      <w:bCs w:val="0"/>
                      <w:color w:val="auto"/>
                      <w:sz w:val="21"/>
                      <w:szCs w:val="21"/>
                      <w:vertAlign w:val="baseline"/>
                      <w:lang w:val="en-US" w:eastAsia="zh-CN"/>
                    </w:rPr>
                    <w:t>3915</w:t>
                  </w:r>
                </w:p>
              </w:tc>
              <w:tc>
                <w:tcPr>
                  <w:tcW w:w="370" w:type="pct"/>
                  <w:vMerge w:val="restart"/>
                  <w:tcBorders>
                    <w:tl2br w:val="nil"/>
                    <w:tr2bl w:val="nil"/>
                  </w:tcBorders>
                  <w:noWrap w:val="0"/>
                  <w:vAlign w:val="center"/>
                </w:tcPr>
                <w:p w14:paraId="14B99D7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废气</w:t>
                  </w:r>
                </w:p>
              </w:tc>
              <w:tc>
                <w:tcPr>
                  <w:tcW w:w="629" w:type="pct"/>
                  <w:tcBorders>
                    <w:tl2br w:val="nil"/>
                    <w:tr2bl w:val="nil"/>
                  </w:tcBorders>
                  <w:noWrap w:val="0"/>
                  <w:vAlign w:val="center"/>
                </w:tcPr>
                <w:p w14:paraId="315F4A3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有组织</w:t>
                  </w:r>
                </w:p>
              </w:tc>
              <w:tc>
                <w:tcPr>
                  <w:tcW w:w="709" w:type="pct"/>
                  <w:tcBorders>
                    <w:tl2br w:val="nil"/>
                    <w:tr2bl w:val="nil"/>
                  </w:tcBorders>
                  <w:noWrap w:val="0"/>
                  <w:vAlign w:val="center"/>
                </w:tcPr>
                <w:p w14:paraId="4F30776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0.0355</w:t>
                  </w:r>
                </w:p>
              </w:tc>
            </w:tr>
            <w:tr w14:paraId="0967EB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87" w:type="pct"/>
                  <w:vMerge w:val="continue"/>
                  <w:tcBorders>
                    <w:tl2br w:val="nil"/>
                    <w:tr2bl w:val="nil"/>
                  </w:tcBorders>
                  <w:noWrap w:val="0"/>
                  <w:vAlign w:val="center"/>
                </w:tcPr>
                <w:p w14:paraId="724AE4C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772" w:type="pct"/>
                  <w:vMerge w:val="continue"/>
                  <w:tcBorders>
                    <w:tl2br w:val="nil"/>
                    <w:tr2bl w:val="nil"/>
                  </w:tcBorders>
                  <w:noWrap w:val="0"/>
                  <w:vAlign w:val="center"/>
                </w:tcPr>
                <w:p w14:paraId="48ECB5A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576" w:type="pct"/>
                  <w:vMerge w:val="continue"/>
                  <w:tcBorders>
                    <w:tl2br w:val="nil"/>
                    <w:tr2bl w:val="nil"/>
                  </w:tcBorders>
                  <w:noWrap w:val="0"/>
                  <w:vAlign w:val="center"/>
                </w:tcPr>
                <w:p w14:paraId="0334A77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723" w:type="pct"/>
                  <w:vMerge w:val="continue"/>
                  <w:tcBorders>
                    <w:tl2br w:val="nil"/>
                    <w:tr2bl w:val="nil"/>
                  </w:tcBorders>
                  <w:noWrap w:val="0"/>
                  <w:vAlign w:val="center"/>
                </w:tcPr>
                <w:p w14:paraId="54754C8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p>
              </w:tc>
              <w:tc>
                <w:tcPr>
                  <w:tcW w:w="830" w:type="pct"/>
                  <w:vMerge w:val="continue"/>
                  <w:tcBorders>
                    <w:tl2br w:val="nil"/>
                    <w:tr2bl w:val="nil"/>
                  </w:tcBorders>
                  <w:noWrap w:val="0"/>
                  <w:vAlign w:val="center"/>
                </w:tcPr>
                <w:p w14:paraId="1974796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370" w:type="pct"/>
                  <w:vMerge w:val="continue"/>
                  <w:tcBorders>
                    <w:tl2br w:val="nil"/>
                    <w:tr2bl w:val="nil"/>
                  </w:tcBorders>
                  <w:noWrap w:val="0"/>
                  <w:vAlign w:val="center"/>
                </w:tcPr>
                <w:p w14:paraId="3486E2A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629" w:type="pct"/>
                  <w:tcBorders>
                    <w:tl2br w:val="nil"/>
                    <w:tr2bl w:val="nil"/>
                  </w:tcBorders>
                  <w:noWrap w:val="0"/>
                  <w:vAlign w:val="center"/>
                </w:tcPr>
                <w:p w14:paraId="1439D81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无组织</w:t>
                  </w:r>
                </w:p>
              </w:tc>
              <w:tc>
                <w:tcPr>
                  <w:tcW w:w="709" w:type="pct"/>
                  <w:tcBorders>
                    <w:tl2br w:val="nil"/>
                    <w:tr2bl w:val="nil"/>
                  </w:tcBorders>
                  <w:noWrap w:val="0"/>
                  <w:vAlign w:val="center"/>
                </w:tcPr>
                <w:p w14:paraId="58EA0CB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0.0394</w:t>
                  </w:r>
                </w:p>
              </w:tc>
            </w:tr>
            <w:tr w14:paraId="68DAC0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87" w:type="pct"/>
                  <w:vMerge w:val="continue"/>
                  <w:tcBorders>
                    <w:tl2br w:val="nil"/>
                    <w:tr2bl w:val="nil"/>
                  </w:tcBorders>
                  <w:noWrap w:val="0"/>
                  <w:vAlign w:val="center"/>
                </w:tcPr>
                <w:p w14:paraId="4285509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772" w:type="pct"/>
                  <w:vMerge w:val="continue"/>
                  <w:tcBorders>
                    <w:tl2br w:val="nil"/>
                    <w:tr2bl w:val="nil"/>
                  </w:tcBorders>
                  <w:noWrap w:val="0"/>
                  <w:vAlign w:val="center"/>
                </w:tcPr>
                <w:p w14:paraId="252E87E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576" w:type="pct"/>
                  <w:vMerge w:val="continue"/>
                  <w:tcBorders>
                    <w:tl2br w:val="nil"/>
                    <w:tr2bl w:val="nil"/>
                  </w:tcBorders>
                  <w:noWrap w:val="0"/>
                  <w:vAlign w:val="center"/>
                </w:tcPr>
                <w:p w14:paraId="6A834F4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723" w:type="pct"/>
                  <w:vMerge w:val="continue"/>
                  <w:tcBorders>
                    <w:tl2br w:val="nil"/>
                    <w:tr2bl w:val="nil"/>
                  </w:tcBorders>
                  <w:noWrap w:val="0"/>
                  <w:vAlign w:val="center"/>
                </w:tcPr>
                <w:p w14:paraId="27BCC41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p>
              </w:tc>
              <w:tc>
                <w:tcPr>
                  <w:tcW w:w="830" w:type="pct"/>
                  <w:vMerge w:val="continue"/>
                  <w:tcBorders>
                    <w:tl2br w:val="nil"/>
                    <w:tr2bl w:val="nil"/>
                  </w:tcBorders>
                  <w:noWrap w:val="0"/>
                  <w:vAlign w:val="center"/>
                </w:tcPr>
                <w:p w14:paraId="106F4AE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00" w:type="pct"/>
                  <w:gridSpan w:val="2"/>
                  <w:vMerge w:val="restart"/>
                  <w:tcBorders>
                    <w:tl2br w:val="nil"/>
                    <w:tr2bl w:val="nil"/>
                  </w:tcBorders>
                  <w:noWrap w:val="0"/>
                  <w:vAlign w:val="center"/>
                </w:tcPr>
                <w:p w14:paraId="329162E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危废</w:t>
                  </w:r>
                  <w:r>
                    <w:rPr>
                      <w:rFonts w:hint="eastAsia" w:ascii="Times New Roman" w:hAnsi="Times New Roman" w:eastAsia="宋体" w:cs="Times New Roman"/>
                      <w:b w:val="0"/>
                      <w:bCs w:val="0"/>
                      <w:color w:val="auto"/>
                      <w:sz w:val="21"/>
                      <w:szCs w:val="21"/>
                      <w:highlight w:val="none"/>
                      <w:lang w:val="en-US" w:eastAsia="zh-CN"/>
                    </w:rPr>
                    <w:t>：进入废活性炭</w:t>
                  </w:r>
                </w:p>
              </w:tc>
              <w:tc>
                <w:tcPr>
                  <w:tcW w:w="709" w:type="pct"/>
                  <w:vMerge w:val="restart"/>
                  <w:tcBorders>
                    <w:tl2br w:val="nil"/>
                    <w:tr2bl w:val="nil"/>
                  </w:tcBorders>
                  <w:noWrap w:val="0"/>
                  <w:vAlign w:val="center"/>
                </w:tcPr>
                <w:p w14:paraId="42D099E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w:t>
                  </w:r>
                  <w:r>
                    <w:rPr>
                      <w:rFonts w:hint="eastAsia" w:cs="Times New Roman"/>
                      <w:b w:val="0"/>
                      <w:bCs w:val="0"/>
                      <w:color w:val="auto"/>
                      <w:sz w:val="21"/>
                      <w:szCs w:val="21"/>
                      <w:vertAlign w:val="baseline"/>
                      <w:lang w:val="en-US" w:eastAsia="zh-CN"/>
                    </w:rPr>
                    <w:t>3194</w:t>
                  </w:r>
                </w:p>
              </w:tc>
            </w:tr>
            <w:tr w14:paraId="20DFF9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87" w:type="pct"/>
                  <w:tcBorders>
                    <w:tl2br w:val="nil"/>
                    <w:tr2bl w:val="nil"/>
                  </w:tcBorders>
                  <w:noWrap w:val="0"/>
                  <w:vAlign w:val="center"/>
                </w:tcPr>
                <w:p w14:paraId="686BCC8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打印</w:t>
                  </w:r>
                </w:p>
              </w:tc>
              <w:tc>
                <w:tcPr>
                  <w:tcW w:w="772" w:type="pct"/>
                  <w:tcBorders>
                    <w:tl2br w:val="nil"/>
                    <w:tr2bl w:val="nil"/>
                  </w:tcBorders>
                  <w:noWrap w:val="0"/>
                  <w:vAlign w:val="center"/>
                </w:tcPr>
                <w:p w14:paraId="1DC750C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UV油墨</w:t>
                  </w:r>
                </w:p>
              </w:tc>
              <w:tc>
                <w:tcPr>
                  <w:tcW w:w="576" w:type="pct"/>
                  <w:tcBorders>
                    <w:tl2br w:val="nil"/>
                    <w:tr2bl w:val="nil"/>
                  </w:tcBorders>
                  <w:noWrap w:val="0"/>
                  <w:vAlign w:val="center"/>
                </w:tcPr>
                <w:p w14:paraId="7059A6F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0.1</w:t>
                  </w:r>
                </w:p>
              </w:tc>
              <w:tc>
                <w:tcPr>
                  <w:tcW w:w="723" w:type="pct"/>
                  <w:tcBorders>
                    <w:tl2br w:val="nil"/>
                    <w:tr2bl w:val="nil"/>
                  </w:tcBorders>
                  <w:noWrap w:val="0"/>
                  <w:vAlign w:val="center"/>
                </w:tcPr>
                <w:p w14:paraId="5E2701D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2.8%</w:t>
                  </w:r>
                </w:p>
              </w:tc>
              <w:tc>
                <w:tcPr>
                  <w:tcW w:w="830" w:type="pct"/>
                  <w:tcBorders>
                    <w:tl2br w:val="nil"/>
                    <w:tr2bl w:val="nil"/>
                  </w:tcBorders>
                  <w:noWrap w:val="0"/>
                  <w:vAlign w:val="center"/>
                </w:tcPr>
                <w:p w14:paraId="48D8ACC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0.0028</w:t>
                  </w:r>
                </w:p>
              </w:tc>
              <w:tc>
                <w:tcPr>
                  <w:tcW w:w="1000" w:type="pct"/>
                  <w:gridSpan w:val="2"/>
                  <w:vMerge w:val="continue"/>
                  <w:tcBorders>
                    <w:tl2br w:val="nil"/>
                    <w:tr2bl w:val="nil"/>
                  </w:tcBorders>
                  <w:noWrap w:val="0"/>
                  <w:vAlign w:val="center"/>
                </w:tcPr>
                <w:p w14:paraId="2C7D182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709" w:type="pct"/>
                  <w:vMerge w:val="continue"/>
                  <w:tcBorders>
                    <w:tl2br w:val="nil"/>
                    <w:tr2bl w:val="nil"/>
                  </w:tcBorders>
                  <w:noWrap w:val="0"/>
                  <w:vAlign w:val="center"/>
                </w:tcPr>
                <w:p w14:paraId="17A10B2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p>
              </w:tc>
            </w:tr>
            <w:tr w14:paraId="32E6F1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87" w:type="pct"/>
                  <w:tcBorders>
                    <w:tl2br w:val="nil"/>
                    <w:tr2bl w:val="nil"/>
                  </w:tcBorders>
                  <w:noWrap w:val="0"/>
                  <w:vAlign w:val="center"/>
                </w:tcPr>
                <w:p w14:paraId="064D4F0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合计</w:t>
                  </w:r>
                </w:p>
              </w:tc>
              <w:tc>
                <w:tcPr>
                  <w:tcW w:w="2071" w:type="pct"/>
                  <w:gridSpan w:val="3"/>
                  <w:tcBorders>
                    <w:tl2br w:val="nil"/>
                    <w:tr2bl w:val="nil"/>
                  </w:tcBorders>
                  <w:noWrap w:val="0"/>
                  <w:vAlign w:val="center"/>
                </w:tcPr>
                <w:p w14:paraId="6471DDD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830" w:type="pct"/>
                  <w:tcBorders>
                    <w:tl2br w:val="nil"/>
                    <w:tr2bl w:val="nil"/>
                  </w:tcBorders>
                  <w:noWrap w:val="0"/>
                  <w:vAlign w:val="center"/>
                </w:tcPr>
                <w:p w14:paraId="5C861CE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w:t>
                  </w:r>
                  <w:r>
                    <w:rPr>
                      <w:rFonts w:hint="eastAsia" w:cs="Times New Roman"/>
                      <w:b w:val="0"/>
                      <w:bCs w:val="0"/>
                      <w:color w:val="auto"/>
                      <w:sz w:val="21"/>
                      <w:szCs w:val="21"/>
                      <w:vertAlign w:val="baseline"/>
                      <w:lang w:val="en-US" w:eastAsia="zh-CN"/>
                    </w:rPr>
                    <w:t>3943</w:t>
                  </w:r>
                </w:p>
              </w:tc>
              <w:tc>
                <w:tcPr>
                  <w:tcW w:w="1000" w:type="pct"/>
                  <w:gridSpan w:val="2"/>
                  <w:tcBorders>
                    <w:tl2br w:val="nil"/>
                    <w:tr2bl w:val="nil"/>
                  </w:tcBorders>
                  <w:noWrap w:val="0"/>
                  <w:vAlign w:val="center"/>
                </w:tcPr>
                <w:p w14:paraId="5FEC573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709" w:type="pct"/>
                  <w:tcBorders>
                    <w:tl2br w:val="nil"/>
                    <w:tr2bl w:val="nil"/>
                  </w:tcBorders>
                  <w:noWrap w:val="0"/>
                  <w:vAlign w:val="center"/>
                </w:tcPr>
                <w:p w14:paraId="59EF1B6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w:t>
                  </w:r>
                  <w:r>
                    <w:rPr>
                      <w:rFonts w:hint="eastAsia" w:cs="Times New Roman"/>
                      <w:b w:val="0"/>
                      <w:bCs w:val="0"/>
                      <w:color w:val="auto"/>
                      <w:sz w:val="21"/>
                      <w:szCs w:val="21"/>
                      <w:vertAlign w:val="baseline"/>
                      <w:lang w:val="en-US" w:eastAsia="zh-CN"/>
                    </w:rPr>
                    <w:t>3943</w:t>
                  </w:r>
                </w:p>
              </w:tc>
            </w:tr>
          </w:tbl>
          <w:p w14:paraId="03E44018">
            <w:pPr>
              <w:numPr>
                <w:ilvl w:val="0"/>
                <w:numId w:val="0"/>
              </w:numPr>
              <w:snapToGrid/>
              <w:ind w:firstLine="0" w:firstLineChars="0"/>
              <w:rPr>
                <w:b/>
                <w:bCs/>
                <w:color w:val="auto"/>
                <w:sz w:val="24"/>
                <w:szCs w:val="24"/>
              </w:rPr>
            </w:pPr>
            <w:r>
              <w:rPr>
                <w:rFonts w:hint="eastAsia"/>
                <w:b/>
                <w:bCs/>
                <w:color w:val="auto"/>
                <w:sz w:val="24"/>
                <w:szCs w:val="24"/>
                <w:lang w:val="en-US" w:eastAsia="zh-CN"/>
              </w:rPr>
              <w:t>9、</w:t>
            </w:r>
            <w:r>
              <w:rPr>
                <w:b/>
                <w:bCs/>
                <w:color w:val="auto"/>
                <w:sz w:val="24"/>
                <w:szCs w:val="24"/>
              </w:rPr>
              <w:t>厂区平面布置</w:t>
            </w:r>
            <w:r>
              <w:rPr>
                <w:rFonts w:hint="eastAsia"/>
                <w:b/>
                <w:bCs/>
                <w:color w:val="auto"/>
                <w:sz w:val="24"/>
                <w:szCs w:val="24"/>
              </w:rPr>
              <w:t>和周边环境概况</w:t>
            </w:r>
          </w:p>
          <w:p w14:paraId="5D8B7190">
            <w:pPr>
              <w:ind w:firstLine="420"/>
              <w:rPr>
                <w:color w:val="auto"/>
                <w:sz w:val="24"/>
                <w:szCs w:val="24"/>
              </w:rPr>
            </w:pPr>
            <w:r>
              <w:rPr>
                <w:color w:val="auto"/>
                <w:sz w:val="24"/>
                <w:szCs w:val="24"/>
              </w:rPr>
              <w:t>本项目位于</w:t>
            </w:r>
            <w:r>
              <w:rPr>
                <w:rFonts w:hint="eastAsia" w:ascii="Times New Roman" w:hAnsi="Times New Roman" w:eastAsia="宋体" w:cs="Times New Roman"/>
                <w:color w:val="auto"/>
                <w:sz w:val="24"/>
                <w:highlight w:val="none"/>
                <w:lang w:eastAsia="zh-CN"/>
              </w:rPr>
              <w:t>江苏省常州市</w:t>
            </w:r>
            <w:r>
              <w:rPr>
                <w:rFonts w:hint="eastAsia" w:cs="Times New Roman"/>
                <w:color w:val="auto"/>
                <w:sz w:val="24"/>
                <w:highlight w:val="none"/>
                <w:lang w:eastAsia="zh-CN"/>
              </w:rPr>
              <w:t>金坛区金坛经济开发区珠山路66号</w:t>
            </w:r>
            <w:r>
              <w:rPr>
                <w:rFonts w:hint="eastAsia" w:cs="Times New Roman"/>
                <w:color w:val="auto"/>
                <w:sz w:val="24"/>
                <w:highlight w:val="none"/>
                <w:lang w:val="en-US" w:eastAsia="zh-CN"/>
              </w:rPr>
              <w:t>金海盛科技园内</w:t>
            </w:r>
            <w:r>
              <w:rPr>
                <w:color w:val="auto"/>
                <w:sz w:val="24"/>
                <w:szCs w:val="24"/>
              </w:rPr>
              <w:t>，</w:t>
            </w:r>
            <w:r>
              <w:rPr>
                <w:rFonts w:hint="eastAsia"/>
                <w:color w:val="auto"/>
                <w:sz w:val="24"/>
                <w:szCs w:val="24"/>
                <w:lang w:val="en-US" w:eastAsia="zh-CN"/>
              </w:rPr>
              <w:t>购置了</w:t>
            </w:r>
            <w:r>
              <w:rPr>
                <w:rFonts w:hint="eastAsia" w:ascii="Times New Roman" w:hAnsi="Times New Roman" w:eastAsia="宋体" w:cs="Times New Roman"/>
                <w:color w:val="auto"/>
                <w:kern w:val="2"/>
                <w:sz w:val="24"/>
                <w:szCs w:val="24"/>
                <w:lang w:val="en-US" w:eastAsia="zh-CN" w:bidi="ar-SA"/>
              </w:rPr>
              <w:t>常州市昇海智能科技有限公司</w:t>
            </w:r>
            <w:r>
              <w:rPr>
                <w:rFonts w:hint="eastAsia"/>
                <w:color w:val="auto"/>
                <w:sz w:val="24"/>
                <w:szCs w:val="24"/>
                <w:lang w:val="en-US" w:eastAsia="zh-CN"/>
              </w:rPr>
              <w:t>现有厂房20#1单元，</w:t>
            </w:r>
            <w:r>
              <w:rPr>
                <w:color w:val="auto"/>
                <w:sz w:val="24"/>
                <w:szCs w:val="24"/>
              </w:rPr>
              <w:t>用于生产及办公。项目地理位置图见附图1，</w:t>
            </w:r>
            <w:r>
              <w:rPr>
                <w:bCs/>
                <w:color w:val="auto"/>
                <w:sz w:val="24"/>
                <w:szCs w:val="24"/>
              </w:rPr>
              <w:t>根据现场踏勘情况，</w:t>
            </w:r>
            <w:r>
              <w:rPr>
                <w:rFonts w:hint="eastAsia"/>
                <w:bCs/>
                <w:color w:val="auto"/>
                <w:sz w:val="24"/>
                <w:szCs w:val="24"/>
                <w:lang w:val="en-US" w:eastAsia="zh-CN"/>
              </w:rPr>
              <w:t>园区</w:t>
            </w:r>
            <w:r>
              <w:rPr>
                <w:rFonts w:hint="default"/>
                <w:bCs/>
                <w:color w:val="auto"/>
                <w:sz w:val="24"/>
                <w:szCs w:val="24"/>
                <w:lang w:val="en-US" w:eastAsia="zh-CN"/>
              </w:rPr>
              <w:t>东侧</w:t>
            </w:r>
            <w:r>
              <w:rPr>
                <w:rFonts w:hint="default"/>
                <w:bCs/>
                <w:color w:val="auto"/>
                <w:sz w:val="24"/>
                <w:szCs w:val="24"/>
              </w:rPr>
              <w:t>为</w:t>
            </w:r>
            <w:r>
              <w:rPr>
                <w:rFonts w:hint="eastAsia"/>
                <w:bCs/>
                <w:color w:val="auto"/>
                <w:sz w:val="24"/>
                <w:szCs w:val="24"/>
                <w:lang w:val="en-US" w:eastAsia="zh-CN"/>
              </w:rPr>
              <w:t>江苏索拉特</w:t>
            </w:r>
            <w:r>
              <w:rPr>
                <w:rFonts w:hint="default"/>
                <w:bCs/>
                <w:color w:val="auto"/>
                <w:sz w:val="24"/>
                <w:szCs w:val="24"/>
              </w:rPr>
              <w:t>；南侧为</w:t>
            </w:r>
            <w:r>
              <w:rPr>
                <w:rFonts w:hint="eastAsia"/>
                <w:bCs/>
                <w:color w:val="auto"/>
                <w:sz w:val="24"/>
                <w:szCs w:val="24"/>
                <w:lang w:val="en-US" w:eastAsia="zh-CN"/>
              </w:rPr>
              <w:t>海目星激光智能装备（江苏）有限公司</w:t>
            </w:r>
            <w:r>
              <w:rPr>
                <w:rFonts w:hint="default"/>
                <w:bCs/>
                <w:color w:val="auto"/>
                <w:sz w:val="24"/>
                <w:szCs w:val="24"/>
              </w:rPr>
              <w:t>；西侧为</w:t>
            </w:r>
            <w:r>
              <w:rPr>
                <w:rFonts w:hint="eastAsia"/>
                <w:bCs/>
                <w:color w:val="auto"/>
                <w:sz w:val="24"/>
                <w:szCs w:val="24"/>
                <w:lang w:val="en-US" w:eastAsia="zh-CN"/>
              </w:rPr>
              <w:t>常州嘉霖灯饰有限公司</w:t>
            </w:r>
            <w:r>
              <w:rPr>
                <w:rFonts w:hint="default"/>
                <w:bCs/>
                <w:color w:val="auto"/>
                <w:sz w:val="24"/>
                <w:szCs w:val="24"/>
              </w:rPr>
              <w:t>；北侧为</w:t>
            </w:r>
            <w:r>
              <w:rPr>
                <w:rFonts w:hint="eastAsia"/>
                <w:bCs/>
                <w:color w:val="auto"/>
                <w:sz w:val="24"/>
                <w:szCs w:val="24"/>
                <w:lang w:val="en-US" w:eastAsia="zh-CN"/>
              </w:rPr>
              <w:t>珠山路，隔路为空地</w:t>
            </w:r>
            <w:r>
              <w:rPr>
                <w:color w:val="auto"/>
                <w:sz w:val="24"/>
                <w:szCs w:val="24"/>
              </w:rPr>
              <w:t>。</w:t>
            </w:r>
            <w:r>
              <w:rPr>
                <w:rFonts w:hint="eastAsia"/>
                <w:color w:val="auto"/>
                <w:sz w:val="24"/>
                <w:szCs w:val="24"/>
                <w:lang w:val="en-US" w:eastAsia="zh-CN"/>
              </w:rPr>
              <w:t>项目</w:t>
            </w:r>
            <w:r>
              <w:rPr>
                <w:bCs/>
                <w:color w:val="auto"/>
                <w:sz w:val="24"/>
                <w:szCs w:val="24"/>
              </w:rPr>
              <w:t>周边500米</w:t>
            </w:r>
            <w:r>
              <w:rPr>
                <w:rFonts w:hint="eastAsia"/>
                <w:bCs/>
                <w:color w:val="auto"/>
                <w:sz w:val="24"/>
                <w:szCs w:val="24"/>
                <w:lang w:val="en-US" w:eastAsia="zh-CN"/>
              </w:rPr>
              <w:t>内无</w:t>
            </w:r>
            <w:r>
              <w:rPr>
                <w:rFonts w:hint="eastAsia"/>
                <w:color w:val="auto"/>
                <w:sz w:val="24"/>
                <w:szCs w:val="24"/>
                <w:lang w:val="en-US" w:eastAsia="zh-CN"/>
              </w:rPr>
              <w:t>敏感点，</w:t>
            </w:r>
            <w:r>
              <w:rPr>
                <w:bCs/>
                <w:color w:val="auto"/>
                <w:sz w:val="24"/>
                <w:szCs w:val="24"/>
              </w:rPr>
              <w:t>项目周边500米环境概况见附图2。</w:t>
            </w:r>
          </w:p>
          <w:p w14:paraId="5A7BF39C">
            <w:pPr>
              <w:ind w:firstLine="420"/>
              <w:rPr>
                <w:bCs/>
                <w:color w:val="auto"/>
                <w:sz w:val="24"/>
                <w:szCs w:val="24"/>
              </w:rPr>
            </w:pPr>
            <w:r>
              <w:rPr>
                <w:rFonts w:hint="eastAsia" w:ascii="Times New Roman" w:hAnsi="Times New Roman" w:eastAsia="宋体" w:cs="Times New Roman"/>
                <w:bCs/>
                <w:color w:val="auto"/>
                <w:sz w:val="24"/>
                <w:szCs w:val="24"/>
                <w:lang w:val="en-US" w:eastAsia="zh-CN"/>
              </w:rPr>
              <w:t>建设项目所在生产车间建筑面积约</w:t>
            </w:r>
            <w:r>
              <w:rPr>
                <w:rFonts w:hint="eastAsia" w:cs="Times New Roman"/>
                <w:bCs/>
                <w:color w:val="auto"/>
                <w:sz w:val="24"/>
                <w:szCs w:val="24"/>
                <w:lang w:val="en-US" w:eastAsia="zh-CN"/>
              </w:rPr>
              <w:t>2183.66</w:t>
            </w:r>
            <w:r>
              <w:rPr>
                <w:rFonts w:hint="eastAsia" w:ascii="Times New Roman" w:hAnsi="Times New Roman" w:eastAsia="宋体" w:cs="Times New Roman"/>
                <w:bCs/>
                <w:color w:val="auto"/>
                <w:sz w:val="24"/>
                <w:szCs w:val="24"/>
                <w:lang w:val="en-US" w:eastAsia="zh-CN"/>
              </w:rPr>
              <w:t>m</w:t>
            </w:r>
            <w:r>
              <w:rPr>
                <w:rFonts w:hint="eastAsia" w:cs="Times New Roman"/>
                <w:bCs/>
                <w:color w:val="auto"/>
                <w:sz w:val="24"/>
                <w:szCs w:val="24"/>
                <w:lang w:val="en-US" w:eastAsia="zh-CN"/>
              </w:rPr>
              <w:t>²</w:t>
            </w:r>
            <w:r>
              <w:rPr>
                <w:rFonts w:hint="eastAsia" w:ascii="Times New Roman" w:hAnsi="Times New Roman" w:eastAsia="宋体" w:cs="Times New Roman"/>
                <w:bCs/>
                <w:color w:val="auto"/>
                <w:sz w:val="24"/>
                <w:szCs w:val="24"/>
                <w:lang w:val="en-US" w:eastAsia="zh-CN"/>
              </w:rPr>
              <w:t>，</w:t>
            </w:r>
            <w:r>
              <w:rPr>
                <w:rFonts w:hint="eastAsia" w:cs="Times New Roman"/>
                <w:bCs/>
                <w:color w:val="auto"/>
                <w:sz w:val="24"/>
                <w:szCs w:val="24"/>
                <w:highlight w:val="none"/>
                <w:lang w:val="en-US" w:eastAsia="zh-CN"/>
              </w:rPr>
              <w:t>1F</w:t>
            </w:r>
            <w:r>
              <w:rPr>
                <w:rFonts w:hint="eastAsia" w:ascii="Times New Roman" w:hAnsi="Times New Roman" w:eastAsia="宋体" w:cs="Times New Roman"/>
                <w:bCs/>
                <w:color w:val="auto"/>
                <w:sz w:val="24"/>
                <w:szCs w:val="24"/>
                <w:highlight w:val="none"/>
                <w:lang w:val="en-US" w:eastAsia="zh-CN"/>
              </w:rPr>
              <w:t>生产车间包括</w:t>
            </w:r>
            <w:r>
              <w:rPr>
                <w:rFonts w:hint="eastAsia" w:cs="Times New Roman"/>
                <w:bCs/>
                <w:color w:val="auto"/>
                <w:sz w:val="24"/>
                <w:szCs w:val="24"/>
                <w:highlight w:val="none"/>
                <w:lang w:val="en-US" w:eastAsia="zh-CN"/>
              </w:rPr>
              <w:t>注塑区、打印区、机加工区、电火花区、抛光区、成品堆场、原料堆场、原辅料仓库以及一般固废仓库和危废仓库</w:t>
            </w:r>
            <w:r>
              <w:rPr>
                <w:rFonts w:hint="eastAsia"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2F</w:t>
            </w:r>
            <w:r>
              <w:rPr>
                <w:rFonts w:hint="eastAsia" w:ascii="Times New Roman" w:hAnsi="Times New Roman" w:eastAsia="宋体" w:cs="Times New Roman"/>
                <w:bCs/>
                <w:color w:val="auto"/>
                <w:sz w:val="24"/>
                <w:szCs w:val="24"/>
                <w:highlight w:val="none"/>
                <w:lang w:val="en-US" w:eastAsia="zh-CN"/>
              </w:rPr>
              <w:t>车间包括</w:t>
            </w:r>
            <w:r>
              <w:rPr>
                <w:rFonts w:hint="eastAsia" w:cs="Times New Roman"/>
                <w:bCs/>
                <w:color w:val="auto"/>
                <w:sz w:val="24"/>
                <w:szCs w:val="24"/>
                <w:highlight w:val="none"/>
                <w:lang w:val="en-US" w:eastAsia="zh-CN"/>
              </w:rPr>
              <w:t>洁净车间和办公室等，洁净车间包括清洗区、焊接区、组装区等</w:t>
            </w:r>
            <w:r>
              <w:rPr>
                <w:rFonts w:hint="eastAsia" w:ascii="Times New Roman" w:hAnsi="Times New Roman" w:eastAsia="宋体" w:cs="Times New Roman"/>
                <w:bCs/>
                <w:color w:val="auto"/>
                <w:sz w:val="24"/>
                <w:szCs w:val="24"/>
                <w:highlight w:val="none"/>
                <w:lang w:val="en-US" w:eastAsia="zh-CN"/>
              </w:rPr>
              <w:t>。项目</w:t>
            </w:r>
            <w:r>
              <w:rPr>
                <w:bCs/>
                <w:color w:val="auto"/>
                <w:sz w:val="24"/>
                <w:szCs w:val="24"/>
                <w:highlight w:val="none"/>
              </w:rPr>
              <w:t>厂区及车间平面布置图见附图3。</w:t>
            </w:r>
          </w:p>
          <w:p w14:paraId="2202C5D0">
            <w:pPr>
              <w:ind w:firstLine="420"/>
              <w:rPr>
                <w:rFonts w:hint="default" w:eastAsia="宋体"/>
                <w:bCs/>
                <w:color w:val="auto"/>
                <w:sz w:val="24"/>
                <w:szCs w:val="24"/>
                <w:lang w:val="en-US" w:eastAsia="zh-CN"/>
              </w:rPr>
            </w:pPr>
            <w:r>
              <w:rPr>
                <w:rFonts w:hint="eastAsia"/>
                <w:bCs/>
                <w:color w:val="auto"/>
                <w:sz w:val="24"/>
                <w:szCs w:val="24"/>
                <w:lang w:val="en-US" w:eastAsia="zh-CN"/>
              </w:rPr>
              <w:t>平面布置合理性分析：本项目厂区平面布置，严格执行国家有关标准和规范，储存区和装卸区和道路的布局满足防火间距和安全疏散的要求，满足消防车通行需要、满足防火、防爆等安全生产要求，满足实际需要，便于经营和检修的要求，从满足安全生产和生产经营需要的角度，厂区平面布置是合理的。</w:t>
            </w:r>
          </w:p>
        </w:tc>
      </w:tr>
      <w:tr w14:paraId="753DC5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8" w:type="dxa"/>
            <w:noWrap w:val="0"/>
            <w:vAlign w:val="center"/>
          </w:tcPr>
          <w:p w14:paraId="1FD13351">
            <w:pPr>
              <w:spacing w:line="240" w:lineRule="auto"/>
              <w:ind w:firstLine="0" w:firstLineChars="0"/>
              <w:jc w:val="center"/>
              <w:rPr>
                <w:b/>
                <w:bCs/>
                <w:color w:val="auto"/>
                <w:sz w:val="24"/>
                <w:szCs w:val="24"/>
              </w:rPr>
            </w:pPr>
            <w:r>
              <w:rPr>
                <w:b/>
                <w:bCs/>
                <w:color w:val="auto"/>
                <w:sz w:val="24"/>
                <w:szCs w:val="24"/>
              </w:rPr>
              <w:t>工艺流程和产排污环节</w:t>
            </w:r>
          </w:p>
        </w:tc>
        <w:tc>
          <w:tcPr>
            <w:tcW w:w="9464" w:type="dxa"/>
            <w:noWrap w:val="0"/>
            <w:vAlign w:val="center"/>
          </w:tcPr>
          <w:p w14:paraId="59E6AB73">
            <w:pPr>
              <w:ind w:firstLine="0" w:firstLineChars="0"/>
              <w:rPr>
                <w:b/>
                <w:bCs/>
                <w:color w:val="auto"/>
                <w:sz w:val="24"/>
                <w:szCs w:val="24"/>
              </w:rPr>
            </w:pPr>
            <w:r>
              <w:rPr>
                <w:b/>
                <w:bCs/>
                <w:color w:val="auto"/>
                <w:sz w:val="24"/>
                <w:szCs w:val="24"/>
              </w:rPr>
              <w:t>1、施工期</w:t>
            </w:r>
          </w:p>
          <w:p w14:paraId="2E954DB2">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color w:val="auto"/>
                <w:sz w:val="24"/>
                <w:szCs w:val="24"/>
              </w:rPr>
            </w:pPr>
            <w:r>
              <w:rPr>
                <w:rFonts w:hint="default"/>
                <w:color w:val="auto"/>
                <w:sz w:val="24"/>
                <w:highlight w:val="none"/>
              </w:rPr>
              <w:t>本项目</w:t>
            </w:r>
            <w:r>
              <w:rPr>
                <w:rFonts w:hint="eastAsia"/>
                <w:color w:val="auto"/>
                <w:sz w:val="24"/>
                <w:highlight w:val="none"/>
                <w:lang w:val="en-US" w:eastAsia="zh-CN"/>
              </w:rPr>
              <w:t>购置</w:t>
            </w:r>
            <w:r>
              <w:rPr>
                <w:rFonts w:hint="default"/>
                <w:color w:val="auto"/>
                <w:sz w:val="24"/>
                <w:highlight w:val="none"/>
              </w:rPr>
              <w:t>已建空置厂房进行生产，施工期仅涉及车间内部装修及设备安装，其影响范围小、程度轻、时间短。施工期产污环节主要是设备安装产生的噪声、施工人员生活污水、生活垃圾以及装修过程产生的装修垃圾。考虑施工期环境影响微弱，本评价主要针对营运期影响进行分析。</w:t>
            </w:r>
          </w:p>
        </w:tc>
      </w:tr>
    </w:tbl>
    <w:p w14:paraId="4FE7ECA8">
      <w:pPr>
        <w:spacing w:line="240" w:lineRule="auto"/>
        <w:ind w:firstLine="0" w:firstLineChars="0"/>
        <w:jc w:val="center"/>
        <w:rPr>
          <w:b/>
          <w:bCs/>
          <w:color w:val="auto"/>
        </w:rPr>
        <w:sectPr>
          <w:footerReference r:id="rId8" w:type="default"/>
          <w:pgSz w:w="11907" w:h="16840"/>
          <w:pgMar w:top="1440" w:right="1080" w:bottom="1440" w:left="1080" w:header="964" w:footer="964" w:gutter="0"/>
          <w:pgBorders w:offsetFrom="page">
            <w:top w:val="none" w:sz="0" w:space="0"/>
            <w:left w:val="none" w:sz="0" w:space="0"/>
            <w:bottom w:val="none" w:sz="0" w:space="0"/>
            <w:right w:val="none" w:sz="0" w:space="0"/>
          </w:pgBorders>
          <w:cols w:space="720" w:num="1"/>
          <w:docGrid w:type="linesAndChars" w:linePitch="312" w:charSpace="0"/>
        </w:sectPr>
      </w:pPr>
    </w:p>
    <w:tbl>
      <w:tblPr>
        <w:tblStyle w:val="17"/>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
        <w:gridCol w:w="455"/>
        <w:gridCol w:w="2"/>
        <w:gridCol w:w="9459"/>
        <w:gridCol w:w="34"/>
      </w:tblGrid>
      <w:tr w14:paraId="5984FA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wBefore w:w="2" w:type="pct"/>
          <w:trHeight w:val="13376" w:hRule="atLeast"/>
          <w:jc w:val="center"/>
        </w:trPr>
        <w:tc>
          <w:tcPr>
            <w:tcW w:w="229" w:type="pct"/>
            <w:gridSpan w:val="2"/>
            <w:noWrap w:val="0"/>
            <w:vAlign w:val="center"/>
          </w:tcPr>
          <w:p w14:paraId="2045FB6E">
            <w:pPr>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b/>
                <w:bCs/>
                <w:color w:val="auto"/>
                <w:sz w:val="24"/>
                <w:szCs w:val="24"/>
              </w:rPr>
              <w:t>工艺流程和产排污环节</w:t>
            </w:r>
          </w:p>
        </w:tc>
        <w:tc>
          <w:tcPr>
            <w:tcW w:w="4767" w:type="pct"/>
            <w:gridSpan w:val="2"/>
            <w:noWrap w:val="0"/>
            <w:vAlign w:val="top"/>
          </w:tcPr>
          <w:p w14:paraId="313C8873">
            <w:pPr>
              <w:ind w:firstLine="0" w:firstLineChars="0"/>
              <w:rPr>
                <w:b/>
                <w:bCs/>
                <w:color w:val="auto"/>
                <w:sz w:val="24"/>
                <w:szCs w:val="24"/>
              </w:rPr>
            </w:pPr>
            <w:r>
              <w:rPr>
                <w:b/>
                <w:bCs/>
                <w:color w:val="auto"/>
                <w:sz w:val="24"/>
                <w:szCs w:val="24"/>
              </w:rPr>
              <w:t>2、运营期</w:t>
            </w:r>
          </w:p>
          <w:p w14:paraId="5612A454">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b/>
                <w:bCs/>
                <w:color w:val="auto"/>
                <w:sz w:val="24"/>
                <w:szCs w:val="24"/>
              </w:rPr>
            </w:pPr>
            <w:r>
              <w:rPr>
                <w:rFonts w:hint="eastAsia"/>
                <w:b/>
                <w:bCs/>
                <w:color w:val="auto"/>
                <w:sz w:val="24"/>
                <w:szCs w:val="24"/>
                <w:lang w:eastAsia="zh-CN"/>
              </w:rPr>
              <w:t>（</w:t>
            </w:r>
            <w:r>
              <w:rPr>
                <w:rFonts w:hint="eastAsia"/>
                <w:b/>
                <w:bCs/>
                <w:color w:val="auto"/>
                <w:sz w:val="24"/>
                <w:szCs w:val="24"/>
                <w:lang w:val="en-US" w:eastAsia="zh-CN"/>
              </w:rPr>
              <w:t>1</w:t>
            </w:r>
            <w:r>
              <w:rPr>
                <w:rFonts w:hint="eastAsia"/>
                <w:b/>
                <w:bCs/>
                <w:color w:val="auto"/>
                <w:sz w:val="24"/>
                <w:szCs w:val="24"/>
                <w:lang w:eastAsia="zh-CN"/>
              </w:rPr>
              <w:t>）</w:t>
            </w:r>
            <w:r>
              <w:rPr>
                <w:b/>
                <w:bCs/>
                <w:color w:val="auto"/>
                <w:sz w:val="24"/>
                <w:szCs w:val="24"/>
              </w:rPr>
              <w:t>生产工艺流程及产污环节</w:t>
            </w:r>
          </w:p>
          <w:p w14:paraId="22A435C4">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b/>
                <w:color w:val="auto"/>
                <w:sz w:val="24"/>
                <w:szCs w:val="24"/>
              </w:rPr>
            </w:pPr>
            <w:r>
              <w:rPr>
                <w:rFonts w:hint="eastAsia"/>
                <w:b/>
                <w:color w:val="auto"/>
                <w:sz w:val="24"/>
                <w:szCs w:val="24"/>
                <w:lang w:val="en-US" w:eastAsia="zh-CN"/>
              </w:rPr>
              <w:t>①吻合器零配件生产</w:t>
            </w:r>
            <w:r>
              <w:rPr>
                <w:b/>
                <w:color w:val="auto"/>
                <w:sz w:val="24"/>
                <w:szCs w:val="24"/>
              </w:rPr>
              <w:t>工艺</w:t>
            </w:r>
          </w:p>
          <w:p w14:paraId="7DDA2005">
            <w:pPr>
              <w:spacing w:line="240" w:lineRule="auto"/>
              <w:ind w:firstLine="0" w:firstLineChars="0"/>
              <w:jc w:val="center"/>
              <w:rPr>
                <w:rFonts w:hint="eastAsia" w:eastAsia="宋体"/>
                <w:b/>
                <w:color w:val="auto"/>
                <w:sz w:val="24"/>
                <w:szCs w:val="24"/>
                <w:lang w:eastAsia="zh-CN"/>
              </w:rPr>
            </w:pPr>
            <w:r>
              <w:rPr>
                <w:rFonts w:hint="eastAsia" w:eastAsia="宋体"/>
                <w:b/>
                <w:color w:val="auto"/>
                <w:sz w:val="24"/>
                <w:szCs w:val="24"/>
                <w:lang w:eastAsia="zh-CN"/>
              </w:rPr>
              <w:drawing>
                <wp:inline distT="0" distB="0" distL="114300" distR="114300">
                  <wp:extent cx="4652010" cy="4780280"/>
                  <wp:effectExtent l="0" t="0" r="0" b="0"/>
                  <wp:docPr id="10" name="ECB019B1-382A-4266-B25C-5B523AA43C14-2" descr="C:/Users/29147/AppData/Local/Temp/wps.sOUZj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B019B1-382A-4266-B25C-5B523AA43C14-2" descr="C:/Users/29147/AppData/Local/Temp/wps.sOUZjTwps"/>
                          <pic:cNvPicPr>
                            <a:picLocks noChangeAspect="1"/>
                          </pic:cNvPicPr>
                        </pic:nvPicPr>
                        <pic:blipFill>
                          <a:blip r:embed="rId15"/>
                          <a:srcRect t="4375" b="2810"/>
                          <a:stretch>
                            <a:fillRect/>
                          </a:stretch>
                        </pic:blipFill>
                        <pic:spPr>
                          <a:xfrm>
                            <a:off x="0" y="0"/>
                            <a:ext cx="4652010" cy="4780280"/>
                          </a:xfrm>
                          <a:prstGeom prst="rect">
                            <a:avLst/>
                          </a:prstGeom>
                        </pic:spPr>
                      </pic:pic>
                    </a:graphicData>
                  </a:graphic>
                </wp:inline>
              </w:drawing>
            </w:r>
          </w:p>
          <w:p w14:paraId="73CCF6DF">
            <w:pPr>
              <w:spacing w:line="240" w:lineRule="auto"/>
              <w:ind w:firstLine="0" w:firstLineChars="0"/>
              <w:jc w:val="center"/>
              <w:rPr>
                <w:color w:val="auto"/>
              </w:rPr>
            </w:pPr>
            <w:r>
              <w:rPr>
                <w:b/>
                <w:bCs/>
                <w:color w:val="auto"/>
              </w:rPr>
              <w:t>图2-</w:t>
            </w:r>
            <w:r>
              <w:rPr>
                <w:rFonts w:hint="eastAsia"/>
                <w:b/>
                <w:bCs/>
                <w:color w:val="auto"/>
                <w:lang w:val="en-US" w:eastAsia="zh-CN"/>
              </w:rPr>
              <w:t>2</w:t>
            </w:r>
            <w:r>
              <w:rPr>
                <w:b/>
                <w:bCs/>
                <w:color w:val="auto"/>
              </w:rPr>
              <w:t xml:space="preserve">  生产工艺流程及产污节点图</w:t>
            </w:r>
          </w:p>
          <w:p w14:paraId="43D57DA9">
            <w:pPr>
              <w:ind w:firstLine="0" w:firstLineChars="0"/>
              <w:rPr>
                <w:rFonts w:hint="eastAsia" w:eastAsia="宋体"/>
                <w:b/>
                <w:color w:val="auto"/>
                <w:sz w:val="24"/>
                <w:szCs w:val="24"/>
                <w:lang w:val="en-US" w:eastAsia="zh-CN"/>
              </w:rPr>
            </w:pPr>
            <w:r>
              <w:rPr>
                <w:b/>
                <w:color w:val="auto"/>
                <w:sz w:val="24"/>
                <w:szCs w:val="24"/>
              </w:rPr>
              <w:t>工艺流程简述：</w:t>
            </w:r>
            <w:r>
              <w:rPr>
                <w:rFonts w:hint="eastAsia"/>
                <w:b/>
                <w:color w:val="auto"/>
                <w:sz w:val="24"/>
                <w:szCs w:val="24"/>
                <w:lang w:val="en-US" w:eastAsia="zh-CN"/>
              </w:rPr>
              <w:t xml:space="preserve"> </w:t>
            </w:r>
          </w:p>
          <w:p w14:paraId="57B4D3A8">
            <w:pPr>
              <w:numPr>
                <w:ilvl w:val="-1"/>
                <w:numId w:val="0"/>
              </w:numPr>
              <w:ind w:firstLine="480" w:firstLineChars="200"/>
              <w:rPr>
                <w:color w:val="auto"/>
              </w:rPr>
            </w:pPr>
            <w:r>
              <w:rPr>
                <w:rFonts w:hint="eastAsia"/>
                <w:b/>
                <w:bCs/>
                <w:color w:val="auto"/>
                <w:sz w:val="24"/>
                <w:szCs w:val="24"/>
                <w:highlight w:val="none"/>
                <w:lang w:val="en-US" w:eastAsia="zh-CN"/>
              </w:rPr>
              <w:t>烘干</w:t>
            </w:r>
            <w:r>
              <w:rPr>
                <w:b/>
                <w:bCs/>
                <w:color w:val="auto"/>
                <w:sz w:val="24"/>
                <w:szCs w:val="24"/>
                <w:highlight w:val="none"/>
              </w:rPr>
              <w:t>：</w:t>
            </w:r>
            <w:r>
              <w:rPr>
                <w:rFonts w:hint="eastAsia"/>
                <w:b w:val="0"/>
                <w:bCs w:val="0"/>
                <w:color w:val="auto"/>
                <w:sz w:val="24"/>
                <w:szCs w:val="24"/>
                <w:highlight w:val="none"/>
                <w:lang w:val="en-US" w:eastAsia="zh-CN"/>
              </w:rPr>
              <w:t>本项目所用原料为外购的预着色塑料粒子，该原料已由供应商完成配色与造粒，至厂后即为最终所需颜色，故生产过程中无需进行混料、配色等前道工序。可直接用于注塑加工。注塑前，为去除原料中的微量水分，需对其进行电加热烘干，烘干温度设置在80℃，时间约为2h，仅使水分蒸发，不涉及有机物挥发</w:t>
            </w:r>
            <w:r>
              <w:rPr>
                <w:color w:val="auto"/>
                <w:sz w:val="24"/>
                <w:szCs w:val="24"/>
                <w:highlight w:val="none"/>
              </w:rPr>
              <w:t>。</w:t>
            </w:r>
          </w:p>
          <w:p w14:paraId="2BF096B7">
            <w:pPr>
              <w:numPr>
                <w:ilvl w:val="-1"/>
                <w:numId w:val="0"/>
              </w:numPr>
              <w:ind w:firstLine="480" w:firstLineChars="200"/>
              <w:rPr>
                <w:rFonts w:hint="default" w:eastAsia="宋体"/>
                <w:b w:val="0"/>
                <w:bCs/>
                <w:color w:val="auto"/>
                <w:sz w:val="24"/>
                <w:szCs w:val="24"/>
                <w:lang w:val="en-US" w:eastAsia="zh-CN"/>
              </w:rPr>
            </w:pPr>
            <w:r>
              <w:rPr>
                <w:rFonts w:hint="eastAsia"/>
                <w:b/>
                <w:bCs w:val="0"/>
                <w:color w:val="auto"/>
                <w:sz w:val="24"/>
                <w:szCs w:val="24"/>
                <w:lang w:val="en-US" w:eastAsia="zh-CN"/>
              </w:rPr>
              <w:t>注塑</w:t>
            </w:r>
            <w:r>
              <w:rPr>
                <w:rFonts w:hint="eastAsia"/>
                <w:b w:val="0"/>
                <w:bCs/>
                <w:color w:val="auto"/>
                <w:sz w:val="24"/>
                <w:szCs w:val="24"/>
                <w:lang w:val="en-US" w:eastAsia="zh-CN"/>
              </w:rPr>
              <w:t>：将烘干后的物料加入注塑机料斗，物料通过自动上料管缓慢喂入注塑机，设置注塑机相应温度条件（ABS：210-220℃，PC：250℃，PP、PE：200℃，PA：250℃），低于原料的分解温度（ABS：250-280℃，PC：330-350℃，PP：300-350℃，PE：340-400℃，PA：300-450℃），因此不会产生分解废气，残存未聚合的反应单体以及添加剂可挥发出来。原料在注塑机内加热熔融，加热时间约20秒左右，熔融装置采用电加热。熔料在注塑机螺杆的推动下挤入企业自制的模具模腔，然后利用循环冷却水对注塑模具进行间接冷却，使塑料零件固化成型。冷却成型后打开模具，并由人工置于周转内。此工序主要产生注塑废气G1-1。</w:t>
            </w:r>
          </w:p>
          <w:p w14:paraId="3C690F68">
            <w:pPr>
              <w:numPr>
                <w:ilvl w:val="-1"/>
                <w:numId w:val="0"/>
              </w:numPr>
              <w:ind w:firstLine="480" w:firstLineChars="200"/>
              <w:rPr>
                <w:color w:val="auto"/>
                <w:sz w:val="24"/>
                <w:szCs w:val="24"/>
              </w:rPr>
            </w:pPr>
            <w:r>
              <w:rPr>
                <w:rFonts w:hint="eastAsia"/>
                <w:b/>
                <w:bCs w:val="0"/>
                <w:color w:val="auto"/>
                <w:sz w:val="24"/>
                <w:szCs w:val="24"/>
                <w:lang w:val="en-US" w:eastAsia="zh-CN"/>
              </w:rPr>
              <w:t>检验</w:t>
            </w:r>
            <w:r>
              <w:rPr>
                <w:rFonts w:hint="eastAsia"/>
                <w:color w:val="auto"/>
                <w:sz w:val="24"/>
                <w:szCs w:val="24"/>
                <w:lang w:val="en-US" w:eastAsia="zh-CN"/>
              </w:rPr>
              <w:t>：对产品进行外观检验。</w:t>
            </w:r>
            <w:r>
              <w:rPr>
                <w:rFonts w:hint="eastAsia"/>
                <w:b w:val="0"/>
                <w:bCs/>
                <w:color w:val="auto"/>
                <w:sz w:val="24"/>
                <w:szCs w:val="24"/>
                <w:lang w:val="en-US" w:eastAsia="zh-CN"/>
              </w:rPr>
              <w:t>此工序主要产生不合格品S1-1。</w:t>
            </w:r>
          </w:p>
          <w:p w14:paraId="34F92412">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eastAsia" w:ascii="Times New Roman" w:hAnsi="Times New Roman" w:eastAsia="宋体" w:cs="Times New Roman"/>
                <w:b w:val="0"/>
                <w:bCs/>
                <w:color w:val="auto"/>
                <w:kern w:val="2"/>
                <w:sz w:val="24"/>
                <w:szCs w:val="24"/>
                <w:lang w:val="en-US" w:eastAsia="zh-CN" w:bidi="ar-SA"/>
              </w:rPr>
            </w:pPr>
            <w:r>
              <w:rPr>
                <w:rFonts w:hint="eastAsia"/>
                <w:b/>
                <w:bCs w:val="0"/>
                <w:color w:val="auto"/>
                <w:sz w:val="24"/>
                <w:szCs w:val="24"/>
                <w:lang w:val="en-US" w:eastAsia="zh-CN"/>
              </w:rPr>
              <w:t>破碎：</w:t>
            </w:r>
            <w:r>
              <w:rPr>
                <w:rFonts w:hint="eastAsia"/>
                <w:b w:val="0"/>
                <w:bCs/>
                <w:color w:val="auto"/>
                <w:sz w:val="24"/>
                <w:szCs w:val="24"/>
                <w:lang w:val="en-US" w:eastAsia="zh-CN"/>
              </w:rPr>
              <w:t>检查产生的不合格品经过破碎机进行破碎，破碎的塑料回用于原工段进行</w:t>
            </w:r>
            <w:r>
              <w:rPr>
                <w:rFonts w:hint="eastAsia" w:ascii="Times New Roman" w:hAnsi="Times New Roman" w:eastAsia="宋体" w:cs="Times New Roman"/>
                <w:b w:val="0"/>
                <w:bCs/>
                <w:color w:val="auto"/>
                <w:kern w:val="2"/>
                <w:sz w:val="24"/>
                <w:szCs w:val="24"/>
                <w:lang w:val="en-US" w:eastAsia="zh-CN" w:bidi="ar-SA"/>
              </w:rPr>
              <w:t>生产。此工序主要</w:t>
            </w:r>
            <w:r>
              <w:rPr>
                <w:rFonts w:hint="eastAsia" w:cs="Times New Roman"/>
                <w:b w:val="0"/>
                <w:bCs/>
                <w:color w:val="auto"/>
                <w:kern w:val="2"/>
                <w:sz w:val="24"/>
                <w:szCs w:val="24"/>
                <w:lang w:val="en-US" w:eastAsia="zh-CN" w:bidi="ar-SA"/>
              </w:rPr>
              <w:t>产生</w:t>
            </w:r>
            <w:r>
              <w:rPr>
                <w:rFonts w:hint="eastAsia" w:ascii="Times New Roman" w:hAnsi="Times New Roman" w:eastAsia="宋体" w:cs="Times New Roman"/>
                <w:b w:val="0"/>
                <w:bCs/>
                <w:color w:val="auto"/>
                <w:kern w:val="2"/>
                <w:sz w:val="24"/>
                <w:szCs w:val="24"/>
                <w:lang w:val="en-US" w:eastAsia="zh-CN" w:bidi="ar-SA"/>
              </w:rPr>
              <w:t>破碎粉尘G</w:t>
            </w:r>
            <w:r>
              <w:rPr>
                <w:rFonts w:hint="eastAsia" w:cs="Times New Roman"/>
                <w:b w:val="0"/>
                <w:bCs/>
                <w:color w:val="auto"/>
                <w:kern w:val="2"/>
                <w:sz w:val="24"/>
                <w:szCs w:val="24"/>
                <w:lang w:val="en-US" w:eastAsia="zh-CN" w:bidi="ar-SA"/>
              </w:rPr>
              <w:t>1-</w:t>
            </w:r>
            <w:r>
              <w:rPr>
                <w:rFonts w:hint="eastAsia" w:ascii="Times New Roman" w:hAnsi="Times New Roman" w:eastAsia="宋体" w:cs="Times New Roman"/>
                <w:b w:val="0"/>
                <w:bCs/>
                <w:color w:val="auto"/>
                <w:kern w:val="2"/>
                <w:sz w:val="24"/>
                <w:szCs w:val="24"/>
                <w:lang w:val="en-US" w:eastAsia="zh-CN" w:bidi="ar-SA"/>
              </w:rPr>
              <w:t>2。</w:t>
            </w:r>
          </w:p>
          <w:p w14:paraId="0D7D6A07">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eastAsia"/>
                <w:bCs/>
                <w:color w:val="auto"/>
                <w:sz w:val="24"/>
                <w:szCs w:val="24"/>
              </w:rPr>
            </w:pPr>
            <w:r>
              <w:rPr>
                <w:rFonts w:hint="eastAsia" w:cs="Times New Roman"/>
                <w:b/>
                <w:bCs w:val="0"/>
                <w:color w:val="auto"/>
                <w:kern w:val="2"/>
                <w:sz w:val="24"/>
                <w:szCs w:val="24"/>
                <w:lang w:val="en-US" w:eastAsia="zh-CN" w:bidi="ar-SA"/>
              </w:rPr>
              <w:t>UV打印</w:t>
            </w:r>
            <w:r>
              <w:rPr>
                <w:rFonts w:hint="default" w:ascii="Times New Roman" w:hAnsi="Times New Roman" w:eastAsia="宋体" w:cs="Times New Roman"/>
                <w:b/>
                <w:bCs w:val="0"/>
                <w:color w:val="auto"/>
                <w:kern w:val="2"/>
                <w:sz w:val="24"/>
                <w:szCs w:val="24"/>
                <w:lang w:val="en-US" w:eastAsia="zh-CN" w:bidi="ar-SA"/>
              </w:rPr>
              <w:t>：</w:t>
            </w:r>
            <w:r>
              <w:rPr>
                <w:rFonts w:hint="eastAsia" w:cs="Times New Roman"/>
                <w:b w:val="0"/>
                <w:bCs/>
                <w:color w:val="auto"/>
                <w:kern w:val="2"/>
                <w:sz w:val="24"/>
                <w:szCs w:val="24"/>
                <w:lang w:val="en-US" w:eastAsia="zh-CN" w:bidi="ar-SA"/>
              </w:rPr>
              <w:t>根据客户需求设计，在电脑上设置好打印的图案和尺寸进行排版，将工件置于UV打印机上进行打印，油墨采取人工搬运方式进行输送，项目使用UV打印机，直接安装墨盒即可打印，无需调墨。</w:t>
            </w:r>
            <w:r>
              <w:rPr>
                <w:rFonts w:hint="eastAsia"/>
                <w:bCs/>
                <w:color w:val="auto"/>
                <w:sz w:val="24"/>
                <w:szCs w:val="24"/>
              </w:rPr>
              <w:t>打印机根据指令，控制精密的压电式打印头，将微小的UV墨水液滴精准地喷射到材料表面</w:t>
            </w:r>
            <w:r>
              <w:rPr>
                <w:rFonts w:hint="eastAsia"/>
                <w:bCs/>
                <w:color w:val="auto"/>
                <w:sz w:val="24"/>
                <w:szCs w:val="24"/>
                <w:lang w:eastAsia="zh-CN"/>
              </w:rPr>
              <w:t>。</w:t>
            </w:r>
            <w:r>
              <w:rPr>
                <w:rFonts w:hint="eastAsia"/>
                <w:bCs/>
                <w:color w:val="auto"/>
                <w:sz w:val="24"/>
                <w:szCs w:val="24"/>
              </w:rPr>
              <w:t xml:space="preserve">在墨水刚刚接触到材料表面的瞬间，安装在打印头旁的UV </w:t>
            </w:r>
            <w:r>
              <w:rPr>
                <w:rFonts w:hint="eastAsia"/>
                <w:bCs/>
                <w:color w:val="auto"/>
                <w:sz w:val="24"/>
                <w:szCs w:val="24"/>
                <w:lang w:val="en-US" w:eastAsia="zh-CN"/>
              </w:rPr>
              <w:t>-</w:t>
            </w:r>
            <w:r>
              <w:rPr>
                <w:rFonts w:hint="eastAsia"/>
                <w:bCs/>
                <w:color w:val="auto"/>
                <w:sz w:val="24"/>
                <w:szCs w:val="24"/>
              </w:rPr>
              <w:t>LED固化灯立即发射紫外线。紫外线能量触发墨水中的光引发剂发生化学反应，使墨水中的单体/低聚物迅速交联聚合，从液态变为固态。</w:t>
            </w:r>
          </w:p>
          <w:p w14:paraId="33028BAD">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default" w:ascii="Times New Roman" w:hAnsi="Times New Roman" w:eastAsia="宋体" w:cs="Times New Roman"/>
                <w:b w:val="0"/>
                <w:bCs/>
                <w:color w:val="auto"/>
                <w:kern w:val="2"/>
                <w:sz w:val="24"/>
                <w:szCs w:val="24"/>
                <w:lang w:val="en-US" w:eastAsia="zh-CN" w:bidi="ar-SA"/>
              </w:rPr>
            </w:pPr>
            <w:r>
              <w:rPr>
                <w:rFonts w:hint="eastAsia"/>
                <w:bCs/>
                <w:color w:val="auto"/>
                <w:sz w:val="24"/>
                <w:szCs w:val="24"/>
              </w:rPr>
              <w:t>UV墨水在空气中暴露时间稍长，就会因紫外线或水分开始固化，喷头表面可能形成极细微的墨滴、墨渣或结皮。这些杂质会阻挡墨滴的正常喷射，造成打印断线、虚线。</w:t>
            </w:r>
            <w:r>
              <w:rPr>
                <w:rFonts w:hint="eastAsia"/>
                <w:bCs/>
                <w:color w:val="auto"/>
                <w:sz w:val="24"/>
                <w:szCs w:val="24"/>
                <w:lang w:val="en-US" w:eastAsia="zh-CN"/>
              </w:rPr>
              <w:t>为</w:t>
            </w:r>
            <w:r>
              <w:rPr>
                <w:rFonts w:hint="eastAsia"/>
                <w:bCs/>
                <w:color w:val="auto"/>
                <w:sz w:val="24"/>
                <w:szCs w:val="24"/>
              </w:rPr>
              <w:t>保证打印质量</w:t>
            </w:r>
            <w:r>
              <w:rPr>
                <w:rFonts w:hint="eastAsia"/>
                <w:bCs/>
                <w:color w:val="auto"/>
                <w:sz w:val="24"/>
                <w:szCs w:val="24"/>
                <w:lang w:eastAsia="zh-CN"/>
              </w:rPr>
              <w:t>，</w:t>
            </w:r>
            <w:r>
              <w:rPr>
                <w:rFonts w:hint="eastAsia"/>
                <w:bCs/>
                <w:color w:val="auto"/>
                <w:sz w:val="24"/>
                <w:szCs w:val="24"/>
                <w:lang w:val="en-US" w:eastAsia="zh-CN"/>
              </w:rPr>
              <w:t>需要</w:t>
            </w:r>
            <w:r>
              <w:rPr>
                <w:rFonts w:hint="eastAsia"/>
                <w:bCs/>
                <w:color w:val="auto"/>
                <w:sz w:val="24"/>
                <w:szCs w:val="24"/>
              </w:rPr>
              <w:t>定期</w:t>
            </w:r>
            <w:r>
              <w:rPr>
                <w:rFonts w:hint="eastAsia"/>
                <w:bCs/>
                <w:color w:val="auto"/>
                <w:sz w:val="24"/>
                <w:szCs w:val="24"/>
                <w:lang w:val="en-US" w:eastAsia="zh-CN"/>
              </w:rPr>
              <w:t>使用抹布擦拭喷头。</w:t>
            </w:r>
            <w:r>
              <w:rPr>
                <w:rFonts w:hint="eastAsia" w:cs="Times New Roman"/>
                <w:b w:val="0"/>
                <w:bCs/>
                <w:color w:val="auto"/>
                <w:kern w:val="2"/>
                <w:sz w:val="24"/>
                <w:szCs w:val="24"/>
                <w:lang w:val="en-US" w:eastAsia="zh-CN" w:bidi="ar-SA"/>
              </w:rPr>
              <w:t>企业UV打印机有备用喷头，若出现故障返回厂家进行修理，企业不自行清洗。UV打印机采用先进环保的UV-LED紫外固化系统，采用半导体放光，不会产生废UV灯管。此工序主要产生废墨盒S1-2、废擦拭布S1-3、打印废气G1-3。</w:t>
            </w:r>
          </w:p>
          <w:p w14:paraId="561C58D9">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eastAsia" w:ascii="Times New Roman" w:hAnsi="Times New Roman" w:eastAsia="宋体" w:cs="Times New Roman"/>
                <w:b/>
                <w:bCs w:val="0"/>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bidi="ar-SA"/>
              </w:rPr>
              <w:t>清洗：</w:t>
            </w:r>
            <w:r>
              <w:rPr>
                <w:rFonts w:hint="eastAsia"/>
                <w:b w:val="0"/>
                <w:bCs/>
                <w:color w:val="auto"/>
                <w:sz w:val="24"/>
                <w:szCs w:val="24"/>
              </w:rPr>
              <w:t>超声波清洗是一种利用高频声波在液体中产生数百万个微小的真空气泡，并通过这些气泡的破裂所产生的冲击波来冲刷物体表面，从而达到高效、彻底清洁目的的先进清洗技术。</w:t>
            </w:r>
            <w:r>
              <w:rPr>
                <w:rFonts w:hint="eastAsia"/>
                <w:bCs/>
                <w:color w:val="auto"/>
                <w:sz w:val="24"/>
                <w:szCs w:val="24"/>
              </w:rPr>
              <w:t>本项目采用超声波清洗技术，对注塑成型后的工件实施分步清洗</w:t>
            </w:r>
            <w:r>
              <w:rPr>
                <w:rFonts w:hint="eastAsia"/>
                <w:bCs/>
                <w:color w:val="auto"/>
                <w:sz w:val="24"/>
                <w:szCs w:val="24"/>
                <w:lang w:eastAsia="zh-CN"/>
              </w:rPr>
              <w:t>（</w:t>
            </w:r>
            <w:r>
              <w:rPr>
                <w:rFonts w:hint="eastAsia"/>
                <w:bCs/>
                <w:color w:val="auto"/>
                <w:sz w:val="24"/>
                <w:szCs w:val="24"/>
                <w:lang w:val="en-US" w:eastAsia="zh-CN"/>
              </w:rPr>
              <w:t>常温下进行</w:t>
            </w:r>
            <w:r>
              <w:rPr>
                <w:rFonts w:hint="eastAsia"/>
                <w:bCs/>
                <w:color w:val="auto"/>
                <w:sz w:val="24"/>
                <w:szCs w:val="24"/>
                <w:lang w:eastAsia="zh-CN"/>
              </w:rPr>
              <w:t>）</w:t>
            </w:r>
            <w:r>
              <w:rPr>
                <w:rFonts w:hint="eastAsia"/>
                <w:bCs/>
                <w:color w:val="auto"/>
                <w:sz w:val="24"/>
                <w:szCs w:val="24"/>
              </w:rPr>
              <w:t>。清洗</w:t>
            </w:r>
            <w:r>
              <w:rPr>
                <w:rFonts w:hint="eastAsia"/>
                <w:bCs/>
                <w:color w:val="auto"/>
                <w:sz w:val="24"/>
                <w:szCs w:val="24"/>
                <w:lang w:val="en-US" w:eastAsia="zh-CN"/>
              </w:rPr>
              <w:t>机</w:t>
            </w:r>
            <w:r>
              <w:rPr>
                <w:rFonts w:hint="eastAsia"/>
                <w:bCs/>
                <w:color w:val="auto"/>
                <w:sz w:val="24"/>
                <w:szCs w:val="24"/>
              </w:rPr>
              <w:t>设有两个槽体：首道工序为粗洗，在槽内注入按20:1的配比纯水与脱脂粉配制而成的清洗液，通过超声波作用有效剥离工件表面油脂及残留杂质；随后进入精洗阶段，该槽体仅使用纯水，对工件进行深度漂洗与最终净化，确保清洗质量达到工艺要求。为维持清洗效果稳定，两类清洗液均实行定期更换，更换周期设定为每</w:t>
            </w:r>
            <w:r>
              <w:rPr>
                <w:rFonts w:hint="eastAsia"/>
                <w:bCs/>
                <w:color w:val="auto"/>
                <w:sz w:val="24"/>
                <w:szCs w:val="24"/>
                <w:lang w:val="en-US" w:eastAsia="zh-CN"/>
              </w:rPr>
              <w:t>9天</w:t>
            </w:r>
            <w:r>
              <w:rPr>
                <w:rFonts w:hint="eastAsia"/>
                <w:bCs/>
                <w:color w:val="auto"/>
                <w:sz w:val="24"/>
                <w:szCs w:val="24"/>
              </w:rPr>
              <w:t>一次。</w:t>
            </w:r>
            <w:r>
              <w:rPr>
                <w:rFonts w:hint="eastAsia"/>
                <w:b w:val="0"/>
                <w:bCs/>
                <w:color w:val="auto"/>
                <w:sz w:val="24"/>
                <w:szCs w:val="24"/>
                <w:lang w:val="en-US" w:eastAsia="zh-CN"/>
              </w:rPr>
              <w:t>此工序主要产生清洗废液S1-4</w:t>
            </w:r>
            <w:r>
              <w:rPr>
                <w:rFonts w:hint="eastAsia" w:ascii="Times New Roman" w:hAnsi="Times New Roman" w:eastAsia="宋体" w:cs="Times New Roman"/>
                <w:b w:val="0"/>
                <w:bCs/>
                <w:color w:val="auto"/>
                <w:kern w:val="2"/>
                <w:sz w:val="24"/>
                <w:szCs w:val="24"/>
                <w:lang w:val="en-US" w:eastAsia="zh-CN" w:bidi="ar-SA"/>
              </w:rPr>
              <w:t>。</w:t>
            </w:r>
          </w:p>
          <w:p w14:paraId="5945D362">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eastAsia" w:cs="Times New Roman"/>
                <w:b w:val="0"/>
                <w:bCs/>
                <w:color w:val="auto"/>
                <w:kern w:val="2"/>
                <w:sz w:val="24"/>
                <w:szCs w:val="24"/>
                <w:lang w:val="en-US" w:eastAsia="zh-CN" w:bidi="ar-SA"/>
              </w:rPr>
            </w:pPr>
            <w:r>
              <w:rPr>
                <w:rFonts w:hint="eastAsia" w:cs="Times New Roman"/>
                <w:b/>
                <w:bCs w:val="0"/>
                <w:color w:val="auto"/>
                <w:kern w:val="2"/>
                <w:sz w:val="24"/>
                <w:szCs w:val="24"/>
                <w:lang w:val="en-US" w:eastAsia="zh-CN" w:bidi="ar-SA"/>
              </w:rPr>
              <w:t>焊接：</w:t>
            </w:r>
            <w:r>
              <w:rPr>
                <w:rFonts w:hint="eastAsia" w:cs="Times New Roman"/>
                <w:b w:val="0"/>
                <w:bCs/>
                <w:color w:val="auto"/>
                <w:kern w:val="2"/>
                <w:sz w:val="24"/>
                <w:szCs w:val="24"/>
                <w:lang w:val="en-US" w:eastAsia="zh-CN" w:bidi="ar-SA"/>
              </w:rPr>
              <w:t>采用超声波焊接技术，利用高频振动波（超过20kHz，即人耳听不到的“超声波”）传递到两个需要连接的塑料零件表面，在压力下使接触面产生剧烈摩擦热，瞬间融化并融合在一起。此工序主要产生焊接废气G1-4。</w:t>
            </w:r>
          </w:p>
          <w:p w14:paraId="79D17838">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default" w:cs="Times New Roman"/>
                <w:b w:val="0"/>
                <w:bCs/>
                <w:color w:val="auto"/>
                <w:kern w:val="2"/>
                <w:sz w:val="24"/>
                <w:szCs w:val="24"/>
                <w:lang w:val="en-US" w:eastAsia="zh-CN" w:bidi="ar-SA"/>
              </w:rPr>
            </w:pPr>
            <w:r>
              <w:rPr>
                <w:rFonts w:hint="eastAsia" w:cs="Times New Roman"/>
                <w:b/>
                <w:bCs w:val="0"/>
                <w:color w:val="auto"/>
                <w:kern w:val="2"/>
                <w:sz w:val="24"/>
                <w:szCs w:val="24"/>
                <w:lang w:val="en-US" w:eastAsia="zh-CN" w:bidi="ar-SA"/>
              </w:rPr>
              <w:t>磁力抛光：</w:t>
            </w:r>
            <w:r>
              <w:rPr>
                <w:rFonts w:hint="eastAsia" w:cs="Times New Roman"/>
                <w:b w:val="0"/>
                <w:bCs/>
                <w:color w:val="auto"/>
                <w:kern w:val="2"/>
                <w:sz w:val="24"/>
                <w:szCs w:val="24"/>
                <w:lang w:val="en-US" w:eastAsia="zh-CN" w:bidi="ar-SA"/>
              </w:rPr>
              <w:t>采用磁力抛光技术对钣金件进行抛光，磁力抛光机的核心是一个强大的磁力发生器，它位于装满了磨料和自来水的容器下方。利用磁场产生的能量，在自来水介质中驱动特殊的磁性磨料对工件表面进行高速、细微的切削，从而达到去除毛刺、抛光、清洗、降低表面粗糙度的目的。磁力抛光属于湿式抛光，无粉尘产生。抛光用水定期更换，每1个月更换一次。此工序主要产生抛光废液S1-5、废磨料S1-6。</w:t>
            </w:r>
          </w:p>
          <w:p w14:paraId="3ABE421A">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bidi="ar-SA"/>
              </w:rPr>
              <w:t>清洗：</w:t>
            </w:r>
            <w:r>
              <w:rPr>
                <w:rFonts w:hint="eastAsia"/>
                <w:b w:val="0"/>
                <w:bCs/>
                <w:color w:val="auto"/>
                <w:sz w:val="24"/>
                <w:szCs w:val="24"/>
              </w:rPr>
              <w:t>采用超声波清洗技术，对</w:t>
            </w:r>
            <w:r>
              <w:rPr>
                <w:rFonts w:hint="eastAsia"/>
                <w:b w:val="0"/>
                <w:bCs/>
                <w:color w:val="auto"/>
                <w:sz w:val="24"/>
                <w:szCs w:val="24"/>
                <w:lang w:val="en-US" w:eastAsia="zh-CN"/>
              </w:rPr>
              <w:t>抛光过</w:t>
            </w:r>
            <w:r>
              <w:rPr>
                <w:rFonts w:hint="eastAsia"/>
                <w:b w:val="0"/>
                <w:bCs/>
                <w:color w:val="auto"/>
                <w:sz w:val="24"/>
                <w:szCs w:val="24"/>
              </w:rPr>
              <w:t>后的</w:t>
            </w:r>
            <w:r>
              <w:rPr>
                <w:rFonts w:hint="eastAsia"/>
                <w:b w:val="0"/>
                <w:bCs/>
                <w:color w:val="auto"/>
                <w:sz w:val="24"/>
                <w:szCs w:val="24"/>
                <w:lang w:val="en-US" w:eastAsia="zh-CN"/>
              </w:rPr>
              <w:t>钣金件</w:t>
            </w:r>
            <w:r>
              <w:rPr>
                <w:rFonts w:hint="eastAsia"/>
                <w:b w:val="0"/>
                <w:bCs/>
                <w:color w:val="auto"/>
                <w:sz w:val="24"/>
                <w:szCs w:val="24"/>
              </w:rPr>
              <w:t>实施分步清洗</w:t>
            </w:r>
            <w:r>
              <w:rPr>
                <w:rFonts w:hint="eastAsia"/>
                <w:b w:val="0"/>
                <w:bCs/>
                <w:color w:val="auto"/>
                <w:sz w:val="24"/>
                <w:szCs w:val="24"/>
                <w:lang w:eastAsia="zh-CN"/>
              </w:rPr>
              <w:t>（</w:t>
            </w:r>
            <w:r>
              <w:rPr>
                <w:rFonts w:hint="eastAsia"/>
                <w:b w:val="0"/>
                <w:bCs/>
                <w:color w:val="auto"/>
                <w:sz w:val="24"/>
                <w:szCs w:val="24"/>
                <w:lang w:val="en-US" w:eastAsia="zh-CN"/>
              </w:rPr>
              <w:t>常温下进行</w:t>
            </w:r>
            <w:r>
              <w:rPr>
                <w:rFonts w:hint="eastAsia"/>
                <w:b w:val="0"/>
                <w:bCs/>
                <w:color w:val="auto"/>
                <w:sz w:val="24"/>
                <w:szCs w:val="24"/>
                <w:lang w:eastAsia="zh-CN"/>
              </w:rPr>
              <w:t>）</w:t>
            </w:r>
            <w:r>
              <w:rPr>
                <w:rFonts w:hint="eastAsia"/>
                <w:b w:val="0"/>
                <w:bCs/>
                <w:color w:val="auto"/>
                <w:sz w:val="24"/>
                <w:szCs w:val="24"/>
              </w:rPr>
              <w:t>。清洗</w:t>
            </w:r>
            <w:r>
              <w:rPr>
                <w:rFonts w:hint="eastAsia"/>
                <w:b w:val="0"/>
                <w:bCs/>
                <w:color w:val="auto"/>
                <w:sz w:val="24"/>
                <w:szCs w:val="24"/>
                <w:lang w:val="en-US" w:eastAsia="zh-CN"/>
              </w:rPr>
              <w:t>机</w:t>
            </w:r>
            <w:r>
              <w:rPr>
                <w:rFonts w:hint="eastAsia"/>
                <w:b w:val="0"/>
                <w:bCs/>
                <w:color w:val="auto"/>
                <w:sz w:val="24"/>
                <w:szCs w:val="24"/>
              </w:rPr>
              <w:t>设有两个槽体：首道工序为粗洗，在槽内按20:1的配比注入纯水与脱脂粉配制而成的清洗液，通过超声波作用有效剥离工件表面油脂及残留杂质；随后进入精洗阶段，该槽体仅使用纯水，对工件进行深度漂洗与最终净化，确保清洗质量达到工艺要求。为维持清洗效果稳定，两类清洗液均实行定期更换，更换周期设定为每</w:t>
            </w:r>
            <w:r>
              <w:rPr>
                <w:rFonts w:hint="eastAsia"/>
                <w:b w:val="0"/>
                <w:bCs/>
                <w:color w:val="auto"/>
                <w:sz w:val="24"/>
                <w:szCs w:val="24"/>
                <w:lang w:val="en-US" w:eastAsia="zh-CN"/>
              </w:rPr>
              <w:t>9天</w:t>
            </w:r>
            <w:r>
              <w:rPr>
                <w:rFonts w:hint="eastAsia"/>
                <w:b w:val="0"/>
                <w:bCs/>
                <w:color w:val="auto"/>
                <w:sz w:val="24"/>
                <w:szCs w:val="24"/>
              </w:rPr>
              <w:t>一次。</w:t>
            </w:r>
            <w:r>
              <w:rPr>
                <w:rFonts w:hint="eastAsia"/>
                <w:b w:val="0"/>
                <w:bCs/>
                <w:color w:val="auto"/>
                <w:sz w:val="24"/>
                <w:szCs w:val="24"/>
                <w:lang w:val="en-US" w:eastAsia="zh-CN"/>
              </w:rPr>
              <w:t>此工序主要产生清洗废液S1-7</w:t>
            </w:r>
            <w:r>
              <w:rPr>
                <w:rFonts w:hint="eastAsia" w:ascii="Times New Roman" w:hAnsi="Times New Roman" w:eastAsia="宋体" w:cs="Times New Roman"/>
                <w:b w:val="0"/>
                <w:bCs/>
                <w:color w:val="auto"/>
                <w:kern w:val="2"/>
                <w:sz w:val="24"/>
                <w:szCs w:val="24"/>
                <w:lang w:val="en-US" w:eastAsia="zh-CN" w:bidi="ar-SA"/>
              </w:rPr>
              <w:t>。</w:t>
            </w:r>
          </w:p>
          <w:p w14:paraId="6F675372">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default"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组装：</w:t>
            </w:r>
            <w:r>
              <w:rPr>
                <w:rFonts w:hint="eastAsia" w:cs="Times New Roman"/>
                <w:b w:val="0"/>
                <w:bCs/>
                <w:color w:val="auto"/>
                <w:kern w:val="2"/>
                <w:sz w:val="24"/>
                <w:szCs w:val="24"/>
                <w:lang w:val="en-US" w:eastAsia="zh-CN" w:bidi="ar-SA"/>
              </w:rPr>
              <w:t>人工将处理过的钣金件和塑料件进行组装即为最终产品。</w:t>
            </w:r>
          </w:p>
          <w:p w14:paraId="0B64E86F">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default" w:cs="Times New Roman"/>
                <w:b w:val="0"/>
                <w:bCs/>
                <w:color w:val="auto"/>
                <w:kern w:val="2"/>
                <w:sz w:val="24"/>
                <w:szCs w:val="24"/>
                <w:lang w:val="en-US" w:eastAsia="zh-CN" w:bidi="ar-SA"/>
              </w:rPr>
            </w:pPr>
            <w:r>
              <w:rPr>
                <w:rFonts w:hint="default" w:ascii="Times New Roman" w:hAnsi="Times New Roman" w:eastAsia="宋体" w:cs="Times New Roman"/>
                <w:b/>
                <w:bCs/>
                <w:color w:val="auto"/>
                <w:sz w:val="24"/>
                <w:highlight w:val="none"/>
                <w:lang w:val="en-US" w:eastAsia="zh-CN"/>
              </w:rPr>
              <w:t>检验：</w:t>
            </w:r>
            <w:r>
              <w:rPr>
                <w:rFonts w:hint="default" w:ascii="Times New Roman" w:hAnsi="Times New Roman" w:eastAsia="宋体" w:cs="Times New Roman"/>
                <w:b w:val="0"/>
                <w:bCs w:val="0"/>
                <w:color w:val="auto"/>
                <w:sz w:val="24"/>
                <w:highlight w:val="none"/>
                <w:lang w:val="en-US" w:eastAsia="zh-CN"/>
              </w:rPr>
              <w:t>对产品</w:t>
            </w:r>
            <w:r>
              <w:rPr>
                <w:rFonts w:hint="eastAsia" w:cs="Times New Roman"/>
                <w:b w:val="0"/>
                <w:bCs w:val="0"/>
                <w:color w:val="auto"/>
                <w:sz w:val="24"/>
                <w:highlight w:val="none"/>
                <w:lang w:val="en-US" w:eastAsia="zh-CN"/>
              </w:rPr>
              <w:t>外观</w:t>
            </w:r>
            <w:r>
              <w:rPr>
                <w:rFonts w:hint="default" w:ascii="Times New Roman" w:hAnsi="Times New Roman" w:eastAsia="宋体" w:cs="Times New Roman"/>
                <w:b w:val="0"/>
                <w:bCs w:val="0"/>
                <w:color w:val="auto"/>
                <w:sz w:val="24"/>
                <w:highlight w:val="none"/>
                <w:lang w:val="en-US" w:eastAsia="zh-CN"/>
              </w:rPr>
              <w:t>进行检验挑选，检验合格的工件即为成品，此工序产生不合格品</w:t>
            </w:r>
            <w:r>
              <w:rPr>
                <w:rFonts w:hint="default" w:cs="Times New Roman"/>
                <w:b w:val="0"/>
                <w:bCs/>
                <w:color w:val="auto"/>
                <w:kern w:val="2"/>
                <w:sz w:val="24"/>
                <w:szCs w:val="24"/>
                <w:lang w:val="en-US" w:eastAsia="zh-CN" w:bidi="ar-SA"/>
              </w:rPr>
              <w:t>S</w:t>
            </w:r>
            <w:r>
              <w:rPr>
                <w:rFonts w:hint="eastAsia" w:cs="Times New Roman"/>
                <w:b w:val="0"/>
                <w:bCs/>
                <w:color w:val="auto"/>
                <w:kern w:val="2"/>
                <w:sz w:val="24"/>
                <w:szCs w:val="24"/>
                <w:lang w:val="en-US" w:eastAsia="zh-CN" w:bidi="ar-SA"/>
              </w:rPr>
              <w:t>1</w:t>
            </w:r>
            <w:r>
              <w:rPr>
                <w:rFonts w:hint="default" w:cs="Times New Roman"/>
                <w:b w:val="0"/>
                <w:bCs/>
                <w:color w:val="auto"/>
                <w:kern w:val="2"/>
                <w:sz w:val="24"/>
                <w:szCs w:val="24"/>
                <w:lang w:val="en-US" w:eastAsia="zh-CN" w:bidi="ar-SA"/>
              </w:rPr>
              <w:t>-</w:t>
            </w:r>
            <w:r>
              <w:rPr>
                <w:rFonts w:hint="eastAsia" w:cs="Times New Roman"/>
                <w:b w:val="0"/>
                <w:bCs/>
                <w:color w:val="auto"/>
                <w:kern w:val="2"/>
                <w:sz w:val="24"/>
                <w:szCs w:val="24"/>
                <w:lang w:val="en-US" w:eastAsia="zh-CN" w:bidi="ar-SA"/>
              </w:rPr>
              <w:t>8</w:t>
            </w:r>
            <w:r>
              <w:rPr>
                <w:rFonts w:hint="default" w:cs="Times New Roman"/>
                <w:b w:val="0"/>
                <w:bCs/>
                <w:color w:val="auto"/>
                <w:kern w:val="2"/>
                <w:sz w:val="24"/>
                <w:szCs w:val="24"/>
                <w:lang w:val="en-US" w:eastAsia="zh-CN" w:bidi="ar-SA"/>
              </w:rPr>
              <w:t>。</w:t>
            </w:r>
          </w:p>
          <w:p w14:paraId="5304D2C5">
            <w:pPr>
              <w:pStyle w:val="2"/>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cs="Times New Roman"/>
                <w:b/>
                <w:bCs w:val="0"/>
                <w:color w:val="auto"/>
                <w:kern w:val="2"/>
                <w:sz w:val="24"/>
                <w:szCs w:val="24"/>
                <w:lang w:val="en-US" w:eastAsia="zh-CN" w:bidi="ar-SA"/>
              </w:rPr>
            </w:pPr>
          </w:p>
          <w:p w14:paraId="3C8725DE">
            <w:pPr>
              <w:pStyle w:val="2"/>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cs="Times New Roman"/>
                <w:b/>
                <w:bCs w:val="0"/>
                <w:color w:val="auto"/>
                <w:kern w:val="2"/>
                <w:sz w:val="24"/>
                <w:szCs w:val="24"/>
                <w:lang w:val="en-US" w:eastAsia="zh-CN" w:bidi="ar-SA"/>
              </w:rPr>
            </w:pPr>
          </w:p>
          <w:p w14:paraId="30732D53">
            <w:pPr>
              <w:pStyle w:val="2"/>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cs="Times New Roman"/>
                <w:b/>
                <w:bCs w:val="0"/>
                <w:color w:val="auto"/>
                <w:kern w:val="2"/>
                <w:sz w:val="24"/>
                <w:szCs w:val="24"/>
                <w:lang w:val="en-US" w:eastAsia="zh-CN" w:bidi="ar-SA"/>
              </w:rPr>
            </w:pPr>
          </w:p>
          <w:p w14:paraId="5D30FB5D">
            <w:pPr>
              <w:pStyle w:val="2"/>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cs="Times New Roman"/>
                <w:b/>
                <w:bCs w:val="0"/>
                <w:color w:val="auto"/>
                <w:kern w:val="2"/>
                <w:sz w:val="24"/>
                <w:szCs w:val="24"/>
                <w:lang w:val="en-US" w:eastAsia="zh-CN" w:bidi="ar-SA"/>
              </w:rPr>
            </w:pPr>
          </w:p>
          <w:p w14:paraId="76E7F235">
            <w:pPr>
              <w:pStyle w:val="2"/>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cs="Times New Roman"/>
                <w:b/>
                <w:bCs w:val="0"/>
                <w:color w:val="auto"/>
                <w:kern w:val="2"/>
                <w:sz w:val="24"/>
                <w:szCs w:val="24"/>
                <w:lang w:val="en-US" w:eastAsia="zh-CN" w:bidi="ar-SA"/>
              </w:rPr>
            </w:pPr>
          </w:p>
          <w:p w14:paraId="388CE464">
            <w:pPr>
              <w:pStyle w:val="2"/>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cs="Times New Roman"/>
                <w:b/>
                <w:bCs w:val="0"/>
                <w:color w:val="auto"/>
                <w:kern w:val="2"/>
                <w:sz w:val="24"/>
                <w:szCs w:val="24"/>
                <w:lang w:val="en-US" w:eastAsia="zh-CN" w:bidi="ar-SA"/>
              </w:rPr>
            </w:pPr>
          </w:p>
          <w:p w14:paraId="074E7580">
            <w:pPr>
              <w:pStyle w:val="2"/>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cs="Times New Roman"/>
                <w:b/>
                <w:bCs w:val="0"/>
                <w:color w:val="auto"/>
                <w:kern w:val="2"/>
                <w:sz w:val="24"/>
                <w:szCs w:val="24"/>
                <w:lang w:val="en-US" w:eastAsia="zh-CN" w:bidi="ar-SA"/>
              </w:rPr>
            </w:pPr>
          </w:p>
          <w:p w14:paraId="3E325F13">
            <w:pPr>
              <w:pStyle w:val="2"/>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cs="Times New Roman"/>
                <w:b/>
                <w:bCs w:val="0"/>
                <w:color w:val="auto"/>
                <w:kern w:val="2"/>
                <w:sz w:val="24"/>
                <w:szCs w:val="24"/>
                <w:lang w:val="en-US" w:eastAsia="zh-CN" w:bidi="ar-SA"/>
              </w:rPr>
            </w:pPr>
          </w:p>
          <w:p w14:paraId="616985E9">
            <w:pPr>
              <w:pStyle w:val="2"/>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cs="Times New Roman"/>
                <w:b/>
                <w:bCs w:val="0"/>
                <w:color w:val="auto"/>
                <w:kern w:val="2"/>
                <w:sz w:val="24"/>
                <w:szCs w:val="24"/>
                <w:lang w:val="en-US" w:eastAsia="zh-CN" w:bidi="ar-SA"/>
              </w:rPr>
            </w:pPr>
          </w:p>
          <w:p w14:paraId="61577BEA">
            <w:pPr>
              <w:pStyle w:val="2"/>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cs="Times New Roman"/>
                <w:b/>
                <w:bCs w:val="0"/>
                <w:color w:val="auto"/>
                <w:kern w:val="2"/>
                <w:sz w:val="24"/>
                <w:szCs w:val="24"/>
                <w:lang w:val="en-US" w:eastAsia="zh-CN" w:bidi="ar-SA"/>
              </w:rPr>
            </w:pPr>
          </w:p>
          <w:p w14:paraId="59DB101D">
            <w:pPr>
              <w:pStyle w:val="2"/>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cs="Times New Roman"/>
                <w:b/>
                <w:bCs w:val="0"/>
                <w:color w:val="auto"/>
                <w:kern w:val="2"/>
                <w:sz w:val="24"/>
                <w:szCs w:val="24"/>
                <w:lang w:val="en-US" w:eastAsia="zh-CN" w:bidi="ar-SA"/>
              </w:rPr>
            </w:pPr>
          </w:p>
          <w:p w14:paraId="04E8400C">
            <w:pPr>
              <w:pStyle w:val="2"/>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cs="Times New Roman"/>
                <w:b/>
                <w:bCs w:val="0"/>
                <w:color w:val="auto"/>
                <w:kern w:val="2"/>
                <w:sz w:val="24"/>
                <w:szCs w:val="24"/>
                <w:lang w:val="en-US" w:eastAsia="zh-CN" w:bidi="ar-SA"/>
              </w:rPr>
            </w:pPr>
          </w:p>
          <w:p w14:paraId="100458BF">
            <w:pPr>
              <w:pStyle w:val="2"/>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②电器零配件生产工艺</w:t>
            </w:r>
          </w:p>
          <w:p w14:paraId="5DC5B471">
            <w:pPr>
              <w:pStyle w:val="2"/>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eastAsia" w:cs="Times New Roman"/>
                <w:b w:val="0"/>
                <w:bCs/>
                <w:color w:val="auto"/>
                <w:kern w:val="2"/>
                <w:sz w:val="24"/>
                <w:szCs w:val="24"/>
                <w:lang w:val="en-US" w:eastAsia="zh-CN" w:bidi="ar-SA"/>
              </w:rPr>
            </w:pPr>
            <w:r>
              <w:rPr>
                <w:b/>
                <w:bCs/>
                <w:color w:val="auto"/>
              </w:rPr>
              <w:drawing>
                <wp:anchor distT="0" distB="0" distL="114300" distR="114300" simplePos="0" relativeHeight="251660288" behindDoc="0" locked="0" layoutInCell="1" allowOverlap="1">
                  <wp:simplePos x="0" y="0"/>
                  <wp:positionH relativeFrom="column">
                    <wp:posOffset>549910</wp:posOffset>
                  </wp:positionH>
                  <wp:positionV relativeFrom="paragraph">
                    <wp:posOffset>10160</wp:posOffset>
                  </wp:positionV>
                  <wp:extent cx="4755515" cy="4616450"/>
                  <wp:effectExtent l="0" t="0" r="0" b="0"/>
                  <wp:wrapTopAndBottom/>
                  <wp:docPr id="2" name="ECB019B1-382A-4266-B25C-5B523AA43C14-3" descr="C:/Users/29147/AppData/Local/Temp/wps.vUiLvf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3" descr="C:/Users/29147/AppData/Local/Temp/wps.vUiLvfwps"/>
                          <pic:cNvPicPr>
                            <a:picLocks noChangeAspect="1"/>
                          </pic:cNvPicPr>
                        </pic:nvPicPr>
                        <pic:blipFill>
                          <a:blip r:embed="rId16"/>
                          <a:stretch>
                            <a:fillRect/>
                          </a:stretch>
                        </pic:blipFill>
                        <pic:spPr>
                          <a:xfrm>
                            <a:off x="0" y="0"/>
                            <a:ext cx="4755515" cy="4616450"/>
                          </a:xfrm>
                          <a:prstGeom prst="rect">
                            <a:avLst/>
                          </a:prstGeom>
                        </pic:spPr>
                      </pic:pic>
                    </a:graphicData>
                  </a:graphic>
                </wp:anchor>
              </w:drawing>
            </w:r>
            <w:r>
              <w:rPr>
                <w:b/>
                <w:bCs/>
                <w:color w:val="auto"/>
              </w:rPr>
              <w:t>图2-</w:t>
            </w:r>
            <w:r>
              <w:rPr>
                <w:rFonts w:hint="eastAsia"/>
                <w:b/>
                <w:bCs/>
                <w:color w:val="auto"/>
                <w:lang w:val="en-US" w:eastAsia="zh-CN"/>
              </w:rPr>
              <w:t>3</w:t>
            </w:r>
            <w:r>
              <w:rPr>
                <w:b/>
                <w:bCs/>
                <w:color w:val="auto"/>
              </w:rPr>
              <w:t xml:space="preserve">  生产工艺流程及产污节点图</w:t>
            </w:r>
          </w:p>
          <w:p w14:paraId="2F202BEB">
            <w:pPr>
              <w:ind w:firstLine="0" w:firstLineChars="0"/>
              <w:rPr>
                <w:rFonts w:hint="eastAsia" w:eastAsia="宋体"/>
                <w:b/>
                <w:color w:val="auto"/>
                <w:sz w:val="24"/>
                <w:szCs w:val="24"/>
                <w:lang w:val="en-US" w:eastAsia="zh-CN"/>
              </w:rPr>
            </w:pPr>
            <w:r>
              <w:rPr>
                <w:b/>
                <w:color w:val="auto"/>
                <w:sz w:val="24"/>
                <w:szCs w:val="24"/>
              </w:rPr>
              <w:t>工艺流程简述：</w:t>
            </w:r>
            <w:r>
              <w:rPr>
                <w:rFonts w:hint="eastAsia"/>
                <w:b/>
                <w:color w:val="auto"/>
                <w:sz w:val="24"/>
                <w:szCs w:val="24"/>
                <w:lang w:val="en-US" w:eastAsia="zh-CN"/>
              </w:rPr>
              <w:t xml:space="preserve"> </w:t>
            </w:r>
          </w:p>
          <w:p w14:paraId="3D6D41FB">
            <w:pPr>
              <w:numPr>
                <w:ilvl w:val="-1"/>
                <w:numId w:val="0"/>
              </w:numPr>
              <w:ind w:firstLine="480" w:firstLineChars="200"/>
              <w:rPr>
                <w:color w:val="auto"/>
              </w:rPr>
            </w:pPr>
            <w:r>
              <w:rPr>
                <w:rFonts w:hint="eastAsia"/>
                <w:b/>
                <w:bCs/>
                <w:color w:val="auto"/>
                <w:sz w:val="24"/>
                <w:szCs w:val="24"/>
                <w:highlight w:val="none"/>
                <w:lang w:val="en-US" w:eastAsia="zh-CN"/>
              </w:rPr>
              <w:t>烘干</w:t>
            </w:r>
            <w:r>
              <w:rPr>
                <w:b/>
                <w:bCs/>
                <w:color w:val="auto"/>
                <w:sz w:val="24"/>
                <w:szCs w:val="24"/>
                <w:highlight w:val="none"/>
              </w:rPr>
              <w:t>：</w:t>
            </w:r>
            <w:r>
              <w:rPr>
                <w:rFonts w:hint="eastAsia"/>
                <w:b w:val="0"/>
                <w:bCs w:val="0"/>
                <w:color w:val="auto"/>
                <w:sz w:val="24"/>
                <w:szCs w:val="24"/>
                <w:highlight w:val="none"/>
                <w:lang w:val="en-US" w:eastAsia="zh-CN"/>
              </w:rPr>
              <w:t>本项目所用原料为外购的预着色塑料粒子，该原料已由供应商完成配色与造粒，至厂后即为最终所需颜色，故生产过程中无需进行混料、配色等前道工序。可直接用于注塑加工。注塑前，为去除原料中的微量水分，需对其进行电加热烘干，烘干温度设置在80℃，时间约为2h，仅使水分蒸发，不涉及有机物挥发</w:t>
            </w:r>
            <w:r>
              <w:rPr>
                <w:color w:val="auto"/>
                <w:sz w:val="24"/>
                <w:szCs w:val="24"/>
                <w:highlight w:val="none"/>
              </w:rPr>
              <w:t>。</w:t>
            </w:r>
          </w:p>
          <w:p w14:paraId="44950917">
            <w:pPr>
              <w:numPr>
                <w:ilvl w:val="-1"/>
                <w:numId w:val="0"/>
              </w:numPr>
              <w:ind w:firstLine="480" w:firstLineChars="200"/>
              <w:rPr>
                <w:rFonts w:hint="default" w:eastAsia="宋体"/>
                <w:b w:val="0"/>
                <w:bCs/>
                <w:color w:val="auto"/>
                <w:sz w:val="24"/>
                <w:szCs w:val="24"/>
                <w:lang w:val="en-US" w:eastAsia="zh-CN"/>
              </w:rPr>
            </w:pPr>
            <w:r>
              <w:rPr>
                <w:rFonts w:hint="eastAsia"/>
                <w:b/>
                <w:bCs w:val="0"/>
                <w:color w:val="auto"/>
                <w:sz w:val="24"/>
                <w:szCs w:val="24"/>
                <w:lang w:val="en-US" w:eastAsia="zh-CN"/>
              </w:rPr>
              <w:t>注塑</w:t>
            </w:r>
            <w:r>
              <w:rPr>
                <w:rFonts w:hint="eastAsia"/>
                <w:b w:val="0"/>
                <w:bCs/>
                <w:color w:val="auto"/>
                <w:sz w:val="24"/>
                <w:szCs w:val="24"/>
                <w:lang w:val="en-US" w:eastAsia="zh-CN"/>
              </w:rPr>
              <w:t>：将烘干后的物料加入注塑机料斗，物料通过自动上料管缓慢喂入注塑机，设置注塑机相应温度条件（ABS：210-220℃，PC：250℃，PP、PE：200℃，PA：250℃），低于原料的分解温度（ABS：250-280℃，PC：330-350℃，PP：300-350℃，PE：340-400℃，PA：300-450℃），因此不会产生分解废气，残存未聚合的反应单体以及添加剂可挥发出来。原料在注塑机内加热熔融，加热时间约20秒左右，熔融装置采用电加热。熔料在注塑机螺杆的推动下挤入模具模腔，然后利用循环冷却水对注塑模具进行间接冷却，使塑料零件固化成型。冷却成型后打开模具，并由人工置于周转内。此工序主要产生注塑废气G2-1。</w:t>
            </w:r>
          </w:p>
          <w:p w14:paraId="4EF83309">
            <w:pPr>
              <w:numPr>
                <w:ilvl w:val="-1"/>
                <w:numId w:val="0"/>
              </w:numPr>
              <w:ind w:firstLine="480" w:firstLineChars="200"/>
              <w:rPr>
                <w:color w:val="auto"/>
                <w:sz w:val="24"/>
                <w:szCs w:val="24"/>
              </w:rPr>
            </w:pPr>
            <w:r>
              <w:rPr>
                <w:rFonts w:hint="eastAsia"/>
                <w:b/>
                <w:bCs w:val="0"/>
                <w:color w:val="auto"/>
                <w:sz w:val="24"/>
                <w:szCs w:val="24"/>
                <w:lang w:val="en-US" w:eastAsia="zh-CN"/>
              </w:rPr>
              <w:t>检验</w:t>
            </w:r>
            <w:r>
              <w:rPr>
                <w:rFonts w:hint="eastAsia"/>
                <w:color w:val="auto"/>
                <w:sz w:val="24"/>
                <w:szCs w:val="24"/>
                <w:lang w:val="en-US" w:eastAsia="zh-CN"/>
              </w:rPr>
              <w:t>：对产品进行外观检验。</w:t>
            </w:r>
            <w:r>
              <w:rPr>
                <w:rFonts w:hint="eastAsia"/>
                <w:b w:val="0"/>
                <w:bCs/>
                <w:color w:val="auto"/>
                <w:sz w:val="24"/>
                <w:szCs w:val="24"/>
                <w:lang w:val="en-US" w:eastAsia="zh-CN"/>
              </w:rPr>
              <w:t>此工序主要产生不合格品S2-1。</w:t>
            </w:r>
          </w:p>
          <w:p w14:paraId="088C2D4C">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eastAsia" w:ascii="Times New Roman" w:hAnsi="Times New Roman" w:eastAsia="宋体" w:cs="Times New Roman"/>
                <w:b w:val="0"/>
                <w:bCs/>
                <w:color w:val="auto"/>
                <w:kern w:val="2"/>
                <w:sz w:val="24"/>
                <w:szCs w:val="24"/>
                <w:lang w:val="en-US" w:eastAsia="zh-CN" w:bidi="ar-SA"/>
              </w:rPr>
            </w:pPr>
            <w:r>
              <w:rPr>
                <w:rFonts w:hint="eastAsia"/>
                <w:b/>
                <w:bCs w:val="0"/>
                <w:color w:val="auto"/>
                <w:sz w:val="24"/>
                <w:szCs w:val="24"/>
                <w:lang w:val="en-US" w:eastAsia="zh-CN"/>
              </w:rPr>
              <w:t>破碎：</w:t>
            </w:r>
            <w:r>
              <w:rPr>
                <w:rFonts w:hint="eastAsia"/>
                <w:b w:val="0"/>
                <w:bCs/>
                <w:color w:val="auto"/>
                <w:sz w:val="24"/>
                <w:szCs w:val="24"/>
                <w:lang w:val="en-US" w:eastAsia="zh-CN"/>
              </w:rPr>
              <w:t>检查产生的不合格品经过破碎机进行破碎，破碎的塑料回用于原工段进行</w:t>
            </w:r>
            <w:r>
              <w:rPr>
                <w:rFonts w:hint="eastAsia" w:ascii="Times New Roman" w:hAnsi="Times New Roman" w:eastAsia="宋体" w:cs="Times New Roman"/>
                <w:b w:val="0"/>
                <w:bCs/>
                <w:color w:val="auto"/>
                <w:kern w:val="2"/>
                <w:sz w:val="24"/>
                <w:szCs w:val="24"/>
                <w:lang w:val="en-US" w:eastAsia="zh-CN" w:bidi="ar-SA"/>
              </w:rPr>
              <w:t>生产。此工序主要</w:t>
            </w:r>
            <w:r>
              <w:rPr>
                <w:rFonts w:hint="eastAsia" w:cs="Times New Roman"/>
                <w:b w:val="0"/>
                <w:bCs/>
                <w:color w:val="auto"/>
                <w:kern w:val="2"/>
                <w:sz w:val="24"/>
                <w:szCs w:val="24"/>
                <w:lang w:val="en-US" w:eastAsia="zh-CN" w:bidi="ar-SA"/>
              </w:rPr>
              <w:t>产生</w:t>
            </w:r>
            <w:r>
              <w:rPr>
                <w:rFonts w:hint="eastAsia" w:ascii="Times New Roman" w:hAnsi="Times New Roman" w:eastAsia="宋体" w:cs="Times New Roman"/>
                <w:b w:val="0"/>
                <w:bCs/>
                <w:color w:val="auto"/>
                <w:kern w:val="2"/>
                <w:sz w:val="24"/>
                <w:szCs w:val="24"/>
                <w:lang w:val="en-US" w:eastAsia="zh-CN" w:bidi="ar-SA"/>
              </w:rPr>
              <w:t>破碎粉尘G</w:t>
            </w:r>
            <w:r>
              <w:rPr>
                <w:rFonts w:hint="eastAsia" w:cs="Times New Roman"/>
                <w:b w:val="0"/>
                <w:bCs/>
                <w:color w:val="auto"/>
                <w:kern w:val="2"/>
                <w:sz w:val="24"/>
                <w:szCs w:val="24"/>
                <w:lang w:val="en-US" w:eastAsia="zh-CN" w:bidi="ar-SA"/>
              </w:rPr>
              <w:t>2-</w:t>
            </w:r>
            <w:r>
              <w:rPr>
                <w:rFonts w:hint="eastAsia" w:ascii="Times New Roman" w:hAnsi="Times New Roman" w:eastAsia="宋体" w:cs="Times New Roman"/>
                <w:b w:val="0"/>
                <w:bCs/>
                <w:color w:val="auto"/>
                <w:kern w:val="2"/>
                <w:sz w:val="24"/>
                <w:szCs w:val="24"/>
                <w:lang w:val="en-US" w:eastAsia="zh-CN" w:bidi="ar-SA"/>
              </w:rPr>
              <w:t>2。</w:t>
            </w:r>
          </w:p>
          <w:p w14:paraId="1DC5D972">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default" w:ascii="Times New Roman" w:hAnsi="Times New Roman" w:eastAsia="宋体" w:cs="Times New Roman"/>
                <w:b w:val="0"/>
                <w:bCs/>
                <w:color w:val="auto"/>
                <w:kern w:val="2"/>
                <w:sz w:val="24"/>
                <w:szCs w:val="24"/>
                <w:lang w:val="en-US" w:eastAsia="zh-CN" w:bidi="ar-SA"/>
              </w:rPr>
            </w:pPr>
            <w:r>
              <w:rPr>
                <w:rFonts w:hint="eastAsia" w:cs="Times New Roman"/>
                <w:b/>
                <w:bCs w:val="0"/>
                <w:color w:val="auto"/>
                <w:kern w:val="2"/>
                <w:sz w:val="24"/>
                <w:szCs w:val="24"/>
                <w:lang w:val="en-US" w:eastAsia="zh-CN" w:bidi="ar-SA"/>
              </w:rPr>
              <w:t>UV打印</w:t>
            </w:r>
            <w:r>
              <w:rPr>
                <w:rFonts w:hint="default" w:ascii="Times New Roman" w:hAnsi="Times New Roman" w:eastAsia="宋体" w:cs="Times New Roman"/>
                <w:b/>
                <w:bCs w:val="0"/>
                <w:color w:val="auto"/>
                <w:kern w:val="2"/>
                <w:sz w:val="24"/>
                <w:szCs w:val="24"/>
                <w:lang w:val="en-US" w:eastAsia="zh-CN" w:bidi="ar-SA"/>
              </w:rPr>
              <w:t>：</w:t>
            </w:r>
            <w:r>
              <w:rPr>
                <w:rFonts w:hint="eastAsia" w:cs="Times New Roman"/>
                <w:b w:val="0"/>
                <w:bCs/>
                <w:color w:val="auto"/>
                <w:kern w:val="2"/>
                <w:sz w:val="24"/>
                <w:szCs w:val="24"/>
                <w:lang w:val="en-US" w:eastAsia="zh-CN" w:bidi="ar-SA"/>
              </w:rPr>
              <w:t>根据客户需求设计，在电脑上设置好打印的图案和尺寸进行排版，将工件置于UV打印机上进行打印，油墨采取人工搬运方式进行输送，项目使用UV打印机，直接安装墨盒即可打印，无需调墨。</w:t>
            </w:r>
            <w:r>
              <w:rPr>
                <w:rFonts w:hint="eastAsia"/>
                <w:bCs/>
                <w:color w:val="auto"/>
                <w:sz w:val="24"/>
                <w:szCs w:val="24"/>
              </w:rPr>
              <w:t>打印机根据指令，控制精密的压电式打印头，将微小的UV墨水液滴精准地喷射到材料表面</w:t>
            </w:r>
            <w:r>
              <w:rPr>
                <w:rFonts w:hint="eastAsia"/>
                <w:bCs/>
                <w:color w:val="auto"/>
                <w:sz w:val="24"/>
                <w:szCs w:val="24"/>
                <w:lang w:eastAsia="zh-CN"/>
              </w:rPr>
              <w:t>。</w:t>
            </w:r>
            <w:r>
              <w:rPr>
                <w:rFonts w:hint="eastAsia"/>
                <w:bCs/>
                <w:color w:val="auto"/>
                <w:sz w:val="24"/>
                <w:szCs w:val="24"/>
              </w:rPr>
              <w:t xml:space="preserve">在墨水刚刚接触到材料表面的瞬间，安装在打印头旁的UV </w:t>
            </w:r>
            <w:r>
              <w:rPr>
                <w:rFonts w:hint="eastAsia"/>
                <w:bCs/>
                <w:color w:val="auto"/>
                <w:sz w:val="24"/>
                <w:szCs w:val="24"/>
                <w:lang w:val="en-US" w:eastAsia="zh-CN"/>
              </w:rPr>
              <w:t>-</w:t>
            </w:r>
            <w:r>
              <w:rPr>
                <w:rFonts w:hint="eastAsia"/>
                <w:bCs/>
                <w:color w:val="auto"/>
                <w:sz w:val="24"/>
                <w:szCs w:val="24"/>
              </w:rPr>
              <w:t>LED固化灯立即发射紫外线。紫外线能量触发墨水中的光引发剂发生化学反应，使墨水中的单体/低聚物迅速交联聚合，从液态变为固态。UV墨水在空气中暴露时间稍长，就会因紫外线或水分开始固化，喷头表面可能形成极细微的墨滴、墨渣或结皮。这些杂质会阻挡墨滴的正常喷射，造成打印断线、虚线。</w:t>
            </w:r>
            <w:r>
              <w:rPr>
                <w:rFonts w:hint="eastAsia"/>
                <w:bCs/>
                <w:color w:val="auto"/>
                <w:sz w:val="24"/>
                <w:szCs w:val="24"/>
                <w:lang w:val="en-US" w:eastAsia="zh-CN"/>
              </w:rPr>
              <w:t>为</w:t>
            </w:r>
            <w:r>
              <w:rPr>
                <w:rFonts w:hint="eastAsia"/>
                <w:bCs/>
                <w:color w:val="auto"/>
                <w:sz w:val="24"/>
                <w:szCs w:val="24"/>
              </w:rPr>
              <w:t>保证打印质量</w:t>
            </w:r>
            <w:r>
              <w:rPr>
                <w:rFonts w:hint="eastAsia"/>
                <w:bCs/>
                <w:color w:val="auto"/>
                <w:sz w:val="24"/>
                <w:szCs w:val="24"/>
                <w:lang w:eastAsia="zh-CN"/>
              </w:rPr>
              <w:t>，</w:t>
            </w:r>
            <w:r>
              <w:rPr>
                <w:rFonts w:hint="eastAsia"/>
                <w:bCs/>
                <w:color w:val="auto"/>
                <w:sz w:val="24"/>
                <w:szCs w:val="24"/>
                <w:lang w:val="en-US" w:eastAsia="zh-CN"/>
              </w:rPr>
              <w:t>需要</w:t>
            </w:r>
            <w:r>
              <w:rPr>
                <w:rFonts w:hint="eastAsia"/>
                <w:bCs/>
                <w:color w:val="auto"/>
                <w:sz w:val="24"/>
                <w:szCs w:val="24"/>
              </w:rPr>
              <w:t>定期</w:t>
            </w:r>
            <w:r>
              <w:rPr>
                <w:rFonts w:hint="eastAsia"/>
                <w:bCs/>
                <w:color w:val="auto"/>
                <w:sz w:val="24"/>
                <w:szCs w:val="24"/>
                <w:lang w:val="en-US" w:eastAsia="zh-CN"/>
              </w:rPr>
              <w:t>使用抹布擦拭喷头。</w:t>
            </w:r>
            <w:r>
              <w:rPr>
                <w:rFonts w:hint="eastAsia" w:cs="Times New Roman"/>
                <w:b w:val="0"/>
                <w:bCs/>
                <w:color w:val="auto"/>
                <w:kern w:val="2"/>
                <w:sz w:val="24"/>
                <w:szCs w:val="24"/>
                <w:lang w:val="en-US" w:eastAsia="zh-CN" w:bidi="ar-SA"/>
              </w:rPr>
              <w:t>企业UV打印机有备用喷头，若出现故障返回厂家进行修理，企业不自行清洗。UV打印机采用先进环保的UV-LED紫外固化系统，采用半导体放光，不会产生废UV灯管。此工序主要产生废墨盒S2-2、废擦拭布S2-3、打印废气G2-3。</w:t>
            </w:r>
          </w:p>
          <w:p w14:paraId="7F3F7607">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eastAsia" w:ascii="Times New Roman" w:hAnsi="Times New Roman" w:eastAsia="宋体" w:cs="Times New Roman"/>
                <w:b/>
                <w:bCs w:val="0"/>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bidi="ar-SA"/>
              </w:rPr>
              <w:t>清洗：</w:t>
            </w:r>
            <w:r>
              <w:rPr>
                <w:rFonts w:hint="eastAsia"/>
                <w:b w:val="0"/>
                <w:bCs/>
                <w:color w:val="auto"/>
                <w:sz w:val="24"/>
                <w:szCs w:val="24"/>
              </w:rPr>
              <w:t>超声波清洗是一种利用高频声波在液体中产生数百万个微小的真空气泡，并通过这些气泡的破裂所产生的冲击波来冲刷物体表面，从而达到高效、彻底清洁目的的先进清洗技术。</w:t>
            </w:r>
            <w:r>
              <w:rPr>
                <w:rFonts w:hint="eastAsia"/>
                <w:bCs/>
                <w:color w:val="auto"/>
                <w:sz w:val="24"/>
                <w:szCs w:val="24"/>
              </w:rPr>
              <w:t>本项目采用超声波清洗技术，对注塑成型后的工件实施分步清洗</w:t>
            </w:r>
            <w:r>
              <w:rPr>
                <w:rFonts w:hint="eastAsia"/>
                <w:bCs/>
                <w:color w:val="auto"/>
                <w:sz w:val="24"/>
                <w:szCs w:val="24"/>
                <w:lang w:eastAsia="zh-CN"/>
              </w:rPr>
              <w:t>（</w:t>
            </w:r>
            <w:r>
              <w:rPr>
                <w:rFonts w:hint="eastAsia"/>
                <w:bCs/>
                <w:color w:val="auto"/>
                <w:sz w:val="24"/>
                <w:szCs w:val="24"/>
                <w:lang w:val="en-US" w:eastAsia="zh-CN"/>
              </w:rPr>
              <w:t>常温下进行</w:t>
            </w:r>
            <w:r>
              <w:rPr>
                <w:rFonts w:hint="eastAsia"/>
                <w:bCs/>
                <w:color w:val="auto"/>
                <w:sz w:val="24"/>
                <w:szCs w:val="24"/>
                <w:lang w:eastAsia="zh-CN"/>
              </w:rPr>
              <w:t>）</w:t>
            </w:r>
            <w:r>
              <w:rPr>
                <w:rFonts w:hint="eastAsia"/>
                <w:bCs/>
                <w:color w:val="auto"/>
                <w:sz w:val="24"/>
                <w:szCs w:val="24"/>
              </w:rPr>
              <w:t>。清洗</w:t>
            </w:r>
            <w:r>
              <w:rPr>
                <w:rFonts w:hint="eastAsia"/>
                <w:bCs/>
                <w:color w:val="auto"/>
                <w:sz w:val="24"/>
                <w:szCs w:val="24"/>
                <w:lang w:val="en-US" w:eastAsia="zh-CN"/>
              </w:rPr>
              <w:t>机</w:t>
            </w:r>
            <w:r>
              <w:rPr>
                <w:rFonts w:hint="eastAsia"/>
                <w:bCs/>
                <w:color w:val="auto"/>
                <w:sz w:val="24"/>
                <w:szCs w:val="24"/>
              </w:rPr>
              <w:t>设有两个槽体：首道工序为粗洗，在槽内按20:1的配比注入纯水与脱脂粉配制而成的清洗液，通过超声波作用有效剥离工件表面油脂及残留杂质；随后进入精洗阶段，该槽体仅使用纯水，对工件进行深度漂洗与最终净化，确保清洗质量达到工艺要求。为维持清洗效果稳定，两类清洗液均实行定期更换，更换周期设定为每</w:t>
            </w:r>
            <w:r>
              <w:rPr>
                <w:rFonts w:hint="eastAsia"/>
                <w:bCs/>
                <w:color w:val="auto"/>
                <w:sz w:val="24"/>
                <w:szCs w:val="24"/>
                <w:lang w:val="en-US" w:eastAsia="zh-CN"/>
              </w:rPr>
              <w:t>9天</w:t>
            </w:r>
            <w:r>
              <w:rPr>
                <w:rFonts w:hint="eastAsia"/>
                <w:bCs/>
                <w:color w:val="auto"/>
                <w:sz w:val="24"/>
                <w:szCs w:val="24"/>
              </w:rPr>
              <w:t>一次。</w:t>
            </w:r>
            <w:r>
              <w:rPr>
                <w:rFonts w:hint="eastAsia"/>
                <w:b w:val="0"/>
                <w:bCs/>
                <w:color w:val="auto"/>
                <w:sz w:val="24"/>
                <w:szCs w:val="24"/>
                <w:lang w:val="en-US" w:eastAsia="zh-CN"/>
              </w:rPr>
              <w:t>此工序主要产生清洗废液S2-4</w:t>
            </w:r>
            <w:r>
              <w:rPr>
                <w:rFonts w:hint="eastAsia" w:ascii="Times New Roman" w:hAnsi="Times New Roman" w:eastAsia="宋体" w:cs="Times New Roman"/>
                <w:b w:val="0"/>
                <w:bCs/>
                <w:color w:val="auto"/>
                <w:kern w:val="2"/>
                <w:sz w:val="24"/>
                <w:szCs w:val="24"/>
                <w:lang w:val="en-US" w:eastAsia="zh-CN" w:bidi="ar-SA"/>
              </w:rPr>
              <w:t>。</w:t>
            </w:r>
          </w:p>
          <w:p w14:paraId="26E2E9EA">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default"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组装：</w:t>
            </w:r>
            <w:r>
              <w:rPr>
                <w:rFonts w:hint="eastAsia" w:cs="Times New Roman"/>
                <w:b w:val="0"/>
                <w:bCs/>
                <w:color w:val="auto"/>
                <w:kern w:val="2"/>
                <w:sz w:val="24"/>
                <w:szCs w:val="24"/>
                <w:lang w:val="en-US" w:eastAsia="zh-CN" w:bidi="ar-SA"/>
              </w:rPr>
              <w:t>人工将处理过的钣金件和塑料件进行组装即为最终产品。</w:t>
            </w:r>
          </w:p>
          <w:p w14:paraId="0600E5A2">
            <w:pPr>
              <w:ind w:firstLine="480" w:firstLineChars="200"/>
              <w:rPr>
                <w:rFonts w:hint="default" w:cs="Times New Roman"/>
                <w:b w:val="0"/>
                <w:bCs/>
                <w:color w:val="auto"/>
                <w:kern w:val="2"/>
                <w:sz w:val="24"/>
                <w:szCs w:val="24"/>
                <w:lang w:val="en-US" w:eastAsia="zh-CN" w:bidi="ar-SA"/>
              </w:rPr>
            </w:pPr>
            <w:r>
              <w:rPr>
                <w:rFonts w:hint="default" w:ascii="Times New Roman" w:hAnsi="Times New Roman" w:eastAsia="宋体" w:cs="Times New Roman"/>
                <w:b/>
                <w:bCs/>
                <w:color w:val="auto"/>
                <w:sz w:val="24"/>
                <w:highlight w:val="none"/>
                <w:lang w:val="en-US" w:eastAsia="zh-CN"/>
              </w:rPr>
              <w:t>检验：</w:t>
            </w:r>
            <w:r>
              <w:rPr>
                <w:rFonts w:hint="default" w:ascii="Times New Roman" w:hAnsi="Times New Roman" w:eastAsia="宋体" w:cs="Times New Roman"/>
                <w:b w:val="0"/>
                <w:bCs w:val="0"/>
                <w:color w:val="auto"/>
                <w:sz w:val="24"/>
                <w:highlight w:val="none"/>
                <w:lang w:val="en-US" w:eastAsia="zh-CN"/>
              </w:rPr>
              <w:t>对产品</w:t>
            </w:r>
            <w:r>
              <w:rPr>
                <w:rFonts w:hint="eastAsia" w:cs="Times New Roman"/>
                <w:b w:val="0"/>
                <w:bCs w:val="0"/>
                <w:color w:val="auto"/>
                <w:sz w:val="24"/>
                <w:highlight w:val="none"/>
                <w:lang w:val="en-US" w:eastAsia="zh-CN"/>
              </w:rPr>
              <w:t>外观</w:t>
            </w:r>
            <w:r>
              <w:rPr>
                <w:rFonts w:hint="default" w:ascii="Times New Roman" w:hAnsi="Times New Roman" w:eastAsia="宋体" w:cs="Times New Roman"/>
                <w:b w:val="0"/>
                <w:bCs w:val="0"/>
                <w:color w:val="auto"/>
                <w:sz w:val="24"/>
                <w:highlight w:val="none"/>
                <w:lang w:val="en-US" w:eastAsia="zh-CN"/>
              </w:rPr>
              <w:t>进行检验挑选，检验合格的工件即为成品，此工序产生不合格品</w:t>
            </w:r>
            <w:r>
              <w:rPr>
                <w:rFonts w:hint="default" w:cs="Times New Roman"/>
                <w:b w:val="0"/>
                <w:bCs/>
                <w:color w:val="auto"/>
                <w:kern w:val="2"/>
                <w:sz w:val="24"/>
                <w:szCs w:val="24"/>
                <w:lang w:val="en-US" w:eastAsia="zh-CN" w:bidi="ar-SA"/>
              </w:rPr>
              <w:t>S</w:t>
            </w:r>
            <w:r>
              <w:rPr>
                <w:rFonts w:hint="eastAsia" w:cs="Times New Roman"/>
                <w:b w:val="0"/>
                <w:bCs/>
                <w:color w:val="auto"/>
                <w:kern w:val="2"/>
                <w:sz w:val="24"/>
                <w:szCs w:val="24"/>
                <w:lang w:val="en-US" w:eastAsia="zh-CN" w:bidi="ar-SA"/>
              </w:rPr>
              <w:t>2</w:t>
            </w:r>
            <w:r>
              <w:rPr>
                <w:rFonts w:hint="default" w:cs="Times New Roman"/>
                <w:b w:val="0"/>
                <w:bCs/>
                <w:color w:val="auto"/>
                <w:kern w:val="2"/>
                <w:sz w:val="24"/>
                <w:szCs w:val="24"/>
                <w:lang w:val="en-US" w:eastAsia="zh-CN" w:bidi="ar-SA"/>
              </w:rPr>
              <w:t>-</w:t>
            </w:r>
            <w:r>
              <w:rPr>
                <w:rFonts w:hint="eastAsia" w:cs="Times New Roman"/>
                <w:b w:val="0"/>
                <w:bCs/>
                <w:color w:val="auto"/>
                <w:kern w:val="2"/>
                <w:sz w:val="24"/>
                <w:szCs w:val="24"/>
                <w:lang w:val="en-US" w:eastAsia="zh-CN" w:bidi="ar-SA"/>
              </w:rPr>
              <w:t>5</w:t>
            </w:r>
            <w:r>
              <w:rPr>
                <w:rFonts w:hint="default" w:cs="Times New Roman"/>
                <w:b w:val="0"/>
                <w:bCs/>
                <w:color w:val="auto"/>
                <w:kern w:val="2"/>
                <w:sz w:val="24"/>
                <w:szCs w:val="24"/>
                <w:lang w:val="en-US" w:eastAsia="zh-CN" w:bidi="ar-SA"/>
              </w:rPr>
              <w:t>。</w:t>
            </w:r>
          </w:p>
          <w:p w14:paraId="3F7D957D">
            <w:pPr>
              <w:pStyle w:val="2"/>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cs="Times New Roman"/>
                <w:b/>
                <w:bCs w:val="0"/>
                <w:color w:val="auto"/>
                <w:kern w:val="2"/>
                <w:sz w:val="24"/>
                <w:szCs w:val="24"/>
                <w:lang w:val="en-US" w:eastAsia="zh-CN" w:bidi="ar-SA"/>
              </w:rPr>
            </w:pPr>
          </w:p>
          <w:p w14:paraId="4E8B77A3">
            <w:pPr>
              <w:pStyle w:val="2"/>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③模具生产工艺</w:t>
            </w:r>
          </w:p>
          <w:p w14:paraId="02F2CAE3">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default" w:cs="Times New Roman"/>
                <w:b w:val="0"/>
                <w:bCs/>
                <w:color w:val="auto"/>
                <w:kern w:val="2"/>
                <w:sz w:val="24"/>
                <w:szCs w:val="24"/>
                <w:lang w:val="en-US" w:eastAsia="zh-CN" w:bidi="ar-SA"/>
              </w:rPr>
            </w:pPr>
            <w:r>
              <w:rPr>
                <w:rFonts w:hint="eastAsia" w:cs="Times New Roman"/>
                <w:b w:val="0"/>
                <w:bCs/>
                <w:color w:val="auto"/>
                <w:kern w:val="2"/>
                <w:sz w:val="24"/>
                <w:szCs w:val="24"/>
                <w:lang w:val="en-US" w:eastAsia="zh-CN" w:bidi="ar-SA"/>
              </w:rPr>
              <w:t>本项目所生产的模具由企业自行用于生产</w:t>
            </w:r>
            <w:r>
              <w:rPr>
                <w:rFonts w:hint="eastAsia"/>
                <w:b w:val="0"/>
                <w:bCs/>
                <w:color w:val="auto"/>
                <w:sz w:val="24"/>
                <w:szCs w:val="24"/>
                <w:lang w:val="en-US" w:eastAsia="zh-CN"/>
              </w:rPr>
              <w:t>吻合器零配件及电器零配件。</w:t>
            </w:r>
          </w:p>
          <w:p w14:paraId="59C6B374">
            <w:pPr>
              <w:ind w:left="0" w:leftChars="0" w:firstLine="0" w:firstLineChars="0"/>
              <w:jc w:val="center"/>
              <w:rPr>
                <w:b/>
                <w:bCs/>
                <w:color w:val="auto"/>
              </w:rPr>
            </w:pPr>
            <w:r>
              <w:rPr>
                <w:b/>
                <w:bCs/>
                <w:color w:val="auto"/>
                <w:sz w:val="24"/>
                <w:szCs w:val="24"/>
              </w:rPr>
              <w:drawing>
                <wp:anchor distT="0" distB="0" distL="114300" distR="114300" simplePos="0" relativeHeight="251661312" behindDoc="0" locked="0" layoutInCell="1" allowOverlap="1">
                  <wp:simplePos x="0" y="0"/>
                  <wp:positionH relativeFrom="column">
                    <wp:posOffset>1489075</wp:posOffset>
                  </wp:positionH>
                  <wp:positionV relativeFrom="paragraph">
                    <wp:posOffset>99060</wp:posOffset>
                  </wp:positionV>
                  <wp:extent cx="3096895" cy="2249805"/>
                  <wp:effectExtent l="0" t="0" r="0" b="0"/>
                  <wp:wrapTopAndBottom/>
                  <wp:docPr id="4" name="ECB019B1-382A-4266-B25C-5B523AA43C14-4" descr="C:/Users/29147/AppData/Local/Temp/wps.nRUOK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4" descr="C:/Users/29147/AppData/Local/Temp/wps.nRUOKZwps"/>
                          <pic:cNvPicPr>
                            <a:picLocks noChangeAspect="1"/>
                          </pic:cNvPicPr>
                        </pic:nvPicPr>
                        <pic:blipFill>
                          <a:blip r:embed="rId17"/>
                          <a:srcRect t="9011"/>
                          <a:stretch>
                            <a:fillRect/>
                          </a:stretch>
                        </pic:blipFill>
                        <pic:spPr>
                          <a:xfrm>
                            <a:off x="0" y="0"/>
                            <a:ext cx="3096895" cy="2249805"/>
                          </a:xfrm>
                          <a:prstGeom prst="rect">
                            <a:avLst/>
                          </a:prstGeom>
                        </pic:spPr>
                      </pic:pic>
                    </a:graphicData>
                  </a:graphic>
                </wp:anchor>
              </w:drawing>
            </w:r>
            <w:r>
              <w:rPr>
                <w:b/>
                <w:bCs/>
                <w:color w:val="auto"/>
              </w:rPr>
              <w:t>图2-</w:t>
            </w:r>
            <w:r>
              <w:rPr>
                <w:rFonts w:hint="eastAsia"/>
                <w:b/>
                <w:bCs/>
                <w:color w:val="auto"/>
                <w:lang w:val="en-US" w:eastAsia="zh-CN"/>
              </w:rPr>
              <w:t>4</w:t>
            </w:r>
            <w:r>
              <w:rPr>
                <w:b/>
                <w:bCs/>
                <w:color w:val="auto"/>
              </w:rPr>
              <w:t xml:space="preserve">  生产工艺流程及产污节点图</w:t>
            </w:r>
          </w:p>
          <w:p w14:paraId="6DD58998">
            <w:pPr>
              <w:ind w:firstLine="0" w:firstLineChars="0"/>
              <w:rPr>
                <w:rFonts w:hint="eastAsia" w:eastAsia="宋体"/>
                <w:b/>
                <w:color w:val="auto"/>
                <w:sz w:val="24"/>
                <w:szCs w:val="24"/>
                <w:lang w:val="en-US" w:eastAsia="zh-CN"/>
              </w:rPr>
            </w:pPr>
            <w:r>
              <w:rPr>
                <w:b/>
                <w:color w:val="auto"/>
                <w:sz w:val="24"/>
                <w:szCs w:val="24"/>
              </w:rPr>
              <w:t>工艺流程简述：</w:t>
            </w:r>
            <w:r>
              <w:rPr>
                <w:rFonts w:hint="eastAsia"/>
                <w:b/>
                <w:color w:val="auto"/>
                <w:sz w:val="24"/>
                <w:szCs w:val="24"/>
                <w:lang w:val="en-US" w:eastAsia="zh-CN"/>
              </w:rPr>
              <w:t xml:space="preserve"> </w:t>
            </w:r>
          </w:p>
          <w:p w14:paraId="5265F277">
            <w:pPr>
              <w:ind w:left="0" w:leftChars="0" w:firstLine="480" w:firstLineChars="200"/>
              <w:rPr>
                <w:rFonts w:hint="default" w:ascii="Times New Roman" w:hAnsi="Times New Roman" w:eastAsia="宋体" w:cs="Times New Roman"/>
                <w:b w:val="0"/>
                <w:bCs w:val="0"/>
                <w:color w:val="auto"/>
                <w:sz w:val="24"/>
                <w:szCs w:val="24"/>
                <w:highlight w:val="none"/>
                <w:lang w:val="en-US" w:eastAsia="zh-Hans"/>
              </w:rPr>
            </w:pPr>
            <w:r>
              <w:rPr>
                <w:rFonts w:hint="eastAsia" w:eastAsia="宋体" w:cs="Times New Roman"/>
                <w:b/>
                <w:bCs/>
                <w:color w:val="auto"/>
                <w:sz w:val="24"/>
                <w:szCs w:val="24"/>
                <w:highlight w:val="none"/>
                <w:lang w:val="en-US" w:eastAsia="zh-CN"/>
              </w:rPr>
              <w:t>机加工</w:t>
            </w:r>
            <w:r>
              <w:rPr>
                <w:rFonts w:hint="default" w:ascii="Times New Roman" w:hAnsi="Times New Roman" w:eastAsia="宋体" w:cs="Times New Roman"/>
                <w:b/>
                <w:bCs/>
                <w:color w:val="auto"/>
                <w:sz w:val="24"/>
                <w:szCs w:val="24"/>
                <w:highlight w:val="none"/>
                <w:lang w:val="en-US" w:eastAsia="zh-CN"/>
              </w:rPr>
              <w:t>：</w:t>
            </w:r>
            <w:r>
              <w:rPr>
                <w:rFonts w:hint="eastAsia" w:eastAsia="宋体" w:cs="Times New Roman"/>
                <w:color w:val="auto"/>
                <w:sz w:val="24"/>
                <w:highlight w:val="none"/>
                <w:lang w:val="en-US" w:eastAsia="zh-CN"/>
              </w:rPr>
              <w:t>模具钢</w:t>
            </w:r>
            <w:r>
              <w:rPr>
                <w:rFonts w:hint="default" w:ascii="Times New Roman" w:hAnsi="Times New Roman" w:eastAsia="宋体" w:cs="Times New Roman"/>
                <w:color w:val="auto"/>
                <w:sz w:val="24"/>
                <w:highlight w:val="none"/>
              </w:rPr>
              <w:t>到厂后，使用</w:t>
            </w:r>
            <w:r>
              <w:rPr>
                <w:rFonts w:hint="eastAsia" w:ascii="Times New Roman" w:hAnsi="Times New Roman" w:eastAsia="宋体" w:cs="Times New Roman"/>
                <w:color w:val="auto"/>
                <w:sz w:val="24"/>
                <w:highlight w:val="none"/>
                <w:lang w:val="en-US" w:eastAsia="zh-CN"/>
              </w:rPr>
              <w:t>磨床、</w:t>
            </w:r>
            <w:r>
              <w:rPr>
                <w:rFonts w:hint="eastAsia" w:cs="Times New Roman"/>
                <w:color w:val="auto"/>
                <w:sz w:val="24"/>
                <w:highlight w:val="none"/>
                <w:lang w:val="en-US" w:eastAsia="zh-CN"/>
              </w:rPr>
              <w:t>砂轮机、</w:t>
            </w:r>
            <w:r>
              <w:rPr>
                <w:rFonts w:hint="eastAsia" w:ascii="Times New Roman" w:hAnsi="Times New Roman" w:eastAsia="宋体" w:cs="Times New Roman"/>
                <w:color w:val="auto"/>
                <w:sz w:val="24"/>
                <w:highlight w:val="none"/>
                <w:lang w:val="en-US" w:eastAsia="zh-CN"/>
              </w:rPr>
              <w:t>铣床</w:t>
            </w:r>
            <w:r>
              <w:rPr>
                <w:rFonts w:hint="default" w:ascii="Times New Roman" w:hAnsi="Times New Roman" w:eastAsia="宋体" w:cs="Times New Roman"/>
                <w:color w:val="auto"/>
                <w:sz w:val="24"/>
                <w:highlight w:val="none"/>
              </w:rPr>
              <w:t>按尺寸要求进行</w:t>
            </w:r>
            <w:r>
              <w:rPr>
                <w:rFonts w:hint="eastAsia" w:ascii="Times New Roman" w:hAnsi="Times New Roman" w:eastAsia="宋体" w:cs="Times New Roman"/>
                <w:color w:val="auto"/>
                <w:sz w:val="24"/>
                <w:highlight w:val="none"/>
                <w:lang w:val="en-US" w:eastAsia="zh-CN"/>
              </w:rPr>
              <w:t>打磨</w:t>
            </w:r>
            <w:r>
              <w:rPr>
                <w:rFonts w:hint="eastAsia"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铣削等加工。铣削加工时会使用切削液</w:t>
            </w:r>
            <w:r>
              <w:rPr>
                <w:rFonts w:hint="eastAsia" w:ascii="Times New Roman" w:hAnsi="Times New Roman" w:eastAsia="宋体" w:cs="Times New Roman"/>
                <w:color w:val="auto"/>
                <w:sz w:val="24"/>
                <w:highlight w:val="none"/>
                <w:lang w:val="en-US" w:eastAsia="zh-CN"/>
              </w:rPr>
              <w:t>进行润滑、冷却</w:t>
            </w:r>
            <w:r>
              <w:rPr>
                <w:rFonts w:hint="default" w:ascii="Times New Roman" w:hAnsi="Times New Roman" w:eastAsia="宋体" w:cs="Times New Roman"/>
                <w:color w:val="auto"/>
                <w:sz w:val="24"/>
                <w:highlight w:val="none"/>
              </w:rPr>
              <w:t>，切削液</w:t>
            </w:r>
            <w:r>
              <w:rPr>
                <w:rFonts w:hint="eastAsia" w:ascii="Times New Roman" w:hAnsi="Times New Roman" w:eastAsia="宋体" w:cs="Times New Roman"/>
                <w:color w:val="auto"/>
                <w:sz w:val="24"/>
                <w:highlight w:val="none"/>
                <w:lang w:val="en-US" w:eastAsia="zh-CN"/>
              </w:rPr>
              <w:t>循环使用，定期更换。本项目采用切削液</w:t>
            </w:r>
            <w:r>
              <w:rPr>
                <w:rFonts w:hint="eastAsia" w:cs="Times New Roman"/>
                <w:color w:val="auto"/>
                <w:sz w:val="24"/>
                <w:highlight w:val="none"/>
                <w:lang w:val="en-US" w:eastAsia="zh-CN"/>
              </w:rPr>
              <w:t>与水进行比例调配</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铣削</w:t>
            </w:r>
            <w:r>
              <w:rPr>
                <w:rFonts w:hint="eastAsia" w:ascii="Times New Roman" w:hAnsi="Times New Roman" w:eastAsia="宋体" w:cs="Times New Roman"/>
                <w:color w:val="auto"/>
                <w:sz w:val="24"/>
                <w:highlight w:val="none"/>
                <w:lang w:val="en-US" w:eastAsia="zh-CN"/>
              </w:rPr>
              <w:t>温度约在200℃</w:t>
            </w:r>
            <w:r>
              <w:rPr>
                <w:rFonts w:hint="eastAsia" w:cs="Times New Roman"/>
                <w:color w:val="auto"/>
                <w:sz w:val="24"/>
                <w:highlight w:val="none"/>
                <w:lang w:val="en-US" w:eastAsia="zh-CN"/>
              </w:rPr>
              <w:t>左右</w:t>
            </w:r>
            <w:r>
              <w:rPr>
                <w:rFonts w:hint="eastAsia" w:ascii="Times New Roman" w:hAnsi="Times New Roman" w:eastAsia="宋体" w:cs="Times New Roman"/>
                <w:color w:val="auto"/>
                <w:sz w:val="24"/>
                <w:highlight w:val="none"/>
                <w:lang w:val="en-US" w:eastAsia="zh-CN"/>
              </w:rPr>
              <w:t>，不会达到切削液的挥发温度280℃，因此有机废气可忽略不计。</w:t>
            </w:r>
            <w:r>
              <w:rPr>
                <w:rFonts w:hint="default" w:ascii="Times New Roman" w:hAnsi="Times New Roman" w:eastAsia="宋体" w:cs="Times New Roman"/>
                <w:color w:val="auto"/>
                <w:sz w:val="24"/>
                <w:highlight w:val="none"/>
              </w:rPr>
              <w:t>此工序主要</w:t>
            </w:r>
            <w:r>
              <w:rPr>
                <w:rFonts w:hint="eastAsia" w:eastAsia="宋体" w:cs="Times New Roman"/>
                <w:color w:val="auto"/>
                <w:sz w:val="24"/>
                <w:highlight w:val="none"/>
                <w:lang w:val="en-US" w:eastAsia="zh-CN"/>
              </w:rPr>
              <w:t>产生</w:t>
            </w:r>
            <w:r>
              <w:rPr>
                <w:rFonts w:hint="eastAsia" w:ascii="Times New Roman" w:hAnsi="Times New Roman" w:eastAsia="宋体" w:cs="Times New Roman"/>
                <w:color w:val="auto"/>
                <w:sz w:val="24"/>
                <w:highlight w:val="none"/>
                <w:lang w:val="en-US" w:eastAsia="zh-CN"/>
              </w:rPr>
              <w:t>废切削液S</w:t>
            </w:r>
            <w:r>
              <w:rPr>
                <w:rFonts w:hint="eastAsia" w:eastAsia="宋体"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1、废金属屑S</w:t>
            </w:r>
            <w:r>
              <w:rPr>
                <w:rFonts w:hint="eastAsia" w:eastAsia="宋体"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2、</w:t>
            </w:r>
            <w:r>
              <w:rPr>
                <w:rFonts w:hint="eastAsia" w:cs="Times New Roman"/>
                <w:color w:val="auto"/>
                <w:sz w:val="24"/>
                <w:highlight w:val="none"/>
                <w:lang w:val="en-US" w:eastAsia="zh-CN"/>
              </w:rPr>
              <w:t>打磨粉尘G</w:t>
            </w:r>
            <w:r>
              <w:rPr>
                <w:rFonts w:hint="eastAsia" w:eastAsia="宋体" w:cs="Times New Roman"/>
                <w:color w:val="auto"/>
                <w:sz w:val="24"/>
                <w:highlight w:val="none"/>
                <w:lang w:val="en-US" w:eastAsia="zh-CN"/>
              </w:rPr>
              <w:t>3-1</w:t>
            </w:r>
            <w:r>
              <w:rPr>
                <w:rFonts w:hint="default" w:ascii="Times New Roman" w:hAnsi="Times New Roman" w:eastAsia="宋体" w:cs="Times New Roman"/>
                <w:color w:val="auto"/>
                <w:sz w:val="24"/>
                <w:highlight w:val="none"/>
              </w:rPr>
              <w:t>。</w:t>
            </w:r>
          </w:p>
          <w:p w14:paraId="1AC67C40">
            <w:pPr>
              <w:ind w:left="0" w:leftChars="0" w:firstLine="480" w:firstLineChars="200"/>
              <w:rPr>
                <w:rFonts w:hint="default" w:ascii="Times New Roman" w:hAnsi="Times New Roman" w:eastAsia="宋体" w:cs="Times New Roman"/>
                <w:b w:val="0"/>
                <w:bCs w:val="0"/>
                <w:color w:val="auto"/>
                <w:sz w:val="24"/>
                <w:szCs w:val="24"/>
                <w:highlight w:val="none"/>
                <w:lang w:val="en-US" w:eastAsia="zh-Hans"/>
              </w:rPr>
            </w:pPr>
            <w:r>
              <w:rPr>
                <w:rFonts w:hint="default" w:ascii="Times New Roman" w:hAnsi="Times New Roman" w:eastAsia="宋体" w:cs="Times New Roman"/>
                <w:b/>
                <w:bCs/>
                <w:color w:val="auto"/>
                <w:sz w:val="24"/>
                <w:szCs w:val="24"/>
                <w:highlight w:val="none"/>
                <w:lang w:val="en-US" w:eastAsia="zh-Hans"/>
              </w:rPr>
              <w:t>电火花</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Hans"/>
              </w:rPr>
              <w:t>电火花加工即利用火花放电时产生的腐蚀现象对材料进行尺寸加工的方法，工件浸在</w:t>
            </w:r>
            <w:r>
              <w:rPr>
                <w:rFonts w:hint="eastAsia" w:eastAsia="宋体" w:cs="Times New Roman"/>
                <w:b w:val="0"/>
                <w:bCs w:val="0"/>
                <w:color w:val="auto"/>
                <w:sz w:val="24"/>
                <w:szCs w:val="24"/>
                <w:highlight w:val="none"/>
                <w:lang w:val="en-US" w:eastAsia="zh-CN"/>
              </w:rPr>
              <w:t>煤油</w:t>
            </w:r>
            <w:r>
              <w:rPr>
                <w:rFonts w:hint="default" w:ascii="Times New Roman" w:hAnsi="Times New Roman" w:eastAsia="宋体" w:cs="Times New Roman"/>
                <w:b w:val="0"/>
                <w:bCs w:val="0"/>
                <w:color w:val="auto"/>
                <w:sz w:val="24"/>
                <w:szCs w:val="24"/>
                <w:highlight w:val="none"/>
                <w:lang w:val="en-US" w:eastAsia="zh-Hans"/>
              </w:rPr>
              <w:t>槽中进行加工</w:t>
            </w:r>
            <w:r>
              <w:rPr>
                <w:rFonts w:hint="default" w:ascii="Times New Roman" w:hAnsi="Times New Roman" w:eastAsia="宋体" w:cs="Times New Roman"/>
                <w:b w:val="0"/>
                <w:bCs w:val="0"/>
                <w:color w:val="auto"/>
                <w:sz w:val="24"/>
                <w:szCs w:val="24"/>
                <w:highlight w:val="none"/>
                <w:lang w:val="en-US" w:eastAsia="zh-CN"/>
              </w:rPr>
              <w:t>，</w:t>
            </w:r>
            <w:r>
              <w:rPr>
                <w:rFonts w:hint="eastAsia" w:eastAsia="宋体" w:cs="Times New Roman"/>
                <w:b w:val="0"/>
                <w:bCs w:val="0"/>
                <w:color w:val="auto"/>
                <w:sz w:val="24"/>
                <w:szCs w:val="24"/>
                <w:highlight w:val="none"/>
                <w:lang w:val="en-US" w:eastAsia="zh-CN"/>
              </w:rPr>
              <w:t>煤油</w:t>
            </w:r>
            <w:r>
              <w:rPr>
                <w:rFonts w:hint="default" w:ascii="Times New Roman" w:hAnsi="Times New Roman" w:eastAsia="宋体" w:cs="Times New Roman"/>
                <w:b w:val="0"/>
                <w:bCs w:val="0"/>
                <w:color w:val="auto"/>
                <w:sz w:val="24"/>
                <w:szCs w:val="24"/>
                <w:highlight w:val="none"/>
                <w:lang w:val="en-US" w:eastAsia="zh-CN"/>
              </w:rPr>
              <w:t>经</w:t>
            </w:r>
            <w:r>
              <w:rPr>
                <w:rFonts w:hint="eastAsia" w:eastAsia="宋体" w:cs="Times New Roman"/>
                <w:b w:val="0"/>
                <w:bCs w:val="0"/>
                <w:color w:val="auto"/>
                <w:sz w:val="24"/>
                <w:szCs w:val="24"/>
                <w:highlight w:val="none"/>
                <w:lang w:val="en-US" w:eastAsia="zh-CN"/>
              </w:rPr>
              <w:t>设备自带的过滤器</w:t>
            </w:r>
            <w:r>
              <w:rPr>
                <w:rFonts w:hint="default" w:ascii="Times New Roman" w:hAnsi="Times New Roman" w:eastAsia="宋体" w:cs="Times New Roman"/>
                <w:b w:val="0"/>
                <w:bCs w:val="0"/>
                <w:color w:val="auto"/>
                <w:sz w:val="24"/>
                <w:szCs w:val="24"/>
                <w:highlight w:val="none"/>
                <w:lang w:val="en-US" w:eastAsia="zh-CN"/>
              </w:rPr>
              <w:t>过滤后循环使用以确保加工过程中的</w:t>
            </w:r>
            <w:r>
              <w:rPr>
                <w:rFonts w:hint="eastAsia" w:eastAsia="宋体" w:cs="Times New Roman"/>
                <w:b w:val="0"/>
                <w:bCs w:val="0"/>
                <w:color w:val="auto"/>
                <w:sz w:val="24"/>
                <w:szCs w:val="24"/>
                <w:highlight w:val="none"/>
                <w:lang w:val="en-US" w:eastAsia="zh-CN"/>
              </w:rPr>
              <w:t>介质</w:t>
            </w:r>
            <w:r>
              <w:rPr>
                <w:rFonts w:hint="default" w:ascii="Times New Roman" w:hAnsi="Times New Roman" w:eastAsia="宋体" w:cs="Times New Roman"/>
                <w:b w:val="0"/>
                <w:bCs w:val="0"/>
                <w:color w:val="auto"/>
                <w:sz w:val="24"/>
                <w:szCs w:val="24"/>
                <w:highlight w:val="none"/>
                <w:lang w:val="en-US" w:eastAsia="zh-CN"/>
              </w:rPr>
              <w:t>纯净，从而提高加工精度和表面质量</w:t>
            </w:r>
            <w:r>
              <w:rPr>
                <w:rFonts w:hint="eastAsia" w:cs="Times New Roman"/>
                <w:b w:val="0"/>
                <w:bCs w:val="0"/>
                <w:color w:val="auto"/>
                <w:sz w:val="24"/>
                <w:szCs w:val="24"/>
                <w:highlight w:val="none"/>
                <w:lang w:val="en-US" w:eastAsia="zh-CN"/>
              </w:rPr>
              <w:t>，使用一年后需要更换</w:t>
            </w:r>
            <w:r>
              <w:rPr>
                <w:rFonts w:hint="default"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电火花在设备中密闭进行，加工产生的废气完全封闭在内部空间，</w:t>
            </w:r>
            <w:r>
              <w:rPr>
                <w:rFonts w:hint="eastAsia"/>
                <w:color w:val="auto"/>
                <w:sz w:val="24"/>
                <w:szCs w:val="24"/>
                <w:highlight w:val="none"/>
              </w:rPr>
              <w:t>生产过程中</w:t>
            </w:r>
            <w:r>
              <w:rPr>
                <w:rFonts w:hint="eastAsia"/>
                <w:color w:val="auto"/>
                <w:sz w:val="24"/>
                <w:szCs w:val="24"/>
                <w:highlight w:val="none"/>
                <w:lang w:val="en-US" w:eastAsia="zh-CN"/>
              </w:rPr>
              <w:t>几乎</w:t>
            </w:r>
            <w:r>
              <w:rPr>
                <w:rFonts w:hint="eastAsia"/>
                <w:color w:val="auto"/>
                <w:sz w:val="24"/>
                <w:szCs w:val="24"/>
                <w:highlight w:val="none"/>
              </w:rPr>
              <w:t>不会</w:t>
            </w:r>
            <w:r>
              <w:rPr>
                <w:rFonts w:hint="eastAsia"/>
                <w:color w:val="auto"/>
                <w:sz w:val="24"/>
                <w:szCs w:val="24"/>
                <w:highlight w:val="none"/>
                <w:lang w:val="en-US" w:eastAsia="zh-CN"/>
              </w:rPr>
              <w:t>挥发</w:t>
            </w:r>
            <w:r>
              <w:rPr>
                <w:rFonts w:hint="eastAsia"/>
                <w:color w:val="auto"/>
                <w:sz w:val="24"/>
                <w:szCs w:val="24"/>
                <w:highlight w:val="none"/>
              </w:rPr>
              <w:t>到车间</w:t>
            </w:r>
            <w:r>
              <w:rPr>
                <w:rFonts w:hint="eastAsia"/>
                <w:color w:val="auto"/>
                <w:sz w:val="24"/>
                <w:szCs w:val="24"/>
                <w:highlight w:val="none"/>
                <w:lang w:val="en-US" w:eastAsia="zh-CN"/>
              </w:rPr>
              <w:t>空气</w:t>
            </w:r>
            <w:r>
              <w:rPr>
                <w:rFonts w:hint="eastAsia"/>
                <w:color w:val="auto"/>
                <w:sz w:val="24"/>
                <w:szCs w:val="24"/>
                <w:highlight w:val="none"/>
              </w:rPr>
              <w:t>中</w:t>
            </w:r>
            <w:r>
              <w:rPr>
                <w:rFonts w:hint="eastAsia"/>
                <w:color w:val="auto"/>
                <w:sz w:val="24"/>
                <w:szCs w:val="24"/>
                <w:highlight w:val="none"/>
                <w:lang w:eastAsia="zh-CN"/>
              </w:rPr>
              <w:t>，</w:t>
            </w:r>
            <w:r>
              <w:rPr>
                <w:rFonts w:hint="eastAsia" w:cs="Times New Roman"/>
                <w:b w:val="0"/>
                <w:bCs w:val="0"/>
                <w:color w:val="auto"/>
                <w:sz w:val="24"/>
                <w:szCs w:val="24"/>
                <w:highlight w:val="none"/>
                <w:lang w:val="en-US" w:eastAsia="zh-CN"/>
              </w:rPr>
              <w:t>结束后才会打开设备，模具取出后</w:t>
            </w:r>
            <w:r>
              <w:rPr>
                <w:rFonts w:hint="eastAsia"/>
                <w:color w:val="auto"/>
                <w:sz w:val="24"/>
                <w:szCs w:val="24"/>
                <w:highlight w:val="none"/>
              </w:rPr>
              <w:t>其表面会附着一层煤油</w:t>
            </w:r>
            <w:r>
              <w:rPr>
                <w:rFonts w:hint="eastAsia" w:cs="Times New Roman"/>
                <w:b w:val="0"/>
                <w:bCs w:val="0"/>
                <w:color w:val="auto"/>
                <w:sz w:val="24"/>
                <w:szCs w:val="24"/>
                <w:highlight w:val="none"/>
                <w:lang w:val="en-US" w:eastAsia="zh-CN"/>
              </w:rPr>
              <w:t>，需用抹布擦拭。</w:t>
            </w:r>
            <w:r>
              <w:rPr>
                <w:rFonts w:hint="default" w:ascii="Times New Roman" w:hAnsi="Times New Roman" w:eastAsia="宋体" w:cs="Times New Roman"/>
                <w:b w:val="0"/>
                <w:bCs w:val="0"/>
                <w:color w:val="auto"/>
                <w:sz w:val="24"/>
                <w:szCs w:val="24"/>
                <w:highlight w:val="none"/>
                <w:lang w:val="en-US" w:eastAsia="zh-Hans"/>
              </w:rPr>
              <w:t>此过程会产生废</w:t>
            </w:r>
            <w:r>
              <w:rPr>
                <w:rFonts w:hint="eastAsia" w:eastAsia="宋体" w:cs="Times New Roman"/>
                <w:b w:val="0"/>
                <w:bCs w:val="0"/>
                <w:color w:val="auto"/>
                <w:sz w:val="24"/>
                <w:szCs w:val="24"/>
                <w:highlight w:val="none"/>
                <w:lang w:val="en-US" w:eastAsia="zh-CN"/>
              </w:rPr>
              <w:t>滤芯</w:t>
            </w:r>
            <w:r>
              <w:rPr>
                <w:rFonts w:hint="default" w:ascii="Times New Roman" w:hAnsi="Times New Roman" w:eastAsia="宋体" w:cs="Times New Roman"/>
                <w:b w:val="0"/>
                <w:bCs w:val="0"/>
                <w:color w:val="auto"/>
                <w:sz w:val="24"/>
                <w:szCs w:val="24"/>
                <w:highlight w:val="none"/>
                <w:lang w:val="en-US" w:eastAsia="zh-Hans"/>
              </w:rPr>
              <w:t>S</w:t>
            </w:r>
            <w:r>
              <w:rPr>
                <w:rFonts w:hint="eastAsia" w:eastAsia="宋体" w:cs="Times New Roman"/>
                <w:b w:val="0"/>
                <w:bCs w:val="0"/>
                <w:color w:val="auto"/>
                <w:sz w:val="24"/>
                <w:szCs w:val="24"/>
                <w:highlight w:val="none"/>
                <w:lang w:val="en-US" w:eastAsia="zh-CN"/>
              </w:rPr>
              <w:t>3-</w:t>
            </w:r>
            <w:r>
              <w:rPr>
                <w:rFonts w:hint="eastAsia" w:cs="Times New Roman"/>
                <w:b w:val="0"/>
                <w:bCs w:val="0"/>
                <w:color w:val="auto"/>
                <w:sz w:val="24"/>
                <w:szCs w:val="24"/>
                <w:highlight w:val="none"/>
                <w:lang w:val="en-US" w:eastAsia="zh-CN"/>
              </w:rPr>
              <w:t>3、废煤油S3-4、废抹布S3-5、电火花废气G3-2</w:t>
            </w:r>
            <w:r>
              <w:rPr>
                <w:rFonts w:hint="default" w:ascii="Times New Roman" w:hAnsi="Times New Roman" w:eastAsia="宋体" w:cs="Times New Roman"/>
                <w:b w:val="0"/>
                <w:bCs w:val="0"/>
                <w:color w:val="auto"/>
                <w:sz w:val="24"/>
                <w:szCs w:val="24"/>
                <w:highlight w:val="none"/>
                <w:lang w:val="en-US" w:eastAsia="zh-Hans"/>
              </w:rPr>
              <w:t>。</w:t>
            </w:r>
          </w:p>
          <w:p w14:paraId="1E54BAE2">
            <w:pPr>
              <w:ind w:left="0" w:leftChars="0" w:firstLine="480" w:firstLineChars="200"/>
              <w:rPr>
                <w:rFonts w:hint="eastAsia" w:cs="Times New Roman"/>
                <w:b/>
                <w:bCs w:val="0"/>
                <w:color w:val="auto"/>
                <w:kern w:val="2"/>
                <w:sz w:val="24"/>
                <w:szCs w:val="24"/>
                <w:lang w:val="en-US" w:eastAsia="zh-CN" w:bidi="ar-SA"/>
              </w:rPr>
            </w:pPr>
          </w:p>
          <w:p w14:paraId="10E8D2B5">
            <w:pPr>
              <w:ind w:left="0" w:leftChars="0" w:firstLine="480" w:firstLineChars="200"/>
              <w:rPr>
                <w:rFonts w:hint="eastAsia" w:cs="Times New Roman"/>
                <w:b/>
                <w:bCs w:val="0"/>
                <w:color w:val="auto"/>
                <w:kern w:val="2"/>
                <w:sz w:val="24"/>
                <w:szCs w:val="24"/>
                <w:lang w:val="en-US" w:eastAsia="zh-CN" w:bidi="ar-SA"/>
              </w:rPr>
            </w:pPr>
          </w:p>
          <w:p w14:paraId="70A8E8FF">
            <w:pPr>
              <w:ind w:left="0" w:leftChars="0" w:firstLine="480" w:firstLineChars="200"/>
              <w:rPr>
                <w:rFonts w:hint="eastAsia" w:cs="Times New Roman"/>
                <w:b/>
                <w:bCs w:val="0"/>
                <w:color w:val="auto"/>
                <w:kern w:val="2"/>
                <w:sz w:val="24"/>
                <w:szCs w:val="24"/>
                <w:lang w:val="en-US" w:eastAsia="zh-CN" w:bidi="ar-SA"/>
              </w:rPr>
            </w:pPr>
          </w:p>
          <w:p w14:paraId="4D752C3B">
            <w:pPr>
              <w:ind w:left="0" w:leftChars="0" w:firstLine="480" w:firstLineChars="200"/>
              <w:rPr>
                <w:rFonts w:hint="eastAsia" w:cs="Times New Roman"/>
                <w:b/>
                <w:bCs w:val="0"/>
                <w:color w:val="auto"/>
                <w:kern w:val="2"/>
                <w:sz w:val="24"/>
                <w:szCs w:val="24"/>
                <w:lang w:val="en-US" w:eastAsia="zh-CN" w:bidi="ar-SA"/>
              </w:rPr>
            </w:pPr>
          </w:p>
          <w:p w14:paraId="3619E5AC">
            <w:pPr>
              <w:ind w:left="0" w:leftChars="0" w:firstLine="480" w:firstLineChars="200"/>
              <w:rPr>
                <w:rFonts w:hint="eastAsia" w:cs="Times New Roman"/>
                <w:b/>
                <w:bCs w:val="0"/>
                <w:color w:val="auto"/>
                <w:kern w:val="2"/>
                <w:sz w:val="24"/>
                <w:szCs w:val="24"/>
                <w:lang w:val="en-US" w:eastAsia="zh-CN" w:bidi="ar-SA"/>
              </w:rPr>
            </w:pPr>
          </w:p>
          <w:p w14:paraId="1A0D4A75">
            <w:pPr>
              <w:ind w:left="0" w:leftChars="0" w:firstLine="480" w:firstLineChars="200"/>
              <w:rPr>
                <w:rFonts w:hint="eastAsia" w:cs="Times New Roman"/>
                <w:b/>
                <w:bCs w:val="0"/>
                <w:color w:val="auto"/>
                <w:kern w:val="2"/>
                <w:sz w:val="24"/>
                <w:szCs w:val="24"/>
                <w:lang w:val="en-US" w:eastAsia="zh-CN" w:bidi="ar-SA"/>
              </w:rPr>
            </w:pPr>
          </w:p>
          <w:p w14:paraId="4E46AAF2">
            <w:pPr>
              <w:ind w:left="0" w:leftChars="0" w:firstLine="480" w:firstLineChars="200"/>
              <w:rPr>
                <w:rFonts w:hint="eastAsia" w:cs="Times New Roman"/>
                <w:b/>
                <w:bCs w:val="0"/>
                <w:color w:val="auto"/>
                <w:kern w:val="2"/>
                <w:sz w:val="24"/>
                <w:szCs w:val="24"/>
                <w:lang w:val="en-US" w:eastAsia="zh-CN" w:bidi="ar-SA"/>
              </w:rPr>
            </w:pPr>
          </w:p>
          <w:p w14:paraId="3E8CC7A9">
            <w:pPr>
              <w:ind w:left="0" w:leftChars="0" w:firstLine="0" w:firstLineChars="0"/>
              <w:rPr>
                <w:rFonts w:hint="eastAsia"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④纯水制备生产工艺</w:t>
            </w:r>
          </w:p>
          <w:p w14:paraId="7F1A27BB">
            <w:pPr>
              <w:ind w:left="0" w:leftChars="0" w:firstLine="0" w:firstLineChars="0"/>
              <w:jc w:val="center"/>
              <w:rPr>
                <w:b/>
                <w:bCs/>
                <w:color w:val="auto"/>
              </w:rPr>
            </w:pPr>
            <w:r>
              <w:rPr>
                <w:rFonts w:hint="eastAsia" w:cs="Times New Roman"/>
                <w:b/>
                <w:bCs w:val="0"/>
                <w:color w:val="auto"/>
                <w:kern w:val="2"/>
                <w:sz w:val="24"/>
                <w:szCs w:val="24"/>
                <w:lang w:val="en-US" w:eastAsia="zh-CN" w:bidi="ar-SA"/>
              </w:rPr>
              <w:drawing>
                <wp:anchor distT="0" distB="0" distL="114300" distR="114300" simplePos="0" relativeHeight="251662336" behindDoc="0" locked="0" layoutInCell="1" allowOverlap="1">
                  <wp:simplePos x="0" y="0"/>
                  <wp:positionH relativeFrom="column">
                    <wp:posOffset>1873250</wp:posOffset>
                  </wp:positionH>
                  <wp:positionV relativeFrom="paragraph">
                    <wp:posOffset>25400</wp:posOffset>
                  </wp:positionV>
                  <wp:extent cx="2753995" cy="3048000"/>
                  <wp:effectExtent l="0" t="0" r="0" b="0"/>
                  <wp:wrapTopAndBottom/>
                  <wp:docPr id="5" name="ECB019B1-382A-4266-B25C-5B523AA43C14-5" descr="C:/Users/29147/AppData/Local/Temp/wps.DAGnde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5" descr="C:/Users/29147/AppData/Local/Temp/wps.DAGndewps"/>
                          <pic:cNvPicPr>
                            <a:picLocks noChangeAspect="1"/>
                          </pic:cNvPicPr>
                        </pic:nvPicPr>
                        <pic:blipFill>
                          <a:blip r:embed="rId18"/>
                          <a:srcRect t="5480" b="4429"/>
                          <a:stretch>
                            <a:fillRect/>
                          </a:stretch>
                        </pic:blipFill>
                        <pic:spPr>
                          <a:xfrm>
                            <a:off x="0" y="0"/>
                            <a:ext cx="2753995" cy="3048000"/>
                          </a:xfrm>
                          <a:prstGeom prst="rect">
                            <a:avLst/>
                          </a:prstGeom>
                        </pic:spPr>
                      </pic:pic>
                    </a:graphicData>
                  </a:graphic>
                </wp:anchor>
              </w:drawing>
            </w:r>
            <w:r>
              <w:rPr>
                <w:b/>
                <w:bCs/>
                <w:color w:val="auto"/>
              </w:rPr>
              <w:t>图2-</w:t>
            </w:r>
            <w:r>
              <w:rPr>
                <w:rFonts w:hint="eastAsia"/>
                <w:b/>
                <w:bCs/>
                <w:color w:val="auto"/>
                <w:lang w:val="en-US" w:eastAsia="zh-CN"/>
              </w:rPr>
              <w:t>5</w:t>
            </w:r>
            <w:r>
              <w:rPr>
                <w:b/>
                <w:bCs/>
                <w:color w:val="auto"/>
              </w:rPr>
              <w:t xml:space="preserve">  生产工艺流程及产污节点图</w:t>
            </w:r>
          </w:p>
          <w:p w14:paraId="5A8ED34E">
            <w:pPr>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eastAsia" w:eastAsia="宋体"/>
                <w:b/>
                <w:color w:val="auto"/>
                <w:sz w:val="24"/>
                <w:szCs w:val="24"/>
                <w:lang w:val="en-US" w:eastAsia="zh-CN"/>
              </w:rPr>
            </w:pPr>
            <w:r>
              <w:rPr>
                <w:b/>
                <w:color w:val="auto"/>
                <w:sz w:val="24"/>
                <w:szCs w:val="24"/>
              </w:rPr>
              <w:t>工艺流程简述：</w:t>
            </w:r>
            <w:r>
              <w:rPr>
                <w:rFonts w:hint="eastAsia"/>
                <w:b/>
                <w:color w:val="auto"/>
                <w:sz w:val="24"/>
                <w:szCs w:val="24"/>
                <w:lang w:val="en-US" w:eastAsia="zh-CN"/>
              </w:rPr>
              <w:t xml:space="preserve"> </w:t>
            </w:r>
          </w:p>
          <w:p w14:paraId="6DB0C2B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机械过滤：</w:t>
            </w:r>
            <w:r>
              <w:rPr>
                <w:rFonts w:hint="default" w:ascii="Times New Roman" w:hAnsi="Times New Roman" w:eastAsia="宋体" w:cs="Times New Roman"/>
                <w:b w:val="0"/>
                <w:bCs w:val="0"/>
                <w:color w:val="auto"/>
                <w:sz w:val="24"/>
                <w:highlight w:val="none"/>
                <w:lang w:val="en-US" w:eastAsia="zh-CN"/>
              </w:rPr>
              <w:t>是预处理阶段的关键设备，主要用于通过物理截留方式去除水中的悬浮颗粒、泥沙、胶体、铁锈等大颗粒杂质，降低水的浊度，保护后续精密设备（如活性炭过滤器、反渗透膜等）免受堵塞或污染。其核心特点是依靠滤料的机械筛分和吸附作用。此过程产生废石英砂S</w:t>
            </w:r>
            <w:r>
              <w:rPr>
                <w:rFonts w:hint="eastAsia" w:cs="Times New Roman"/>
                <w:b w:val="0"/>
                <w:bCs w:val="0"/>
                <w:color w:val="auto"/>
                <w:sz w:val="24"/>
                <w:highlight w:val="none"/>
                <w:lang w:val="en-US" w:eastAsia="zh-CN"/>
              </w:rPr>
              <w:t>4</w:t>
            </w:r>
            <w:r>
              <w:rPr>
                <w:rFonts w:hint="default" w:ascii="Times New Roman" w:hAnsi="Times New Roman" w:eastAsia="宋体" w:cs="Times New Roman"/>
                <w:b w:val="0"/>
                <w:bCs w:val="0"/>
                <w:color w:val="auto"/>
                <w:sz w:val="24"/>
                <w:highlight w:val="none"/>
                <w:lang w:val="en-US" w:eastAsia="zh-CN"/>
              </w:rPr>
              <w:t>-1。</w:t>
            </w:r>
          </w:p>
          <w:p w14:paraId="6452DFD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活性炭过滤：</w:t>
            </w:r>
            <w:r>
              <w:rPr>
                <w:rFonts w:hint="default" w:ascii="Times New Roman" w:hAnsi="Times New Roman" w:eastAsia="宋体" w:cs="Times New Roman"/>
                <w:b w:val="0"/>
                <w:bCs w:val="0"/>
                <w:color w:val="auto"/>
                <w:sz w:val="24"/>
                <w:highlight w:val="none"/>
                <w:lang w:val="en-US" w:eastAsia="zh-CN"/>
              </w:rPr>
              <w:t>活性炭过滤器进一步去除水中低分子有机物、游离氯，也能减少水中异味、色度和臭味，可防止有机物污染反渗透膜，以满足反渗透进水余氯小于0.1ppm的要求，过滤器中填料为垫底石英砂与果壳活性炭。此过程产生废活性炭S</w:t>
            </w:r>
            <w:r>
              <w:rPr>
                <w:rFonts w:hint="eastAsia" w:cs="Times New Roman"/>
                <w:b w:val="0"/>
                <w:bCs w:val="0"/>
                <w:color w:val="auto"/>
                <w:sz w:val="24"/>
                <w:highlight w:val="none"/>
                <w:lang w:val="en-US" w:eastAsia="zh-CN"/>
              </w:rPr>
              <w:t>4</w:t>
            </w:r>
            <w:r>
              <w:rPr>
                <w:rFonts w:hint="default" w:ascii="Times New Roman" w:hAnsi="Times New Roman" w:eastAsia="宋体" w:cs="Times New Roman"/>
                <w:b w:val="0"/>
                <w:bCs w:val="0"/>
                <w:color w:val="auto"/>
                <w:sz w:val="24"/>
                <w:highlight w:val="none"/>
                <w:lang w:val="en-US" w:eastAsia="zh-CN"/>
              </w:rPr>
              <w:t>-2。</w:t>
            </w:r>
          </w:p>
          <w:p w14:paraId="5E24D94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保安过滤：</w:t>
            </w:r>
            <w:r>
              <w:rPr>
                <w:rFonts w:hint="default" w:ascii="Times New Roman" w:hAnsi="Times New Roman" w:eastAsia="宋体" w:cs="Times New Roman"/>
                <w:b w:val="0"/>
                <w:bCs w:val="0"/>
                <w:color w:val="auto"/>
                <w:sz w:val="24"/>
                <w:highlight w:val="none"/>
                <w:lang w:val="en-US" w:eastAsia="zh-CN"/>
              </w:rPr>
              <w:t>主要用于截留预处理环节可能残留的微小颗粒、悬浮物或活性炭粉末等杂质，防止它们进入后续精密膜组件（如RO膜、EDI等）造成堵塞或损伤，从而保障系统的长期稳定运行。此过程产生废滤芯S</w:t>
            </w:r>
            <w:r>
              <w:rPr>
                <w:rFonts w:hint="eastAsia" w:cs="Times New Roman"/>
                <w:b w:val="0"/>
                <w:bCs w:val="0"/>
                <w:color w:val="auto"/>
                <w:sz w:val="24"/>
                <w:highlight w:val="none"/>
                <w:lang w:val="en-US" w:eastAsia="zh-CN"/>
              </w:rPr>
              <w:t>4</w:t>
            </w:r>
            <w:r>
              <w:rPr>
                <w:rFonts w:hint="default" w:ascii="Times New Roman" w:hAnsi="Times New Roman" w:eastAsia="宋体" w:cs="Times New Roman"/>
                <w:b w:val="0"/>
                <w:bCs w:val="0"/>
                <w:color w:val="auto"/>
                <w:sz w:val="24"/>
                <w:highlight w:val="none"/>
                <w:lang w:val="en-US" w:eastAsia="zh-CN"/>
              </w:rPr>
              <w:t>-3。</w:t>
            </w:r>
          </w:p>
          <w:p w14:paraId="77DA1C47">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二级反渗透：</w:t>
            </w:r>
            <w:r>
              <w:rPr>
                <w:rFonts w:hint="default" w:ascii="Times New Roman" w:hAnsi="Times New Roman" w:eastAsia="宋体" w:cs="Times New Roman"/>
                <w:b w:val="0"/>
                <w:bCs w:val="0"/>
                <w:color w:val="auto"/>
                <w:sz w:val="24"/>
                <w:highlight w:val="none"/>
                <w:lang w:val="en-US" w:eastAsia="zh-CN"/>
              </w:rPr>
              <w:t>进入RO膜过滤系统，该项目的预脱盐的心脏部分，经反渗透处理的水，能去除绝大部分无机盐、有机物、微生物、细菌；脱掉水中的盐分，该过程产生废滤膜S</w:t>
            </w:r>
            <w:r>
              <w:rPr>
                <w:rFonts w:hint="eastAsia" w:cs="Times New Roman"/>
                <w:b w:val="0"/>
                <w:bCs w:val="0"/>
                <w:color w:val="auto"/>
                <w:sz w:val="24"/>
                <w:highlight w:val="none"/>
                <w:lang w:val="en-US" w:eastAsia="zh-CN"/>
              </w:rPr>
              <w:t>4</w:t>
            </w:r>
            <w:r>
              <w:rPr>
                <w:rFonts w:hint="default" w:ascii="Times New Roman" w:hAnsi="Times New Roman" w:eastAsia="宋体" w:cs="Times New Roman"/>
                <w:b w:val="0"/>
                <w:bCs w:val="0"/>
                <w:color w:val="auto"/>
                <w:sz w:val="24"/>
                <w:highlight w:val="none"/>
                <w:lang w:val="en-US" w:eastAsia="zh-CN"/>
              </w:rPr>
              <w:t>-4，同时，经滤膜过滤会产生</w:t>
            </w:r>
            <w:r>
              <w:rPr>
                <w:rFonts w:hint="eastAsia" w:ascii="Times New Roman" w:hAnsi="Times New Roman" w:eastAsia="宋体" w:cs="Times New Roman"/>
                <w:b w:val="0"/>
                <w:bCs w:val="0"/>
                <w:color w:val="auto"/>
                <w:sz w:val="24"/>
                <w:highlight w:val="none"/>
                <w:lang w:val="en-US" w:eastAsia="zh-CN"/>
              </w:rPr>
              <w:t>制纯水</w:t>
            </w:r>
            <w:r>
              <w:rPr>
                <w:rFonts w:hint="default" w:ascii="Times New Roman" w:hAnsi="Times New Roman" w:eastAsia="宋体" w:cs="Times New Roman"/>
                <w:b w:val="0"/>
                <w:bCs w:val="0"/>
                <w:color w:val="auto"/>
                <w:sz w:val="24"/>
                <w:highlight w:val="none"/>
                <w:lang w:val="en-US" w:eastAsia="zh-CN"/>
              </w:rPr>
              <w:t>浓水W</w:t>
            </w:r>
            <w:r>
              <w:rPr>
                <w:rFonts w:hint="eastAsia" w:cs="Times New Roman"/>
                <w:b w:val="0"/>
                <w:bCs w:val="0"/>
                <w:color w:val="auto"/>
                <w:sz w:val="24"/>
                <w:highlight w:val="none"/>
                <w:lang w:val="en-US" w:eastAsia="zh-CN"/>
              </w:rPr>
              <w:t>4</w:t>
            </w:r>
            <w:r>
              <w:rPr>
                <w:rFonts w:hint="default" w:ascii="Times New Roman" w:hAnsi="Times New Roman" w:eastAsia="宋体" w:cs="Times New Roman"/>
                <w:b w:val="0"/>
                <w:bCs w:val="0"/>
                <w:color w:val="auto"/>
                <w:sz w:val="24"/>
                <w:highlight w:val="none"/>
                <w:lang w:val="en-US" w:eastAsia="zh-CN"/>
              </w:rPr>
              <w:t>-1。</w:t>
            </w:r>
          </w:p>
          <w:p w14:paraId="6137B6DC">
            <w:pPr>
              <w:ind w:left="0" w:leftChars="0" w:firstLine="0" w:firstLineChars="0"/>
              <w:rPr>
                <w:rFonts w:hint="default"/>
                <w:b/>
                <w:bCs/>
                <w:color w:val="auto"/>
                <w:sz w:val="24"/>
                <w:szCs w:val="24"/>
                <w:lang w:val="en-US" w:eastAsia="zh-CN"/>
              </w:rPr>
            </w:pPr>
            <w:r>
              <w:rPr>
                <w:b/>
                <w:bCs/>
                <w:color w:val="auto"/>
                <w:sz w:val="24"/>
                <w:szCs w:val="24"/>
              </w:rPr>
              <w:t>2.</w:t>
            </w:r>
            <w:r>
              <w:rPr>
                <w:rFonts w:hint="eastAsia"/>
                <w:b/>
                <w:bCs/>
                <w:color w:val="auto"/>
                <w:sz w:val="24"/>
                <w:szCs w:val="24"/>
                <w:lang w:val="en-US" w:eastAsia="zh-CN"/>
              </w:rPr>
              <w:t>2其他产污分析</w:t>
            </w:r>
          </w:p>
          <w:p w14:paraId="2211A66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b w:val="0"/>
                <w:bCs w:val="0"/>
                <w:color w:val="auto"/>
                <w:sz w:val="24"/>
                <w:szCs w:val="24"/>
                <w:lang w:val="en-US" w:eastAsia="zh-CN"/>
              </w:rPr>
            </w:pPr>
            <w:r>
              <w:rPr>
                <w:rFonts w:hint="default"/>
                <w:b w:val="0"/>
                <w:bCs w:val="0"/>
                <w:color w:val="auto"/>
                <w:sz w:val="24"/>
                <w:szCs w:val="24"/>
                <w:lang w:val="en-US" w:eastAsia="zh-CN"/>
              </w:rPr>
              <w:t>（1）原辅料使用及设备维护保养产污分析</w:t>
            </w:r>
          </w:p>
          <w:p w14:paraId="14C3C20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b w:val="0"/>
                <w:bCs w:val="0"/>
                <w:color w:val="auto"/>
                <w:sz w:val="24"/>
                <w:szCs w:val="24"/>
                <w:lang w:val="en-US" w:eastAsia="zh-CN"/>
              </w:rPr>
              <w:t>ABS、PE、PP、PC、PA</w:t>
            </w:r>
            <w:r>
              <w:rPr>
                <w:rFonts w:hint="default"/>
                <w:b w:val="0"/>
                <w:bCs w:val="0"/>
                <w:color w:val="auto"/>
                <w:sz w:val="24"/>
                <w:szCs w:val="24"/>
                <w:lang w:val="en-US" w:eastAsia="zh-CN"/>
              </w:rPr>
              <w:t>使用完后有废包装</w:t>
            </w:r>
            <w:r>
              <w:rPr>
                <w:rFonts w:hint="eastAsia"/>
                <w:b w:val="0"/>
                <w:bCs w:val="0"/>
                <w:color w:val="auto"/>
                <w:sz w:val="24"/>
                <w:szCs w:val="24"/>
                <w:lang w:val="en-US" w:eastAsia="zh-CN"/>
              </w:rPr>
              <w:t>材料</w:t>
            </w:r>
            <w:r>
              <w:rPr>
                <w:rFonts w:hint="default"/>
                <w:b w:val="0"/>
                <w:bCs w:val="0"/>
                <w:color w:val="auto"/>
                <w:sz w:val="24"/>
                <w:szCs w:val="24"/>
                <w:highlight w:val="none"/>
                <w:lang w:val="en-US" w:eastAsia="zh-CN"/>
              </w:rPr>
              <w:t>S</w:t>
            </w:r>
            <w:r>
              <w:rPr>
                <w:rFonts w:hint="eastAsia"/>
                <w:b w:val="0"/>
                <w:bCs w:val="0"/>
                <w:color w:val="auto"/>
                <w:sz w:val="24"/>
                <w:szCs w:val="24"/>
                <w:highlight w:val="none"/>
                <w:lang w:val="en-US" w:eastAsia="zh-CN"/>
              </w:rPr>
              <w:t>5-1</w:t>
            </w:r>
            <w:r>
              <w:rPr>
                <w:rFonts w:hint="default"/>
                <w:b w:val="0"/>
                <w:bCs w:val="0"/>
                <w:color w:val="auto"/>
                <w:sz w:val="24"/>
                <w:szCs w:val="24"/>
                <w:lang w:val="en-US" w:eastAsia="zh-CN"/>
              </w:rPr>
              <w:t>产生，</w:t>
            </w:r>
            <w:r>
              <w:rPr>
                <w:rFonts w:hint="eastAsia"/>
                <w:b w:val="0"/>
                <w:bCs w:val="0"/>
                <w:color w:val="auto"/>
                <w:sz w:val="24"/>
                <w:szCs w:val="24"/>
                <w:lang w:val="en-US" w:eastAsia="zh-CN"/>
              </w:rPr>
              <w:t>煤油、切削液</w:t>
            </w:r>
            <w:r>
              <w:rPr>
                <w:rFonts w:hint="default"/>
                <w:b w:val="0"/>
                <w:bCs w:val="0"/>
                <w:color w:val="auto"/>
                <w:sz w:val="24"/>
                <w:szCs w:val="24"/>
                <w:lang w:val="en-US" w:eastAsia="zh-CN"/>
              </w:rPr>
              <w:t>使用完后有废包装</w:t>
            </w:r>
            <w:r>
              <w:rPr>
                <w:rFonts w:hint="eastAsia"/>
                <w:b w:val="0"/>
                <w:bCs w:val="0"/>
                <w:color w:val="auto"/>
                <w:sz w:val="24"/>
                <w:szCs w:val="24"/>
                <w:lang w:val="en-US" w:eastAsia="zh-CN"/>
              </w:rPr>
              <w:t>桶</w:t>
            </w:r>
            <w:r>
              <w:rPr>
                <w:rFonts w:hint="default"/>
                <w:b w:val="0"/>
                <w:bCs w:val="0"/>
                <w:color w:val="auto"/>
                <w:sz w:val="24"/>
                <w:szCs w:val="24"/>
                <w:highlight w:val="none"/>
                <w:lang w:val="en-US" w:eastAsia="zh-CN"/>
              </w:rPr>
              <w:t>S</w:t>
            </w:r>
            <w:r>
              <w:rPr>
                <w:rFonts w:hint="eastAsia"/>
                <w:b w:val="0"/>
                <w:bCs w:val="0"/>
                <w:color w:val="auto"/>
                <w:sz w:val="24"/>
                <w:szCs w:val="24"/>
                <w:highlight w:val="none"/>
                <w:lang w:val="en-US" w:eastAsia="zh-CN"/>
              </w:rPr>
              <w:t>5-2</w:t>
            </w:r>
            <w:r>
              <w:rPr>
                <w:rFonts w:hint="default"/>
                <w:b w:val="0"/>
                <w:bCs w:val="0"/>
                <w:color w:val="auto"/>
                <w:sz w:val="24"/>
                <w:szCs w:val="24"/>
                <w:lang w:val="en-US" w:eastAsia="zh-CN"/>
              </w:rPr>
              <w:t>产生</w:t>
            </w:r>
            <w:r>
              <w:rPr>
                <w:rFonts w:hint="eastAsia"/>
                <w:b w:val="0"/>
                <w:bCs w:val="0"/>
                <w:color w:val="auto"/>
                <w:sz w:val="24"/>
                <w:szCs w:val="24"/>
                <w:lang w:val="en-US" w:eastAsia="zh-CN"/>
              </w:rPr>
              <w:t>。机械设备定期委托专人进厂进行维护保养，无废油产生，会产生含油抹布手套S5-3。</w:t>
            </w:r>
          </w:p>
          <w:p w14:paraId="0362B92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b w:val="0"/>
                <w:bCs w:val="0"/>
                <w:color w:val="auto"/>
                <w:sz w:val="24"/>
                <w:szCs w:val="24"/>
                <w:lang w:val="en-US" w:eastAsia="zh-CN"/>
              </w:rPr>
            </w:pPr>
            <w:r>
              <w:rPr>
                <w:rFonts w:hint="default"/>
                <w:b w:val="0"/>
                <w:bCs w:val="0"/>
                <w:color w:val="auto"/>
                <w:sz w:val="24"/>
                <w:szCs w:val="24"/>
                <w:lang w:val="en-US" w:eastAsia="zh-CN"/>
              </w:rPr>
              <w:t>（2）废气处理产</w:t>
            </w:r>
            <w:r>
              <w:rPr>
                <w:rFonts w:hint="eastAsia"/>
                <w:b w:val="0"/>
                <w:bCs w:val="0"/>
                <w:color w:val="auto"/>
                <w:sz w:val="24"/>
                <w:szCs w:val="24"/>
                <w:lang w:val="en-US" w:eastAsia="zh-CN"/>
              </w:rPr>
              <w:t>污</w:t>
            </w:r>
            <w:r>
              <w:rPr>
                <w:rFonts w:hint="default"/>
                <w:b w:val="0"/>
                <w:bCs w:val="0"/>
                <w:color w:val="auto"/>
                <w:sz w:val="24"/>
                <w:szCs w:val="24"/>
                <w:lang w:val="en-US" w:eastAsia="zh-CN"/>
              </w:rPr>
              <w:t>分析</w:t>
            </w:r>
          </w:p>
          <w:p w14:paraId="4AB10A3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b w:val="0"/>
                <w:bCs w:val="0"/>
                <w:color w:val="auto"/>
                <w:sz w:val="24"/>
                <w:szCs w:val="24"/>
                <w:lang w:val="en-US" w:eastAsia="zh-CN"/>
              </w:rPr>
            </w:pPr>
            <w:r>
              <w:rPr>
                <w:rFonts w:hint="eastAsia"/>
                <w:b w:val="0"/>
                <w:bCs w:val="0"/>
                <w:color w:val="auto"/>
                <w:sz w:val="24"/>
                <w:szCs w:val="24"/>
                <w:highlight w:val="none"/>
                <w:lang w:val="en-US" w:eastAsia="zh-CN"/>
              </w:rPr>
              <w:t>注塑废气、打印废气</w:t>
            </w:r>
            <w:r>
              <w:rPr>
                <w:rFonts w:hint="default"/>
                <w:b w:val="0"/>
                <w:bCs w:val="0"/>
                <w:color w:val="auto"/>
                <w:sz w:val="24"/>
                <w:szCs w:val="24"/>
                <w:lang w:val="en-US" w:eastAsia="zh-CN"/>
              </w:rPr>
              <w:t>经一套二级活性炭吸附装置处理，会</w:t>
            </w:r>
            <w:r>
              <w:rPr>
                <w:rFonts w:hint="eastAsia"/>
                <w:b w:val="0"/>
                <w:bCs w:val="0"/>
                <w:color w:val="auto"/>
                <w:sz w:val="24"/>
                <w:szCs w:val="24"/>
                <w:lang w:val="en-US" w:eastAsia="zh-CN"/>
              </w:rPr>
              <w:t>产生</w:t>
            </w:r>
            <w:r>
              <w:rPr>
                <w:rFonts w:hint="default"/>
                <w:b w:val="0"/>
                <w:bCs w:val="0"/>
                <w:color w:val="auto"/>
                <w:sz w:val="24"/>
                <w:szCs w:val="24"/>
                <w:lang w:val="en-US" w:eastAsia="zh-CN"/>
              </w:rPr>
              <w:t>废活性炭S</w:t>
            </w:r>
            <w:r>
              <w:rPr>
                <w:rFonts w:hint="eastAsia"/>
                <w:b w:val="0"/>
                <w:bCs w:val="0"/>
                <w:color w:val="auto"/>
                <w:sz w:val="24"/>
                <w:szCs w:val="24"/>
                <w:lang w:val="en-US" w:eastAsia="zh-CN"/>
              </w:rPr>
              <w:t>5-4</w:t>
            </w:r>
            <w:r>
              <w:rPr>
                <w:rFonts w:hint="default"/>
                <w:b w:val="0"/>
                <w:bCs w:val="0"/>
                <w:color w:val="auto"/>
                <w:sz w:val="24"/>
                <w:szCs w:val="24"/>
                <w:lang w:val="en-US" w:eastAsia="zh-CN"/>
              </w:rPr>
              <w:t>。</w:t>
            </w:r>
            <w:r>
              <w:rPr>
                <w:rFonts w:hint="eastAsia"/>
                <w:b w:val="0"/>
                <w:bCs w:val="0"/>
                <w:color w:val="auto"/>
                <w:sz w:val="24"/>
                <w:szCs w:val="24"/>
                <w:lang w:val="en-US" w:eastAsia="zh-CN"/>
              </w:rPr>
              <w:t>破碎粉尘由设备自带的布袋除尘器处理，</w:t>
            </w:r>
            <w:r>
              <w:rPr>
                <w:rFonts w:hint="eastAsia"/>
                <w:color w:val="auto"/>
                <w:sz w:val="24"/>
                <w:szCs w:val="24"/>
              </w:rPr>
              <w:t>打磨粉尘因量小，经移动式除尘器处理后无组织排放</w:t>
            </w:r>
            <w:r>
              <w:rPr>
                <w:rFonts w:hint="eastAsia"/>
                <w:b w:val="0"/>
                <w:bCs w:val="0"/>
                <w:color w:val="auto"/>
                <w:sz w:val="24"/>
                <w:szCs w:val="24"/>
                <w:lang w:val="en-US" w:eastAsia="zh-CN"/>
              </w:rPr>
              <w:t>，会产生废布袋S5-5、废滤筒S5-6。</w:t>
            </w:r>
          </w:p>
        </w:tc>
      </w:tr>
      <w:tr w14:paraId="0917EC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538" w:hRule="atLeast"/>
          <w:jc w:val="center"/>
        </w:trPr>
        <w:tc>
          <w:tcPr>
            <w:tcW w:w="230" w:type="pct"/>
            <w:gridSpan w:val="2"/>
            <w:noWrap w:val="0"/>
            <w:vAlign w:val="center"/>
          </w:tcPr>
          <w:p w14:paraId="37A22891">
            <w:pPr>
              <w:spacing w:line="240" w:lineRule="auto"/>
              <w:ind w:firstLine="0" w:firstLineChars="0"/>
              <w:jc w:val="center"/>
              <w:rPr>
                <w:b/>
                <w:bCs/>
                <w:color w:val="auto"/>
                <w:sz w:val="24"/>
              </w:rPr>
            </w:pPr>
            <w:r>
              <w:rPr>
                <w:b/>
                <w:bCs/>
                <w:color w:val="auto"/>
              </w:rPr>
              <w:t>工艺流程和产排污环节</w:t>
            </w:r>
          </w:p>
        </w:tc>
        <w:tc>
          <w:tcPr>
            <w:tcW w:w="4752" w:type="pct"/>
            <w:gridSpan w:val="2"/>
            <w:noWrap w:val="0"/>
            <w:vAlign w:val="center"/>
          </w:tcPr>
          <w:p w14:paraId="3A077D04">
            <w:pPr>
              <w:ind w:firstLine="0" w:firstLineChars="0"/>
              <w:rPr>
                <w:b/>
                <w:bCs/>
                <w:color w:val="auto"/>
                <w:sz w:val="24"/>
                <w:szCs w:val="24"/>
              </w:rPr>
            </w:pPr>
            <w:r>
              <w:rPr>
                <w:b/>
                <w:bCs/>
                <w:color w:val="auto"/>
                <w:sz w:val="24"/>
                <w:szCs w:val="24"/>
              </w:rPr>
              <w:t>2.</w:t>
            </w:r>
            <w:r>
              <w:rPr>
                <w:rFonts w:hint="eastAsia"/>
                <w:b/>
                <w:bCs/>
                <w:color w:val="auto"/>
                <w:sz w:val="24"/>
                <w:szCs w:val="24"/>
                <w:lang w:val="en-US" w:eastAsia="zh-CN"/>
              </w:rPr>
              <w:t>3</w:t>
            </w:r>
            <w:r>
              <w:rPr>
                <w:b/>
                <w:bCs/>
                <w:color w:val="auto"/>
                <w:sz w:val="24"/>
                <w:szCs w:val="24"/>
              </w:rPr>
              <w:t>本项目主要产污环节</w:t>
            </w:r>
          </w:p>
          <w:p w14:paraId="11F7BEF1">
            <w:pPr>
              <w:ind w:firstLine="420"/>
              <w:rPr>
                <w:color w:val="auto"/>
                <w:sz w:val="24"/>
                <w:szCs w:val="24"/>
              </w:rPr>
            </w:pPr>
            <w:r>
              <w:rPr>
                <w:color w:val="auto"/>
                <w:sz w:val="24"/>
                <w:szCs w:val="24"/>
              </w:rPr>
              <w:t>本项目主要产污环节及排污特征详见表2-</w:t>
            </w:r>
            <w:r>
              <w:rPr>
                <w:rFonts w:hint="eastAsia"/>
                <w:color w:val="auto"/>
                <w:sz w:val="24"/>
                <w:szCs w:val="24"/>
                <w:lang w:val="en-US" w:eastAsia="zh-CN"/>
              </w:rPr>
              <w:t>9</w:t>
            </w:r>
            <w:r>
              <w:rPr>
                <w:color w:val="auto"/>
                <w:sz w:val="24"/>
                <w:szCs w:val="24"/>
              </w:rPr>
              <w:t>。</w:t>
            </w:r>
          </w:p>
          <w:p w14:paraId="5AC026C5">
            <w:pPr>
              <w:spacing w:line="240" w:lineRule="auto"/>
              <w:ind w:firstLine="0" w:firstLineChars="0"/>
              <w:jc w:val="center"/>
              <w:rPr>
                <w:b/>
                <w:bCs/>
                <w:color w:val="auto"/>
                <w:sz w:val="21"/>
                <w:szCs w:val="21"/>
              </w:rPr>
            </w:pPr>
            <w:r>
              <w:rPr>
                <w:b/>
                <w:bCs/>
                <w:color w:val="auto"/>
                <w:sz w:val="21"/>
                <w:szCs w:val="21"/>
              </w:rPr>
              <w:t>表2-</w:t>
            </w:r>
            <w:r>
              <w:rPr>
                <w:rFonts w:hint="eastAsia"/>
                <w:b/>
                <w:bCs/>
                <w:color w:val="auto"/>
                <w:sz w:val="21"/>
                <w:szCs w:val="21"/>
                <w:lang w:val="en-US" w:eastAsia="zh-CN"/>
              </w:rPr>
              <w:t>9</w:t>
            </w:r>
            <w:r>
              <w:rPr>
                <w:b/>
                <w:bCs/>
                <w:color w:val="auto"/>
                <w:sz w:val="21"/>
                <w:szCs w:val="21"/>
              </w:rPr>
              <w:t xml:space="preserve">  项目主要产污环节及排污特征一览表</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803"/>
              <w:gridCol w:w="2501"/>
              <w:gridCol w:w="4514"/>
            </w:tblGrid>
            <w:tr w14:paraId="112B6C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noWrap w:val="0"/>
                  <w:vAlign w:val="center"/>
                </w:tcPr>
                <w:p w14:paraId="53467B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类别</w:t>
                  </w:r>
                </w:p>
              </w:tc>
              <w:tc>
                <w:tcPr>
                  <w:tcW w:w="975" w:type="pct"/>
                  <w:noWrap w:val="0"/>
                  <w:vAlign w:val="center"/>
                </w:tcPr>
                <w:p w14:paraId="7D90B9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污染源</w:t>
                  </w:r>
                </w:p>
              </w:tc>
              <w:tc>
                <w:tcPr>
                  <w:tcW w:w="1352" w:type="pct"/>
                  <w:noWrap w:val="0"/>
                  <w:vAlign w:val="center"/>
                </w:tcPr>
                <w:p w14:paraId="351E42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主要污染物</w:t>
                  </w:r>
                </w:p>
              </w:tc>
              <w:tc>
                <w:tcPr>
                  <w:tcW w:w="2440" w:type="pct"/>
                  <w:noWrap w:val="0"/>
                  <w:vAlign w:val="center"/>
                </w:tcPr>
                <w:p w14:paraId="5AA8D2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措施及去向</w:t>
                  </w:r>
                </w:p>
              </w:tc>
            </w:tr>
            <w:tr w14:paraId="1CDDE5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restart"/>
                  <w:noWrap w:val="0"/>
                  <w:vAlign w:val="center"/>
                </w:tcPr>
                <w:p w14:paraId="5D1A4B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rPr>
                  </w:pPr>
                  <w:r>
                    <w:rPr>
                      <w:bCs/>
                      <w:color w:val="auto"/>
                      <w:sz w:val="21"/>
                      <w:szCs w:val="21"/>
                    </w:rPr>
                    <w:t>废气</w:t>
                  </w:r>
                </w:p>
              </w:tc>
              <w:tc>
                <w:tcPr>
                  <w:tcW w:w="975" w:type="pct"/>
                  <w:noWrap w:val="0"/>
                  <w:vAlign w:val="center"/>
                </w:tcPr>
                <w:p w14:paraId="1D50F6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注塑废气G1-1、G2-1</w:t>
                  </w:r>
                </w:p>
              </w:tc>
              <w:tc>
                <w:tcPr>
                  <w:tcW w:w="1352" w:type="pct"/>
                  <w:noWrap w:val="0"/>
                  <w:vAlign w:val="center"/>
                </w:tcPr>
                <w:p w14:paraId="767571D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olor w:val="auto"/>
                      <w:lang w:val="en-US" w:eastAsia="zh-CN"/>
                    </w:rPr>
                  </w:pPr>
                  <w:r>
                    <w:rPr>
                      <w:rFonts w:hint="eastAsia" w:cs="Times New Roman"/>
                      <w:bCs/>
                      <w:color w:val="auto"/>
                      <w:kern w:val="2"/>
                      <w:sz w:val="21"/>
                      <w:szCs w:val="21"/>
                      <w:highlight w:val="none"/>
                      <w:lang w:val="en-US" w:eastAsia="zh-CN" w:bidi="ar-SA"/>
                    </w:rPr>
                    <w:t>非甲烷总烃、苯乙烯、1,3-丁二烯、丙烯腈、甲苯、乙苯、氯苯类、酚类、二氯甲烷</w:t>
                  </w:r>
                  <w:r>
                    <w:rPr>
                      <w:rFonts w:hint="eastAsia"/>
                      <w:color w:val="auto"/>
                      <w:lang w:eastAsia="zh-CN"/>
                    </w:rPr>
                    <w:t>、</w:t>
                  </w:r>
                  <w:r>
                    <w:rPr>
                      <w:rFonts w:hint="eastAsia"/>
                      <w:color w:val="auto"/>
                      <w:lang w:val="en-US" w:eastAsia="zh-CN"/>
                    </w:rPr>
                    <w:t>氨</w:t>
                  </w:r>
                </w:p>
              </w:tc>
              <w:tc>
                <w:tcPr>
                  <w:tcW w:w="2440" w:type="pct"/>
                  <w:noWrap w:val="0"/>
                  <w:vAlign w:val="center"/>
                </w:tcPr>
                <w:p w14:paraId="3F3868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集气罩收集后经一套二级活性炭吸附装置处理后通过一根20m高的排气筒DA001有组织排放</w:t>
                  </w:r>
                </w:p>
              </w:tc>
            </w:tr>
            <w:tr w14:paraId="0420CE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noWrap w:val="0"/>
                  <w:vAlign w:val="center"/>
                </w:tcPr>
                <w:p w14:paraId="2CCCA9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p>
              </w:tc>
              <w:tc>
                <w:tcPr>
                  <w:tcW w:w="975" w:type="pct"/>
                  <w:noWrap w:val="0"/>
                  <w:vAlign w:val="center"/>
                </w:tcPr>
                <w:p w14:paraId="08B77FE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破碎粉尘G1-2、</w:t>
                  </w:r>
                  <w:r>
                    <w:rPr>
                      <w:rFonts w:hint="eastAsia" w:cs="Times New Roman"/>
                      <w:bCs/>
                      <w:color w:val="auto"/>
                      <w:kern w:val="2"/>
                      <w:sz w:val="21"/>
                      <w:szCs w:val="21"/>
                      <w:lang w:val="en-US" w:eastAsia="zh-CN" w:bidi="ar-SA"/>
                    </w:rPr>
                    <w:t>G2-2</w:t>
                  </w:r>
                </w:p>
              </w:tc>
              <w:tc>
                <w:tcPr>
                  <w:tcW w:w="1352" w:type="pct"/>
                  <w:noWrap w:val="0"/>
                  <w:vAlign w:val="center"/>
                </w:tcPr>
                <w:p w14:paraId="7132B1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颗粒物</w:t>
                  </w:r>
                </w:p>
              </w:tc>
              <w:tc>
                <w:tcPr>
                  <w:tcW w:w="2440" w:type="pct"/>
                  <w:noWrap w:val="0"/>
                  <w:vAlign w:val="center"/>
                </w:tcPr>
                <w:p w14:paraId="438A70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经设备自带的布袋除尘器处理后无组织排放</w:t>
                  </w:r>
                </w:p>
              </w:tc>
            </w:tr>
            <w:tr w14:paraId="718257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noWrap w:val="0"/>
                  <w:vAlign w:val="center"/>
                </w:tcPr>
                <w:p w14:paraId="7AA8E5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p>
              </w:tc>
              <w:tc>
                <w:tcPr>
                  <w:tcW w:w="975" w:type="pct"/>
                  <w:noWrap w:val="0"/>
                  <w:vAlign w:val="center"/>
                </w:tcPr>
                <w:p w14:paraId="46022A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打印废气G1-3、</w:t>
                  </w:r>
                  <w:r>
                    <w:rPr>
                      <w:rFonts w:hint="eastAsia" w:cs="Times New Roman"/>
                      <w:bCs/>
                      <w:color w:val="auto"/>
                      <w:kern w:val="2"/>
                      <w:sz w:val="21"/>
                      <w:szCs w:val="21"/>
                      <w:lang w:val="en-US" w:eastAsia="zh-CN" w:bidi="ar-SA"/>
                    </w:rPr>
                    <w:t>G2-3</w:t>
                  </w:r>
                </w:p>
              </w:tc>
              <w:tc>
                <w:tcPr>
                  <w:tcW w:w="1352" w:type="pct"/>
                  <w:noWrap w:val="0"/>
                  <w:vAlign w:val="center"/>
                </w:tcPr>
                <w:p w14:paraId="785461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非甲烷总烃</w:t>
                  </w:r>
                </w:p>
              </w:tc>
              <w:tc>
                <w:tcPr>
                  <w:tcW w:w="2440" w:type="pct"/>
                  <w:noWrap w:val="0"/>
                  <w:vAlign w:val="center"/>
                </w:tcPr>
                <w:p w14:paraId="478F97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color w:val="auto"/>
                      <w:kern w:val="2"/>
                      <w:sz w:val="21"/>
                      <w:szCs w:val="21"/>
                      <w:lang w:val="en-US" w:eastAsia="zh-CN" w:bidi="ar-SA"/>
                    </w:rPr>
                  </w:pPr>
                  <w:r>
                    <w:rPr>
                      <w:rFonts w:hint="eastAsia" w:ascii="Times New Roman" w:hAnsi="Times New Roman" w:eastAsia="宋体" w:cs="Times New Roman"/>
                      <w:color w:val="auto"/>
                      <w:sz w:val="21"/>
                      <w:szCs w:val="21"/>
                      <w:highlight w:val="none"/>
                      <w:lang w:val="en-US" w:eastAsia="zh-CN"/>
                    </w:rPr>
                    <w:t>集气罩收集后经一套二级活性炭吸附装置处理后通过一根20m高的排气筒DA001有组织排放</w:t>
                  </w:r>
                </w:p>
              </w:tc>
            </w:tr>
            <w:tr w14:paraId="2EB621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noWrap w:val="0"/>
                  <w:vAlign w:val="center"/>
                </w:tcPr>
                <w:p w14:paraId="1A337A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p>
              </w:tc>
              <w:tc>
                <w:tcPr>
                  <w:tcW w:w="975" w:type="pct"/>
                  <w:noWrap w:val="0"/>
                  <w:vAlign w:val="center"/>
                </w:tcPr>
                <w:p w14:paraId="4075706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焊接废气G1-4</w:t>
                  </w:r>
                </w:p>
              </w:tc>
              <w:tc>
                <w:tcPr>
                  <w:tcW w:w="1352" w:type="pct"/>
                  <w:noWrap w:val="0"/>
                  <w:vAlign w:val="center"/>
                </w:tcPr>
                <w:p w14:paraId="606F46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非甲烷总烃</w:t>
                  </w:r>
                </w:p>
              </w:tc>
              <w:tc>
                <w:tcPr>
                  <w:tcW w:w="2440" w:type="pct"/>
                  <w:noWrap w:val="0"/>
                  <w:vAlign w:val="center"/>
                </w:tcPr>
                <w:p w14:paraId="3A6D3B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无组织排放</w:t>
                  </w:r>
                </w:p>
              </w:tc>
            </w:tr>
            <w:tr w14:paraId="14BA4E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noWrap w:val="0"/>
                  <w:vAlign w:val="center"/>
                </w:tcPr>
                <w:p w14:paraId="101A37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p>
              </w:tc>
              <w:tc>
                <w:tcPr>
                  <w:tcW w:w="975" w:type="pct"/>
                  <w:shd w:val="clear" w:color="auto" w:fill="auto"/>
                  <w:noWrap w:val="0"/>
                  <w:vAlign w:val="center"/>
                </w:tcPr>
                <w:p w14:paraId="648605F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打磨粉尘G3-1</w:t>
                  </w:r>
                </w:p>
              </w:tc>
              <w:tc>
                <w:tcPr>
                  <w:tcW w:w="1352" w:type="pct"/>
                  <w:shd w:val="clear" w:color="auto" w:fill="auto"/>
                  <w:noWrap w:val="0"/>
                  <w:vAlign w:val="center"/>
                </w:tcPr>
                <w:p w14:paraId="217EAB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颗粒物</w:t>
                  </w:r>
                </w:p>
              </w:tc>
              <w:tc>
                <w:tcPr>
                  <w:tcW w:w="2440" w:type="pct"/>
                  <w:shd w:val="clear" w:color="auto" w:fill="auto"/>
                  <w:noWrap w:val="0"/>
                  <w:vAlign w:val="center"/>
                </w:tcPr>
                <w:p w14:paraId="25FB67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经移动式除尘设备处理后无组织排放</w:t>
                  </w:r>
                </w:p>
              </w:tc>
            </w:tr>
            <w:tr w14:paraId="349599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noWrap w:val="0"/>
                  <w:vAlign w:val="center"/>
                </w:tcPr>
                <w:p w14:paraId="2AF808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p>
              </w:tc>
              <w:tc>
                <w:tcPr>
                  <w:tcW w:w="975" w:type="pct"/>
                  <w:shd w:val="clear" w:color="auto" w:fill="auto"/>
                  <w:noWrap w:val="0"/>
                  <w:vAlign w:val="center"/>
                </w:tcPr>
                <w:p w14:paraId="747B28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电火花废气G3-2</w:t>
                  </w:r>
                </w:p>
              </w:tc>
              <w:tc>
                <w:tcPr>
                  <w:tcW w:w="1352" w:type="pct"/>
                  <w:shd w:val="clear" w:color="auto" w:fill="auto"/>
                  <w:noWrap w:val="0"/>
                  <w:vAlign w:val="center"/>
                </w:tcPr>
                <w:p w14:paraId="607634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非甲烷总烃</w:t>
                  </w:r>
                </w:p>
              </w:tc>
              <w:tc>
                <w:tcPr>
                  <w:tcW w:w="2440" w:type="pct"/>
                  <w:shd w:val="clear" w:color="auto" w:fill="auto"/>
                  <w:noWrap w:val="0"/>
                  <w:vAlign w:val="center"/>
                </w:tcPr>
                <w:p w14:paraId="127A0D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无组织排放</w:t>
                  </w:r>
                </w:p>
              </w:tc>
            </w:tr>
            <w:tr w14:paraId="1B5AB3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noWrap w:val="0"/>
                  <w:vAlign w:val="center"/>
                </w:tcPr>
                <w:p w14:paraId="7FE05B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p>
              </w:tc>
              <w:tc>
                <w:tcPr>
                  <w:tcW w:w="975" w:type="pct"/>
                  <w:shd w:val="clear" w:color="auto" w:fill="auto"/>
                  <w:noWrap w:val="0"/>
                  <w:vAlign w:val="center"/>
                </w:tcPr>
                <w:p w14:paraId="015A977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危废仓库废气G5-1</w:t>
                  </w:r>
                </w:p>
              </w:tc>
              <w:tc>
                <w:tcPr>
                  <w:tcW w:w="1352" w:type="pct"/>
                  <w:shd w:val="clear" w:color="auto" w:fill="auto"/>
                  <w:noWrap w:val="0"/>
                  <w:vAlign w:val="center"/>
                </w:tcPr>
                <w:p w14:paraId="197C1A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非甲烷总烃</w:t>
                  </w:r>
                </w:p>
              </w:tc>
              <w:tc>
                <w:tcPr>
                  <w:tcW w:w="2440" w:type="pct"/>
                  <w:shd w:val="clear" w:color="auto" w:fill="auto"/>
                  <w:noWrap w:val="0"/>
                  <w:vAlign w:val="center"/>
                </w:tcPr>
                <w:p w14:paraId="7799F7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危废打包，液体危废密封储存于吨桶，固体危废</w:t>
                  </w:r>
                  <w:r>
                    <w:rPr>
                      <w:rFonts w:hint="eastAsia"/>
                      <w:bCs/>
                      <w:color w:val="auto"/>
                    </w:rPr>
                    <w:t>用塑料缠绕膜进行缠绕打包</w:t>
                  </w:r>
                  <w:r>
                    <w:rPr>
                      <w:rFonts w:hint="eastAsia"/>
                      <w:bCs/>
                      <w:color w:val="auto"/>
                      <w:lang w:eastAsia="zh-CN"/>
                    </w:rPr>
                    <w:t>，</w:t>
                  </w:r>
                  <w:r>
                    <w:rPr>
                      <w:rFonts w:hint="eastAsia" w:cs="Times New Roman"/>
                      <w:bCs/>
                      <w:color w:val="auto"/>
                      <w:kern w:val="2"/>
                      <w:sz w:val="21"/>
                      <w:szCs w:val="21"/>
                      <w:lang w:val="en-US" w:eastAsia="zh-CN" w:bidi="ar-SA"/>
                    </w:rPr>
                    <w:t>密封储存于吨袋/桶，产生的废气无组织排放</w:t>
                  </w:r>
                </w:p>
              </w:tc>
            </w:tr>
            <w:tr w14:paraId="6BE43E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restart"/>
                  <w:noWrap w:val="0"/>
                  <w:vAlign w:val="center"/>
                </w:tcPr>
                <w:p w14:paraId="1FD793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Cs/>
                      <w:color w:val="auto"/>
                      <w:sz w:val="21"/>
                      <w:szCs w:val="21"/>
                      <w:lang w:val="en-US" w:eastAsia="zh-CN"/>
                    </w:rPr>
                  </w:pPr>
                  <w:r>
                    <w:rPr>
                      <w:rFonts w:hint="eastAsia"/>
                      <w:bCs/>
                      <w:color w:val="auto"/>
                      <w:sz w:val="21"/>
                      <w:szCs w:val="21"/>
                      <w:lang w:val="en-US" w:eastAsia="zh-CN"/>
                    </w:rPr>
                    <w:t>废水</w:t>
                  </w:r>
                </w:p>
              </w:tc>
              <w:tc>
                <w:tcPr>
                  <w:tcW w:w="975" w:type="pct"/>
                  <w:noWrap w:val="0"/>
                  <w:vAlign w:val="center"/>
                </w:tcPr>
                <w:p w14:paraId="513336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rPr>
                  </w:pPr>
                  <w:r>
                    <w:rPr>
                      <w:bCs/>
                      <w:color w:val="auto"/>
                      <w:sz w:val="21"/>
                      <w:szCs w:val="21"/>
                    </w:rPr>
                    <w:t>生活污水</w:t>
                  </w:r>
                </w:p>
              </w:tc>
              <w:tc>
                <w:tcPr>
                  <w:tcW w:w="1352" w:type="pct"/>
                  <w:noWrap w:val="0"/>
                  <w:vAlign w:val="center"/>
                </w:tcPr>
                <w:p w14:paraId="45881A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rPr>
                  </w:pPr>
                  <w:r>
                    <w:rPr>
                      <w:bCs/>
                      <w:color w:val="auto"/>
                      <w:sz w:val="21"/>
                      <w:szCs w:val="21"/>
                    </w:rPr>
                    <w:t>COD、SS、NH</w:t>
                  </w:r>
                  <w:r>
                    <w:rPr>
                      <w:bCs/>
                      <w:color w:val="auto"/>
                      <w:sz w:val="21"/>
                      <w:szCs w:val="21"/>
                      <w:vertAlign w:val="subscript"/>
                    </w:rPr>
                    <w:t>3</w:t>
                  </w:r>
                  <w:r>
                    <w:rPr>
                      <w:bCs/>
                      <w:color w:val="auto"/>
                      <w:sz w:val="21"/>
                      <w:szCs w:val="21"/>
                    </w:rPr>
                    <w:t>-N、TP、TN</w:t>
                  </w:r>
                </w:p>
              </w:tc>
              <w:tc>
                <w:tcPr>
                  <w:tcW w:w="2440" w:type="pct"/>
                  <w:noWrap w:val="0"/>
                  <w:vAlign w:val="center"/>
                </w:tcPr>
                <w:p w14:paraId="4B60CA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rPr>
                  </w:pPr>
                  <w:r>
                    <w:rPr>
                      <w:rFonts w:hint="eastAsia"/>
                      <w:bCs/>
                      <w:color w:val="auto"/>
                      <w:sz w:val="21"/>
                      <w:szCs w:val="21"/>
                      <w:lang w:val="en-US" w:eastAsia="zh-CN"/>
                    </w:rPr>
                    <w:t>经化粪池处理后</w:t>
                  </w:r>
                  <w:r>
                    <w:rPr>
                      <w:bCs/>
                      <w:color w:val="auto"/>
                      <w:sz w:val="21"/>
                      <w:szCs w:val="21"/>
                    </w:rPr>
                    <w:t>接管进入</w:t>
                  </w:r>
                  <w:r>
                    <w:rPr>
                      <w:rFonts w:hint="eastAsia"/>
                      <w:bCs/>
                      <w:color w:val="auto"/>
                      <w:sz w:val="21"/>
                      <w:szCs w:val="21"/>
                      <w:lang w:val="en-US" w:eastAsia="zh-CN"/>
                    </w:rPr>
                    <w:t>金坛第二</w:t>
                  </w:r>
                  <w:r>
                    <w:rPr>
                      <w:bCs/>
                      <w:color w:val="auto"/>
                      <w:sz w:val="21"/>
                      <w:szCs w:val="21"/>
                    </w:rPr>
                    <w:t>处理厂</w:t>
                  </w:r>
                </w:p>
              </w:tc>
            </w:tr>
            <w:tr w14:paraId="124ED4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noWrap w:val="0"/>
                  <w:vAlign w:val="center"/>
                </w:tcPr>
                <w:p w14:paraId="7FDB63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lang w:val="en-US" w:eastAsia="zh-CN"/>
                    </w:rPr>
                  </w:pPr>
                </w:p>
              </w:tc>
              <w:tc>
                <w:tcPr>
                  <w:tcW w:w="975" w:type="pct"/>
                  <w:noWrap w:val="0"/>
                  <w:vAlign w:val="center"/>
                </w:tcPr>
                <w:p w14:paraId="5D92F7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Cs/>
                      <w:color w:val="auto"/>
                      <w:sz w:val="21"/>
                      <w:szCs w:val="21"/>
                      <w:lang w:val="en-US" w:eastAsia="zh-CN"/>
                    </w:rPr>
                  </w:pPr>
                  <w:r>
                    <w:rPr>
                      <w:rFonts w:hint="eastAsia"/>
                      <w:bCs/>
                      <w:color w:val="auto"/>
                      <w:sz w:val="21"/>
                      <w:szCs w:val="21"/>
                      <w:lang w:val="en-US" w:eastAsia="zh-CN"/>
                    </w:rPr>
                    <w:t>制纯水浓水W4-1</w:t>
                  </w:r>
                </w:p>
              </w:tc>
              <w:tc>
                <w:tcPr>
                  <w:tcW w:w="1352" w:type="pct"/>
                  <w:noWrap w:val="0"/>
                  <w:vAlign w:val="center"/>
                </w:tcPr>
                <w:p w14:paraId="6FCC92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rPr>
                  </w:pPr>
                  <w:r>
                    <w:rPr>
                      <w:rFonts w:hint="eastAsia"/>
                      <w:bCs/>
                      <w:color w:val="auto"/>
                      <w:sz w:val="21"/>
                      <w:szCs w:val="21"/>
                    </w:rPr>
                    <w:t>COD、SS</w:t>
                  </w:r>
                </w:p>
              </w:tc>
              <w:tc>
                <w:tcPr>
                  <w:tcW w:w="2440" w:type="pct"/>
                  <w:noWrap w:val="0"/>
                  <w:vAlign w:val="center"/>
                </w:tcPr>
                <w:p w14:paraId="451C25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Cs/>
                      <w:color w:val="auto"/>
                      <w:sz w:val="21"/>
                      <w:szCs w:val="21"/>
                      <w:lang w:eastAsia="zh-CN"/>
                    </w:rPr>
                  </w:pPr>
                  <w:r>
                    <w:rPr>
                      <w:rFonts w:hint="eastAsia"/>
                      <w:bCs/>
                      <w:color w:val="auto"/>
                      <w:sz w:val="21"/>
                      <w:szCs w:val="21"/>
                    </w:rPr>
                    <w:t>用作冲厕所用水</w:t>
                  </w:r>
                  <w:r>
                    <w:rPr>
                      <w:rFonts w:hint="eastAsia"/>
                      <w:bCs/>
                      <w:color w:val="auto"/>
                      <w:sz w:val="21"/>
                      <w:szCs w:val="21"/>
                      <w:lang w:eastAsia="zh-CN"/>
                    </w:rPr>
                    <w:t>，</w:t>
                  </w:r>
                  <w:r>
                    <w:rPr>
                      <w:rFonts w:hint="eastAsia"/>
                      <w:bCs/>
                      <w:color w:val="auto"/>
                      <w:sz w:val="21"/>
                      <w:szCs w:val="21"/>
                    </w:rPr>
                    <w:t>计入生活污水</w:t>
                  </w:r>
                  <w:r>
                    <w:rPr>
                      <w:rFonts w:hint="eastAsia"/>
                      <w:bCs/>
                      <w:color w:val="auto"/>
                      <w:sz w:val="21"/>
                      <w:szCs w:val="21"/>
                      <w:lang w:eastAsia="zh-CN"/>
                    </w:rPr>
                    <w:t>，</w:t>
                  </w:r>
                  <w:r>
                    <w:rPr>
                      <w:rFonts w:hint="eastAsia"/>
                      <w:bCs/>
                      <w:color w:val="auto"/>
                      <w:sz w:val="21"/>
                      <w:szCs w:val="21"/>
                      <w:lang w:val="en-US" w:eastAsia="zh-CN"/>
                    </w:rPr>
                    <w:t>经化粪池处理后</w:t>
                  </w:r>
                  <w:r>
                    <w:rPr>
                      <w:bCs/>
                      <w:color w:val="auto"/>
                      <w:sz w:val="21"/>
                      <w:szCs w:val="21"/>
                    </w:rPr>
                    <w:t>接管进入</w:t>
                  </w:r>
                  <w:r>
                    <w:rPr>
                      <w:rFonts w:hint="eastAsia"/>
                      <w:bCs/>
                      <w:color w:val="auto"/>
                      <w:sz w:val="21"/>
                      <w:szCs w:val="21"/>
                      <w:lang w:val="en-US" w:eastAsia="zh-CN"/>
                    </w:rPr>
                    <w:t>金坛第二</w:t>
                  </w:r>
                  <w:r>
                    <w:rPr>
                      <w:bCs/>
                      <w:color w:val="auto"/>
                      <w:sz w:val="21"/>
                      <w:szCs w:val="21"/>
                    </w:rPr>
                    <w:t>处理厂</w:t>
                  </w:r>
                </w:p>
              </w:tc>
            </w:tr>
            <w:tr w14:paraId="4B5C27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restart"/>
                  <w:noWrap w:val="0"/>
                  <w:vAlign w:val="center"/>
                </w:tcPr>
                <w:p w14:paraId="13FFFB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rPr>
                  </w:pPr>
                  <w:r>
                    <w:rPr>
                      <w:bCs/>
                      <w:color w:val="auto"/>
                      <w:sz w:val="21"/>
                      <w:szCs w:val="21"/>
                    </w:rPr>
                    <w:t>固废</w:t>
                  </w:r>
                </w:p>
              </w:tc>
              <w:tc>
                <w:tcPr>
                  <w:tcW w:w="975" w:type="pct"/>
                  <w:shd w:val="clear" w:color="auto" w:fill="auto"/>
                  <w:noWrap w:val="0"/>
                  <w:vAlign w:val="center"/>
                </w:tcPr>
                <w:p w14:paraId="271E21C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注塑后检验</w:t>
                  </w:r>
                </w:p>
              </w:tc>
              <w:tc>
                <w:tcPr>
                  <w:tcW w:w="1352" w:type="pct"/>
                  <w:shd w:val="clear" w:color="auto" w:fill="auto"/>
                  <w:noWrap w:val="0"/>
                  <w:vAlign w:val="center"/>
                </w:tcPr>
                <w:p w14:paraId="145351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不合格品</w:t>
                  </w:r>
                  <w:r>
                    <w:rPr>
                      <w:rFonts w:hint="eastAsia" w:ascii="Times New Roman" w:hAnsi="Times New Roman" w:eastAsia="宋体" w:cs="Times New Roman"/>
                      <w:color w:val="auto"/>
                      <w:sz w:val="21"/>
                      <w:szCs w:val="21"/>
                      <w:highlight w:val="none"/>
                      <w:lang w:val="en-US" w:eastAsia="zh-CN"/>
                    </w:rPr>
                    <w:t>S</w:t>
                  </w:r>
                  <w:r>
                    <w:rPr>
                      <w:rFonts w:hint="eastAsia" w:eastAsia="宋体" w:cs="Times New Roman"/>
                      <w:color w:val="auto"/>
                      <w:sz w:val="21"/>
                      <w:szCs w:val="21"/>
                      <w:highlight w:val="none"/>
                      <w:lang w:val="en-US" w:eastAsia="zh-CN"/>
                    </w:rPr>
                    <w:t>1-1、S2-1</w:t>
                  </w:r>
                </w:p>
              </w:tc>
              <w:tc>
                <w:tcPr>
                  <w:tcW w:w="2440" w:type="pct"/>
                  <w:noWrap w:val="0"/>
                  <w:vAlign w:val="center"/>
                </w:tcPr>
                <w:p w14:paraId="485412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回用于生产</w:t>
                  </w:r>
                </w:p>
              </w:tc>
            </w:tr>
            <w:tr w14:paraId="3A5981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noWrap w:val="0"/>
                  <w:vAlign w:val="center"/>
                </w:tcPr>
                <w:p w14:paraId="7C4E07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rPr>
                  </w:pPr>
                </w:p>
              </w:tc>
              <w:tc>
                <w:tcPr>
                  <w:tcW w:w="975" w:type="pct"/>
                  <w:vMerge w:val="restart"/>
                  <w:noWrap w:val="0"/>
                  <w:vAlign w:val="center"/>
                </w:tcPr>
                <w:p w14:paraId="7294C69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UV打印</w:t>
                  </w:r>
                </w:p>
              </w:tc>
              <w:tc>
                <w:tcPr>
                  <w:tcW w:w="1352" w:type="pct"/>
                  <w:noWrap w:val="0"/>
                  <w:vAlign w:val="center"/>
                </w:tcPr>
                <w:p w14:paraId="2DC828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废墨盒S1-2、S2-2</w:t>
                  </w:r>
                </w:p>
              </w:tc>
              <w:tc>
                <w:tcPr>
                  <w:tcW w:w="2440" w:type="pct"/>
                  <w:noWrap w:val="0"/>
                  <w:vAlign w:val="center"/>
                </w:tcPr>
                <w:p w14:paraId="2443133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收集后委托有资质单位处置</w:t>
                  </w:r>
                </w:p>
              </w:tc>
            </w:tr>
            <w:tr w14:paraId="723707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noWrap w:val="0"/>
                  <w:vAlign w:val="center"/>
                </w:tcPr>
                <w:p w14:paraId="260CC5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rPr>
                  </w:pPr>
                </w:p>
              </w:tc>
              <w:tc>
                <w:tcPr>
                  <w:tcW w:w="975" w:type="pct"/>
                  <w:vMerge w:val="continue"/>
                  <w:noWrap w:val="0"/>
                  <w:vAlign w:val="center"/>
                </w:tcPr>
                <w:p w14:paraId="7A4AD44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highlight w:val="none"/>
                      <w:lang w:val="en-US" w:eastAsia="zh-CN"/>
                    </w:rPr>
                  </w:pPr>
                </w:p>
              </w:tc>
              <w:tc>
                <w:tcPr>
                  <w:tcW w:w="1352" w:type="pct"/>
                  <w:noWrap w:val="0"/>
                  <w:vAlign w:val="center"/>
                </w:tcPr>
                <w:p w14:paraId="72C638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废擦拭布S1-3、S2-3</w:t>
                  </w:r>
                </w:p>
              </w:tc>
              <w:tc>
                <w:tcPr>
                  <w:tcW w:w="2440" w:type="pct"/>
                  <w:noWrap w:val="0"/>
                  <w:vAlign w:val="center"/>
                </w:tcPr>
                <w:p w14:paraId="095445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收集后委托有资质单位处置</w:t>
                  </w:r>
                </w:p>
              </w:tc>
            </w:tr>
            <w:tr w14:paraId="5B986E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noWrap w:val="0"/>
                  <w:vAlign w:val="center"/>
                </w:tcPr>
                <w:p w14:paraId="285F3C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rPr>
                  </w:pPr>
                </w:p>
              </w:tc>
              <w:tc>
                <w:tcPr>
                  <w:tcW w:w="975" w:type="pct"/>
                  <w:noWrap w:val="0"/>
                  <w:vAlign w:val="center"/>
                </w:tcPr>
                <w:p w14:paraId="48B58FA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清洗</w:t>
                  </w:r>
                </w:p>
              </w:tc>
              <w:tc>
                <w:tcPr>
                  <w:tcW w:w="1352" w:type="pct"/>
                  <w:noWrap w:val="0"/>
                  <w:vAlign w:val="center"/>
                </w:tcPr>
                <w:p w14:paraId="7F30F0A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清洗废液S1-4、S1-7、S2-4</w:t>
                  </w:r>
                </w:p>
              </w:tc>
              <w:tc>
                <w:tcPr>
                  <w:tcW w:w="2440" w:type="pct"/>
                  <w:noWrap w:val="0"/>
                  <w:vAlign w:val="center"/>
                </w:tcPr>
                <w:p w14:paraId="3A4408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收集后委托有资质单位处置</w:t>
                  </w:r>
                </w:p>
              </w:tc>
            </w:tr>
            <w:tr w14:paraId="12B7C0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231" w:type="pct"/>
                  <w:vMerge w:val="continue"/>
                  <w:noWrap w:val="0"/>
                  <w:vAlign w:val="center"/>
                </w:tcPr>
                <w:p w14:paraId="3AFC87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rPr>
                  </w:pPr>
                </w:p>
              </w:tc>
              <w:tc>
                <w:tcPr>
                  <w:tcW w:w="975" w:type="pct"/>
                  <w:vMerge w:val="restart"/>
                  <w:noWrap w:val="0"/>
                  <w:vAlign w:val="center"/>
                </w:tcPr>
                <w:p w14:paraId="4C48BA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磁力抛光</w:t>
                  </w:r>
                </w:p>
              </w:tc>
              <w:tc>
                <w:tcPr>
                  <w:tcW w:w="1352" w:type="pct"/>
                  <w:noWrap w:val="0"/>
                  <w:vAlign w:val="center"/>
                </w:tcPr>
                <w:p w14:paraId="43DEA1D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抛光废液S1-5</w:t>
                  </w:r>
                </w:p>
              </w:tc>
              <w:tc>
                <w:tcPr>
                  <w:tcW w:w="2440" w:type="pct"/>
                  <w:noWrap w:val="0"/>
                  <w:vAlign w:val="center"/>
                </w:tcPr>
                <w:p w14:paraId="7CCB62E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收集后委托有资质单位处置</w:t>
                  </w:r>
                </w:p>
              </w:tc>
            </w:tr>
            <w:tr w14:paraId="6F70C4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231" w:type="pct"/>
                  <w:vMerge w:val="continue"/>
                  <w:noWrap w:val="0"/>
                  <w:vAlign w:val="center"/>
                </w:tcPr>
                <w:p w14:paraId="1A013D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rPr>
                  </w:pPr>
                </w:p>
              </w:tc>
              <w:tc>
                <w:tcPr>
                  <w:tcW w:w="975" w:type="pct"/>
                  <w:vMerge w:val="continue"/>
                  <w:noWrap w:val="0"/>
                  <w:vAlign w:val="center"/>
                </w:tcPr>
                <w:p w14:paraId="7BB1AF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rPr>
                  </w:pPr>
                </w:p>
              </w:tc>
              <w:tc>
                <w:tcPr>
                  <w:tcW w:w="1352" w:type="pct"/>
                  <w:noWrap w:val="0"/>
                  <w:vAlign w:val="center"/>
                </w:tcPr>
                <w:p w14:paraId="385026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废磨料S1-6</w:t>
                  </w:r>
                </w:p>
              </w:tc>
              <w:tc>
                <w:tcPr>
                  <w:tcW w:w="2440" w:type="pct"/>
                  <w:noWrap w:val="0"/>
                  <w:vAlign w:val="center"/>
                </w:tcPr>
                <w:p w14:paraId="20F59B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收集后</w:t>
                  </w:r>
                  <w:r>
                    <w:rPr>
                      <w:rFonts w:hint="eastAsia" w:ascii="Times New Roman" w:hAnsi="Times New Roman" w:eastAsia="宋体" w:cs="Times New Roman"/>
                      <w:color w:val="auto"/>
                      <w:sz w:val="21"/>
                      <w:szCs w:val="21"/>
                      <w:highlight w:val="none"/>
                      <w:lang w:val="en-US" w:eastAsia="zh-CN"/>
                    </w:rPr>
                    <w:t>外售</w:t>
                  </w:r>
                </w:p>
              </w:tc>
            </w:tr>
            <w:tr w14:paraId="478AD7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noWrap w:val="0"/>
                  <w:vAlign w:val="center"/>
                </w:tcPr>
                <w:p w14:paraId="6F7213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rPr>
                  </w:pPr>
                </w:p>
              </w:tc>
              <w:tc>
                <w:tcPr>
                  <w:tcW w:w="975" w:type="pct"/>
                  <w:noWrap w:val="0"/>
                  <w:vAlign w:val="center"/>
                </w:tcPr>
                <w:p w14:paraId="1470201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组装后检验</w:t>
                  </w:r>
                </w:p>
              </w:tc>
              <w:tc>
                <w:tcPr>
                  <w:tcW w:w="1352" w:type="pct"/>
                  <w:shd w:val="clear" w:color="auto" w:fill="auto"/>
                  <w:noWrap w:val="0"/>
                  <w:vAlign w:val="center"/>
                </w:tcPr>
                <w:p w14:paraId="3BD0ED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不合格品</w:t>
                  </w:r>
                  <w:r>
                    <w:rPr>
                      <w:rFonts w:hint="eastAsia" w:ascii="Times New Roman" w:hAnsi="Times New Roman" w:eastAsia="宋体" w:cs="Times New Roman"/>
                      <w:color w:val="auto"/>
                      <w:sz w:val="21"/>
                      <w:szCs w:val="21"/>
                      <w:highlight w:val="none"/>
                      <w:lang w:val="en-US" w:eastAsia="zh-CN"/>
                    </w:rPr>
                    <w:t>S</w:t>
                  </w:r>
                  <w:r>
                    <w:rPr>
                      <w:rFonts w:hint="eastAsia"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8</w:t>
                  </w:r>
                  <w:r>
                    <w:rPr>
                      <w:rFonts w:hint="eastAsia" w:eastAsia="宋体" w:cs="Times New Roman"/>
                      <w:color w:val="auto"/>
                      <w:sz w:val="21"/>
                      <w:szCs w:val="21"/>
                      <w:highlight w:val="none"/>
                      <w:lang w:val="en-US" w:eastAsia="zh-CN"/>
                    </w:rPr>
                    <w:t>、S2-</w:t>
                  </w:r>
                  <w:r>
                    <w:rPr>
                      <w:rFonts w:hint="eastAsia" w:cs="Times New Roman"/>
                      <w:color w:val="auto"/>
                      <w:sz w:val="21"/>
                      <w:szCs w:val="21"/>
                      <w:highlight w:val="none"/>
                      <w:lang w:val="en-US" w:eastAsia="zh-CN"/>
                    </w:rPr>
                    <w:t>5</w:t>
                  </w:r>
                </w:p>
              </w:tc>
              <w:tc>
                <w:tcPr>
                  <w:tcW w:w="2440" w:type="pct"/>
                  <w:shd w:val="clear" w:color="auto" w:fill="auto"/>
                  <w:noWrap w:val="0"/>
                  <w:vAlign w:val="center"/>
                </w:tcPr>
                <w:p w14:paraId="2B33B72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收集后</w:t>
                  </w:r>
                  <w:r>
                    <w:rPr>
                      <w:rFonts w:hint="eastAsia" w:ascii="Times New Roman" w:hAnsi="Times New Roman" w:eastAsia="宋体" w:cs="Times New Roman"/>
                      <w:color w:val="auto"/>
                      <w:sz w:val="21"/>
                      <w:szCs w:val="21"/>
                      <w:highlight w:val="none"/>
                      <w:lang w:val="en-US" w:eastAsia="zh-CN"/>
                    </w:rPr>
                    <w:t>外售</w:t>
                  </w:r>
                </w:p>
              </w:tc>
            </w:tr>
            <w:tr w14:paraId="43D78B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noWrap w:val="0"/>
                  <w:vAlign w:val="center"/>
                </w:tcPr>
                <w:p w14:paraId="126010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rPr>
                  </w:pPr>
                </w:p>
              </w:tc>
              <w:tc>
                <w:tcPr>
                  <w:tcW w:w="975" w:type="pct"/>
                  <w:noWrap w:val="0"/>
                  <w:vAlign w:val="center"/>
                </w:tcPr>
                <w:p w14:paraId="40C9ADD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机加工</w:t>
                  </w:r>
                </w:p>
              </w:tc>
              <w:tc>
                <w:tcPr>
                  <w:tcW w:w="1352" w:type="pct"/>
                  <w:noWrap w:val="0"/>
                  <w:vAlign w:val="center"/>
                </w:tcPr>
                <w:p w14:paraId="5EB0DE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废切削液S3-1</w:t>
                  </w:r>
                </w:p>
              </w:tc>
              <w:tc>
                <w:tcPr>
                  <w:tcW w:w="2440" w:type="pct"/>
                  <w:noWrap w:val="0"/>
                  <w:vAlign w:val="center"/>
                </w:tcPr>
                <w:p w14:paraId="568B2D8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收集后委托有资质单位处置</w:t>
                  </w:r>
                </w:p>
              </w:tc>
            </w:tr>
            <w:tr w14:paraId="749872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1" w:type="pct"/>
                  <w:vMerge w:val="continue"/>
                  <w:noWrap w:val="0"/>
                  <w:vAlign w:val="center"/>
                </w:tcPr>
                <w:p w14:paraId="44A5F9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rPr>
                  </w:pPr>
                </w:p>
              </w:tc>
              <w:tc>
                <w:tcPr>
                  <w:tcW w:w="975" w:type="pct"/>
                  <w:noWrap w:val="0"/>
                  <w:vAlign w:val="center"/>
                </w:tcPr>
                <w:p w14:paraId="74FB1A4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机加工</w:t>
                  </w:r>
                </w:p>
              </w:tc>
              <w:tc>
                <w:tcPr>
                  <w:tcW w:w="1352" w:type="pct"/>
                  <w:noWrap w:val="0"/>
                  <w:vAlign w:val="center"/>
                </w:tcPr>
                <w:p w14:paraId="1F3E5A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废金属屑S3-2</w:t>
                  </w:r>
                </w:p>
              </w:tc>
              <w:tc>
                <w:tcPr>
                  <w:tcW w:w="2440" w:type="pct"/>
                  <w:noWrap w:val="0"/>
                  <w:vAlign w:val="center"/>
                </w:tcPr>
                <w:p w14:paraId="3885C2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收集后</w:t>
                  </w:r>
                  <w:r>
                    <w:rPr>
                      <w:rFonts w:hint="eastAsia" w:ascii="Times New Roman" w:hAnsi="Times New Roman" w:eastAsia="宋体" w:cs="Times New Roman"/>
                      <w:color w:val="auto"/>
                      <w:sz w:val="21"/>
                      <w:szCs w:val="21"/>
                      <w:highlight w:val="none"/>
                      <w:lang w:val="en-US" w:eastAsia="zh-CN"/>
                    </w:rPr>
                    <w:t>外售</w:t>
                  </w:r>
                </w:p>
              </w:tc>
            </w:tr>
            <w:tr w14:paraId="233130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noWrap w:val="0"/>
                  <w:vAlign w:val="center"/>
                </w:tcPr>
                <w:p w14:paraId="488EC4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rPr>
                  </w:pPr>
                </w:p>
              </w:tc>
              <w:tc>
                <w:tcPr>
                  <w:tcW w:w="975" w:type="pct"/>
                  <w:noWrap w:val="0"/>
                  <w:vAlign w:val="center"/>
                </w:tcPr>
                <w:p w14:paraId="4266B6F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电火花</w:t>
                  </w:r>
                </w:p>
              </w:tc>
              <w:tc>
                <w:tcPr>
                  <w:tcW w:w="1352" w:type="pct"/>
                  <w:noWrap w:val="0"/>
                  <w:vAlign w:val="center"/>
                </w:tcPr>
                <w:p w14:paraId="1BEF5E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废滤芯S3-3</w:t>
                  </w:r>
                </w:p>
              </w:tc>
              <w:tc>
                <w:tcPr>
                  <w:tcW w:w="2440" w:type="pct"/>
                  <w:noWrap w:val="0"/>
                  <w:vAlign w:val="center"/>
                </w:tcPr>
                <w:p w14:paraId="34057A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收集后委托有资质单位处置</w:t>
                  </w:r>
                </w:p>
              </w:tc>
            </w:tr>
            <w:tr w14:paraId="1D435B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noWrap w:val="0"/>
                  <w:vAlign w:val="center"/>
                </w:tcPr>
                <w:p w14:paraId="11BCE5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rPr>
                  </w:pPr>
                </w:p>
              </w:tc>
              <w:tc>
                <w:tcPr>
                  <w:tcW w:w="975" w:type="pct"/>
                  <w:shd w:val="clear" w:color="auto" w:fill="auto"/>
                  <w:noWrap w:val="0"/>
                  <w:vAlign w:val="center"/>
                </w:tcPr>
                <w:p w14:paraId="1D861A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电火花</w:t>
                  </w:r>
                </w:p>
              </w:tc>
              <w:tc>
                <w:tcPr>
                  <w:tcW w:w="1352" w:type="pct"/>
                  <w:shd w:val="clear" w:color="auto" w:fill="auto"/>
                  <w:noWrap w:val="0"/>
                  <w:vAlign w:val="center"/>
                </w:tcPr>
                <w:p w14:paraId="1EC6FC8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废煤油S3-4</w:t>
                  </w:r>
                </w:p>
              </w:tc>
              <w:tc>
                <w:tcPr>
                  <w:tcW w:w="2440" w:type="pct"/>
                  <w:shd w:val="clear" w:color="auto" w:fill="auto"/>
                  <w:noWrap w:val="0"/>
                  <w:vAlign w:val="center"/>
                </w:tcPr>
                <w:p w14:paraId="5135F07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收集后委托有资质单位处置</w:t>
                  </w:r>
                </w:p>
              </w:tc>
            </w:tr>
            <w:tr w14:paraId="10E053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noWrap w:val="0"/>
                  <w:vAlign w:val="center"/>
                </w:tcPr>
                <w:p w14:paraId="012D76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rPr>
                  </w:pPr>
                </w:p>
              </w:tc>
              <w:tc>
                <w:tcPr>
                  <w:tcW w:w="975" w:type="pct"/>
                  <w:shd w:val="clear" w:color="auto" w:fill="auto"/>
                  <w:noWrap w:val="0"/>
                  <w:vAlign w:val="center"/>
                </w:tcPr>
                <w:p w14:paraId="5019391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电火花</w:t>
                  </w:r>
                </w:p>
              </w:tc>
              <w:tc>
                <w:tcPr>
                  <w:tcW w:w="1352" w:type="pct"/>
                  <w:shd w:val="clear" w:color="auto" w:fill="auto"/>
                  <w:noWrap w:val="0"/>
                  <w:vAlign w:val="center"/>
                </w:tcPr>
                <w:p w14:paraId="7152AB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废抹布S3-5</w:t>
                  </w:r>
                </w:p>
              </w:tc>
              <w:tc>
                <w:tcPr>
                  <w:tcW w:w="2440" w:type="pct"/>
                  <w:shd w:val="clear" w:color="auto" w:fill="auto"/>
                  <w:noWrap w:val="0"/>
                  <w:vAlign w:val="center"/>
                </w:tcPr>
                <w:p w14:paraId="645E26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收集后委托有资质单位处置</w:t>
                  </w:r>
                </w:p>
              </w:tc>
            </w:tr>
            <w:tr w14:paraId="30ABC4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noWrap w:val="0"/>
                  <w:vAlign w:val="center"/>
                </w:tcPr>
                <w:p w14:paraId="0A47DE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rPr>
                  </w:pPr>
                </w:p>
              </w:tc>
              <w:tc>
                <w:tcPr>
                  <w:tcW w:w="975" w:type="pct"/>
                  <w:noWrap w:val="0"/>
                  <w:vAlign w:val="center"/>
                </w:tcPr>
                <w:p w14:paraId="526100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纯水制备</w:t>
                  </w:r>
                </w:p>
              </w:tc>
              <w:tc>
                <w:tcPr>
                  <w:tcW w:w="1352" w:type="pct"/>
                  <w:shd w:val="clear" w:color="auto" w:fill="auto"/>
                  <w:noWrap w:val="0"/>
                  <w:vAlign w:val="center"/>
                </w:tcPr>
                <w:p w14:paraId="5AD9190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废石英砂</w:t>
                  </w:r>
                  <w:r>
                    <w:rPr>
                      <w:rFonts w:hint="eastAsia" w:eastAsia="宋体" w:cs="Times New Roman"/>
                      <w:color w:val="auto"/>
                      <w:sz w:val="21"/>
                      <w:szCs w:val="21"/>
                      <w:highlight w:val="none"/>
                      <w:lang w:val="en-US" w:eastAsia="zh-CN"/>
                    </w:rPr>
                    <w:t>S4-1</w:t>
                  </w:r>
                </w:p>
              </w:tc>
              <w:tc>
                <w:tcPr>
                  <w:tcW w:w="2440" w:type="pct"/>
                  <w:shd w:val="clear" w:color="auto" w:fill="auto"/>
                  <w:noWrap w:val="0"/>
                  <w:vAlign w:val="center"/>
                </w:tcPr>
                <w:p w14:paraId="3F9A1D7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收集后外售</w:t>
                  </w:r>
                </w:p>
              </w:tc>
            </w:tr>
            <w:tr w14:paraId="2CE1EE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noWrap w:val="0"/>
                  <w:vAlign w:val="center"/>
                </w:tcPr>
                <w:p w14:paraId="09D0A6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rPr>
                  </w:pPr>
                </w:p>
              </w:tc>
              <w:tc>
                <w:tcPr>
                  <w:tcW w:w="975" w:type="pct"/>
                  <w:noWrap w:val="0"/>
                  <w:vAlign w:val="center"/>
                </w:tcPr>
                <w:p w14:paraId="519FC76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纯水制备</w:t>
                  </w:r>
                </w:p>
              </w:tc>
              <w:tc>
                <w:tcPr>
                  <w:tcW w:w="1352" w:type="pct"/>
                  <w:shd w:val="clear" w:color="auto" w:fill="auto"/>
                  <w:noWrap w:val="0"/>
                  <w:vAlign w:val="center"/>
                </w:tcPr>
                <w:p w14:paraId="30749E0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废活性炭</w:t>
                  </w:r>
                  <w:r>
                    <w:rPr>
                      <w:rFonts w:hint="eastAsia" w:eastAsia="宋体" w:cs="Times New Roman"/>
                      <w:color w:val="auto"/>
                      <w:sz w:val="21"/>
                      <w:szCs w:val="21"/>
                      <w:highlight w:val="none"/>
                      <w:lang w:val="en-US" w:eastAsia="zh-CN"/>
                    </w:rPr>
                    <w:t>S4-2</w:t>
                  </w:r>
                </w:p>
              </w:tc>
              <w:tc>
                <w:tcPr>
                  <w:tcW w:w="2440" w:type="pct"/>
                  <w:shd w:val="clear" w:color="auto" w:fill="auto"/>
                  <w:noWrap w:val="0"/>
                  <w:vAlign w:val="center"/>
                </w:tcPr>
                <w:p w14:paraId="54A611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收集后外售</w:t>
                  </w:r>
                </w:p>
              </w:tc>
            </w:tr>
            <w:tr w14:paraId="74A57E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noWrap w:val="0"/>
                  <w:vAlign w:val="center"/>
                </w:tcPr>
                <w:p w14:paraId="4FF2A2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rPr>
                  </w:pPr>
                </w:p>
              </w:tc>
              <w:tc>
                <w:tcPr>
                  <w:tcW w:w="975" w:type="pct"/>
                  <w:noWrap w:val="0"/>
                  <w:vAlign w:val="center"/>
                </w:tcPr>
                <w:p w14:paraId="39BC992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纯水制备</w:t>
                  </w:r>
                </w:p>
              </w:tc>
              <w:tc>
                <w:tcPr>
                  <w:tcW w:w="1352" w:type="pct"/>
                  <w:shd w:val="clear" w:color="auto" w:fill="auto"/>
                  <w:noWrap w:val="0"/>
                  <w:vAlign w:val="center"/>
                </w:tcPr>
                <w:p w14:paraId="28BC50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废滤芯</w:t>
                  </w:r>
                  <w:r>
                    <w:rPr>
                      <w:rFonts w:hint="eastAsia" w:eastAsia="宋体" w:cs="Times New Roman"/>
                      <w:color w:val="auto"/>
                      <w:sz w:val="21"/>
                      <w:szCs w:val="21"/>
                      <w:highlight w:val="none"/>
                      <w:lang w:val="en-US" w:eastAsia="zh-CN"/>
                    </w:rPr>
                    <w:t>S4-3</w:t>
                  </w:r>
                </w:p>
              </w:tc>
              <w:tc>
                <w:tcPr>
                  <w:tcW w:w="2440" w:type="pct"/>
                  <w:shd w:val="clear" w:color="auto" w:fill="auto"/>
                  <w:noWrap w:val="0"/>
                  <w:vAlign w:val="center"/>
                </w:tcPr>
                <w:p w14:paraId="7A4944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收集后外售</w:t>
                  </w:r>
                </w:p>
              </w:tc>
            </w:tr>
            <w:tr w14:paraId="7BCE94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noWrap w:val="0"/>
                  <w:vAlign w:val="center"/>
                </w:tcPr>
                <w:p w14:paraId="4FB8D9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rPr>
                  </w:pPr>
                </w:p>
              </w:tc>
              <w:tc>
                <w:tcPr>
                  <w:tcW w:w="975" w:type="pct"/>
                  <w:noWrap w:val="0"/>
                  <w:vAlign w:val="center"/>
                </w:tcPr>
                <w:p w14:paraId="0F0EE7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纯水制备</w:t>
                  </w:r>
                </w:p>
              </w:tc>
              <w:tc>
                <w:tcPr>
                  <w:tcW w:w="1352" w:type="pct"/>
                  <w:shd w:val="clear" w:color="auto" w:fill="auto"/>
                  <w:noWrap w:val="0"/>
                  <w:vAlign w:val="center"/>
                </w:tcPr>
                <w:p w14:paraId="5254CA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废滤膜</w:t>
                  </w:r>
                  <w:r>
                    <w:rPr>
                      <w:rFonts w:hint="eastAsia" w:eastAsia="宋体" w:cs="Times New Roman"/>
                      <w:color w:val="auto"/>
                      <w:sz w:val="21"/>
                      <w:szCs w:val="21"/>
                      <w:highlight w:val="none"/>
                      <w:lang w:val="en-US" w:eastAsia="zh-CN"/>
                    </w:rPr>
                    <w:t>S4-4</w:t>
                  </w:r>
                </w:p>
              </w:tc>
              <w:tc>
                <w:tcPr>
                  <w:tcW w:w="2440" w:type="pct"/>
                  <w:shd w:val="clear" w:color="auto" w:fill="auto"/>
                  <w:noWrap w:val="0"/>
                  <w:vAlign w:val="center"/>
                </w:tcPr>
                <w:p w14:paraId="0F15D1F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收集后外售</w:t>
                  </w:r>
                </w:p>
              </w:tc>
            </w:tr>
            <w:tr w14:paraId="14E97E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noWrap w:val="0"/>
                  <w:vAlign w:val="center"/>
                </w:tcPr>
                <w:p w14:paraId="544742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rPr>
                  </w:pPr>
                </w:p>
              </w:tc>
              <w:tc>
                <w:tcPr>
                  <w:tcW w:w="975" w:type="pct"/>
                  <w:shd w:val="clear" w:color="auto" w:fill="auto"/>
                  <w:noWrap w:val="0"/>
                  <w:vAlign w:val="center"/>
                </w:tcPr>
                <w:p w14:paraId="27D0D8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原料使用</w:t>
                  </w:r>
                </w:p>
              </w:tc>
              <w:tc>
                <w:tcPr>
                  <w:tcW w:w="1352" w:type="pct"/>
                  <w:shd w:val="clear" w:color="auto" w:fill="auto"/>
                  <w:noWrap w:val="0"/>
                  <w:vAlign w:val="center"/>
                </w:tcPr>
                <w:p w14:paraId="2F91AC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废包装</w:t>
                  </w:r>
                  <w:r>
                    <w:rPr>
                      <w:rFonts w:hint="eastAsia" w:cs="Times New Roman"/>
                      <w:color w:val="auto"/>
                      <w:sz w:val="21"/>
                      <w:szCs w:val="21"/>
                      <w:highlight w:val="none"/>
                      <w:lang w:val="en-US" w:eastAsia="zh-CN"/>
                    </w:rPr>
                    <w:t>材料</w:t>
                  </w:r>
                  <w:r>
                    <w:rPr>
                      <w:rFonts w:hint="eastAsia" w:ascii="Times New Roman" w:hAnsi="Times New Roman" w:eastAsia="宋体" w:cs="Times New Roman"/>
                      <w:color w:val="auto"/>
                      <w:sz w:val="21"/>
                      <w:szCs w:val="21"/>
                      <w:highlight w:val="none"/>
                      <w:lang w:val="en-US" w:eastAsia="zh-CN"/>
                    </w:rPr>
                    <w:t>S</w:t>
                  </w:r>
                  <w:r>
                    <w:rPr>
                      <w:rFonts w:hint="eastAsia" w:cs="Times New Roman"/>
                      <w:color w:val="auto"/>
                      <w:sz w:val="21"/>
                      <w:szCs w:val="21"/>
                      <w:highlight w:val="none"/>
                      <w:lang w:val="en-US" w:eastAsia="zh-CN"/>
                    </w:rPr>
                    <w:t>5-1</w:t>
                  </w:r>
                </w:p>
              </w:tc>
              <w:tc>
                <w:tcPr>
                  <w:tcW w:w="2440" w:type="pct"/>
                  <w:shd w:val="clear" w:color="auto" w:fill="auto"/>
                  <w:noWrap w:val="0"/>
                  <w:vAlign w:val="center"/>
                </w:tcPr>
                <w:p w14:paraId="3F5E329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收集后</w:t>
                  </w:r>
                  <w:r>
                    <w:rPr>
                      <w:rFonts w:hint="eastAsia" w:ascii="Times New Roman" w:hAnsi="Times New Roman" w:eastAsia="宋体" w:cs="Times New Roman"/>
                      <w:color w:val="auto"/>
                      <w:sz w:val="21"/>
                      <w:szCs w:val="21"/>
                      <w:highlight w:val="none"/>
                      <w:lang w:val="en-US" w:eastAsia="zh-CN"/>
                    </w:rPr>
                    <w:t>外售</w:t>
                  </w:r>
                </w:p>
              </w:tc>
            </w:tr>
            <w:tr w14:paraId="05DD18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noWrap w:val="0"/>
                  <w:vAlign w:val="center"/>
                </w:tcPr>
                <w:p w14:paraId="71F8A5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rPr>
                  </w:pPr>
                </w:p>
              </w:tc>
              <w:tc>
                <w:tcPr>
                  <w:tcW w:w="975" w:type="pct"/>
                  <w:shd w:val="clear" w:color="auto" w:fill="auto"/>
                  <w:noWrap w:val="0"/>
                  <w:vAlign w:val="center"/>
                </w:tcPr>
                <w:p w14:paraId="545E103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原料使用</w:t>
                  </w:r>
                </w:p>
              </w:tc>
              <w:tc>
                <w:tcPr>
                  <w:tcW w:w="1352" w:type="pct"/>
                  <w:shd w:val="clear" w:color="auto" w:fill="auto"/>
                  <w:noWrap w:val="0"/>
                  <w:vAlign w:val="center"/>
                </w:tcPr>
                <w:p w14:paraId="1DEDF4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废包装桶S</w:t>
                  </w:r>
                  <w:r>
                    <w:rPr>
                      <w:rFonts w:hint="eastAsia" w:eastAsia="宋体" w:cs="Times New Roman"/>
                      <w:color w:val="auto"/>
                      <w:sz w:val="21"/>
                      <w:szCs w:val="21"/>
                      <w:highlight w:val="none"/>
                      <w:lang w:val="en-US" w:eastAsia="zh-CN"/>
                    </w:rPr>
                    <w:t>5-2</w:t>
                  </w:r>
                </w:p>
              </w:tc>
              <w:tc>
                <w:tcPr>
                  <w:tcW w:w="2440" w:type="pct"/>
                  <w:shd w:val="clear" w:color="auto" w:fill="auto"/>
                  <w:noWrap w:val="0"/>
                  <w:vAlign w:val="center"/>
                </w:tcPr>
                <w:p w14:paraId="3E47AA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收集后委托有资质单位处置</w:t>
                  </w:r>
                </w:p>
              </w:tc>
            </w:tr>
            <w:tr w14:paraId="2003D5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noWrap w:val="0"/>
                  <w:vAlign w:val="center"/>
                </w:tcPr>
                <w:p w14:paraId="088301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rPr>
                  </w:pPr>
                </w:p>
              </w:tc>
              <w:tc>
                <w:tcPr>
                  <w:tcW w:w="975" w:type="pct"/>
                  <w:shd w:val="clear" w:color="auto" w:fill="auto"/>
                  <w:noWrap w:val="0"/>
                  <w:vAlign w:val="center"/>
                </w:tcPr>
                <w:p w14:paraId="7577D14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设备维护</w:t>
                  </w:r>
                </w:p>
              </w:tc>
              <w:tc>
                <w:tcPr>
                  <w:tcW w:w="1352" w:type="pct"/>
                  <w:shd w:val="clear" w:color="auto" w:fill="auto"/>
                  <w:noWrap w:val="0"/>
                  <w:vAlign w:val="center"/>
                </w:tcPr>
                <w:p w14:paraId="304D8D5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废抹布手套S5-3</w:t>
                  </w:r>
                </w:p>
              </w:tc>
              <w:tc>
                <w:tcPr>
                  <w:tcW w:w="2440" w:type="pct"/>
                  <w:shd w:val="clear" w:color="auto" w:fill="auto"/>
                  <w:noWrap w:val="0"/>
                  <w:vAlign w:val="center"/>
                </w:tcPr>
                <w:p w14:paraId="2D9C44E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收集后委托有资质单位处置</w:t>
                  </w:r>
                </w:p>
              </w:tc>
            </w:tr>
            <w:tr w14:paraId="262E7F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noWrap w:val="0"/>
                  <w:vAlign w:val="center"/>
                </w:tcPr>
                <w:p w14:paraId="7A7D8E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rPr>
                  </w:pPr>
                </w:p>
              </w:tc>
              <w:tc>
                <w:tcPr>
                  <w:tcW w:w="975" w:type="pct"/>
                  <w:shd w:val="clear" w:color="auto" w:fill="auto"/>
                  <w:noWrap w:val="0"/>
                  <w:vAlign w:val="center"/>
                </w:tcPr>
                <w:p w14:paraId="42BA21E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废气处理</w:t>
                  </w:r>
                </w:p>
              </w:tc>
              <w:tc>
                <w:tcPr>
                  <w:tcW w:w="1352" w:type="pct"/>
                  <w:shd w:val="clear" w:color="auto" w:fill="auto"/>
                  <w:noWrap w:val="0"/>
                  <w:vAlign w:val="center"/>
                </w:tcPr>
                <w:p w14:paraId="70E8B07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废活性炭S</w:t>
                  </w:r>
                  <w:r>
                    <w:rPr>
                      <w:rFonts w:hint="eastAsia" w:cs="Times New Roman"/>
                      <w:color w:val="auto"/>
                      <w:sz w:val="21"/>
                      <w:szCs w:val="21"/>
                      <w:highlight w:val="none"/>
                      <w:lang w:val="en-US" w:eastAsia="zh-CN"/>
                    </w:rPr>
                    <w:t>5-4</w:t>
                  </w:r>
                </w:p>
              </w:tc>
              <w:tc>
                <w:tcPr>
                  <w:tcW w:w="2440" w:type="pct"/>
                  <w:shd w:val="clear" w:color="auto" w:fill="auto"/>
                  <w:noWrap w:val="0"/>
                  <w:vAlign w:val="center"/>
                </w:tcPr>
                <w:p w14:paraId="6497D2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收集后委托有资质单位处置</w:t>
                  </w:r>
                </w:p>
              </w:tc>
            </w:tr>
            <w:tr w14:paraId="575677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noWrap w:val="0"/>
                  <w:vAlign w:val="center"/>
                </w:tcPr>
                <w:p w14:paraId="757DD8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rPr>
                  </w:pPr>
                </w:p>
              </w:tc>
              <w:tc>
                <w:tcPr>
                  <w:tcW w:w="975" w:type="pct"/>
                  <w:shd w:val="clear" w:color="auto" w:fill="auto"/>
                  <w:noWrap w:val="0"/>
                  <w:vAlign w:val="center"/>
                </w:tcPr>
                <w:p w14:paraId="07F134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废气处理</w:t>
                  </w:r>
                </w:p>
              </w:tc>
              <w:tc>
                <w:tcPr>
                  <w:tcW w:w="1352" w:type="pct"/>
                  <w:shd w:val="clear" w:color="auto" w:fill="auto"/>
                  <w:noWrap w:val="0"/>
                  <w:vAlign w:val="center"/>
                </w:tcPr>
                <w:p w14:paraId="03C0CC7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w:t>
                  </w:r>
                  <w:r>
                    <w:rPr>
                      <w:rFonts w:hint="eastAsia" w:cs="Times New Roman"/>
                      <w:color w:val="auto"/>
                      <w:sz w:val="21"/>
                      <w:szCs w:val="21"/>
                      <w:highlight w:val="none"/>
                      <w:lang w:val="en-US" w:eastAsia="zh-CN"/>
                    </w:rPr>
                    <w:t>布袋S5-5</w:t>
                  </w:r>
                </w:p>
              </w:tc>
              <w:tc>
                <w:tcPr>
                  <w:tcW w:w="2440" w:type="pct"/>
                  <w:shd w:val="clear" w:color="auto" w:fill="auto"/>
                  <w:noWrap w:val="0"/>
                  <w:vAlign w:val="center"/>
                </w:tcPr>
                <w:p w14:paraId="698A65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收集后</w:t>
                  </w:r>
                  <w:r>
                    <w:rPr>
                      <w:rFonts w:hint="eastAsia" w:ascii="Times New Roman" w:hAnsi="Times New Roman" w:eastAsia="宋体" w:cs="Times New Roman"/>
                      <w:color w:val="auto"/>
                      <w:sz w:val="21"/>
                      <w:szCs w:val="21"/>
                      <w:highlight w:val="none"/>
                      <w:lang w:val="en-US" w:eastAsia="zh-CN"/>
                    </w:rPr>
                    <w:t>外售</w:t>
                  </w:r>
                </w:p>
              </w:tc>
            </w:tr>
            <w:tr w14:paraId="318C26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noWrap w:val="0"/>
                  <w:vAlign w:val="center"/>
                </w:tcPr>
                <w:p w14:paraId="37245D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rPr>
                  </w:pPr>
                </w:p>
              </w:tc>
              <w:tc>
                <w:tcPr>
                  <w:tcW w:w="975" w:type="pct"/>
                  <w:shd w:val="clear" w:color="auto" w:fill="auto"/>
                  <w:noWrap w:val="0"/>
                  <w:vAlign w:val="center"/>
                </w:tcPr>
                <w:p w14:paraId="5E4877C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废气处理</w:t>
                  </w:r>
                </w:p>
              </w:tc>
              <w:tc>
                <w:tcPr>
                  <w:tcW w:w="1352" w:type="pct"/>
                  <w:shd w:val="clear" w:color="auto" w:fill="auto"/>
                  <w:noWrap w:val="0"/>
                  <w:vAlign w:val="center"/>
                </w:tcPr>
                <w:p w14:paraId="3F8997B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w:t>
                  </w:r>
                  <w:r>
                    <w:rPr>
                      <w:rFonts w:hint="eastAsia" w:cs="Times New Roman"/>
                      <w:color w:val="auto"/>
                      <w:sz w:val="21"/>
                      <w:szCs w:val="21"/>
                      <w:highlight w:val="none"/>
                      <w:lang w:val="en-US" w:eastAsia="zh-CN"/>
                    </w:rPr>
                    <w:t>滤筒S5-6</w:t>
                  </w:r>
                </w:p>
              </w:tc>
              <w:tc>
                <w:tcPr>
                  <w:tcW w:w="2440" w:type="pct"/>
                  <w:shd w:val="clear" w:color="auto" w:fill="auto"/>
                  <w:noWrap w:val="0"/>
                  <w:vAlign w:val="center"/>
                </w:tcPr>
                <w:p w14:paraId="32FF1FA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收集后</w:t>
                  </w:r>
                  <w:r>
                    <w:rPr>
                      <w:rFonts w:hint="eastAsia" w:ascii="Times New Roman" w:hAnsi="Times New Roman" w:eastAsia="宋体" w:cs="Times New Roman"/>
                      <w:color w:val="auto"/>
                      <w:sz w:val="21"/>
                      <w:szCs w:val="21"/>
                      <w:highlight w:val="none"/>
                      <w:lang w:val="en-US" w:eastAsia="zh-CN"/>
                    </w:rPr>
                    <w:t>外售</w:t>
                  </w:r>
                </w:p>
              </w:tc>
            </w:tr>
            <w:tr w14:paraId="368526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noWrap w:val="0"/>
                  <w:vAlign w:val="center"/>
                </w:tcPr>
                <w:p w14:paraId="42F964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rPr>
                  </w:pPr>
                </w:p>
              </w:tc>
              <w:tc>
                <w:tcPr>
                  <w:tcW w:w="975" w:type="pct"/>
                  <w:noWrap w:val="0"/>
                  <w:vAlign w:val="center"/>
                </w:tcPr>
                <w:p w14:paraId="54AE45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Cs/>
                      <w:color w:val="auto"/>
                      <w:sz w:val="21"/>
                      <w:szCs w:val="21"/>
                      <w:lang w:val="en-US" w:eastAsia="zh-CN"/>
                    </w:rPr>
                  </w:pPr>
                  <w:r>
                    <w:rPr>
                      <w:rFonts w:hint="eastAsia"/>
                      <w:bCs/>
                      <w:color w:val="auto"/>
                      <w:sz w:val="21"/>
                      <w:szCs w:val="21"/>
                      <w:lang w:val="en-US" w:eastAsia="zh-CN"/>
                    </w:rPr>
                    <w:t>员工生活</w:t>
                  </w:r>
                </w:p>
              </w:tc>
              <w:tc>
                <w:tcPr>
                  <w:tcW w:w="1352" w:type="pct"/>
                  <w:noWrap w:val="0"/>
                  <w:vAlign w:val="center"/>
                </w:tcPr>
                <w:p w14:paraId="6ADD4F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生活垃圾S</w:t>
                  </w:r>
                  <w:r>
                    <w:rPr>
                      <w:rFonts w:hint="eastAsia" w:cs="Times New Roman"/>
                      <w:color w:val="auto"/>
                      <w:sz w:val="21"/>
                      <w:szCs w:val="21"/>
                      <w:highlight w:val="none"/>
                      <w:lang w:val="en-US" w:eastAsia="zh-CN"/>
                    </w:rPr>
                    <w:t>5-8</w:t>
                  </w:r>
                </w:p>
              </w:tc>
              <w:tc>
                <w:tcPr>
                  <w:tcW w:w="2440" w:type="pct"/>
                  <w:noWrap w:val="0"/>
                  <w:vAlign w:val="center"/>
                </w:tcPr>
                <w:p w14:paraId="2369A4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rPr>
                  </w:pPr>
                  <w:r>
                    <w:rPr>
                      <w:bCs/>
                      <w:color w:val="auto"/>
                      <w:sz w:val="21"/>
                      <w:szCs w:val="21"/>
                    </w:rPr>
                    <w:t>环卫定期清运</w:t>
                  </w:r>
                </w:p>
              </w:tc>
            </w:tr>
          </w:tbl>
          <w:p w14:paraId="42F158EC">
            <w:pPr>
              <w:spacing w:line="240" w:lineRule="auto"/>
              <w:ind w:left="0" w:leftChars="0" w:firstLine="0" w:firstLineChars="0"/>
              <w:rPr>
                <w:rFonts w:hint="eastAsia"/>
                <w:color w:val="auto"/>
              </w:rPr>
            </w:pPr>
          </w:p>
        </w:tc>
      </w:tr>
      <w:tr w14:paraId="2A7C76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810" w:hRule="atLeast"/>
          <w:jc w:val="center"/>
        </w:trPr>
        <w:tc>
          <w:tcPr>
            <w:tcW w:w="230" w:type="pct"/>
            <w:gridSpan w:val="2"/>
            <w:noWrap w:val="0"/>
            <w:vAlign w:val="center"/>
          </w:tcPr>
          <w:p w14:paraId="212E0DCB">
            <w:pPr>
              <w:spacing w:line="240" w:lineRule="auto"/>
              <w:ind w:firstLine="0" w:firstLineChars="0"/>
              <w:jc w:val="center"/>
              <w:rPr>
                <w:b/>
                <w:bCs/>
                <w:color w:val="auto"/>
              </w:rPr>
            </w:pPr>
            <w:r>
              <w:rPr>
                <w:b/>
                <w:bCs/>
                <w:color w:val="auto"/>
              </w:rPr>
              <w:t>与本项目有关的原有污染情况</w:t>
            </w:r>
          </w:p>
        </w:tc>
        <w:tc>
          <w:tcPr>
            <w:tcW w:w="4752" w:type="pct"/>
            <w:gridSpan w:val="2"/>
            <w:noWrap w:val="0"/>
            <w:vAlign w:val="top"/>
          </w:tcPr>
          <w:p w14:paraId="2D3C16BA">
            <w:pPr>
              <w:pStyle w:val="2"/>
              <w:keepNext w:val="0"/>
              <w:keepLines w:val="0"/>
              <w:pageBreakBefore w:val="0"/>
              <w:widowControl w:val="0"/>
              <w:kinsoku/>
              <w:wordWrap/>
              <w:overflowPunct/>
              <w:topLinePunct w:val="0"/>
              <w:autoSpaceDE/>
              <w:autoSpaceDN/>
              <w:bidi w:val="0"/>
              <w:adjustRightInd/>
              <w:snapToGrid/>
              <w:spacing w:after="0"/>
              <w:ind w:firstLine="420"/>
              <w:textAlignment w:val="auto"/>
              <w:rPr>
                <w:rFonts w:hint="default"/>
                <w:color w:val="auto"/>
                <w:sz w:val="24"/>
                <w:szCs w:val="24"/>
                <w:lang w:val="en-US" w:eastAsia="zh-CN"/>
              </w:rPr>
            </w:pPr>
            <w:r>
              <w:rPr>
                <w:rFonts w:hint="eastAsia"/>
                <w:color w:val="auto"/>
                <w:sz w:val="24"/>
                <w:szCs w:val="24"/>
                <w:lang w:val="en-US" w:eastAsia="zh-CN"/>
              </w:rPr>
              <w:t>一、与本项目有关的原有污染情况及主要环境问题</w:t>
            </w:r>
          </w:p>
          <w:p w14:paraId="275B4F45">
            <w:pPr>
              <w:pStyle w:val="2"/>
              <w:keepNext w:val="0"/>
              <w:keepLines w:val="0"/>
              <w:pageBreakBefore w:val="0"/>
              <w:widowControl w:val="0"/>
              <w:kinsoku/>
              <w:wordWrap/>
              <w:overflowPunct/>
              <w:topLinePunct w:val="0"/>
              <w:autoSpaceDE/>
              <w:autoSpaceDN/>
              <w:bidi w:val="0"/>
              <w:adjustRightInd/>
              <w:snapToGrid/>
              <w:spacing w:after="0"/>
              <w:ind w:firstLine="420"/>
              <w:textAlignment w:val="auto"/>
              <w:rPr>
                <w:rFonts w:hint="default" w:eastAsia="宋体"/>
                <w:color w:val="auto"/>
                <w:sz w:val="24"/>
                <w:szCs w:val="24"/>
                <w:lang w:val="en-US" w:eastAsia="zh-CN"/>
              </w:rPr>
            </w:pPr>
            <w:r>
              <w:rPr>
                <w:rFonts w:hint="eastAsia"/>
                <w:color w:val="auto"/>
                <w:sz w:val="24"/>
                <w:szCs w:val="24"/>
                <w:lang w:val="en-US" w:eastAsia="zh-CN"/>
              </w:rPr>
              <w:t>江苏瑞诚医疗科技有限公司购置了常州市昇海智能科技有限公司位于江苏省常州市金坛区金坛经济开发区珠山路66号的现有厂房20#1单元，位于</w:t>
            </w:r>
            <w:r>
              <w:rPr>
                <w:rFonts w:hint="eastAsia" w:cs="Times New Roman"/>
                <w:color w:val="auto"/>
                <w:sz w:val="24"/>
                <w:highlight w:val="none"/>
                <w:lang w:val="en-US" w:eastAsia="zh-CN"/>
              </w:rPr>
              <w:t>金海盛科技园内，</w:t>
            </w:r>
            <w:r>
              <w:rPr>
                <w:rFonts w:hint="eastAsia"/>
                <w:color w:val="auto"/>
                <w:sz w:val="24"/>
                <w:szCs w:val="24"/>
                <w:lang w:val="en-US" w:eastAsia="zh-CN"/>
              </w:rPr>
              <w:t>因此不存在原有污染源和遗留环境问题。厂区供水、供电等基础设施均已到位，厂区</w:t>
            </w:r>
            <w:r>
              <w:rPr>
                <w:rFonts w:hint="eastAsia"/>
                <w:color w:val="auto"/>
                <w:sz w:val="24"/>
                <w:szCs w:val="24"/>
              </w:rPr>
              <w:t>内已按照“雨污分流、清污分流”的原则进行建设，</w:t>
            </w:r>
            <w:r>
              <w:rPr>
                <w:rFonts w:hint="eastAsia"/>
                <w:color w:val="auto"/>
                <w:sz w:val="24"/>
                <w:szCs w:val="24"/>
                <w:lang w:val="en-US" w:eastAsia="zh-CN"/>
              </w:rPr>
              <w:t>依托园区已</w:t>
            </w:r>
            <w:r>
              <w:rPr>
                <w:rFonts w:hint="eastAsia"/>
                <w:color w:val="auto"/>
                <w:sz w:val="24"/>
                <w:szCs w:val="24"/>
              </w:rPr>
              <w:t>设置一个污水接管口和雨水排口</w:t>
            </w:r>
            <w:r>
              <w:rPr>
                <w:rFonts w:hint="eastAsia"/>
                <w:color w:val="auto"/>
                <w:sz w:val="24"/>
                <w:szCs w:val="24"/>
                <w:lang w:eastAsia="zh-CN"/>
              </w:rPr>
              <w:t>，</w:t>
            </w:r>
            <w:r>
              <w:rPr>
                <w:rFonts w:hint="eastAsia"/>
                <w:color w:val="auto"/>
                <w:sz w:val="24"/>
                <w:szCs w:val="24"/>
                <w:lang w:val="en-US" w:eastAsia="zh-CN"/>
              </w:rPr>
              <w:t>依托园区已设置事故应急池及雨水口切断阀。</w:t>
            </w:r>
          </w:p>
          <w:p w14:paraId="5B914931">
            <w:pPr>
              <w:pStyle w:val="2"/>
              <w:keepNext w:val="0"/>
              <w:keepLines w:val="0"/>
              <w:pageBreakBefore w:val="0"/>
              <w:widowControl w:val="0"/>
              <w:kinsoku/>
              <w:wordWrap/>
              <w:overflowPunct/>
              <w:topLinePunct w:val="0"/>
              <w:autoSpaceDE/>
              <w:autoSpaceDN/>
              <w:bidi w:val="0"/>
              <w:adjustRightInd/>
              <w:snapToGrid/>
              <w:spacing w:after="0"/>
              <w:ind w:firstLine="420"/>
              <w:textAlignment w:val="auto"/>
              <w:rPr>
                <w:rFonts w:hint="eastAsia"/>
                <w:color w:val="auto"/>
                <w:sz w:val="24"/>
                <w:szCs w:val="24"/>
              </w:rPr>
            </w:pPr>
            <w:r>
              <w:rPr>
                <w:rFonts w:hint="eastAsia"/>
                <w:color w:val="auto"/>
                <w:sz w:val="24"/>
                <w:szCs w:val="24"/>
                <w:lang w:val="en-US" w:eastAsia="zh-CN"/>
              </w:rPr>
              <w:t>二、</w:t>
            </w:r>
            <w:r>
              <w:rPr>
                <w:rFonts w:hint="eastAsia"/>
                <w:color w:val="auto"/>
                <w:sz w:val="24"/>
                <w:szCs w:val="24"/>
              </w:rPr>
              <w:t>本项目与</w:t>
            </w:r>
            <w:r>
              <w:rPr>
                <w:rFonts w:hint="eastAsia" w:cs="Times New Roman"/>
                <w:color w:val="auto"/>
                <w:sz w:val="24"/>
                <w:highlight w:val="none"/>
                <w:lang w:val="en-US" w:eastAsia="zh-CN"/>
              </w:rPr>
              <w:t>金海盛科技园</w:t>
            </w:r>
            <w:r>
              <w:rPr>
                <w:rFonts w:hint="eastAsia"/>
                <w:color w:val="auto"/>
                <w:sz w:val="24"/>
                <w:szCs w:val="24"/>
              </w:rPr>
              <w:t>依托关系</w:t>
            </w:r>
          </w:p>
          <w:p w14:paraId="2E221767">
            <w:pPr>
              <w:pStyle w:val="2"/>
              <w:keepNext w:val="0"/>
              <w:keepLines w:val="0"/>
              <w:pageBreakBefore w:val="0"/>
              <w:widowControl w:val="0"/>
              <w:kinsoku/>
              <w:wordWrap/>
              <w:overflowPunct/>
              <w:topLinePunct w:val="0"/>
              <w:autoSpaceDE/>
              <w:autoSpaceDN/>
              <w:bidi w:val="0"/>
              <w:adjustRightInd/>
              <w:snapToGrid/>
              <w:spacing w:after="0"/>
              <w:ind w:firstLine="420"/>
              <w:textAlignment w:val="auto"/>
              <w:rPr>
                <w:rFonts w:hint="eastAsia"/>
                <w:color w:val="auto"/>
                <w:sz w:val="24"/>
                <w:szCs w:val="24"/>
              </w:rPr>
            </w:pPr>
            <w:r>
              <w:rPr>
                <w:rFonts w:hint="eastAsia"/>
                <w:color w:val="auto"/>
                <w:sz w:val="24"/>
                <w:szCs w:val="24"/>
              </w:rPr>
              <w:t>（1）雨污水管网及排放口：本项目依托</w:t>
            </w:r>
            <w:r>
              <w:rPr>
                <w:rFonts w:hint="eastAsia" w:cs="Times New Roman"/>
                <w:color w:val="auto"/>
                <w:sz w:val="24"/>
                <w:highlight w:val="none"/>
                <w:lang w:val="en-US" w:eastAsia="zh-CN"/>
              </w:rPr>
              <w:t>园区</w:t>
            </w:r>
            <w:r>
              <w:rPr>
                <w:rFonts w:hint="eastAsia"/>
                <w:color w:val="auto"/>
                <w:sz w:val="24"/>
                <w:szCs w:val="24"/>
              </w:rPr>
              <w:t>现有雨污水管网及雨水排放口。</w:t>
            </w:r>
          </w:p>
          <w:p w14:paraId="052C466A">
            <w:pPr>
              <w:pStyle w:val="2"/>
              <w:keepNext w:val="0"/>
              <w:keepLines w:val="0"/>
              <w:pageBreakBefore w:val="0"/>
              <w:widowControl w:val="0"/>
              <w:kinsoku/>
              <w:wordWrap/>
              <w:overflowPunct/>
              <w:topLinePunct w:val="0"/>
              <w:autoSpaceDE/>
              <w:autoSpaceDN/>
              <w:bidi w:val="0"/>
              <w:adjustRightInd/>
              <w:snapToGrid/>
              <w:spacing w:after="0"/>
              <w:ind w:firstLine="420"/>
              <w:textAlignment w:val="auto"/>
              <w:rPr>
                <w:rFonts w:hint="eastAsia"/>
                <w:color w:val="auto"/>
                <w:sz w:val="24"/>
                <w:szCs w:val="24"/>
              </w:rPr>
            </w:pPr>
            <w:r>
              <w:rPr>
                <w:rFonts w:hint="eastAsia"/>
                <w:color w:val="auto"/>
                <w:sz w:val="24"/>
                <w:szCs w:val="24"/>
              </w:rPr>
              <w:t>（2）供电：本项目</w:t>
            </w:r>
            <w:r>
              <w:rPr>
                <w:rFonts w:hint="eastAsia"/>
                <w:color w:val="auto"/>
                <w:sz w:val="24"/>
                <w:szCs w:val="24"/>
                <w:lang w:eastAsia="zh-CN"/>
              </w:rPr>
              <w:t>依托园区</w:t>
            </w:r>
            <w:r>
              <w:rPr>
                <w:rFonts w:hint="eastAsia"/>
                <w:color w:val="auto"/>
                <w:sz w:val="24"/>
                <w:szCs w:val="24"/>
              </w:rPr>
              <w:t>供电、配电系统，不改变现有供配电系统。</w:t>
            </w:r>
          </w:p>
          <w:p w14:paraId="0E84BE0F">
            <w:pPr>
              <w:pStyle w:val="2"/>
              <w:keepNext w:val="0"/>
              <w:keepLines w:val="0"/>
              <w:pageBreakBefore w:val="0"/>
              <w:widowControl w:val="0"/>
              <w:kinsoku/>
              <w:wordWrap/>
              <w:overflowPunct/>
              <w:topLinePunct w:val="0"/>
              <w:autoSpaceDE/>
              <w:autoSpaceDN/>
              <w:bidi w:val="0"/>
              <w:adjustRightInd/>
              <w:snapToGrid/>
              <w:spacing w:after="0"/>
              <w:ind w:firstLine="420"/>
              <w:textAlignment w:val="auto"/>
              <w:rPr>
                <w:rFonts w:hint="eastAsia"/>
                <w:color w:val="auto"/>
                <w:sz w:val="24"/>
                <w:szCs w:val="24"/>
              </w:rPr>
            </w:pPr>
            <w:r>
              <w:rPr>
                <w:rFonts w:hint="eastAsia"/>
                <w:color w:val="auto"/>
                <w:sz w:val="24"/>
                <w:szCs w:val="24"/>
              </w:rPr>
              <w:t>（3）给水：本项目</w:t>
            </w:r>
            <w:r>
              <w:rPr>
                <w:rFonts w:hint="eastAsia"/>
                <w:color w:val="auto"/>
                <w:sz w:val="24"/>
                <w:szCs w:val="24"/>
                <w:lang w:eastAsia="zh-CN"/>
              </w:rPr>
              <w:t>依托园区</w:t>
            </w:r>
            <w:r>
              <w:rPr>
                <w:rFonts w:hint="eastAsia"/>
                <w:color w:val="auto"/>
                <w:sz w:val="24"/>
                <w:szCs w:val="24"/>
              </w:rPr>
              <w:t>自来水给水系统。</w:t>
            </w:r>
          </w:p>
          <w:p w14:paraId="70595239">
            <w:pPr>
              <w:pStyle w:val="2"/>
              <w:keepNext w:val="0"/>
              <w:keepLines w:val="0"/>
              <w:pageBreakBefore w:val="0"/>
              <w:widowControl w:val="0"/>
              <w:kinsoku/>
              <w:wordWrap/>
              <w:overflowPunct/>
              <w:topLinePunct w:val="0"/>
              <w:autoSpaceDE/>
              <w:autoSpaceDN/>
              <w:bidi w:val="0"/>
              <w:adjustRightInd/>
              <w:snapToGrid/>
              <w:spacing w:after="0"/>
              <w:ind w:firstLine="420"/>
              <w:textAlignment w:val="auto"/>
              <w:rPr>
                <w:rFonts w:hint="eastAsia"/>
                <w:color w:val="auto"/>
                <w:sz w:val="24"/>
                <w:szCs w:val="24"/>
              </w:rPr>
            </w:pPr>
            <w:r>
              <w:rPr>
                <w:rFonts w:hint="eastAsia"/>
                <w:color w:val="auto"/>
                <w:sz w:val="24"/>
                <w:szCs w:val="24"/>
              </w:rPr>
              <w:t>（4）排水：本项目</w:t>
            </w:r>
            <w:r>
              <w:rPr>
                <w:rFonts w:hint="eastAsia"/>
                <w:color w:val="auto"/>
                <w:sz w:val="24"/>
                <w:szCs w:val="24"/>
                <w:lang w:eastAsia="zh-CN"/>
              </w:rPr>
              <w:t>依托园区</w:t>
            </w:r>
            <w:r>
              <w:rPr>
                <w:rFonts w:hint="eastAsia"/>
                <w:color w:val="auto"/>
                <w:sz w:val="24"/>
                <w:szCs w:val="24"/>
              </w:rPr>
              <w:t>污水收集管网，在厂房管道排入厂区总污水管网前，设置采样口，本项目主要</w:t>
            </w:r>
            <w:r>
              <w:rPr>
                <w:rFonts w:hint="eastAsia"/>
                <w:color w:val="auto"/>
                <w:sz w:val="24"/>
                <w:szCs w:val="24"/>
                <w:lang w:val="en-US" w:eastAsia="zh-CN"/>
              </w:rPr>
              <w:t>外排</w:t>
            </w:r>
            <w:r>
              <w:rPr>
                <w:rFonts w:hint="eastAsia"/>
                <w:color w:val="auto"/>
                <w:sz w:val="24"/>
                <w:szCs w:val="24"/>
              </w:rPr>
              <w:t>废水为员工日常生活污水，</w:t>
            </w:r>
            <w:r>
              <w:rPr>
                <w:rFonts w:hint="eastAsia"/>
                <w:color w:val="auto"/>
                <w:sz w:val="24"/>
                <w:szCs w:val="24"/>
                <w:lang w:val="en-US" w:eastAsia="zh-CN"/>
              </w:rPr>
              <w:t>接管至金坛第二污水处理厂集中处理</w:t>
            </w:r>
            <w:r>
              <w:rPr>
                <w:rFonts w:hint="eastAsia"/>
                <w:color w:val="auto"/>
                <w:sz w:val="24"/>
                <w:szCs w:val="24"/>
              </w:rPr>
              <w:t>；雨水经厂内雨水管网收集后排入附近水体。</w:t>
            </w:r>
          </w:p>
          <w:p w14:paraId="6A875282">
            <w:pPr>
              <w:pStyle w:val="2"/>
              <w:keepNext w:val="0"/>
              <w:keepLines w:val="0"/>
              <w:pageBreakBefore w:val="0"/>
              <w:widowControl w:val="0"/>
              <w:kinsoku/>
              <w:wordWrap/>
              <w:overflowPunct/>
              <w:topLinePunct w:val="0"/>
              <w:autoSpaceDE/>
              <w:autoSpaceDN/>
              <w:bidi w:val="0"/>
              <w:adjustRightInd/>
              <w:snapToGrid/>
              <w:spacing w:after="0"/>
              <w:ind w:firstLine="420"/>
              <w:textAlignment w:val="auto"/>
              <w:rPr>
                <w:rFonts w:hint="default" w:eastAsia="宋体"/>
                <w:color w:val="auto"/>
                <w:sz w:val="24"/>
                <w:szCs w:val="24"/>
                <w:lang w:val="en-US" w:eastAsia="zh-CN"/>
              </w:rPr>
            </w:pPr>
            <w:r>
              <w:rPr>
                <w:rFonts w:hint="eastAsia"/>
                <w:color w:val="auto"/>
                <w:sz w:val="24"/>
                <w:szCs w:val="24"/>
                <w:lang w:eastAsia="zh-CN"/>
              </w:rPr>
              <w:t>（</w:t>
            </w:r>
            <w:r>
              <w:rPr>
                <w:rFonts w:hint="eastAsia"/>
                <w:color w:val="auto"/>
                <w:sz w:val="24"/>
                <w:szCs w:val="24"/>
                <w:lang w:val="en-US" w:eastAsia="zh-CN"/>
              </w:rPr>
              <w:t>5</w:t>
            </w:r>
            <w:r>
              <w:rPr>
                <w:rFonts w:hint="eastAsia"/>
                <w:color w:val="auto"/>
                <w:sz w:val="24"/>
                <w:szCs w:val="24"/>
                <w:lang w:eastAsia="zh-CN"/>
              </w:rPr>
              <w:t>）</w:t>
            </w:r>
            <w:r>
              <w:rPr>
                <w:rFonts w:hint="eastAsia"/>
                <w:color w:val="auto"/>
                <w:sz w:val="24"/>
                <w:szCs w:val="24"/>
                <w:lang w:val="en-US" w:eastAsia="zh-CN"/>
              </w:rPr>
              <w:t>应急：本项目依托园区事故应急池及雨水口切断阀。</w:t>
            </w:r>
          </w:p>
          <w:p w14:paraId="07938A01">
            <w:pPr>
              <w:pStyle w:val="2"/>
              <w:keepNext w:val="0"/>
              <w:keepLines w:val="0"/>
              <w:pageBreakBefore w:val="0"/>
              <w:widowControl w:val="0"/>
              <w:kinsoku/>
              <w:wordWrap/>
              <w:overflowPunct/>
              <w:topLinePunct w:val="0"/>
              <w:autoSpaceDE/>
              <w:autoSpaceDN/>
              <w:bidi w:val="0"/>
              <w:adjustRightInd/>
              <w:snapToGrid/>
              <w:spacing w:after="0"/>
              <w:ind w:firstLine="420"/>
              <w:textAlignment w:val="auto"/>
              <w:rPr>
                <w:rFonts w:hint="eastAsia" w:eastAsia="宋体"/>
                <w:color w:val="auto"/>
                <w:sz w:val="24"/>
                <w:szCs w:val="24"/>
                <w:lang w:val="en-US" w:eastAsia="zh-CN"/>
              </w:rPr>
            </w:pPr>
            <w:r>
              <w:rPr>
                <w:rFonts w:hint="eastAsia"/>
                <w:color w:val="auto"/>
                <w:sz w:val="24"/>
                <w:szCs w:val="24"/>
              </w:rPr>
              <w:t>本项目生产过程中保持独立，且设置独立的环保工程（主要为废气处理装置、一般固废仓库、危废暂存间），与</w:t>
            </w:r>
            <w:r>
              <w:rPr>
                <w:rFonts w:hint="eastAsia"/>
                <w:color w:val="auto"/>
                <w:sz w:val="24"/>
                <w:szCs w:val="24"/>
                <w:lang w:val="en-US" w:eastAsia="zh-CN"/>
              </w:rPr>
              <w:t>园区</w:t>
            </w:r>
            <w:r>
              <w:rPr>
                <w:rFonts w:hint="eastAsia"/>
                <w:color w:val="auto"/>
                <w:sz w:val="24"/>
                <w:szCs w:val="24"/>
              </w:rPr>
              <w:t>无依托关系。</w:t>
            </w:r>
            <w:r>
              <w:rPr>
                <w:rFonts w:hint="eastAsia"/>
                <w:color w:val="auto"/>
                <w:sz w:val="24"/>
                <w:szCs w:val="24"/>
                <w:lang w:eastAsia="zh-CN"/>
              </w:rPr>
              <w:t>江苏瑞诚医疗科技有限公司</w:t>
            </w:r>
            <w:r>
              <w:rPr>
                <w:rFonts w:hint="eastAsia"/>
                <w:color w:val="auto"/>
                <w:sz w:val="24"/>
                <w:szCs w:val="24"/>
              </w:rPr>
              <w:t>应落实废气、噪声、固废等污染防治措施，并严格执行环保“三同时”验收制度，确保达标排放</w:t>
            </w:r>
            <w:r>
              <w:rPr>
                <w:rFonts w:hint="eastAsia"/>
                <w:color w:val="auto"/>
                <w:sz w:val="24"/>
                <w:szCs w:val="24"/>
                <w:lang w:eastAsia="zh-CN"/>
              </w:rPr>
              <w:t>。</w:t>
            </w:r>
          </w:p>
          <w:p w14:paraId="6786F05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rPr>
            </w:pPr>
            <w:r>
              <w:rPr>
                <w:rFonts w:hint="eastAsia"/>
                <w:color w:val="auto"/>
                <w:sz w:val="24"/>
                <w:szCs w:val="24"/>
              </w:rPr>
              <w:t>综上，本项目排水体系与</w:t>
            </w:r>
            <w:r>
              <w:rPr>
                <w:rFonts w:hint="eastAsia"/>
                <w:color w:val="auto"/>
                <w:sz w:val="24"/>
                <w:szCs w:val="24"/>
                <w:lang w:val="en-US" w:eastAsia="zh-CN"/>
              </w:rPr>
              <w:t>厂区</w:t>
            </w:r>
            <w:r>
              <w:rPr>
                <w:rFonts w:hint="eastAsia"/>
                <w:color w:val="auto"/>
                <w:sz w:val="24"/>
                <w:szCs w:val="24"/>
              </w:rPr>
              <w:t>的关联主要在于</w:t>
            </w:r>
            <w:r>
              <w:rPr>
                <w:rFonts w:hint="eastAsia"/>
                <w:color w:val="auto"/>
                <w:sz w:val="24"/>
                <w:szCs w:val="24"/>
                <w:lang w:val="en-US" w:eastAsia="zh-CN"/>
              </w:rPr>
              <w:t>依托园区</w:t>
            </w:r>
            <w:r>
              <w:rPr>
                <w:rFonts w:hint="eastAsia"/>
                <w:color w:val="auto"/>
                <w:sz w:val="24"/>
                <w:szCs w:val="24"/>
              </w:rPr>
              <w:t>已设置好的供配电系统</w:t>
            </w:r>
            <w:r>
              <w:rPr>
                <w:rFonts w:hint="eastAsia"/>
                <w:color w:val="auto"/>
                <w:sz w:val="24"/>
                <w:szCs w:val="24"/>
                <w:lang w:eastAsia="zh-CN"/>
              </w:rPr>
              <w:t>、</w:t>
            </w:r>
            <w:r>
              <w:rPr>
                <w:rFonts w:hint="eastAsia"/>
                <w:color w:val="auto"/>
                <w:sz w:val="24"/>
                <w:szCs w:val="24"/>
                <w:lang w:val="en-US" w:eastAsia="zh-CN"/>
              </w:rPr>
              <w:t>给排水系统、</w:t>
            </w:r>
            <w:r>
              <w:rPr>
                <w:rFonts w:hint="eastAsia"/>
                <w:color w:val="auto"/>
                <w:sz w:val="24"/>
                <w:szCs w:val="24"/>
              </w:rPr>
              <w:t>污水、雨水管网</w:t>
            </w:r>
            <w:r>
              <w:rPr>
                <w:rFonts w:hint="eastAsia"/>
                <w:color w:val="auto"/>
                <w:sz w:val="24"/>
                <w:szCs w:val="24"/>
                <w:lang w:eastAsia="zh-CN"/>
              </w:rPr>
              <w:t>、</w:t>
            </w:r>
            <w:r>
              <w:rPr>
                <w:rFonts w:hint="eastAsia"/>
                <w:color w:val="auto"/>
                <w:sz w:val="24"/>
                <w:szCs w:val="24"/>
                <w:lang w:val="en-US" w:eastAsia="zh-CN"/>
              </w:rPr>
              <w:t>应急池及阀门</w:t>
            </w:r>
            <w:r>
              <w:rPr>
                <w:rFonts w:hint="eastAsia"/>
                <w:color w:val="auto"/>
                <w:sz w:val="24"/>
                <w:szCs w:val="24"/>
              </w:rPr>
              <w:t>。</w:t>
            </w:r>
            <w:r>
              <w:rPr>
                <w:rFonts w:hint="eastAsia"/>
                <w:color w:val="auto"/>
                <w:sz w:val="24"/>
                <w:szCs w:val="24"/>
                <w:lang w:val="en-US" w:eastAsia="zh-CN"/>
              </w:rPr>
              <w:t>厂区</w:t>
            </w:r>
            <w:r>
              <w:rPr>
                <w:rFonts w:hint="eastAsia"/>
                <w:color w:val="auto"/>
                <w:sz w:val="24"/>
                <w:szCs w:val="24"/>
              </w:rPr>
              <w:t>目前污水管网、雨水管网、排放口均已建设完成，不会限制本项目运营生产。</w:t>
            </w:r>
          </w:p>
          <w:p w14:paraId="0FADF24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三</w:t>
            </w:r>
            <w:r>
              <w:rPr>
                <w:rFonts w:hint="default" w:ascii="Times New Roman" w:hAnsi="Times New Roman" w:eastAsia="宋体" w:cs="Times New Roman"/>
                <w:b/>
                <w:color w:val="auto"/>
                <w:sz w:val="24"/>
                <w:highlight w:val="none"/>
              </w:rPr>
              <w:t>、</w:t>
            </w:r>
            <w:r>
              <w:rPr>
                <w:rFonts w:hint="default" w:ascii="Times New Roman" w:hAnsi="Times New Roman" w:eastAsia="宋体" w:cs="Times New Roman"/>
                <w:b w:val="0"/>
                <w:bCs/>
                <w:color w:val="auto"/>
                <w:sz w:val="24"/>
                <w:highlight w:val="none"/>
              </w:rPr>
              <w:t>责任主体</w:t>
            </w:r>
          </w:p>
          <w:p w14:paraId="750CC1E8">
            <w:pPr>
              <w:pStyle w:val="2"/>
              <w:keepNext w:val="0"/>
              <w:keepLines w:val="0"/>
              <w:pageBreakBefore w:val="0"/>
              <w:widowControl w:val="0"/>
              <w:kinsoku/>
              <w:wordWrap/>
              <w:overflowPunct/>
              <w:topLinePunct w:val="0"/>
              <w:autoSpaceDE/>
              <w:autoSpaceDN/>
              <w:bidi w:val="0"/>
              <w:adjustRightInd/>
              <w:snapToGrid/>
              <w:spacing w:after="0" w:line="480" w:lineRule="exact"/>
              <w:ind w:firstLine="420"/>
              <w:textAlignment w:val="auto"/>
              <w:rPr>
                <w:rFonts w:hint="eastAsia"/>
                <w:color w:val="auto"/>
                <w:lang w:val="en-US" w:eastAsia="zh-CN"/>
              </w:rPr>
            </w:pPr>
            <w:r>
              <w:rPr>
                <w:rFonts w:hint="eastAsia" w:cs="Times New Roman"/>
                <w:b w:val="0"/>
                <w:bCs/>
                <w:color w:val="auto"/>
                <w:sz w:val="24"/>
                <w:highlight w:val="none"/>
                <w:lang w:val="en-US" w:eastAsia="zh-CN"/>
              </w:rPr>
              <w:t>金海盛科技园</w:t>
            </w:r>
            <w:r>
              <w:rPr>
                <w:rFonts w:hint="default" w:ascii="Times New Roman" w:hAnsi="Times New Roman" w:eastAsia="宋体" w:cs="Times New Roman"/>
                <w:b w:val="0"/>
                <w:bCs/>
                <w:color w:val="auto"/>
                <w:sz w:val="24"/>
                <w:highlight w:val="none"/>
              </w:rPr>
              <w:t>应加强管理，确保</w:t>
            </w:r>
            <w:r>
              <w:rPr>
                <w:rFonts w:hint="eastAsia" w:cs="Times New Roman"/>
                <w:b w:val="0"/>
                <w:bCs/>
                <w:color w:val="auto"/>
                <w:sz w:val="24"/>
                <w:highlight w:val="none"/>
                <w:lang w:val="en-US" w:eastAsia="zh-CN"/>
              </w:rPr>
              <w:t>园</w:t>
            </w:r>
            <w:r>
              <w:rPr>
                <w:rFonts w:hint="default" w:ascii="Times New Roman" w:hAnsi="Times New Roman" w:eastAsia="宋体" w:cs="Times New Roman"/>
                <w:b w:val="0"/>
                <w:bCs/>
                <w:color w:val="auto"/>
                <w:sz w:val="24"/>
                <w:highlight w:val="none"/>
              </w:rPr>
              <w:t>区内废水总排污口各因子可达常州金坛区第二污水处理有限公司接管标准要求。若</w:t>
            </w:r>
            <w:r>
              <w:rPr>
                <w:rFonts w:hint="eastAsia" w:cs="Times New Roman"/>
                <w:b w:val="0"/>
                <w:bCs/>
                <w:color w:val="auto"/>
                <w:sz w:val="24"/>
                <w:highlight w:val="none"/>
                <w:lang w:val="en-US" w:eastAsia="zh-CN"/>
              </w:rPr>
              <w:t>园</w:t>
            </w:r>
            <w:r>
              <w:rPr>
                <w:rFonts w:hint="default" w:ascii="Times New Roman" w:hAnsi="Times New Roman" w:eastAsia="宋体" w:cs="Times New Roman"/>
                <w:b w:val="0"/>
                <w:bCs/>
                <w:color w:val="auto"/>
                <w:sz w:val="24"/>
                <w:highlight w:val="none"/>
              </w:rPr>
              <w:t>区接管口的采样井出现超标排放，由</w:t>
            </w:r>
            <w:r>
              <w:rPr>
                <w:rFonts w:hint="eastAsia" w:cs="Times New Roman"/>
                <w:b w:val="0"/>
                <w:bCs/>
                <w:color w:val="auto"/>
                <w:sz w:val="24"/>
                <w:highlight w:val="none"/>
                <w:lang w:val="en-US" w:eastAsia="zh-CN"/>
              </w:rPr>
              <w:t>金海盛科技园</w:t>
            </w:r>
            <w:r>
              <w:rPr>
                <w:rFonts w:hint="default" w:ascii="Times New Roman" w:hAnsi="Times New Roman" w:eastAsia="宋体" w:cs="Times New Roman"/>
                <w:b w:val="0"/>
                <w:bCs/>
                <w:color w:val="auto"/>
                <w:sz w:val="24"/>
                <w:highlight w:val="none"/>
              </w:rPr>
              <w:t>承担相关责任。若</w:t>
            </w:r>
            <w:r>
              <w:rPr>
                <w:rFonts w:hint="eastAsia" w:cs="Times New Roman"/>
                <w:b w:val="0"/>
                <w:bCs/>
                <w:color w:val="auto"/>
                <w:sz w:val="24"/>
                <w:highlight w:val="none"/>
                <w:lang w:eastAsia="zh-CN"/>
              </w:rPr>
              <w:t>江苏瑞诚医疗科技有限公司</w:t>
            </w:r>
            <w:r>
              <w:rPr>
                <w:rFonts w:hint="default" w:ascii="Times New Roman" w:hAnsi="Times New Roman" w:eastAsia="宋体" w:cs="Times New Roman"/>
                <w:b w:val="0"/>
                <w:bCs/>
                <w:color w:val="auto"/>
                <w:sz w:val="24"/>
                <w:highlight w:val="none"/>
              </w:rPr>
              <w:t>设置的单独接管口的</w:t>
            </w:r>
            <w:r>
              <w:rPr>
                <w:rFonts w:hint="eastAsia" w:cs="Times New Roman"/>
                <w:b w:val="0"/>
                <w:bCs/>
                <w:color w:val="auto"/>
                <w:sz w:val="24"/>
                <w:highlight w:val="none"/>
                <w:lang w:val="en-US" w:eastAsia="zh-CN"/>
              </w:rPr>
              <w:t>生活污水</w:t>
            </w:r>
            <w:r>
              <w:rPr>
                <w:rFonts w:hint="default" w:ascii="Times New Roman" w:hAnsi="Times New Roman" w:eastAsia="宋体" w:cs="Times New Roman"/>
                <w:b w:val="0"/>
                <w:bCs/>
                <w:color w:val="auto"/>
                <w:sz w:val="24"/>
                <w:highlight w:val="none"/>
              </w:rPr>
              <w:t>采样井出现超标排放，废气排放口出现超标排放，固废未按要求收集及处理</w:t>
            </w:r>
            <w:r>
              <w:rPr>
                <w:rFonts w:hint="default" w:ascii="Times New Roman" w:hAnsi="Times New Roman" w:eastAsia="宋体" w:cs="Times New Roman"/>
                <w:b w:val="0"/>
                <w:bCs/>
                <w:color w:val="auto"/>
                <w:sz w:val="24"/>
                <w:highlight w:val="none"/>
                <w:lang w:val="en-US" w:eastAsia="zh-CN"/>
              </w:rPr>
              <w:t>等</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由</w:t>
            </w:r>
            <w:r>
              <w:rPr>
                <w:rFonts w:hint="eastAsia" w:cs="Times New Roman"/>
                <w:b w:val="0"/>
                <w:bCs/>
                <w:color w:val="auto"/>
                <w:sz w:val="24"/>
                <w:highlight w:val="none"/>
                <w:lang w:eastAsia="zh-CN"/>
              </w:rPr>
              <w:t>江苏瑞诚医疗科技有限公司</w:t>
            </w:r>
            <w:r>
              <w:rPr>
                <w:rFonts w:hint="default" w:ascii="Times New Roman" w:hAnsi="Times New Roman" w:eastAsia="宋体" w:cs="Times New Roman"/>
                <w:b w:val="0"/>
                <w:bCs/>
                <w:color w:val="auto"/>
                <w:sz w:val="24"/>
                <w:highlight w:val="none"/>
              </w:rPr>
              <w:t>承担相关责任。厂界噪声出现超标排放</w:t>
            </w:r>
            <w:r>
              <w:rPr>
                <w:rFonts w:hint="default" w:ascii="Times New Roman" w:hAnsi="Times New Roman" w:eastAsia="宋体" w:cs="Times New Roman"/>
                <w:b w:val="0"/>
                <w:bCs/>
                <w:color w:val="auto"/>
                <w:sz w:val="24"/>
                <w:highlight w:val="none"/>
                <w:lang w:val="en-US" w:eastAsia="zh-CN"/>
              </w:rPr>
              <w:t>时，相关监管部门关停厂区其他厂并进行厂界噪声监测，若检测数据超标，由</w:t>
            </w:r>
            <w:r>
              <w:rPr>
                <w:rFonts w:hint="eastAsia" w:cs="Times New Roman"/>
                <w:b w:val="0"/>
                <w:bCs/>
                <w:color w:val="auto"/>
                <w:sz w:val="24"/>
                <w:highlight w:val="none"/>
                <w:lang w:eastAsia="zh-CN"/>
              </w:rPr>
              <w:t>江苏瑞诚医疗科技有限公司</w:t>
            </w:r>
            <w:r>
              <w:rPr>
                <w:rFonts w:hint="default" w:ascii="Times New Roman" w:hAnsi="Times New Roman" w:eastAsia="宋体" w:cs="Times New Roman"/>
                <w:b w:val="0"/>
                <w:bCs/>
                <w:color w:val="auto"/>
                <w:sz w:val="24"/>
                <w:highlight w:val="none"/>
              </w:rPr>
              <w:t>承担相关责任</w:t>
            </w:r>
            <w:r>
              <w:rPr>
                <w:rFonts w:hint="default" w:ascii="Times New Roman" w:hAnsi="Times New Roman" w:eastAsia="宋体" w:cs="Times New Roman"/>
                <w:b w:val="0"/>
                <w:bCs/>
                <w:color w:val="auto"/>
                <w:sz w:val="24"/>
                <w:highlight w:val="none"/>
                <w:lang w:eastAsia="zh-CN"/>
              </w:rPr>
              <w:t>。</w:t>
            </w:r>
          </w:p>
        </w:tc>
      </w:tr>
    </w:tbl>
    <w:p w14:paraId="3AE20BD2">
      <w:pPr>
        <w:spacing w:line="240" w:lineRule="auto"/>
        <w:ind w:firstLine="0" w:firstLineChars="0"/>
        <w:jc w:val="center"/>
        <w:rPr>
          <w:b/>
          <w:bCs/>
          <w:color w:val="auto"/>
        </w:rPr>
        <w:sectPr>
          <w:pgSz w:w="11907" w:h="16840"/>
          <w:pgMar w:top="1440" w:right="1080" w:bottom="1440" w:left="1080" w:header="964" w:footer="964" w:gutter="0"/>
          <w:pgBorders w:offsetFrom="page">
            <w:top w:val="none" w:sz="0" w:space="0"/>
            <w:left w:val="none" w:sz="0" w:space="0"/>
            <w:bottom w:val="none" w:sz="0" w:space="0"/>
            <w:right w:val="none" w:sz="0" w:space="0"/>
          </w:pgBorders>
          <w:cols w:space="720" w:num="1"/>
          <w:docGrid w:type="linesAndChars" w:linePitch="312" w:charSpace="0"/>
        </w:sectPr>
      </w:pPr>
    </w:p>
    <w:p w14:paraId="008C603E">
      <w:pPr>
        <w:pStyle w:val="4"/>
        <w:spacing w:before="0" w:after="0"/>
        <w:rPr>
          <w:rFonts w:eastAsia="宋体"/>
          <w:color w:val="auto"/>
        </w:rPr>
      </w:pPr>
      <w:r>
        <w:rPr>
          <w:rFonts w:eastAsia="宋体"/>
          <w:color w:val="auto"/>
        </w:rPr>
        <w:t>三、区域环境质量状况、环境保护目标及评价标准</w:t>
      </w:r>
    </w:p>
    <w:tbl>
      <w:tblPr>
        <w:tblStyle w:val="17"/>
        <w:tblW w:w="996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68"/>
        <w:gridCol w:w="9501"/>
      </w:tblGrid>
      <w:tr w14:paraId="2A6929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68" w:type="dxa"/>
            <w:noWrap w:val="0"/>
            <w:vAlign w:val="center"/>
          </w:tcPr>
          <w:p w14:paraId="2AD293C1">
            <w:pPr>
              <w:spacing w:line="240" w:lineRule="auto"/>
              <w:ind w:firstLine="0" w:firstLineChars="0"/>
              <w:jc w:val="center"/>
              <w:rPr>
                <w:color w:val="auto"/>
                <w:sz w:val="24"/>
                <w:szCs w:val="24"/>
              </w:rPr>
            </w:pPr>
            <w:r>
              <w:rPr>
                <w:b/>
                <w:bCs/>
                <w:color w:val="auto"/>
                <w:sz w:val="24"/>
                <w:szCs w:val="24"/>
              </w:rPr>
              <w:t>区域环境质量现状及评价标准</w:t>
            </w:r>
          </w:p>
        </w:tc>
        <w:tc>
          <w:tcPr>
            <w:tcW w:w="9501" w:type="dxa"/>
            <w:noWrap w:val="0"/>
            <w:vAlign w:val="center"/>
          </w:tcPr>
          <w:p w14:paraId="71727064">
            <w:pPr>
              <w:ind w:firstLine="0" w:firstLineChars="0"/>
              <w:rPr>
                <w:b/>
                <w:bCs/>
                <w:color w:val="auto"/>
                <w:sz w:val="24"/>
                <w:szCs w:val="24"/>
              </w:rPr>
            </w:pPr>
            <w:r>
              <w:rPr>
                <w:b/>
                <w:bCs/>
                <w:color w:val="auto"/>
                <w:sz w:val="24"/>
                <w:szCs w:val="24"/>
              </w:rPr>
              <w:t>1、地表水环境</w:t>
            </w:r>
          </w:p>
          <w:p w14:paraId="64E2C80D">
            <w:pPr>
              <w:ind w:firstLine="0" w:firstLineChars="0"/>
              <w:rPr>
                <w:b/>
                <w:bCs/>
                <w:color w:val="auto"/>
                <w:sz w:val="24"/>
                <w:szCs w:val="24"/>
              </w:rPr>
            </w:pPr>
            <w:r>
              <w:rPr>
                <w:b/>
                <w:bCs/>
                <w:color w:val="auto"/>
                <w:sz w:val="24"/>
                <w:szCs w:val="24"/>
              </w:rPr>
              <w:t>1.</w:t>
            </w:r>
            <w:r>
              <w:rPr>
                <w:rFonts w:hint="eastAsia"/>
                <w:b/>
                <w:bCs/>
                <w:color w:val="auto"/>
                <w:sz w:val="24"/>
                <w:szCs w:val="24"/>
                <w:lang w:val="en-US" w:eastAsia="zh-CN"/>
              </w:rPr>
              <w:t>1</w:t>
            </w:r>
            <w:r>
              <w:rPr>
                <w:b/>
                <w:bCs/>
                <w:color w:val="auto"/>
                <w:sz w:val="24"/>
                <w:szCs w:val="24"/>
              </w:rPr>
              <w:t>地表水环境质量状况</w:t>
            </w:r>
          </w:p>
          <w:p w14:paraId="6625989A">
            <w:pPr>
              <w:ind w:firstLine="446"/>
              <w:jc w:val="left"/>
              <w:rPr>
                <w:b/>
                <w:color w:val="auto"/>
                <w:spacing w:val="6"/>
                <w:sz w:val="24"/>
                <w:szCs w:val="24"/>
              </w:rPr>
            </w:pPr>
            <w:r>
              <w:rPr>
                <w:b/>
                <w:color w:val="auto"/>
                <w:spacing w:val="6"/>
                <w:sz w:val="24"/>
                <w:szCs w:val="24"/>
              </w:rPr>
              <w:t>（1）区域水环境状况</w:t>
            </w:r>
          </w:p>
          <w:p w14:paraId="17629804">
            <w:pPr>
              <w:ind w:firstLine="420"/>
              <w:rPr>
                <w:color w:val="auto"/>
                <w:sz w:val="24"/>
                <w:szCs w:val="24"/>
              </w:rPr>
            </w:pPr>
            <w:r>
              <w:rPr>
                <w:color w:val="auto"/>
                <w:sz w:val="24"/>
                <w:szCs w:val="24"/>
              </w:rPr>
              <w:t>根据《</w:t>
            </w:r>
            <w:r>
              <w:rPr>
                <w:rFonts w:hint="eastAsia"/>
                <w:color w:val="auto"/>
                <w:sz w:val="24"/>
                <w:szCs w:val="24"/>
                <w:lang w:eastAsia="zh-CN"/>
              </w:rPr>
              <w:t>2024年常州市生态环境质量状况公报</w:t>
            </w:r>
            <w:r>
              <w:rPr>
                <w:color w:val="auto"/>
                <w:sz w:val="24"/>
                <w:szCs w:val="24"/>
              </w:rPr>
              <w:t>》可知</w:t>
            </w:r>
            <w:r>
              <w:rPr>
                <w:rFonts w:hint="eastAsia"/>
                <w:color w:val="auto"/>
                <w:sz w:val="24"/>
                <w:szCs w:val="24"/>
                <w:lang w:eastAsia="zh-CN"/>
              </w:rPr>
              <w:t>：</w:t>
            </w:r>
            <w:r>
              <w:rPr>
                <w:rFonts w:hint="eastAsia"/>
                <w:color w:val="auto"/>
                <w:sz w:val="24"/>
                <w:szCs w:val="24"/>
              </w:rPr>
              <w:t>国考、省考断面水质达到或好于</w:t>
            </w:r>
            <w:r>
              <w:rPr>
                <w:rFonts w:hint="eastAsia"/>
                <w:color w:val="auto"/>
                <w:sz w:val="24"/>
                <w:szCs w:val="24"/>
                <w:lang w:val="en-US" w:eastAsia="zh-CN"/>
              </w:rPr>
              <w:t>Ⅲ</w:t>
            </w:r>
            <w:r>
              <w:rPr>
                <w:rFonts w:hint="eastAsia"/>
                <w:color w:val="auto"/>
                <w:sz w:val="24"/>
                <w:szCs w:val="24"/>
              </w:rPr>
              <w:t>类比例完成省定考核要求，太湖水质自2007年蓝藻事件以来首次达</w:t>
            </w:r>
            <w:r>
              <w:rPr>
                <w:rFonts w:hint="eastAsia"/>
                <w:color w:val="auto"/>
                <w:sz w:val="24"/>
                <w:szCs w:val="24"/>
                <w:lang w:val="en-US" w:eastAsia="zh-CN"/>
              </w:rPr>
              <w:t>Ⅲ</w:t>
            </w:r>
            <w:r>
              <w:rPr>
                <w:rFonts w:hint="eastAsia"/>
                <w:color w:val="auto"/>
                <w:sz w:val="24"/>
                <w:szCs w:val="24"/>
              </w:rPr>
              <w:t>、重回“良好”湖泊，连续17年实现安全度夏。长江干流</w:t>
            </w:r>
            <w:r>
              <w:rPr>
                <w:rFonts w:hint="eastAsia"/>
                <w:color w:val="auto"/>
                <w:sz w:val="24"/>
                <w:szCs w:val="24"/>
                <w:lang w:eastAsia="zh-CN"/>
              </w:rPr>
              <w:t>（</w:t>
            </w:r>
            <w:r>
              <w:rPr>
                <w:rFonts w:hint="eastAsia"/>
                <w:color w:val="auto"/>
                <w:sz w:val="24"/>
                <w:szCs w:val="24"/>
              </w:rPr>
              <w:t>常州段</w:t>
            </w:r>
            <w:r>
              <w:rPr>
                <w:rFonts w:hint="eastAsia"/>
                <w:color w:val="auto"/>
                <w:sz w:val="24"/>
                <w:szCs w:val="24"/>
                <w:lang w:eastAsia="zh-CN"/>
              </w:rPr>
              <w:t>）</w:t>
            </w:r>
            <w:r>
              <w:rPr>
                <w:rFonts w:hint="eastAsia"/>
                <w:color w:val="auto"/>
                <w:sz w:val="24"/>
                <w:szCs w:val="24"/>
              </w:rPr>
              <w:t>水质连续8年稳定Ⅱ类水平</w:t>
            </w:r>
            <w:r>
              <w:rPr>
                <w:rFonts w:hint="eastAsia"/>
                <w:color w:val="auto"/>
                <w:sz w:val="24"/>
                <w:szCs w:val="24"/>
                <w:lang w:eastAsia="zh-CN"/>
              </w:rPr>
              <w:t>，</w:t>
            </w:r>
            <w:r>
              <w:rPr>
                <w:rFonts w:hint="eastAsia"/>
                <w:color w:val="auto"/>
                <w:sz w:val="24"/>
                <w:szCs w:val="24"/>
              </w:rPr>
              <w:t>主要入湖河道、集中式饮用水源地水质稳定达到省定考核目标。常州市城市饮用水以集中供水为主，2024年全市5个县级及以上城市集中式饮用水水源地</w:t>
            </w:r>
            <w:r>
              <w:rPr>
                <w:rFonts w:hint="eastAsia"/>
                <w:color w:val="auto"/>
                <w:sz w:val="24"/>
                <w:szCs w:val="24"/>
                <w:lang w:eastAsia="zh-CN"/>
              </w:rPr>
              <w:t>（</w:t>
            </w:r>
            <w:r>
              <w:rPr>
                <w:rFonts w:hint="eastAsia"/>
                <w:color w:val="auto"/>
                <w:sz w:val="24"/>
                <w:szCs w:val="24"/>
              </w:rPr>
              <w:t>含备用</w:t>
            </w:r>
            <w:r>
              <w:rPr>
                <w:rFonts w:hint="eastAsia"/>
                <w:color w:val="auto"/>
                <w:sz w:val="24"/>
                <w:szCs w:val="24"/>
                <w:lang w:eastAsia="zh-CN"/>
              </w:rPr>
              <w:t>）</w:t>
            </w:r>
            <w:r>
              <w:rPr>
                <w:rFonts w:hint="eastAsia"/>
                <w:color w:val="auto"/>
                <w:sz w:val="24"/>
                <w:szCs w:val="24"/>
              </w:rPr>
              <w:t>，取水总量为5.23亿吨，全年每月监测均达标。常州市纳入“十四五”国家地表水环境质量考核的20个断面，年均水质达到或好于《地表水环境质量标准》</w:t>
            </w:r>
            <w:r>
              <w:rPr>
                <w:rFonts w:hint="eastAsia"/>
                <w:color w:val="auto"/>
                <w:sz w:val="24"/>
                <w:szCs w:val="24"/>
                <w:lang w:eastAsia="zh-CN"/>
              </w:rPr>
              <w:t>（</w:t>
            </w:r>
            <w:r>
              <w:rPr>
                <w:rFonts w:hint="eastAsia"/>
                <w:color w:val="auto"/>
                <w:sz w:val="24"/>
                <w:szCs w:val="24"/>
              </w:rPr>
              <w:t>GB3838-2002</w:t>
            </w:r>
            <w:r>
              <w:rPr>
                <w:rFonts w:hint="eastAsia"/>
                <w:color w:val="auto"/>
                <w:sz w:val="24"/>
                <w:szCs w:val="24"/>
                <w:lang w:eastAsia="zh-CN"/>
              </w:rPr>
              <w:t>）</w:t>
            </w:r>
            <w:r>
              <w:rPr>
                <w:rFonts w:hint="eastAsia"/>
                <w:color w:val="auto"/>
                <w:sz w:val="24"/>
                <w:szCs w:val="24"/>
                <w:lang w:val="en-US" w:eastAsia="zh-CN"/>
              </w:rPr>
              <w:t>Ⅲ</w:t>
            </w:r>
            <w:r>
              <w:rPr>
                <w:rFonts w:hint="eastAsia"/>
                <w:color w:val="auto"/>
                <w:sz w:val="24"/>
                <w:szCs w:val="24"/>
              </w:rPr>
              <w:t>类标准的断面比例为85%，无V类断面。纳入江苏省“十四五”水环境质量目标考核的51个断面，年均水质达到或好于</w:t>
            </w:r>
            <w:r>
              <w:rPr>
                <w:rFonts w:hint="eastAsia"/>
                <w:color w:val="auto"/>
                <w:sz w:val="24"/>
                <w:szCs w:val="24"/>
                <w:lang w:val="en-US" w:eastAsia="zh-CN"/>
              </w:rPr>
              <w:t>Ⅲ</w:t>
            </w:r>
            <w:r>
              <w:rPr>
                <w:rFonts w:hint="eastAsia"/>
                <w:color w:val="auto"/>
                <w:sz w:val="24"/>
                <w:szCs w:val="24"/>
              </w:rPr>
              <w:t>类的比例为94.1%，无劣V类断面。太湖常州水域总磷同比改善24%，对全湖总磷改善幅度贡献率达182%</w:t>
            </w:r>
            <w:r>
              <w:rPr>
                <w:rFonts w:hint="eastAsia"/>
                <w:color w:val="auto"/>
                <w:sz w:val="24"/>
                <w:szCs w:val="24"/>
                <w:lang w:eastAsia="zh-CN"/>
              </w:rPr>
              <w:t>，</w:t>
            </w:r>
            <w:r>
              <w:rPr>
                <w:rFonts w:hint="eastAsia"/>
                <w:color w:val="auto"/>
                <w:sz w:val="24"/>
                <w:szCs w:val="24"/>
              </w:rPr>
              <w:t>位列环湖城市第一，太湖入湖河道通量最大的百渎港总磷同比下降17.6%。长荡湖水质稳定达到IV类，水生植物覆盖度达38.4%，由“藻型湖”逐步向“草型湖”转变</w:t>
            </w:r>
            <w:r>
              <w:rPr>
                <w:rFonts w:hint="eastAsia"/>
                <w:color w:val="auto"/>
                <w:sz w:val="24"/>
                <w:szCs w:val="24"/>
                <w:lang w:eastAsia="zh-CN"/>
              </w:rPr>
              <w:t>；</w:t>
            </w:r>
            <w:r>
              <w:rPr>
                <w:rFonts w:hint="eastAsia"/>
                <w:color w:val="auto"/>
                <w:sz w:val="24"/>
                <w:szCs w:val="24"/>
              </w:rPr>
              <w:t>滆湖常州水域水质首次达到I类，总磷同比改善27.9%，营养状态从“中度”改善至“轻度”。长江干流魏村</w:t>
            </w:r>
            <w:r>
              <w:rPr>
                <w:rFonts w:hint="eastAsia"/>
                <w:color w:val="auto"/>
                <w:sz w:val="24"/>
                <w:szCs w:val="24"/>
                <w:lang w:eastAsia="zh-CN"/>
              </w:rPr>
              <w:t>（</w:t>
            </w:r>
            <w:r>
              <w:rPr>
                <w:rFonts w:hint="eastAsia"/>
                <w:color w:val="auto"/>
                <w:sz w:val="24"/>
                <w:szCs w:val="24"/>
              </w:rPr>
              <w:t>右岸</w:t>
            </w:r>
            <w:r>
              <w:rPr>
                <w:rFonts w:hint="eastAsia"/>
                <w:color w:val="auto"/>
                <w:sz w:val="24"/>
                <w:szCs w:val="24"/>
                <w:lang w:eastAsia="zh-CN"/>
              </w:rPr>
              <w:t>）</w:t>
            </w:r>
            <w:r>
              <w:rPr>
                <w:rFonts w:hint="eastAsia"/>
                <w:color w:val="auto"/>
                <w:sz w:val="24"/>
                <w:szCs w:val="24"/>
              </w:rPr>
              <w:t>断面水质连续八年达到</w:t>
            </w:r>
            <w:r>
              <w:rPr>
                <w:rFonts w:hint="eastAsia"/>
                <w:color w:val="auto"/>
                <w:sz w:val="24"/>
                <w:szCs w:val="24"/>
                <w:lang w:val="en-US" w:eastAsia="zh-CN"/>
              </w:rPr>
              <w:t>Ⅲ</w:t>
            </w:r>
            <w:r>
              <w:rPr>
                <w:rFonts w:hint="eastAsia"/>
                <w:color w:val="auto"/>
                <w:sz w:val="24"/>
                <w:szCs w:val="24"/>
              </w:rPr>
              <w:t>类</w:t>
            </w:r>
            <w:r>
              <w:rPr>
                <w:rFonts w:hint="eastAsia"/>
                <w:color w:val="auto"/>
                <w:sz w:val="24"/>
                <w:szCs w:val="24"/>
                <w:lang w:eastAsia="zh-CN"/>
              </w:rPr>
              <w:t>；</w:t>
            </w:r>
            <w:r>
              <w:rPr>
                <w:rFonts w:hint="eastAsia"/>
                <w:color w:val="auto"/>
                <w:sz w:val="24"/>
                <w:szCs w:val="24"/>
              </w:rPr>
              <w:t>新孟河、德胜河、澡港河等3条主要通江支流上5个国省考断面年均水质均达到或优于</w:t>
            </w:r>
            <w:r>
              <w:rPr>
                <w:rFonts w:hint="eastAsia"/>
                <w:color w:val="auto"/>
                <w:sz w:val="24"/>
                <w:szCs w:val="24"/>
                <w:lang w:val="en-US" w:eastAsia="zh-CN"/>
              </w:rPr>
              <w:t>Ⅲ</w:t>
            </w:r>
            <w:r>
              <w:rPr>
                <w:rFonts w:hint="eastAsia"/>
                <w:color w:val="auto"/>
                <w:sz w:val="24"/>
                <w:szCs w:val="24"/>
              </w:rPr>
              <w:t>类。京杭大运河</w:t>
            </w:r>
            <w:r>
              <w:rPr>
                <w:rFonts w:hint="eastAsia"/>
                <w:color w:val="auto"/>
                <w:sz w:val="24"/>
                <w:szCs w:val="24"/>
                <w:lang w:eastAsia="zh-CN"/>
              </w:rPr>
              <w:t>（</w:t>
            </w:r>
            <w:r>
              <w:rPr>
                <w:rFonts w:hint="eastAsia"/>
                <w:color w:val="auto"/>
                <w:sz w:val="24"/>
                <w:szCs w:val="24"/>
              </w:rPr>
              <w:t>常州段</w:t>
            </w:r>
            <w:r>
              <w:rPr>
                <w:rFonts w:hint="eastAsia"/>
                <w:color w:val="auto"/>
                <w:sz w:val="24"/>
                <w:szCs w:val="24"/>
                <w:lang w:eastAsia="zh-CN"/>
              </w:rPr>
              <w:t>）</w:t>
            </w:r>
            <w:r>
              <w:rPr>
                <w:rFonts w:hint="eastAsia"/>
                <w:color w:val="auto"/>
                <w:sz w:val="24"/>
                <w:szCs w:val="24"/>
              </w:rPr>
              <w:t>沿线五牧、连江桥下、戚墅堰等3个国省考断面年均水质均达到或好于</w:t>
            </w:r>
            <w:r>
              <w:rPr>
                <w:rFonts w:hint="eastAsia"/>
                <w:color w:val="auto"/>
                <w:sz w:val="24"/>
                <w:szCs w:val="24"/>
                <w:lang w:val="en-US" w:eastAsia="zh-CN"/>
              </w:rPr>
              <w:t>Ⅲ</w:t>
            </w:r>
            <w:r>
              <w:rPr>
                <w:rFonts w:hint="eastAsia"/>
                <w:color w:val="auto"/>
                <w:sz w:val="24"/>
                <w:szCs w:val="24"/>
              </w:rPr>
              <w:t>类</w:t>
            </w:r>
            <w:r>
              <w:rPr>
                <w:color w:val="auto"/>
                <w:sz w:val="24"/>
                <w:szCs w:val="24"/>
              </w:rPr>
              <w:t>。</w:t>
            </w:r>
          </w:p>
          <w:p w14:paraId="24F46BDD">
            <w:pPr>
              <w:ind w:firstLine="420"/>
              <w:rPr>
                <w:color w:val="auto"/>
                <w:sz w:val="24"/>
                <w:szCs w:val="24"/>
              </w:rPr>
            </w:pPr>
            <w:r>
              <w:rPr>
                <w:rFonts w:hint="eastAsia"/>
                <w:color w:val="auto"/>
                <w:sz w:val="24"/>
                <w:szCs w:val="24"/>
              </w:rPr>
              <w:t>持续打好长江保护修复攻坚战，到2025年长江干流水质稳定达到Ⅱ类；持续打好太湖流域综合整治攻坚战，坚决守住“确保饮用水安全，确保不发生大面积湖泛”底线；提升饮用水水源安全保障水平，完善集中式水源地保护区划分和长效管护机制，加强水源地预警监控能力建设；持续打好黑臭水体治理攻坚战，到2025年，苏南县级以上城市建成区80%以上面积，苏中、苏北县级以上城市建成区60%以上面积，建成“污水处理提质增效达标区”；着力打好海洋生态环境综合治理攻坚战，推进重点河口海湾综合治理，深入开展“美丽海湾”建设；强化陆域水域污染协同治理，到2025年，全面完成骨干河道和重点湖泊排污口排查整治。</w:t>
            </w:r>
          </w:p>
          <w:p w14:paraId="1FF3A556">
            <w:pPr>
              <w:ind w:firstLine="422"/>
              <w:jc w:val="left"/>
              <w:rPr>
                <w:b/>
                <w:color w:val="auto"/>
                <w:sz w:val="24"/>
                <w:szCs w:val="24"/>
              </w:rPr>
            </w:pPr>
            <w:r>
              <w:rPr>
                <w:b/>
                <w:color w:val="auto"/>
                <w:sz w:val="24"/>
                <w:szCs w:val="24"/>
              </w:rPr>
              <w:t>（2）</w:t>
            </w:r>
            <w:r>
              <w:rPr>
                <w:rFonts w:hint="eastAsia"/>
                <w:b/>
                <w:color w:val="auto"/>
                <w:sz w:val="24"/>
                <w:szCs w:val="24"/>
                <w:lang w:eastAsia="zh-CN"/>
              </w:rPr>
              <w:t>尧塘河</w:t>
            </w:r>
            <w:r>
              <w:rPr>
                <w:b/>
                <w:color w:val="auto"/>
                <w:sz w:val="24"/>
                <w:szCs w:val="24"/>
              </w:rPr>
              <w:t>环境质量现状</w:t>
            </w:r>
          </w:p>
          <w:p w14:paraId="3D416781">
            <w:pPr>
              <w:ind w:firstLine="444"/>
              <w:jc w:val="left"/>
              <w:rPr>
                <w:bCs/>
                <w:color w:val="auto"/>
                <w:spacing w:val="6"/>
                <w:sz w:val="24"/>
                <w:szCs w:val="24"/>
              </w:rPr>
            </w:pPr>
            <w:r>
              <w:rPr>
                <w:bCs/>
                <w:color w:val="auto"/>
                <w:spacing w:val="6"/>
                <w:sz w:val="24"/>
                <w:szCs w:val="24"/>
              </w:rPr>
              <w:t>本项目废水接管进</w:t>
            </w:r>
            <w:r>
              <w:rPr>
                <w:rFonts w:hint="eastAsia"/>
                <w:bCs/>
                <w:color w:val="auto"/>
                <w:spacing w:val="6"/>
                <w:sz w:val="24"/>
                <w:szCs w:val="24"/>
                <w:lang w:eastAsia="zh-CN"/>
              </w:rPr>
              <w:t>金坛第二污水处理厂</w:t>
            </w:r>
            <w:r>
              <w:rPr>
                <w:bCs/>
                <w:color w:val="auto"/>
                <w:spacing w:val="6"/>
                <w:sz w:val="24"/>
                <w:szCs w:val="24"/>
              </w:rPr>
              <w:t>集中处理，尾水排至</w:t>
            </w:r>
            <w:r>
              <w:rPr>
                <w:rFonts w:hint="eastAsia"/>
                <w:bCs/>
                <w:color w:val="auto"/>
                <w:spacing w:val="6"/>
                <w:sz w:val="24"/>
                <w:szCs w:val="24"/>
                <w:lang w:eastAsia="zh-CN"/>
              </w:rPr>
              <w:t>尧塘河</w:t>
            </w:r>
            <w:r>
              <w:rPr>
                <w:bCs/>
                <w:color w:val="auto"/>
                <w:spacing w:val="6"/>
                <w:sz w:val="24"/>
                <w:szCs w:val="24"/>
              </w:rPr>
              <w:t>。</w:t>
            </w:r>
            <w:r>
              <w:rPr>
                <w:rFonts w:hint="eastAsia"/>
                <w:bCs/>
                <w:color w:val="auto"/>
                <w:sz w:val="24"/>
                <w:szCs w:val="24"/>
                <w:lang w:eastAsia="zh-CN"/>
              </w:rPr>
              <w:t>尧塘河</w:t>
            </w:r>
            <w:r>
              <w:rPr>
                <w:bCs/>
                <w:color w:val="auto"/>
                <w:sz w:val="24"/>
                <w:szCs w:val="24"/>
              </w:rPr>
              <w:t>水环境质量现状通过</w:t>
            </w:r>
            <w:r>
              <w:rPr>
                <w:rFonts w:hint="default" w:ascii="Times New Roman" w:hAnsi="Times New Roman" w:eastAsia="宋体" w:cs="Times New Roman"/>
                <w:color w:val="auto"/>
                <w:sz w:val="24"/>
                <w:highlight w:val="none"/>
              </w:rPr>
              <w:t>特斯特（江苏）检测科技有限公司</w:t>
            </w:r>
            <w:r>
              <w:rPr>
                <w:bCs/>
                <w:color w:val="auto"/>
                <w:sz w:val="24"/>
                <w:szCs w:val="24"/>
              </w:rPr>
              <w:t>于202</w:t>
            </w:r>
            <w:r>
              <w:rPr>
                <w:rFonts w:hint="eastAsia"/>
                <w:bCs/>
                <w:color w:val="auto"/>
                <w:sz w:val="24"/>
                <w:szCs w:val="24"/>
                <w:lang w:val="en-US" w:eastAsia="zh-CN"/>
              </w:rPr>
              <w:t>5</w:t>
            </w:r>
            <w:r>
              <w:rPr>
                <w:bCs/>
                <w:color w:val="auto"/>
                <w:sz w:val="24"/>
                <w:szCs w:val="24"/>
              </w:rPr>
              <w:t>年</w:t>
            </w:r>
            <w:r>
              <w:rPr>
                <w:rFonts w:hint="eastAsia"/>
                <w:bCs/>
                <w:color w:val="auto"/>
                <w:sz w:val="24"/>
                <w:szCs w:val="24"/>
                <w:lang w:val="en-US" w:eastAsia="zh-CN"/>
              </w:rPr>
              <w:t>1</w:t>
            </w:r>
            <w:r>
              <w:rPr>
                <w:bCs/>
                <w:color w:val="auto"/>
                <w:sz w:val="24"/>
                <w:szCs w:val="24"/>
              </w:rPr>
              <w:t>月6日-</w:t>
            </w:r>
            <w:r>
              <w:rPr>
                <w:rFonts w:hint="eastAsia"/>
                <w:bCs/>
                <w:color w:val="auto"/>
                <w:sz w:val="24"/>
                <w:szCs w:val="24"/>
                <w:lang w:val="en-US" w:eastAsia="zh-CN"/>
              </w:rPr>
              <w:t>1</w:t>
            </w:r>
            <w:r>
              <w:rPr>
                <w:bCs/>
                <w:color w:val="auto"/>
                <w:sz w:val="24"/>
                <w:szCs w:val="24"/>
              </w:rPr>
              <w:t>月8日对</w:t>
            </w:r>
            <w:r>
              <w:rPr>
                <w:rFonts w:hint="eastAsia"/>
                <w:bCs/>
                <w:color w:val="auto"/>
                <w:sz w:val="24"/>
                <w:szCs w:val="24"/>
                <w:lang w:eastAsia="zh-CN"/>
              </w:rPr>
              <w:t>尧塘河</w:t>
            </w:r>
            <w:r>
              <w:rPr>
                <w:bCs/>
                <w:color w:val="auto"/>
                <w:sz w:val="24"/>
                <w:szCs w:val="24"/>
              </w:rPr>
              <w:t>的监测数据，检测报告</w:t>
            </w:r>
            <w:r>
              <w:rPr>
                <w:rFonts w:hint="default" w:ascii="Times New Roman" w:hAnsi="Times New Roman" w:eastAsia="宋体" w:cs="Times New Roman"/>
                <w:color w:val="auto"/>
                <w:sz w:val="24"/>
                <w:highlight w:val="none"/>
              </w:rPr>
              <w:t>TST202</w:t>
            </w:r>
            <w:r>
              <w:rPr>
                <w:rFonts w:hint="eastAsia" w:ascii="Times New Roman" w:hAnsi="Times New Roman" w:eastAsia="宋体" w:cs="Times New Roman"/>
                <w:color w:val="auto"/>
                <w:sz w:val="24"/>
                <w:highlight w:val="none"/>
                <w:lang w:val="en-US" w:eastAsia="zh-CN"/>
              </w:rPr>
              <w:t>501015</w:t>
            </w:r>
            <w:r>
              <w:rPr>
                <w:bCs/>
                <w:color w:val="auto"/>
                <w:sz w:val="24"/>
                <w:szCs w:val="24"/>
              </w:rPr>
              <w:t>，详见附件</w:t>
            </w:r>
            <w:r>
              <w:rPr>
                <w:rFonts w:hint="eastAsia"/>
                <w:bCs/>
                <w:color w:val="auto"/>
                <w:sz w:val="24"/>
                <w:szCs w:val="24"/>
                <w:lang w:val="en-US" w:eastAsia="zh-CN"/>
              </w:rPr>
              <w:t>11</w:t>
            </w:r>
            <w:r>
              <w:rPr>
                <w:bCs/>
                <w:color w:val="auto"/>
                <w:sz w:val="24"/>
                <w:szCs w:val="24"/>
              </w:rPr>
              <w:t>。</w:t>
            </w:r>
          </w:p>
          <w:p w14:paraId="64A65018">
            <w:pPr>
              <w:pStyle w:val="30"/>
              <w:adjustRightInd w:val="0"/>
              <w:snapToGrid w:val="0"/>
              <w:spacing w:after="0" w:line="240" w:lineRule="auto"/>
              <w:ind w:firstLine="0" w:firstLineChars="0"/>
              <w:rPr>
                <w:rFonts w:hAnsi="Times New Roman"/>
                <w:b/>
                <w:bCs/>
                <w:color w:val="auto"/>
                <w:sz w:val="21"/>
                <w:szCs w:val="21"/>
              </w:rPr>
            </w:pPr>
            <w:r>
              <w:rPr>
                <w:rFonts w:hAnsi="Times New Roman"/>
                <w:b/>
                <w:bCs/>
                <w:color w:val="auto"/>
                <w:sz w:val="21"/>
                <w:szCs w:val="21"/>
              </w:rPr>
              <w:t>表3-</w:t>
            </w:r>
            <w:r>
              <w:rPr>
                <w:rFonts w:hint="eastAsia" w:hAnsi="Times New Roman"/>
                <w:b/>
                <w:bCs/>
                <w:color w:val="auto"/>
                <w:sz w:val="21"/>
                <w:szCs w:val="21"/>
                <w:lang w:val="en-US" w:eastAsia="zh-CN"/>
              </w:rPr>
              <w:t>1</w:t>
            </w:r>
            <w:r>
              <w:rPr>
                <w:rFonts w:hAnsi="Times New Roman"/>
                <w:b/>
                <w:bCs/>
                <w:color w:val="auto"/>
                <w:sz w:val="21"/>
                <w:szCs w:val="21"/>
              </w:rPr>
              <w:t xml:space="preserve">  地表水监测断面及监测项目</w:t>
            </w:r>
          </w:p>
          <w:tbl>
            <w:tblPr>
              <w:tblStyle w:val="17"/>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091"/>
              <w:gridCol w:w="1664"/>
              <w:gridCol w:w="1515"/>
              <w:gridCol w:w="895"/>
              <w:gridCol w:w="2687"/>
              <w:gridCol w:w="1426"/>
            </w:tblGrid>
            <w:tr w14:paraId="12F5FF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8" w:type="pct"/>
                  <w:noWrap w:val="0"/>
                  <w:vAlign w:val="center"/>
                </w:tcPr>
                <w:p w14:paraId="02F389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区域</w:t>
                  </w:r>
                </w:p>
              </w:tc>
              <w:tc>
                <w:tcPr>
                  <w:tcW w:w="896" w:type="pct"/>
                  <w:noWrap w:val="0"/>
                  <w:vAlign w:val="center"/>
                </w:tcPr>
                <w:p w14:paraId="3AE89E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监测时间</w:t>
                  </w:r>
                </w:p>
              </w:tc>
              <w:tc>
                <w:tcPr>
                  <w:tcW w:w="816" w:type="pct"/>
                  <w:noWrap w:val="0"/>
                  <w:vAlign w:val="center"/>
                </w:tcPr>
                <w:p w14:paraId="1A8DB3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监测频次</w:t>
                  </w:r>
                </w:p>
              </w:tc>
              <w:tc>
                <w:tcPr>
                  <w:tcW w:w="482" w:type="pct"/>
                  <w:noWrap w:val="0"/>
                  <w:vAlign w:val="center"/>
                </w:tcPr>
                <w:p w14:paraId="15B5D5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断面序号</w:t>
                  </w:r>
                </w:p>
              </w:tc>
              <w:tc>
                <w:tcPr>
                  <w:tcW w:w="1447" w:type="pct"/>
                  <w:noWrap w:val="0"/>
                  <w:vAlign w:val="center"/>
                </w:tcPr>
                <w:p w14:paraId="6FDA82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位置</w:t>
                  </w:r>
                </w:p>
              </w:tc>
              <w:tc>
                <w:tcPr>
                  <w:tcW w:w="768" w:type="pct"/>
                  <w:noWrap w:val="0"/>
                  <w:vAlign w:val="center"/>
                </w:tcPr>
                <w:p w14:paraId="66CCD5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监测因子</w:t>
                  </w:r>
                </w:p>
              </w:tc>
            </w:tr>
            <w:tr w14:paraId="12FE7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8" w:type="pct"/>
                  <w:vMerge w:val="restart"/>
                  <w:noWrap w:val="0"/>
                  <w:vAlign w:val="center"/>
                </w:tcPr>
                <w:p w14:paraId="37F318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lang w:eastAsia="zh-CN"/>
                    </w:rPr>
                    <w:t>尧塘河</w:t>
                  </w:r>
                </w:p>
              </w:tc>
              <w:tc>
                <w:tcPr>
                  <w:tcW w:w="896" w:type="pct"/>
                  <w:vMerge w:val="restart"/>
                  <w:noWrap w:val="0"/>
                  <w:vAlign w:val="center"/>
                </w:tcPr>
                <w:p w14:paraId="114335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2025年</w:t>
                  </w:r>
                  <w:r>
                    <w:rPr>
                      <w:rFonts w:hint="eastAsia"/>
                      <w:color w:val="auto"/>
                      <w:sz w:val="21"/>
                      <w:szCs w:val="21"/>
                      <w:lang w:val="en-US" w:eastAsia="zh-CN"/>
                    </w:rPr>
                    <w:t>1</w:t>
                  </w:r>
                  <w:r>
                    <w:rPr>
                      <w:rFonts w:hint="eastAsia"/>
                      <w:color w:val="auto"/>
                      <w:sz w:val="21"/>
                      <w:szCs w:val="21"/>
                    </w:rPr>
                    <w:t>月6日-</w:t>
                  </w:r>
                  <w:r>
                    <w:rPr>
                      <w:rFonts w:hint="eastAsia"/>
                      <w:color w:val="auto"/>
                      <w:sz w:val="21"/>
                      <w:szCs w:val="21"/>
                      <w:lang w:val="en-US" w:eastAsia="zh-CN"/>
                    </w:rPr>
                    <w:t>1</w:t>
                  </w:r>
                  <w:r>
                    <w:rPr>
                      <w:rFonts w:hint="eastAsia"/>
                      <w:color w:val="auto"/>
                      <w:sz w:val="21"/>
                      <w:szCs w:val="21"/>
                    </w:rPr>
                    <w:t>月8日</w:t>
                  </w:r>
                </w:p>
              </w:tc>
              <w:tc>
                <w:tcPr>
                  <w:tcW w:w="816" w:type="pct"/>
                  <w:vMerge w:val="restart"/>
                  <w:noWrap w:val="0"/>
                  <w:vAlign w:val="center"/>
                </w:tcPr>
                <w:p w14:paraId="18E56B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连续监测3天，每天监测2次</w:t>
                  </w:r>
                </w:p>
              </w:tc>
              <w:tc>
                <w:tcPr>
                  <w:tcW w:w="482" w:type="pct"/>
                  <w:noWrap w:val="0"/>
                  <w:vAlign w:val="center"/>
                </w:tcPr>
                <w:p w14:paraId="3AFF37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W1</w:t>
                  </w:r>
                </w:p>
              </w:tc>
              <w:tc>
                <w:tcPr>
                  <w:tcW w:w="1447" w:type="pct"/>
                  <w:noWrap w:val="0"/>
                  <w:vAlign w:val="center"/>
                </w:tcPr>
                <w:p w14:paraId="1F994B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lang w:eastAsia="zh-CN"/>
                    </w:rPr>
                    <w:t>金坛第二污水处理厂</w:t>
                  </w:r>
                  <w:r>
                    <w:rPr>
                      <w:color w:val="auto"/>
                      <w:sz w:val="21"/>
                      <w:szCs w:val="21"/>
                    </w:rPr>
                    <w:t>排口上游500米</w:t>
                  </w:r>
                </w:p>
              </w:tc>
              <w:tc>
                <w:tcPr>
                  <w:tcW w:w="768" w:type="pct"/>
                  <w:vMerge w:val="restart"/>
                  <w:noWrap w:val="0"/>
                  <w:vAlign w:val="center"/>
                </w:tcPr>
                <w:p w14:paraId="4AE8F7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pH、COD、NH</w:t>
                  </w:r>
                  <w:r>
                    <w:rPr>
                      <w:color w:val="auto"/>
                      <w:sz w:val="21"/>
                      <w:szCs w:val="21"/>
                      <w:vertAlign w:val="subscript"/>
                    </w:rPr>
                    <w:t>3</w:t>
                  </w:r>
                  <w:r>
                    <w:rPr>
                      <w:color w:val="auto"/>
                      <w:sz w:val="21"/>
                      <w:szCs w:val="21"/>
                    </w:rPr>
                    <w:t>-N、TP</w:t>
                  </w:r>
                </w:p>
              </w:tc>
            </w:tr>
            <w:tr w14:paraId="71813E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8" w:type="pct"/>
                  <w:vMerge w:val="continue"/>
                  <w:noWrap w:val="0"/>
                  <w:vAlign w:val="center"/>
                </w:tcPr>
                <w:p w14:paraId="26F3FE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p>
              </w:tc>
              <w:tc>
                <w:tcPr>
                  <w:tcW w:w="896" w:type="pct"/>
                  <w:vMerge w:val="continue"/>
                  <w:noWrap w:val="0"/>
                  <w:vAlign w:val="center"/>
                </w:tcPr>
                <w:p w14:paraId="5E7ACE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p>
              </w:tc>
              <w:tc>
                <w:tcPr>
                  <w:tcW w:w="816" w:type="pct"/>
                  <w:vMerge w:val="continue"/>
                  <w:noWrap w:val="0"/>
                  <w:vAlign w:val="center"/>
                </w:tcPr>
                <w:p w14:paraId="4F30DF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p>
              </w:tc>
              <w:tc>
                <w:tcPr>
                  <w:tcW w:w="482" w:type="pct"/>
                  <w:noWrap w:val="0"/>
                  <w:vAlign w:val="center"/>
                </w:tcPr>
                <w:p w14:paraId="0A72FC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lang w:eastAsia="zh-CN"/>
                    </w:rPr>
                  </w:pPr>
                  <w:r>
                    <w:rPr>
                      <w:color w:val="auto"/>
                      <w:sz w:val="21"/>
                      <w:szCs w:val="21"/>
                    </w:rPr>
                    <w:t>W</w:t>
                  </w:r>
                  <w:r>
                    <w:rPr>
                      <w:rFonts w:hint="eastAsia"/>
                      <w:color w:val="auto"/>
                      <w:sz w:val="21"/>
                      <w:szCs w:val="21"/>
                      <w:lang w:val="en-US" w:eastAsia="zh-CN"/>
                    </w:rPr>
                    <w:t>2</w:t>
                  </w:r>
                </w:p>
              </w:tc>
              <w:tc>
                <w:tcPr>
                  <w:tcW w:w="1447" w:type="pct"/>
                  <w:noWrap w:val="0"/>
                  <w:vAlign w:val="center"/>
                </w:tcPr>
                <w:p w14:paraId="6DB9FA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lang w:eastAsia="zh-CN"/>
                    </w:rPr>
                    <w:t>金坛第二污水处理厂</w:t>
                  </w:r>
                  <w:r>
                    <w:rPr>
                      <w:color w:val="auto"/>
                      <w:sz w:val="21"/>
                      <w:szCs w:val="21"/>
                    </w:rPr>
                    <w:t>排口下游</w:t>
                  </w:r>
                  <w:r>
                    <w:rPr>
                      <w:rFonts w:hint="eastAsia"/>
                      <w:color w:val="auto"/>
                      <w:sz w:val="21"/>
                      <w:szCs w:val="21"/>
                      <w:lang w:val="en-US" w:eastAsia="zh-CN"/>
                    </w:rPr>
                    <w:t>2</w:t>
                  </w:r>
                  <w:r>
                    <w:rPr>
                      <w:color w:val="auto"/>
                      <w:sz w:val="21"/>
                      <w:szCs w:val="21"/>
                    </w:rPr>
                    <w:t>000米</w:t>
                  </w:r>
                </w:p>
              </w:tc>
              <w:tc>
                <w:tcPr>
                  <w:tcW w:w="768" w:type="pct"/>
                  <w:vMerge w:val="continue"/>
                  <w:noWrap w:val="0"/>
                  <w:vAlign w:val="center"/>
                </w:tcPr>
                <w:p w14:paraId="36BA68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p>
              </w:tc>
            </w:tr>
          </w:tbl>
          <w:p w14:paraId="79AB872A">
            <w:pPr>
              <w:ind w:firstLine="420"/>
              <w:jc w:val="left"/>
              <w:rPr>
                <w:bCs/>
                <w:color w:val="auto"/>
                <w:sz w:val="24"/>
                <w:szCs w:val="24"/>
              </w:rPr>
            </w:pPr>
            <w:r>
              <w:rPr>
                <w:bCs/>
                <w:color w:val="auto"/>
                <w:sz w:val="24"/>
                <w:szCs w:val="24"/>
              </w:rPr>
              <w:t>引用监测数据可行性分析：根据《环境影响评价技术导则 地表水环境》（HJ2.3-2018）相关要求：“地表水环境现状调查因子根据评价范围水环境质量管理要求、建设项目水污染物排放特点与水环境影响预测评价要求等综合分析确定。调查因子应不少于评价因子；调查方法主要采用资料收集、现场监测、无人机或卫星遥感遥测等方法。”本项目收集的</w:t>
            </w:r>
            <w:r>
              <w:rPr>
                <w:rFonts w:hint="eastAsia"/>
                <w:bCs/>
                <w:color w:val="auto"/>
                <w:sz w:val="24"/>
                <w:szCs w:val="24"/>
                <w:lang w:eastAsia="zh-CN"/>
              </w:rPr>
              <w:t>尧塘河</w:t>
            </w:r>
            <w:r>
              <w:rPr>
                <w:bCs/>
                <w:color w:val="auto"/>
                <w:sz w:val="24"/>
                <w:szCs w:val="24"/>
              </w:rPr>
              <w:t>水质监测数据来源于</w:t>
            </w:r>
            <w:r>
              <w:rPr>
                <w:rFonts w:hint="default" w:ascii="Times New Roman" w:hAnsi="Times New Roman" w:eastAsia="宋体" w:cs="Times New Roman"/>
                <w:color w:val="auto"/>
                <w:sz w:val="24"/>
                <w:highlight w:val="none"/>
              </w:rPr>
              <w:t>特斯特（江苏）检测科技有限公司</w:t>
            </w:r>
            <w:r>
              <w:rPr>
                <w:rFonts w:hint="eastAsia"/>
                <w:bCs/>
                <w:color w:val="auto"/>
                <w:sz w:val="24"/>
                <w:szCs w:val="24"/>
              </w:rPr>
              <w:t>于</w:t>
            </w:r>
            <w:r>
              <w:rPr>
                <w:bCs/>
                <w:color w:val="auto"/>
                <w:sz w:val="24"/>
                <w:szCs w:val="24"/>
              </w:rPr>
              <w:t>202</w:t>
            </w:r>
            <w:r>
              <w:rPr>
                <w:rFonts w:hint="eastAsia"/>
                <w:bCs/>
                <w:color w:val="auto"/>
                <w:sz w:val="24"/>
                <w:szCs w:val="24"/>
                <w:lang w:val="en-US" w:eastAsia="zh-CN"/>
              </w:rPr>
              <w:t>5</w:t>
            </w:r>
            <w:r>
              <w:rPr>
                <w:bCs/>
                <w:color w:val="auto"/>
                <w:sz w:val="24"/>
                <w:szCs w:val="24"/>
              </w:rPr>
              <w:t>年</w:t>
            </w:r>
            <w:r>
              <w:rPr>
                <w:rFonts w:hint="eastAsia"/>
                <w:bCs/>
                <w:color w:val="auto"/>
                <w:sz w:val="24"/>
                <w:szCs w:val="24"/>
                <w:lang w:val="en-US" w:eastAsia="zh-CN"/>
              </w:rPr>
              <w:t>1</w:t>
            </w:r>
            <w:r>
              <w:rPr>
                <w:bCs/>
                <w:color w:val="auto"/>
                <w:sz w:val="24"/>
                <w:szCs w:val="24"/>
              </w:rPr>
              <w:t>月6日-</w:t>
            </w:r>
            <w:r>
              <w:rPr>
                <w:rFonts w:hint="eastAsia"/>
                <w:bCs/>
                <w:color w:val="auto"/>
                <w:sz w:val="24"/>
                <w:szCs w:val="24"/>
                <w:lang w:val="en-US" w:eastAsia="zh-CN"/>
              </w:rPr>
              <w:t>1</w:t>
            </w:r>
            <w:r>
              <w:rPr>
                <w:bCs/>
                <w:color w:val="auto"/>
                <w:sz w:val="24"/>
                <w:szCs w:val="24"/>
              </w:rPr>
              <w:t>月8日</w:t>
            </w:r>
            <w:r>
              <w:rPr>
                <w:rFonts w:hint="eastAsia"/>
                <w:bCs/>
                <w:color w:val="auto"/>
                <w:sz w:val="24"/>
                <w:szCs w:val="24"/>
              </w:rPr>
              <w:t>对尧塘河的监测数据</w:t>
            </w:r>
            <w:r>
              <w:rPr>
                <w:bCs/>
                <w:color w:val="auto"/>
                <w:sz w:val="24"/>
                <w:szCs w:val="24"/>
              </w:rPr>
              <w:t>，监测日期为近3年内，因此，本次引用该监测数据具有可行性。</w:t>
            </w:r>
          </w:p>
          <w:p w14:paraId="71E56F4C">
            <w:pPr>
              <w:ind w:firstLine="420"/>
              <w:jc w:val="left"/>
              <w:rPr>
                <w:bCs/>
                <w:color w:val="auto"/>
                <w:sz w:val="24"/>
                <w:szCs w:val="24"/>
              </w:rPr>
            </w:pPr>
            <w:r>
              <w:rPr>
                <w:rFonts w:hint="eastAsia"/>
                <w:bCs/>
                <w:color w:val="auto"/>
                <w:sz w:val="24"/>
                <w:szCs w:val="24"/>
                <w:lang w:eastAsia="zh-CN"/>
              </w:rPr>
              <w:t>尧塘河</w:t>
            </w:r>
            <w:r>
              <w:rPr>
                <w:bCs/>
                <w:color w:val="auto"/>
                <w:sz w:val="24"/>
                <w:szCs w:val="24"/>
              </w:rPr>
              <w:t>水质监测结果见下表：</w:t>
            </w:r>
          </w:p>
          <w:p w14:paraId="3A89BFAC">
            <w:pPr>
              <w:pStyle w:val="30"/>
              <w:adjustRightInd w:val="0"/>
              <w:snapToGrid w:val="0"/>
              <w:spacing w:after="0" w:line="240" w:lineRule="auto"/>
              <w:ind w:firstLine="0" w:firstLineChars="0"/>
              <w:rPr>
                <w:rFonts w:hAnsi="Times New Roman"/>
                <w:b/>
                <w:color w:val="auto"/>
                <w:sz w:val="21"/>
                <w:szCs w:val="21"/>
              </w:rPr>
            </w:pPr>
            <w:r>
              <w:rPr>
                <w:rFonts w:hAnsi="Times New Roman"/>
                <w:b/>
                <w:color w:val="auto"/>
                <w:sz w:val="21"/>
                <w:szCs w:val="21"/>
              </w:rPr>
              <w:t>表3-</w:t>
            </w:r>
            <w:r>
              <w:rPr>
                <w:rFonts w:hint="eastAsia" w:hAnsi="Times New Roman"/>
                <w:b/>
                <w:color w:val="auto"/>
                <w:sz w:val="21"/>
                <w:szCs w:val="21"/>
                <w:lang w:val="en-US" w:eastAsia="zh-CN"/>
              </w:rPr>
              <w:t>2</w:t>
            </w:r>
            <w:r>
              <w:rPr>
                <w:rFonts w:hAnsi="Times New Roman"/>
                <w:b/>
                <w:color w:val="auto"/>
                <w:sz w:val="21"/>
                <w:szCs w:val="21"/>
              </w:rPr>
              <w:t xml:space="preserve">  </w:t>
            </w:r>
            <w:r>
              <w:rPr>
                <w:rFonts w:hint="eastAsia" w:hAnsi="Times New Roman"/>
                <w:b/>
                <w:color w:val="auto"/>
                <w:sz w:val="21"/>
                <w:szCs w:val="21"/>
                <w:lang w:eastAsia="zh-CN"/>
              </w:rPr>
              <w:t>尧塘河</w:t>
            </w:r>
            <w:r>
              <w:rPr>
                <w:rFonts w:hAnsi="Times New Roman"/>
                <w:b/>
                <w:color w:val="auto"/>
                <w:sz w:val="21"/>
                <w:szCs w:val="21"/>
              </w:rPr>
              <w:t>水质监测结果  单位：mg/L</w:t>
            </w:r>
          </w:p>
          <w:tbl>
            <w:tblPr>
              <w:tblStyle w:val="17"/>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18"/>
              <w:gridCol w:w="1000"/>
              <w:gridCol w:w="1000"/>
              <w:gridCol w:w="1299"/>
              <w:gridCol w:w="870"/>
              <w:gridCol w:w="1036"/>
              <w:gridCol w:w="1143"/>
              <w:gridCol w:w="1147"/>
              <w:gridCol w:w="1165"/>
            </w:tblGrid>
            <w:tr w14:paraId="59960F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3" w:type="pct"/>
                  <w:vMerge w:val="restart"/>
                  <w:noWrap w:val="0"/>
                  <w:vAlign w:val="center"/>
                </w:tcPr>
                <w:p w14:paraId="3201E14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b/>
                      <w:bCs/>
                      <w:color w:val="auto"/>
                      <w:kern w:val="0"/>
                      <w:sz w:val="21"/>
                      <w:szCs w:val="21"/>
                    </w:rPr>
                  </w:pPr>
                  <w:r>
                    <w:rPr>
                      <w:b/>
                      <w:bCs/>
                      <w:color w:val="auto"/>
                      <w:kern w:val="0"/>
                      <w:sz w:val="21"/>
                      <w:szCs w:val="21"/>
                    </w:rPr>
                    <w:t>河流名称</w:t>
                  </w:r>
                </w:p>
              </w:tc>
              <w:tc>
                <w:tcPr>
                  <w:tcW w:w="539" w:type="pct"/>
                  <w:vMerge w:val="restart"/>
                  <w:noWrap w:val="0"/>
                  <w:vAlign w:val="center"/>
                </w:tcPr>
                <w:p w14:paraId="40C5F9D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b/>
                      <w:bCs/>
                      <w:color w:val="auto"/>
                      <w:kern w:val="0"/>
                      <w:sz w:val="21"/>
                      <w:szCs w:val="21"/>
                    </w:rPr>
                  </w:pPr>
                  <w:r>
                    <w:rPr>
                      <w:b/>
                      <w:bCs/>
                      <w:color w:val="auto"/>
                      <w:kern w:val="0"/>
                      <w:sz w:val="21"/>
                      <w:szCs w:val="21"/>
                    </w:rPr>
                    <w:t>监测断面</w:t>
                  </w:r>
                </w:p>
              </w:tc>
              <w:tc>
                <w:tcPr>
                  <w:tcW w:w="1237" w:type="pct"/>
                  <w:gridSpan w:val="2"/>
                  <w:vMerge w:val="restart"/>
                  <w:noWrap w:val="0"/>
                  <w:vAlign w:val="center"/>
                </w:tcPr>
                <w:p w14:paraId="179694DC">
                  <w:pPr>
                    <w:keepNext w:val="0"/>
                    <w:keepLines w:val="0"/>
                    <w:pageBreakBefore w:val="0"/>
                    <w:widowControl/>
                    <w:kinsoku/>
                    <w:wordWrap/>
                    <w:overflowPunct/>
                    <w:topLinePunct w:val="0"/>
                    <w:autoSpaceDE/>
                    <w:autoSpaceDN/>
                    <w:bidi w:val="0"/>
                    <w:spacing w:line="240" w:lineRule="auto"/>
                    <w:ind w:firstLine="0" w:firstLineChars="0"/>
                    <w:jc w:val="center"/>
                    <w:textAlignment w:val="auto"/>
                    <w:rPr>
                      <w:b/>
                      <w:bCs/>
                      <w:color w:val="auto"/>
                      <w:kern w:val="0"/>
                      <w:sz w:val="21"/>
                      <w:szCs w:val="21"/>
                    </w:rPr>
                  </w:pPr>
                  <w:r>
                    <w:rPr>
                      <w:b/>
                      <w:bCs/>
                      <w:color w:val="auto"/>
                      <w:kern w:val="0"/>
                      <w:sz w:val="21"/>
                      <w:szCs w:val="21"/>
                    </w:rPr>
                    <w:t>采样日期</w:t>
                  </w:r>
                </w:p>
              </w:tc>
              <w:tc>
                <w:tcPr>
                  <w:tcW w:w="2888" w:type="pct"/>
                  <w:gridSpan w:val="5"/>
                  <w:noWrap w:val="0"/>
                  <w:vAlign w:val="center"/>
                </w:tcPr>
                <w:p w14:paraId="03676872">
                  <w:pPr>
                    <w:keepNext w:val="0"/>
                    <w:keepLines w:val="0"/>
                    <w:pageBreakBefore w:val="0"/>
                    <w:kinsoku/>
                    <w:wordWrap/>
                    <w:overflowPunct/>
                    <w:topLinePunct w:val="0"/>
                    <w:autoSpaceDE/>
                    <w:autoSpaceDN/>
                    <w:bidi w:val="0"/>
                    <w:spacing w:line="240" w:lineRule="auto"/>
                    <w:ind w:firstLine="0" w:firstLineChars="0"/>
                    <w:jc w:val="center"/>
                    <w:textAlignment w:val="auto"/>
                    <w:rPr>
                      <w:b/>
                      <w:bCs/>
                      <w:color w:val="auto"/>
                      <w:sz w:val="21"/>
                      <w:szCs w:val="21"/>
                    </w:rPr>
                  </w:pPr>
                  <w:r>
                    <w:rPr>
                      <w:b/>
                      <w:bCs/>
                      <w:color w:val="auto"/>
                      <w:sz w:val="21"/>
                      <w:szCs w:val="21"/>
                    </w:rPr>
                    <w:t>监测因子</w:t>
                  </w:r>
                </w:p>
              </w:tc>
            </w:tr>
            <w:tr w14:paraId="6BCD2E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6" w:hRule="atLeast"/>
                <w:jc w:val="center"/>
              </w:trPr>
              <w:tc>
                <w:tcPr>
                  <w:tcW w:w="333" w:type="pct"/>
                  <w:vMerge w:val="continue"/>
                  <w:noWrap w:val="0"/>
                  <w:vAlign w:val="center"/>
                </w:tcPr>
                <w:p w14:paraId="792C93F8">
                  <w:pPr>
                    <w:keepNext w:val="0"/>
                    <w:keepLines w:val="0"/>
                    <w:pageBreakBefore w:val="0"/>
                    <w:kinsoku/>
                    <w:wordWrap/>
                    <w:overflowPunct/>
                    <w:topLinePunct w:val="0"/>
                    <w:autoSpaceDE/>
                    <w:autoSpaceDN/>
                    <w:bidi w:val="0"/>
                    <w:spacing w:line="240" w:lineRule="auto"/>
                    <w:ind w:firstLine="0" w:firstLineChars="0"/>
                    <w:jc w:val="center"/>
                    <w:textAlignment w:val="auto"/>
                    <w:rPr>
                      <w:b/>
                      <w:bCs/>
                      <w:color w:val="auto"/>
                      <w:sz w:val="21"/>
                      <w:szCs w:val="21"/>
                    </w:rPr>
                  </w:pPr>
                </w:p>
              </w:tc>
              <w:tc>
                <w:tcPr>
                  <w:tcW w:w="539" w:type="pct"/>
                  <w:vMerge w:val="continue"/>
                  <w:noWrap w:val="0"/>
                  <w:vAlign w:val="center"/>
                </w:tcPr>
                <w:p w14:paraId="7E7F1B9C">
                  <w:pPr>
                    <w:keepNext w:val="0"/>
                    <w:keepLines w:val="0"/>
                    <w:pageBreakBefore w:val="0"/>
                    <w:kinsoku/>
                    <w:wordWrap/>
                    <w:overflowPunct/>
                    <w:topLinePunct w:val="0"/>
                    <w:autoSpaceDE/>
                    <w:autoSpaceDN/>
                    <w:bidi w:val="0"/>
                    <w:spacing w:line="240" w:lineRule="auto"/>
                    <w:ind w:firstLine="0" w:firstLineChars="0"/>
                    <w:jc w:val="center"/>
                    <w:textAlignment w:val="auto"/>
                    <w:rPr>
                      <w:b/>
                      <w:bCs/>
                      <w:color w:val="auto"/>
                      <w:sz w:val="21"/>
                      <w:szCs w:val="21"/>
                    </w:rPr>
                  </w:pPr>
                </w:p>
              </w:tc>
              <w:tc>
                <w:tcPr>
                  <w:tcW w:w="1237" w:type="pct"/>
                  <w:gridSpan w:val="2"/>
                  <w:vMerge w:val="continue"/>
                  <w:noWrap w:val="0"/>
                  <w:vAlign w:val="center"/>
                </w:tcPr>
                <w:p w14:paraId="6EB91468">
                  <w:pPr>
                    <w:keepNext w:val="0"/>
                    <w:keepLines w:val="0"/>
                    <w:pageBreakBefore w:val="0"/>
                    <w:kinsoku/>
                    <w:wordWrap/>
                    <w:overflowPunct/>
                    <w:topLinePunct w:val="0"/>
                    <w:autoSpaceDE/>
                    <w:autoSpaceDN/>
                    <w:bidi w:val="0"/>
                    <w:spacing w:line="240" w:lineRule="auto"/>
                    <w:ind w:firstLine="0" w:firstLineChars="0"/>
                    <w:jc w:val="center"/>
                    <w:textAlignment w:val="auto"/>
                    <w:rPr>
                      <w:b/>
                      <w:bCs/>
                      <w:color w:val="auto"/>
                      <w:sz w:val="21"/>
                      <w:szCs w:val="21"/>
                    </w:rPr>
                  </w:pPr>
                </w:p>
              </w:tc>
              <w:tc>
                <w:tcPr>
                  <w:tcW w:w="469" w:type="pct"/>
                  <w:noWrap w:val="0"/>
                  <w:vAlign w:val="center"/>
                </w:tcPr>
                <w:p w14:paraId="325CC890">
                  <w:pPr>
                    <w:keepNext w:val="0"/>
                    <w:keepLines w:val="0"/>
                    <w:pageBreakBefore w:val="0"/>
                    <w:kinsoku/>
                    <w:wordWrap/>
                    <w:overflowPunct/>
                    <w:topLinePunct w:val="0"/>
                    <w:autoSpaceDE/>
                    <w:autoSpaceDN/>
                    <w:bidi w:val="0"/>
                    <w:spacing w:line="240" w:lineRule="auto"/>
                    <w:ind w:firstLine="0" w:firstLineChars="0"/>
                    <w:jc w:val="center"/>
                    <w:textAlignment w:val="auto"/>
                    <w:rPr>
                      <w:b/>
                      <w:bCs/>
                      <w:color w:val="auto"/>
                      <w:sz w:val="21"/>
                      <w:szCs w:val="21"/>
                    </w:rPr>
                  </w:pPr>
                  <w:r>
                    <w:rPr>
                      <w:b/>
                      <w:bCs/>
                      <w:color w:val="auto"/>
                      <w:sz w:val="21"/>
                      <w:szCs w:val="21"/>
                    </w:rPr>
                    <w:t>pH</w:t>
                  </w:r>
                </w:p>
              </w:tc>
              <w:tc>
                <w:tcPr>
                  <w:tcW w:w="558" w:type="pct"/>
                  <w:noWrap w:val="0"/>
                  <w:vAlign w:val="center"/>
                </w:tcPr>
                <w:p w14:paraId="54B8D405">
                  <w:pPr>
                    <w:keepNext w:val="0"/>
                    <w:keepLines w:val="0"/>
                    <w:pageBreakBefore w:val="0"/>
                    <w:kinsoku/>
                    <w:wordWrap/>
                    <w:overflowPunct/>
                    <w:topLinePunct w:val="0"/>
                    <w:autoSpaceDE/>
                    <w:autoSpaceDN/>
                    <w:bidi w:val="0"/>
                    <w:spacing w:line="240" w:lineRule="auto"/>
                    <w:ind w:firstLine="0" w:firstLineChars="0"/>
                    <w:jc w:val="center"/>
                    <w:textAlignment w:val="auto"/>
                    <w:rPr>
                      <w:b/>
                      <w:bCs/>
                      <w:color w:val="auto"/>
                      <w:sz w:val="21"/>
                      <w:szCs w:val="21"/>
                    </w:rPr>
                  </w:pPr>
                  <w:r>
                    <w:rPr>
                      <w:b/>
                      <w:bCs/>
                      <w:color w:val="auto"/>
                      <w:sz w:val="21"/>
                      <w:szCs w:val="21"/>
                    </w:rPr>
                    <w:t>COD</w:t>
                  </w:r>
                </w:p>
              </w:tc>
              <w:tc>
                <w:tcPr>
                  <w:tcW w:w="616" w:type="pct"/>
                  <w:noWrap w:val="0"/>
                  <w:vAlign w:val="center"/>
                </w:tcPr>
                <w:p w14:paraId="7A26C03D">
                  <w:pPr>
                    <w:keepNext w:val="0"/>
                    <w:keepLines w:val="0"/>
                    <w:pageBreakBefore w:val="0"/>
                    <w:kinsoku/>
                    <w:wordWrap/>
                    <w:overflowPunct/>
                    <w:topLinePunct w:val="0"/>
                    <w:autoSpaceDE/>
                    <w:autoSpaceDN/>
                    <w:bidi w:val="0"/>
                    <w:spacing w:line="240" w:lineRule="auto"/>
                    <w:ind w:firstLine="0" w:firstLineChars="0"/>
                    <w:jc w:val="center"/>
                    <w:textAlignment w:val="auto"/>
                    <w:rPr>
                      <w:b/>
                      <w:bCs/>
                      <w:color w:val="auto"/>
                      <w:sz w:val="21"/>
                      <w:szCs w:val="21"/>
                    </w:rPr>
                  </w:pPr>
                  <w:r>
                    <w:rPr>
                      <w:b/>
                      <w:bCs/>
                      <w:color w:val="auto"/>
                      <w:sz w:val="21"/>
                      <w:szCs w:val="21"/>
                    </w:rPr>
                    <w:t>氨氮</w:t>
                  </w:r>
                </w:p>
              </w:tc>
              <w:tc>
                <w:tcPr>
                  <w:tcW w:w="618" w:type="pct"/>
                  <w:noWrap w:val="0"/>
                  <w:vAlign w:val="center"/>
                </w:tcPr>
                <w:p w14:paraId="25E5617D">
                  <w:pPr>
                    <w:keepNext w:val="0"/>
                    <w:keepLines w:val="0"/>
                    <w:pageBreakBefore w:val="0"/>
                    <w:kinsoku/>
                    <w:wordWrap/>
                    <w:overflowPunct/>
                    <w:topLinePunct w:val="0"/>
                    <w:autoSpaceDE/>
                    <w:autoSpaceDN/>
                    <w:bidi w:val="0"/>
                    <w:spacing w:line="240" w:lineRule="auto"/>
                    <w:ind w:firstLine="0" w:firstLineChars="0"/>
                    <w:jc w:val="center"/>
                    <w:textAlignment w:val="auto"/>
                    <w:rPr>
                      <w:b/>
                      <w:bCs/>
                      <w:color w:val="auto"/>
                      <w:sz w:val="21"/>
                      <w:szCs w:val="21"/>
                    </w:rPr>
                  </w:pPr>
                  <w:r>
                    <w:rPr>
                      <w:b/>
                      <w:bCs/>
                      <w:color w:val="auto"/>
                      <w:sz w:val="21"/>
                      <w:szCs w:val="21"/>
                    </w:rPr>
                    <w:t>TP</w:t>
                  </w:r>
                </w:p>
              </w:tc>
              <w:tc>
                <w:tcPr>
                  <w:tcW w:w="625" w:type="pct"/>
                  <w:noWrap w:val="0"/>
                  <w:vAlign w:val="center"/>
                </w:tcPr>
                <w:p w14:paraId="274745F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w:t>
                  </w:r>
                </w:p>
              </w:tc>
            </w:tr>
            <w:tr w14:paraId="5F509C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3" w:type="pct"/>
                  <w:vMerge w:val="restart"/>
                  <w:noWrap w:val="0"/>
                  <w:vAlign w:val="center"/>
                </w:tcPr>
                <w:p w14:paraId="069439A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eastAsia="宋体"/>
                      <w:color w:val="auto"/>
                      <w:kern w:val="0"/>
                      <w:sz w:val="21"/>
                      <w:szCs w:val="21"/>
                      <w:lang w:eastAsia="zh-CN"/>
                    </w:rPr>
                  </w:pPr>
                  <w:r>
                    <w:rPr>
                      <w:rFonts w:hint="eastAsia"/>
                      <w:bCs/>
                      <w:color w:val="auto"/>
                      <w:kern w:val="0"/>
                      <w:sz w:val="21"/>
                      <w:szCs w:val="21"/>
                      <w:lang w:eastAsia="zh-CN"/>
                    </w:rPr>
                    <w:t>尧塘河</w:t>
                  </w:r>
                </w:p>
              </w:tc>
              <w:tc>
                <w:tcPr>
                  <w:tcW w:w="539" w:type="pct"/>
                  <w:vMerge w:val="restart"/>
                  <w:noWrap w:val="0"/>
                  <w:vAlign w:val="center"/>
                </w:tcPr>
                <w:p w14:paraId="27B03F45">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r>
                    <w:rPr>
                      <w:color w:val="auto"/>
                      <w:kern w:val="0"/>
                      <w:sz w:val="21"/>
                      <w:szCs w:val="21"/>
                    </w:rPr>
                    <w:t>W1</w:t>
                  </w:r>
                </w:p>
              </w:tc>
              <w:tc>
                <w:tcPr>
                  <w:tcW w:w="539" w:type="pct"/>
                  <w:vMerge w:val="restart"/>
                  <w:noWrap w:val="0"/>
                  <w:vAlign w:val="center"/>
                </w:tcPr>
                <w:p w14:paraId="248FCFE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r>
                    <w:rPr>
                      <w:color w:val="auto"/>
                      <w:kern w:val="0"/>
                      <w:sz w:val="21"/>
                      <w:szCs w:val="21"/>
                    </w:rPr>
                    <w:t>202</w:t>
                  </w:r>
                  <w:r>
                    <w:rPr>
                      <w:rFonts w:hint="eastAsia"/>
                      <w:color w:val="auto"/>
                      <w:kern w:val="0"/>
                      <w:sz w:val="21"/>
                      <w:szCs w:val="21"/>
                      <w:lang w:val="en-US" w:eastAsia="zh-CN"/>
                    </w:rPr>
                    <w:t>5</w:t>
                  </w:r>
                  <w:r>
                    <w:rPr>
                      <w:color w:val="auto"/>
                      <w:kern w:val="0"/>
                      <w:sz w:val="21"/>
                      <w:szCs w:val="21"/>
                    </w:rPr>
                    <w:t>.</w:t>
                  </w:r>
                  <w:r>
                    <w:rPr>
                      <w:rFonts w:hint="eastAsia"/>
                      <w:color w:val="auto"/>
                      <w:kern w:val="0"/>
                      <w:sz w:val="21"/>
                      <w:szCs w:val="21"/>
                      <w:lang w:val="en-US" w:eastAsia="zh-CN"/>
                    </w:rPr>
                    <w:t>1.</w:t>
                  </w:r>
                  <w:r>
                    <w:rPr>
                      <w:color w:val="auto"/>
                      <w:kern w:val="0"/>
                      <w:sz w:val="21"/>
                      <w:szCs w:val="21"/>
                    </w:rPr>
                    <w:t>6</w:t>
                  </w:r>
                </w:p>
              </w:tc>
              <w:tc>
                <w:tcPr>
                  <w:tcW w:w="697" w:type="pct"/>
                  <w:noWrap w:val="0"/>
                  <w:vAlign w:val="center"/>
                </w:tcPr>
                <w:p w14:paraId="39B3E15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r>
                    <w:rPr>
                      <w:color w:val="auto"/>
                      <w:kern w:val="0"/>
                      <w:sz w:val="21"/>
                      <w:szCs w:val="21"/>
                    </w:rPr>
                    <w:t>第一次</w:t>
                  </w:r>
                </w:p>
              </w:tc>
              <w:tc>
                <w:tcPr>
                  <w:tcW w:w="469" w:type="pct"/>
                  <w:noWrap w:val="0"/>
                  <w:vAlign w:val="center"/>
                </w:tcPr>
                <w:p w14:paraId="328D78FE">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8</w:t>
                  </w:r>
                </w:p>
              </w:tc>
              <w:tc>
                <w:tcPr>
                  <w:tcW w:w="558" w:type="pct"/>
                  <w:noWrap w:val="0"/>
                  <w:vAlign w:val="center"/>
                </w:tcPr>
                <w:p w14:paraId="58E8108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18</w:t>
                  </w:r>
                </w:p>
              </w:tc>
              <w:tc>
                <w:tcPr>
                  <w:tcW w:w="616" w:type="pct"/>
                  <w:noWrap w:val="0"/>
                  <w:vAlign w:val="center"/>
                </w:tcPr>
                <w:p w14:paraId="14DB39D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0.350</w:t>
                  </w:r>
                </w:p>
              </w:tc>
              <w:tc>
                <w:tcPr>
                  <w:tcW w:w="618" w:type="pct"/>
                  <w:noWrap w:val="0"/>
                  <w:vAlign w:val="center"/>
                </w:tcPr>
                <w:p w14:paraId="4850B36E">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0.08</w:t>
                  </w:r>
                </w:p>
              </w:tc>
              <w:tc>
                <w:tcPr>
                  <w:tcW w:w="625" w:type="pct"/>
                  <w:noWrap w:val="0"/>
                  <w:vAlign w:val="center"/>
                </w:tcPr>
                <w:p w14:paraId="1C413E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lang w:val="en-US" w:eastAsia="zh-CN"/>
                    </w:rPr>
                    <w:t>/</w:t>
                  </w:r>
                </w:p>
              </w:tc>
            </w:tr>
            <w:tr w14:paraId="1814BD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3" w:type="pct"/>
                  <w:vMerge w:val="continue"/>
                  <w:noWrap w:val="0"/>
                  <w:vAlign w:val="center"/>
                </w:tcPr>
                <w:p w14:paraId="595C127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p>
              </w:tc>
              <w:tc>
                <w:tcPr>
                  <w:tcW w:w="539" w:type="pct"/>
                  <w:vMerge w:val="continue"/>
                  <w:noWrap w:val="0"/>
                  <w:vAlign w:val="center"/>
                </w:tcPr>
                <w:p w14:paraId="597EF135">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p>
              </w:tc>
              <w:tc>
                <w:tcPr>
                  <w:tcW w:w="539" w:type="pct"/>
                  <w:vMerge w:val="continue"/>
                  <w:noWrap w:val="0"/>
                  <w:vAlign w:val="center"/>
                </w:tcPr>
                <w:p w14:paraId="3A5BBC8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p>
              </w:tc>
              <w:tc>
                <w:tcPr>
                  <w:tcW w:w="697" w:type="pct"/>
                  <w:noWrap w:val="0"/>
                  <w:vAlign w:val="center"/>
                </w:tcPr>
                <w:p w14:paraId="19963D7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r>
                    <w:rPr>
                      <w:color w:val="auto"/>
                      <w:kern w:val="0"/>
                      <w:sz w:val="21"/>
                      <w:szCs w:val="21"/>
                    </w:rPr>
                    <w:t>第二次</w:t>
                  </w:r>
                </w:p>
              </w:tc>
              <w:tc>
                <w:tcPr>
                  <w:tcW w:w="469" w:type="pct"/>
                  <w:noWrap w:val="0"/>
                  <w:vAlign w:val="center"/>
                </w:tcPr>
                <w:p w14:paraId="0402B51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7.9</w:t>
                  </w:r>
                </w:p>
              </w:tc>
              <w:tc>
                <w:tcPr>
                  <w:tcW w:w="558" w:type="pct"/>
                  <w:noWrap w:val="0"/>
                  <w:vAlign w:val="center"/>
                </w:tcPr>
                <w:p w14:paraId="031247A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16</w:t>
                  </w:r>
                </w:p>
              </w:tc>
              <w:tc>
                <w:tcPr>
                  <w:tcW w:w="616" w:type="pct"/>
                  <w:noWrap w:val="0"/>
                  <w:vAlign w:val="center"/>
                </w:tcPr>
                <w:p w14:paraId="79948D3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0.149</w:t>
                  </w:r>
                </w:p>
              </w:tc>
              <w:tc>
                <w:tcPr>
                  <w:tcW w:w="618" w:type="pct"/>
                  <w:noWrap w:val="0"/>
                  <w:vAlign w:val="center"/>
                </w:tcPr>
                <w:p w14:paraId="3E63076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0.08</w:t>
                  </w:r>
                </w:p>
              </w:tc>
              <w:tc>
                <w:tcPr>
                  <w:tcW w:w="625" w:type="pct"/>
                  <w:noWrap w:val="0"/>
                  <w:vAlign w:val="center"/>
                </w:tcPr>
                <w:p w14:paraId="7629BD4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lang w:val="en-US" w:eastAsia="zh-CN"/>
                    </w:rPr>
                    <w:t>/</w:t>
                  </w:r>
                </w:p>
              </w:tc>
            </w:tr>
            <w:tr w14:paraId="2BA8F8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3" w:type="pct"/>
                  <w:vMerge w:val="continue"/>
                  <w:noWrap w:val="0"/>
                  <w:vAlign w:val="center"/>
                </w:tcPr>
                <w:p w14:paraId="6D797FE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p>
              </w:tc>
              <w:tc>
                <w:tcPr>
                  <w:tcW w:w="539" w:type="pct"/>
                  <w:vMerge w:val="continue"/>
                  <w:noWrap w:val="0"/>
                  <w:vAlign w:val="center"/>
                </w:tcPr>
                <w:p w14:paraId="1005AB0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p>
              </w:tc>
              <w:tc>
                <w:tcPr>
                  <w:tcW w:w="539" w:type="pct"/>
                  <w:vMerge w:val="restart"/>
                  <w:noWrap w:val="0"/>
                  <w:vAlign w:val="center"/>
                </w:tcPr>
                <w:p w14:paraId="159F301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eastAsia="宋体"/>
                      <w:color w:val="auto"/>
                      <w:kern w:val="0"/>
                      <w:sz w:val="21"/>
                      <w:szCs w:val="21"/>
                      <w:lang w:eastAsia="zh-CN"/>
                    </w:rPr>
                  </w:pPr>
                  <w:r>
                    <w:rPr>
                      <w:color w:val="auto"/>
                      <w:kern w:val="0"/>
                      <w:sz w:val="21"/>
                      <w:szCs w:val="21"/>
                    </w:rPr>
                    <w:t>202</w:t>
                  </w:r>
                  <w:r>
                    <w:rPr>
                      <w:rFonts w:hint="eastAsia"/>
                      <w:color w:val="auto"/>
                      <w:kern w:val="0"/>
                      <w:sz w:val="21"/>
                      <w:szCs w:val="21"/>
                      <w:lang w:val="en-US" w:eastAsia="zh-CN"/>
                    </w:rPr>
                    <w:t>5</w:t>
                  </w:r>
                  <w:r>
                    <w:rPr>
                      <w:color w:val="auto"/>
                      <w:kern w:val="0"/>
                      <w:sz w:val="21"/>
                      <w:szCs w:val="21"/>
                    </w:rPr>
                    <w:t>.</w:t>
                  </w:r>
                  <w:r>
                    <w:rPr>
                      <w:rFonts w:hint="eastAsia"/>
                      <w:color w:val="auto"/>
                      <w:kern w:val="0"/>
                      <w:sz w:val="21"/>
                      <w:szCs w:val="21"/>
                      <w:lang w:val="en-US" w:eastAsia="zh-CN"/>
                    </w:rPr>
                    <w:t>1.7</w:t>
                  </w:r>
                </w:p>
              </w:tc>
              <w:tc>
                <w:tcPr>
                  <w:tcW w:w="697" w:type="pct"/>
                  <w:noWrap w:val="0"/>
                  <w:vAlign w:val="center"/>
                </w:tcPr>
                <w:p w14:paraId="15CE5D9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r>
                    <w:rPr>
                      <w:color w:val="auto"/>
                      <w:kern w:val="0"/>
                      <w:sz w:val="21"/>
                      <w:szCs w:val="21"/>
                    </w:rPr>
                    <w:t>第一次</w:t>
                  </w:r>
                </w:p>
              </w:tc>
              <w:tc>
                <w:tcPr>
                  <w:tcW w:w="469" w:type="pct"/>
                  <w:noWrap w:val="0"/>
                  <w:vAlign w:val="center"/>
                </w:tcPr>
                <w:p w14:paraId="2D30809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8.1</w:t>
                  </w:r>
                </w:p>
              </w:tc>
              <w:tc>
                <w:tcPr>
                  <w:tcW w:w="558" w:type="pct"/>
                  <w:noWrap w:val="0"/>
                  <w:vAlign w:val="center"/>
                </w:tcPr>
                <w:p w14:paraId="4AF4EEA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17</w:t>
                  </w:r>
                </w:p>
              </w:tc>
              <w:tc>
                <w:tcPr>
                  <w:tcW w:w="616" w:type="pct"/>
                  <w:noWrap w:val="0"/>
                  <w:vAlign w:val="center"/>
                </w:tcPr>
                <w:p w14:paraId="63A119F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0.263</w:t>
                  </w:r>
                </w:p>
              </w:tc>
              <w:tc>
                <w:tcPr>
                  <w:tcW w:w="618" w:type="pct"/>
                  <w:noWrap w:val="0"/>
                  <w:vAlign w:val="center"/>
                </w:tcPr>
                <w:p w14:paraId="612684F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0.08</w:t>
                  </w:r>
                </w:p>
              </w:tc>
              <w:tc>
                <w:tcPr>
                  <w:tcW w:w="625" w:type="pct"/>
                  <w:noWrap w:val="0"/>
                  <w:vAlign w:val="center"/>
                </w:tcPr>
                <w:p w14:paraId="0C60B69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lang w:val="en-US" w:eastAsia="zh-CN"/>
                    </w:rPr>
                    <w:t>/</w:t>
                  </w:r>
                </w:p>
              </w:tc>
            </w:tr>
            <w:tr w14:paraId="061138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3" w:type="pct"/>
                  <w:vMerge w:val="continue"/>
                  <w:noWrap w:val="0"/>
                  <w:vAlign w:val="center"/>
                </w:tcPr>
                <w:p w14:paraId="696AF54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p>
              </w:tc>
              <w:tc>
                <w:tcPr>
                  <w:tcW w:w="539" w:type="pct"/>
                  <w:vMerge w:val="continue"/>
                  <w:noWrap w:val="0"/>
                  <w:vAlign w:val="center"/>
                </w:tcPr>
                <w:p w14:paraId="004BA97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p>
              </w:tc>
              <w:tc>
                <w:tcPr>
                  <w:tcW w:w="539" w:type="pct"/>
                  <w:vMerge w:val="continue"/>
                  <w:noWrap w:val="0"/>
                  <w:vAlign w:val="center"/>
                </w:tcPr>
                <w:p w14:paraId="3F813E7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p>
              </w:tc>
              <w:tc>
                <w:tcPr>
                  <w:tcW w:w="697" w:type="pct"/>
                  <w:noWrap w:val="0"/>
                  <w:vAlign w:val="center"/>
                </w:tcPr>
                <w:p w14:paraId="2C6950CE">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r>
                    <w:rPr>
                      <w:color w:val="auto"/>
                      <w:kern w:val="0"/>
                      <w:sz w:val="21"/>
                      <w:szCs w:val="21"/>
                    </w:rPr>
                    <w:t>第二次</w:t>
                  </w:r>
                </w:p>
              </w:tc>
              <w:tc>
                <w:tcPr>
                  <w:tcW w:w="469" w:type="pct"/>
                  <w:noWrap w:val="0"/>
                  <w:vAlign w:val="center"/>
                </w:tcPr>
                <w:p w14:paraId="219893F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7.9</w:t>
                  </w:r>
                </w:p>
              </w:tc>
              <w:tc>
                <w:tcPr>
                  <w:tcW w:w="558" w:type="pct"/>
                  <w:noWrap w:val="0"/>
                  <w:vAlign w:val="center"/>
                </w:tcPr>
                <w:p w14:paraId="54446C8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19</w:t>
                  </w:r>
                </w:p>
              </w:tc>
              <w:tc>
                <w:tcPr>
                  <w:tcW w:w="616" w:type="pct"/>
                  <w:noWrap w:val="0"/>
                  <w:vAlign w:val="center"/>
                </w:tcPr>
                <w:p w14:paraId="19DC940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0.291</w:t>
                  </w:r>
                </w:p>
              </w:tc>
              <w:tc>
                <w:tcPr>
                  <w:tcW w:w="618" w:type="pct"/>
                  <w:noWrap w:val="0"/>
                  <w:vAlign w:val="center"/>
                </w:tcPr>
                <w:p w14:paraId="4B58122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rPr>
                  </w:pPr>
                  <w:r>
                    <w:rPr>
                      <w:rFonts w:hint="eastAsia" w:ascii="Times New Roman" w:hAnsi="Times New Roman" w:eastAsia="宋体" w:cs="Times New Roman"/>
                      <w:color w:val="auto"/>
                      <w:kern w:val="0"/>
                      <w:sz w:val="21"/>
                      <w:szCs w:val="21"/>
                      <w:lang w:val="en-US" w:eastAsia="zh-CN"/>
                    </w:rPr>
                    <w:t>0.09</w:t>
                  </w:r>
                </w:p>
              </w:tc>
              <w:tc>
                <w:tcPr>
                  <w:tcW w:w="625" w:type="pct"/>
                  <w:noWrap w:val="0"/>
                  <w:vAlign w:val="center"/>
                </w:tcPr>
                <w:p w14:paraId="0C01745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lang w:val="en-US" w:eastAsia="zh-CN"/>
                    </w:rPr>
                    <w:t>/</w:t>
                  </w:r>
                </w:p>
              </w:tc>
            </w:tr>
            <w:tr w14:paraId="1EEE2E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3" w:type="pct"/>
                  <w:vMerge w:val="continue"/>
                  <w:noWrap w:val="0"/>
                  <w:vAlign w:val="center"/>
                </w:tcPr>
                <w:p w14:paraId="361C71C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p>
              </w:tc>
              <w:tc>
                <w:tcPr>
                  <w:tcW w:w="539" w:type="pct"/>
                  <w:vMerge w:val="continue"/>
                  <w:noWrap w:val="0"/>
                  <w:vAlign w:val="center"/>
                </w:tcPr>
                <w:p w14:paraId="3067011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p>
              </w:tc>
              <w:tc>
                <w:tcPr>
                  <w:tcW w:w="539" w:type="pct"/>
                  <w:vMerge w:val="restart"/>
                  <w:noWrap w:val="0"/>
                  <w:vAlign w:val="center"/>
                </w:tcPr>
                <w:p w14:paraId="1C0CB93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eastAsia="宋体"/>
                      <w:color w:val="auto"/>
                      <w:kern w:val="0"/>
                      <w:sz w:val="21"/>
                      <w:szCs w:val="21"/>
                      <w:lang w:eastAsia="zh-CN"/>
                    </w:rPr>
                  </w:pPr>
                  <w:r>
                    <w:rPr>
                      <w:color w:val="auto"/>
                      <w:kern w:val="0"/>
                      <w:sz w:val="21"/>
                      <w:szCs w:val="21"/>
                    </w:rPr>
                    <w:t>202</w:t>
                  </w:r>
                  <w:r>
                    <w:rPr>
                      <w:rFonts w:hint="eastAsia"/>
                      <w:color w:val="auto"/>
                      <w:kern w:val="0"/>
                      <w:sz w:val="21"/>
                      <w:szCs w:val="21"/>
                      <w:lang w:val="en-US" w:eastAsia="zh-CN"/>
                    </w:rPr>
                    <w:t>5</w:t>
                  </w:r>
                  <w:r>
                    <w:rPr>
                      <w:color w:val="auto"/>
                      <w:kern w:val="0"/>
                      <w:sz w:val="21"/>
                      <w:szCs w:val="21"/>
                    </w:rPr>
                    <w:t>.</w:t>
                  </w:r>
                  <w:r>
                    <w:rPr>
                      <w:rFonts w:hint="eastAsia"/>
                      <w:color w:val="auto"/>
                      <w:kern w:val="0"/>
                      <w:sz w:val="21"/>
                      <w:szCs w:val="21"/>
                      <w:lang w:val="en-US" w:eastAsia="zh-CN"/>
                    </w:rPr>
                    <w:t>1.8</w:t>
                  </w:r>
                </w:p>
              </w:tc>
              <w:tc>
                <w:tcPr>
                  <w:tcW w:w="697" w:type="pct"/>
                  <w:noWrap w:val="0"/>
                  <w:vAlign w:val="center"/>
                </w:tcPr>
                <w:p w14:paraId="22E92D9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r>
                    <w:rPr>
                      <w:color w:val="auto"/>
                      <w:kern w:val="0"/>
                      <w:sz w:val="21"/>
                      <w:szCs w:val="21"/>
                    </w:rPr>
                    <w:t>第一次</w:t>
                  </w:r>
                </w:p>
              </w:tc>
              <w:tc>
                <w:tcPr>
                  <w:tcW w:w="469" w:type="pct"/>
                  <w:noWrap w:val="0"/>
                  <w:vAlign w:val="center"/>
                </w:tcPr>
                <w:p w14:paraId="788BFE0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8.1</w:t>
                  </w:r>
                </w:p>
              </w:tc>
              <w:tc>
                <w:tcPr>
                  <w:tcW w:w="558" w:type="pct"/>
                  <w:noWrap w:val="0"/>
                  <w:vAlign w:val="center"/>
                </w:tcPr>
                <w:p w14:paraId="71613F7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18</w:t>
                  </w:r>
                </w:p>
              </w:tc>
              <w:tc>
                <w:tcPr>
                  <w:tcW w:w="616" w:type="pct"/>
                  <w:noWrap w:val="0"/>
                  <w:vAlign w:val="center"/>
                </w:tcPr>
                <w:p w14:paraId="2958F57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0.163</w:t>
                  </w:r>
                </w:p>
              </w:tc>
              <w:tc>
                <w:tcPr>
                  <w:tcW w:w="618" w:type="pct"/>
                  <w:noWrap w:val="0"/>
                  <w:vAlign w:val="center"/>
                </w:tcPr>
                <w:p w14:paraId="6ACF1BA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0.09</w:t>
                  </w:r>
                </w:p>
              </w:tc>
              <w:tc>
                <w:tcPr>
                  <w:tcW w:w="625" w:type="pct"/>
                  <w:noWrap w:val="0"/>
                  <w:vAlign w:val="center"/>
                </w:tcPr>
                <w:p w14:paraId="10C2401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lang w:val="en-US" w:eastAsia="zh-CN"/>
                    </w:rPr>
                    <w:t>/</w:t>
                  </w:r>
                </w:p>
              </w:tc>
            </w:tr>
            <w:tr w14:paraId="698C2C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3" w:type="pct"/>
                  <w:vMerge w:val="continue"/>
                  <w:noWrap w:val="0"/>
                  <w:vAlign w:val="center"/>
                </w:tcPr>
                <w:p w14:paraId="2E04B69C">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p>
              </w:tc>
              <w:tc>
                <w:tcPr>
                  <w:tcW w:w="539" w:type="pct"/>
                  <w:vMerge w:val="continue"/>
                  <w:noWrap w:val="0"/>
                  <w:vAlign w:val="center"/>
                </w:tcPr>
                <w:p w14:paraId="2B109E8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p>
              </w:tc>
              <w:tc>
                <w:tcPr>
                  <w:tcW w:w="539" w:type="pct"/>
                  <w:vMerge w:val="continue"/>
                  <w:noWrap w:val="0"/>
                  <w:vAlign w:val="center"/>
                </w:tcPr>
                <w:p w14:paraId="56608E4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p>
              </w:tc>
              <w:tc>
                <w:tcPr>
                  <w:tcW w:w="697" w:type="pct"/>
                  <w:noWrap w:val="0"/>
                  <w:vAlign w:val="center"/>
                </w:tcPr>
                <w:p w14:paraId="236CBBD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r>
                    <w:rPr>
                      <w:color w:val="auto"/>
                      <w:kern w:val="0"/>
                      <w:sz w:val="21"/>
                      <w:szCs w:val="21"/>
                    </w:rPr>
                    <w:t>第二次</w:t>
                  </w:r>
                </w:p>
              </w:tc>
              <w:tc>
                <w:tcPr>
                  <w:tcW w:w="469" w:type="pct"/>
                  <w:noWrap w:val="0"/>
                  <w:vAlign w:val="center"/>
                </w:tcPr>
                <w:p w14:paraId="23AD9A9E">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7.8</w:t>
                  </w:r>
                </w:p>
              </w:tc>
              <w:tc>
                <w:tcPr>
                  <w:tcW w:w="558" w:type="pct"/>
                  <w:noWrap w:val="0"/>
                  <w:vAlign w:val="center"/>
                </w:tcPr>
                <w:p w14:paraId="60168B4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18</w:t>
                  </w:r>
                </w:p>
              </w:tc>
              <w:tc>
                <w:tcPr>
                  <w:tcW w:w="616" w:type="pct"/>
                  <w:noWrap w:val="0"/>
                  <w:vAlign w:val="center"/>
                </w:tcPr>
                <w:p w14:paraId="785595B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0.257</w:t>
                  </w:r>
                </w:p>
              </w:tc>
              <w:tc>
                <w:tcPr>
                  <w:tcW w:w="618" w:type="pct"/>
                  <w:noWrap w:val="0"/>
                  <w:vAlign w:val="center"/>
                </w:tcPr>
                <w:p w14:paraId="292BCC2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0.09</w:t>
                  </w:r>
                </w:p>
              </w:tc>
              <w:tc>
                <w:tcPr>
                  <w:tcW w:w="625" w:type="pct"/>
                  <w:noWrap w:val="0"/>
                  <w:vAlign w:val="center"/>
                </w:tcPr>
                <w:p w14:paraId="007CD40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lang w:val="en-US" w:eastAsia="zh-CN"/>
                    </w:rPr>
                    <w:t>/</w:t>
                  </w:r>
                </w:p>
              </w:tc>
            </w:tr>
            <w:tr w14:paraId="1EA4EE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3" w:type="pct"/>
                  <w:vMerge w:val="continue"/>
                  <w:noWrap w:val="0"/>
                  <w:vAlign w:val="center"/>
                </w:tcPr>
                <w:p w14:paraId="573796B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p>
              </w:tc>
              <w:tc>
                <w:tcPr>
                  <w:tcW w:w="539" w:type="pct"/>
                  <w:vMerge w:val="restart"/>
                  <w:noWrap w:val="0"/>
                  <w:vAlign w:val="center"/>
                </w:tcPr>
                <w:p w14:paraId="5DC8CBF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r>
                    <w:rPr>
                      <w:color w:val="auto"/>
                      <w:kern w:val="0"/>
                      <w:sz w:val="21"/>
                      <w:szCs w:val="21"/>
                    </w:rPr>
                    <w:t>W2</w:t>
                  </w:r>
                </w:p>
              </w:tc>
              <w:tc>
                <w:tcPr>
                  <w:tcW w:w="1000" w:type="dxa"/>
                  <w:vMerge w:val="restart"/>
                  <w:noWrap w:val="0"/>
                  <w:vAlign w:val="center"/>
                </w:tcPr>
                <w:p w14:paraId="6CC73805">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r>
                    <w:rPr>
                      <w:color w:val="auto"/>
                      <w:kern w:val="0"/>
                      <w:sz w:val="21"/>
                      <w:szCs w:val="21"/>
                    </w:rPr>
                    <w:t>202</w:t>
                  </w:r>
                  <w:r>
                    <w:rPr>
                      <w:rFonts w:hint="eastAsia"/>
                      <w:color w:val="auto"/>
                      <w:kern w:val="0"/>
                      <w:sz w:val="21"/>
                      <w:szCs w:val="21"/>
                      <w:lang w:val="en-US" w:eastAsia="zh-CN"/>
                    </w:rPr>
                    <w:t>5</w:t>
                  </w:r>
                  <w:r>
                    <w:rPr>
                      <w:color w:val="auto"/>
                      <w:kern w:val="0"/>
                      <w:sz w:val="21"/>
                      <w:szCs w:val="21"/>
                    </w:rPr>
                    <w:t>.</w:t>
                  </w:r>
                  <w:r>
                    <w:rPr>
                      <w:rFonts w:hint="eastAsia"/>
                      <w:color w:val="auto"/>
                      <w:kern w:val="0"/>
                      <w:sz w:val="21"/>
                      <w:szCs w:val="21"/>
                      <w:lang w:val="en-US" w:eastAsia="zh-CN"/>
                    </w:rPr>
                    <w:t>1.</w:t>
                  </w:r>
                  <w:r>
                    <w:rPr>
                      <w:color w:val="auto"/>
                      <w:kern w:val="0"/>
                      <w:sz w:val="21"/>
                      <w:szCs w:val="21"/>
                    </w:rPr>
                    <w:t>6</w:t>
                  </w:r>
                </w:p>
              </w:tc>
              <w:tc>
                <w:tcPr>
                  <w:tcW w:w="697" w:type="pct"/>
                  <w:noWrap w:val="0"/>
                  <w:vAlign w:val="center"/>
                </w:tcPr>
                <w:p w14:paraId="1866AB2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r>
                    <w:rPr>
                      <w:color w:val="auto"/>
                      <w:kern w:val="0"/>
                      <w:sz w:val="21"/>
                      <w:szCs w:val="21"/>
                    </w:rPr>
                    <w:t>第一次</w:t>
                  </w:r>
                </w:p>
              </w:tc>
              <w:tc>
                <w:tcPr>
                  <w:tcW w:w="469" w:type="pct"/>
                  <w:noWrap w:val="0"/>
                  <w:vAlign w:val="center"/>
                </w:tcPr>
                <w:p w14:paraId="6E62763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7.8</w:t>
                  </w:r>
                </w:p>
              </w:tc>
              <w:tc>
                <w:tcPr>
                  <w:tcW w:w="558" w:type="pct"/>
                  <w:noWrap w:val="0"/>
                  <w:vAlign w:val="center"/>
                </w:tcPr>
                <w:p w14:paraId="4305B72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15</w:t>
                  </w:r>
                </w:p>
              </w:tc>
              <w:tc>
                <w:tcPr>
                  <w:tcW w:w="616" w:type="pct"/>
                  <w:noWrap w:val="0"/>
                  <w:vAlign w:val="center"/>
                </w:tcPr>
                <w:p w14:paraId="0349ED7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0.317</w:t>
                  </w:r>
                </w:p>
              </w:tc>
              <w:tc>
                <w:tcPr>
                  <w:tcW w:w="618" w:type="pct"/>
                  <w:noWrap w:val="0"/>
                  <w:vAlign w:val="center"/>
                </w:tcPr>
                <w:p w14:paraId="22145BF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0.08</w:t>
                  </w:r>
                </w:p>
              </w:tc>
              <w:tc>
                <w:tcPr>
                  <w:tcW w:w="625" w:type="pct"/>
                  <w:noWrap w:val="0"/>
                  <w:vAlign w:val="center"/>
                </w:tcPr>
                <w:p w14:paraId="081F6DC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lang w:val="en-US" w:eastAsia="zh-CN"/>
                    </w:rPr>
                    <w:t>/</w:t>
                  </w:r>
                </w:p>
              </w:tc>
            </w:tr>
            <w:tr w14:paraId="127D15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3" w:type="pct"/>
                  <w:vMerge w:val="continue"/>
                  <w:noWrap w:val="0"/>
                  <w:vAlign w:val="center"/>
                </w:tcPr>
                <w:p w14:paraId="203CB79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p>
              </w:tc>
              <w:tc>
                <w:tcPr>
                  <w:tcW w:w="539" w:type="pct"/>
                  <w:vMerge w:val="continue"/>
                  <w:noWrap w:val="0"/>
                  <w:vAlign w:val="center"/>
                </w:tcPr>
                <w:p w14:paraId="73A882E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p>
              </w:tc>
              <w:tc>
                <w:tcPr>
                  <w:tcW w:w="539" w:type="pct"/>
                  <w:vMerge w:val="continue"/>
                  <w:noWrap w:val="0"/>
                  <w:vAlign w:val="center"/>
                </w:tcPr>
                <w:p w14:paraId="08E913B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p>
              </w:tc>
              <w:tc>
                <w:tcPr>
                  <w:tcW w:w="697" w:type="pct"/>
                  <w:noWrap w:val="0"/>
                  <w:vAlign w:val="center"/>
                </w:tcPr>
                <w:p w14:paraId="29741C95">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r>
                    <w:rPr>
                      <w:color w:val="auto"/>
                      <w:kern w:val="0"/>
                      <w:sz w:val="21"/>
                      <w:szCs w:val="21"/>
                    </w:rPr>
                    <w:t>第二次</w:t>
                  </w:r>
                </w:p>
              </w:tc>
              <w:tc>
                <w:tcPr>
                  <w:tcW w:w="469" w:type="pct"/>
                  <w:noWrap w:val="0"/>
                  <w:vAlign w:val="center"/>
                </w:tcPr>
                <w:p w14:paraId="219C3FA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7.7</w:t>
                  </w:r>
                </w:p>
              </w:tc>
              <w:tc>
                <w:tcPr>
                  <w:tcW w:w="558" w:type="pct"/>
                  <w:noWrap w:val="0"/>
                  <w:vAlign w:val="center"/>
                </w:tcPr>
                <w:p w14:paraId="170B367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14</w:t>
                  </w:r>
                </w:p>
              </w:tc>
              <w:tc>
                <w:tcPr>
                  <w:tcW w:w="616" w:type="pct"/>
                  <w:noWrap w:val="0"/>
                  <w:vAlign w:val="center"/>
                </w:tcPr>
                <w:p w14:paraId="41DEAD2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0.251</w:t>
                  </w:r>
                </w:p>
              </w:tc>
              <w:tc>
                <w:tcPr>
                  <w:tcW w:w="618" w:type="pct"/>
                  <w:noWrap w:val="0"/>
                  <w:vAlign w:val="center"/>
                </w:tcPr>
                <w:p w14:paraId="0A7A953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0.08</w:t>
                  </w:r>
                </w:p>
              </w:tc>
              <w:tc>
                <w:tcPr>
                  <w:tcW w:w="625" w:type="pct"/>
                  <w:noWrap w:val="0"/>
                  <w:vAlign w:val="center"/>
                </w:tcPr>
                <w:p w14:paraId="4FABAE2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lang w:val="en-US" w:eastAsia="zh-CN"/>
                    </w:rPr>
                    <w:t>/</w:t>
                  </w:r>
                </w:p>
              </w:tc>
            </w:tr>
            <w:tr w14:paraId="787E7F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3" w:type="pct"/>
                  <w:vMerge w:val="continue"/>
                  <w:noWrap w:val="0"/>
                  <w:vAlign w:val="center"/>
                </w:tcPr>
                <w:p w14:paraId="50D10CE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p>
              </w:tc>
              <w:tc>
                <w:tcPr>
                  <w:tcW w:w="539" w:type="pct"/>
                  <w:vMerge w:val="continue"/>
                  <w:noWrap w:val="0"/>
                  <w:vAlign w:val="center"/>
                </w:tcPr>
                <w:p w14:paraId="05B929D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p>
              </w:tc>
              <w:tc>
                <w:tcPr>
                  <w:tcW w:w="1000" w:type="dxa"/>
                  <w:vMerge w:val="restart"/>
                  <w:noWrap w:val="0"/>
                  <w:vAlign w:val="center"/>
                </w:tcPr>
                <w:p w14:paraId="54E3FAA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eastAsia="宋体"/>
                      <w:color w:val="auto"/>
                      <w:kern w:val="0"/>
                      <w:sz w:val="21"/>
                      <w:szCs w:val="21"/>
                      <w:lang w:eastAsia="zh-CN"/>
                    </w:rPr>
                  </w:pPr>
                  <w:r>
                    <w:rPr>
                      <w:color w:val="auto"/>
                      <w:kern w:val="0"/>
                      <w:sz w:val="21"/>
                      <w:szCs w:val="21"/>
                    </w:rPr>
                    <w:t>202</w:t>
                  </w:r>
                  <w:r>
                    <w:rPr>
                      <w:rFonts w:hint="eastAsia"/>
                      <w:color w:val="auto"/>
                      <w:kern w:val="0"/>
                      <w:sz w:val="21"/>
                      <w:szCs w:val="21"/>
                      <w:lang w:val="en-US" w:eastAsia="zh-CN"/>
                    </w:rPr>
                    <w:t>5</w:t>
                  </w:r>
                  <w:r>
                    <w:rPr>
                      <w:color w:val="auto"/>
                      <w:kern w:val="0"/>
                      <w:sz w:val="21"/>
                      <w:szCs w:val="21"/>
                    </w:rPr>
                    <w:t>.</w:t>
                  </w:r>
                  <w:r>
                    <w:rPr>
                      <w:rFonts w:hint="eastAsia"/>
                      <w:color w:val="auto"/>
                      <w:kern w:val="0"/>
                      <w:sz w:val="21"/>
                      <w:szCs w:val="21"/>
                      <w:lang w:val="en-US" w:eastAsia="zh-CN"/>
                    </w:rPr>
                    <w:t>1.7</w:t>
                  </w:r>
                </w:p>
              </w:tc>
              <w:tc>
                <w:tcPr>
                  <w:tcW w:w="697" w:type="pct"/>
                  <w:noWrap w:val="0"/>
                  <w:vAlign w:val="center"/>
                </w:tcPr>
                <w:p w14:paraId="3EB2A42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r>
                    <w:rPr>
                      <w:color w:val="auto"/>
                      <w:kern w:val="0"/>
                      <w:sz w:val="21"/>
                      <w:szCs w:val="21"/>
                    </w:rPr>
                    <w:t>第一次</w:t>
                  </w:r>
                </w:p>
              </w:tc>
              <w:tc>
                <w:tcPr>
                  <w:tcW w:w="469" w:type="pct"/>
                  <w:noWrap w:val="0"/>
                  <w:vAlign w:val="center"/>
                </w:tcPr>
                <w:p w14:paraId="7DF16CD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7.7</w:t>
                  </w:r>
                </w:p>
              </w:tc>
              <w:tc>
                <w:tcPr>
                  <w:tcW w:w="558" w:type="pct"/>
                  <w:noWrap w:val="0"/>
                  <w:vAlign w:val="center"/>
                </w:tcPr>
                <w:p w14:paraId="2A6378E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14</w:t>
                  </w:r>
                </w:p>
              </w:tc>
              <w:tc>
                <w:tcPr>
                  <w:tcW w:w="616" w:type="pct"/>
                  <w:noWrap w:val="0"/>
                  <w:vAlign w:val="center"/>
                </w:tcPr>
                <w:p w14:paraId="7E9EBCD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0.294</w:t>
                  </w:r>
                </w:p>
              </w:tc>
              <w:tc>
                <w:tcPr>
                  <w:tcW w:w="618" w:type="pct"/>
                  <w:noWrap w:val="0"/>
                  <w:vAlign w:val="center"/>
                </w:tcPr>
                <w:p w14:paraId="713582C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0.09</w:t>
                  </w:r>
                </w:p>
              </w:tc>
              <w:tc>
                <w:tcPr>
                  <w:tcW w:w="625" w:type="pct"/>
                  <w:noWrap w:val="0"/>
                  <w:vAlign w:val="center"/>
                </w:tcPr>
                <w:p w14:paraId="164C31E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lang w:val="en-US" w:eastAsia="zh-CN"/>
                    </w:rPr>
                    <w:t>/</w:t>
                  </w:r>
                </w:p>
              </w:tc>
            </w:tr>
            <w:tr w14:paraId="62F550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3" w:type="pct"/>
                  <w:vMerge w:val="continue"/>
                  <w:noWrap w:val="0"/>
                  <w:vAlign w:val="center"/>
                </w:tcPr>
                <w:p w14:paraId="6BABF13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p>
              </w:tc>
              <w:tc>
                <w:tcPr>
                  <w:tcW w:w="539" w:type="pct"/>
                  <w:vMerge w:val="continue"/>
                  <w:noWrap w:val="0"/>
                  <w:vAlign w:val="center"/>
                </w:tcPr>
                <w:p w14:paraId="05EFE20E">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p>
              </w:tc>
              <w:tc>
                <w:tcPr>
                  <w:tcW w:w="539" w:type="pct"/>
                  <w:vMerge w:val="continue"/>
                  <w:noWrap w:val="0"/>
                  <w:vAlign w:val="center"/>
                </w:tcPr>
                <w:p w14:paraId="2C55BE8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p>
              </w:tc>
              <w:tc>
                <w:tcPr>
                  <w:tcW w:w="697" w:type="pct"/>
                  <w:noWrap w:val="0"/>
                  <w:vAlign w:val="center"/>
                </w:tcPr>
                <w:p w14:paraId="7390159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r>
                    <w:rPr>
                      <w:color w:val="auto"/>
                      <w:kern w:val="0"/>
                      <w:sz w:val="21"/>
                      <w:szCs w:val="21"/>
                    </w:rPr>
                    <w:t>第二次</w:t>
                  </w:r>
                </w:p>
              </w:tc>
              <w:tc>
                <w:tcPr>
                  <w:tcW w:w="469" w:type="pct"/>
                  <w:noWrap w:val="0"/>
                  <w:vAlign w:val="center"/>
                </w:tcPr>
                <w:p w14:paraId="6A04CF9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7.8</w:t>
                  </w:r>
                </w:p>
              </w:tc>
              <w:tc>
                <w:tcPr>
                  <w:tcW w:w="558" w:type="pct"/>
                  <w:noWrap w:val="0"/>
                  <w:vAlign w:val="center"/>
                </w:tcPr>
                <w:p w14:paraId="6997CBE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17</w:t>
                  </w:r>
                </w:p>
              </w:tc>
              <w:tc>
                <w:tcPr>
                  <w:tcW w:w="616" w:type="pct"/>
                  <w:noWrap w:val="0"/>
                  <w:vAlign w:val="center"/>
                </w:tcPr>
                <w:p w14:paraId="6BD2319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0.309</w:t>
                  </w:r>
                </w:p>
              </w:tc>
              <w:tc>
                <w:tcPr>
                  <w:tcW w:w="618" w:type="pct"/>
                  <w:noWrap w:val="0"/>
                  <w:vAlign w:val="center"/>
                </w:tcPr>
                <w:p w14:paraId="22EC684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0.09</w:t>
                  </w:r>
                </w:p>
              </w:tc>
              <w:tc>
                <w:tcPr>
                  <w:tcW w:w="625" w:type="pct"/>
                  <w:noWrap w:val="0"/>
                  <w:vAlign w:val="center"/>
                </w:tcPr>
                <w:p w14:paraId="7E48211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lang w:val="en-US" w:eastAsia="zh-CN"/>
                    </w:rPr>
                    <w:t>/</w:t>
                  </w:r>
                </w:p>
              </w:tc>
            </w:tr>
            <w:tr w14:paraId="4C453D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3" w:type="pct"/>
                  <w:vMerge w:val="continue"/>
                  <w:noWrap w:val="0"/>
                  <w:vAlign w:val="center"/>
                </w:tcPr>
                <w:p w14:paraId="496AF33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p>
              </w:tc>
              <w:tc>
                <w:tcPr>
                  <w:tcW w:w="539" w:type="pct"/>
                  <w:vMerge w:val="continue"/>
                  <w:noWrap w:val="0"/>
                  <w:vAlign w:val="center"/>
                </w:tcPr>
                <w:p w14:paraId="67E7081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p>
              </w:tc>
              <w:tc>
                <w:tcPr>
                  <w:tcW w:w="1000" w:type="dxa"/>
                  <w:vMerge w:val="restart"/>
                  <w:noWrap w:val="0"/>
                  <w:vAlign w:val="center"/>
                </w:tcPr>
                <w:p w14:paraId="46FAC54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olor w:val="auto"/>
                      <w:kern w:val="0"/>
                      <w:sz w:val="21"/>
                      <w:szCs w:val="21"/>
                      <w:lang w:val="en-US"/>
                    </w:rPr>
                  </w:pPr>
                  <w:r>
                    <w:rPr>
                      <w:color w:val="auto"/>
                      <w:kern w:val="0"/>
                      <w:sz w:val="21"/>
                      <w:szCs w:val="21"/>
                    </w:rPr>
                    <w:t>202</w:t>
                  </w:r>
                  <w:r>
                    <w:rPr>
                      <w:rFonts w:hint="eastAsia"/>
                      <w:color w:val="auto"/>
                      <w:kern w:val="0"/>
                      <w:sz w:val="21"/>
                      <w:szCs w:val="21"/>
                      <w:lang w:val="en-US" w:eastAsia="zh-CN"/>
                    </w:rPr>
                    <w:t>5</w:t>
                  </w:r>
                  <w:r>
                    <w:rPr>
                      <w:color w:val="auto"/>
                      <w:kern w:val="0"/>
                      <w:sz w:val="21"/>
                      <w:szCs w:val="21"/>
                    </w:rPr>
                    <w:t>.</w:t>
                  </w:r>
                  <w:r>
                    <w:rPr>
                      <w:rFonts w:hint="eastAsia"/>
                      <w:color w:val="auto"/>
                      <w:kern w:val="0"/>
                      <w:sz w:val="21"/>
                      <w:szCs w:val="21"/>
                      <w:lang w:val="en-US" w:eastAsia="zh-CN"/>
                    </w:rPr>
                    <w:t>1.8</w:t>
                  </w:r>
                </w:p>
              </w:tc>
              <w:tc>
                <w:tcPr>
                  <w:tcW w:w="697" w:type="pct"/>
                  <w:noWrap w:val="0"/>
                  <w:vAlign w:val="center"/>
                </w:tcPr>
                <w:p w14:paraId="31F726E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r>
                    <w:rPr>
                      <w:color w:val="auto"/>
                      <w:kern w:val="0"/>
                      <w:sz w:val="21"/>
                      <w:szCs w:val="21"/>
                    </w:rPr>
                    <w:t>第一次</w:t>
                  </w:r>
                </w:p>
              </w:tc>
              <w:tc>
                <w:tcPr>
                  <w:tcW w:w="897" w:type="dxa"/>
                  <w:noWrap w:val="0"/>
                  <w:vAlign w:val="center"/>
                </w:tcPr>
                <w:p w14:paraId="7158476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7.8</w:t>
                  </w:r>
                </w:p>
              </w:tc>
              <w:tc>
                <w:tcPr>
                  <w:tcW w:w="1067" w:type="dxa"/>
                  <w:noWrap w:val="0"/>
                  <w:vAlign w:val="center"/>
                </w:tcPr>
                <w:p w14:paraId="0947838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17</w:t>
                  </w:r>
                </w:p>
              </w:tc>
              <w:tc>
                <w:tcPr>
                  <w:tcW w:w="1178" w:type="dxa"/>
                  <w:noWrap w:val="0"/>
                  <w:vAlign w:val="center"/>
                </w:tcPr>
                <w:p w14:paraId="560FED5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0.331</w:t>
                  </w:r>
                </w:p>
              </w:tc>
              <w:tc>
                <w:tcPr>
                  <w:tcW w:w="1183" w:type="dxa"/>
                  <w:noWrap w:val="0"/>
                  <w:vAlign w:val="center"/>
                </w:tcPr>
                <w:p w14:paraId="51C9946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0.08</w:t>
                  </w:r>
                </w:p>
              </w:tc>
              <w:tc>
                <w:tcPr>
                  <w:tcW w:w="625" w:type="pct"/>
                  <w:noWrap w:val="0"/>
                  <w:vAlign w:val="center"/>
                </w:tcPr>
                <w:p w14:paraId="3A54DE9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lang w:val="en-US" w:eastAsia="zh-CN"/>
                    </w:rPr>
                    <w:t>/</w:t>
                  </w:r>
                </w:p>
              </w:tc>
            </w:tr>
            <w:tr w14:paraId="794AFC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3" w:type="pct"/>
                  <w:vMerge w:val="continue"/>
                  <w:noWrap w:val="0"/>
                  <w:vAlign w:val="center"/>
                </w:tcPr>
                <w:p w14:paraId="457473E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p>
              </w:tc>
              <w:tc>
                <w:tcPr>
                  <w:tcW w:w="539" w:type="pct"/>
                  <w:vMerge w:val="continue"/>
                  <w:noWrap w:val="0"/>
                  <w:vAlign w:val="center"/>
                </w:tcPr>
                <w:p w14:paraId="4BE4D22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p>
              </w:tc>
              <w:tc>
                <w:tcPr>
                  <w:tcW w:w="539" w:type="pct"/>
                  <w:vMerge w:val="continue"/>
                  <w:noWrap w:val="0"/>
                  <w:vAlign w:val="center"/>
                </w:tcPr>
                <w:p w14:paraId="75F1D70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p>
              </w:tc>
              <w:tc>
                <w:tcPr>
                  <w:tcW w:w="697" w:type="pct"/>
                  <w:noWrap w:val="0"/>
                  <w:vAlign w:val="center"/>
                </w:tcPr>
                <w:p w14:paraId="3AC34FA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r>
                    <w:rPr>
                      <w:color w:val="auto"/>
                      <w:kern w:val="0"/>
                      <w:sz w:val="21"/>
                      <w:szCs w:val="21"/>
                    </w:rPr>
                    <w:t>第二次</w:t>
                  </w:r>
                </w:p>
              </w:tc>
              <w:tc>
                <w:tcPr>
                  <w:tcW w:w="897" w:type="dxa"/>
                  <w:noWrap w:val="0"/>
                  <w:vAlign w:val="center"/>
                </w:tcPr>
                <w:p w14:paraId="3C2DA2B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8.0</w:t>
                  </w:r>
                </w:p>
              </w:tc>
              <w:tc>
                <w:tcPr>
                  <w:tcW w:w="1067" w:type="dxa"/>
                  <w:noWrap w:val="0"/>
                  <w:vAlign w:val="center"/>
                </w:tcPr>
                <w:p w14:paraId="4122531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15</w:t>
                  </w:r>
                </w:p>
              </w:tc>
              <w:tc>
                <w:tcPr>
                  <w:tcW w:w="1178" w:type="dxa"/>
                  <w:noWrap w:val="0"/>
                  <w:vAlign w:val="center"/>
                </w:tcPr>
                <w:p w14:paraId="44C508E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0.274</w:t>
                  </w:r>
                </w:p>
              </w:tc>
              <w:tc>
                <w:tcPr>
                  <w:tcW w:w="1183" w:type="dxa"/>
                  <w:noWrap w:val="0"/>
                  <w:vAlign w:val="center"/>
                </w:tcPr>
                <w:p w14:paraId="321A415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0.08</w:t>
                  </w:r>
                </w:p>
              </w:tc>
              <w:tc>
                <w:tcPr>
                  <w:tcW w:w="625" w:type="pct"/>
                  <w:noWrap w:val="0"/>
                  <w:vAlign w:val="center"/>
                </w:tcPr>
                <w:p w14:paraId="01D7CEB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lang w:val="en-US" w:eastAsia="zh-CN"/>
                    </w:rPr>
                    <w:t>/</w:t>
                  </w:r>
                </w:p>
              </w:tc>
            </w:tr>
            <w:tr w14:paraId="1E5539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111" w:type="pct"/>
                  <w:gridSpan w:val="4"/>
                  <w:noWrap w:val="0"/>
                  <w:vAlign w:val="center"/>
                </w:tcPr>
                <w:p w14:paraId="7498261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r>
                    <w:rPr>
                      <w:color w:val="auto"/>
                      <w:kern w:val="0"/>
                      <w:sz w:val="21"/>
                      <w:szCs w:val="21"/>
                    </w:rPr>
                    <w:t>标准值（</w:t>
                  </w:r>
                  <w:r>
                    <w:rPr>
                      <w:color w:val="auto"/>
                      <w:kern w:val="0"/>
                      <w:sz w:val="21"/>
                      <w:szCs w:val="21"/>
                    </w:rPr>
                    <w:fldChar w:fldCharType="begin"/>
                  </w:r>
                  <w:r>
                    <w:rPr>
                      <w:color w:val="auto"/>
                      <w:kern w:val="0"/>
                      <w:sz w:val="21"/>
                      <w:szCs w:val="21"/>
                    </w:rPr>
                    <w:instrText xml:space="preserve"> = 3 \* ROMAN \* MERGEFORMAT </w:instrText>
                  </w:r>
                  <w:r>
                    <w:rPr>
                      <w:color w:val="auto"/>
                      <w:kern w:val="0"/>
                      <w:sz w:val="21"/>
                      <w:szCs w:val="21"/>
                    </w:rPr>
                    <w:fldChar w:fldCharType="separate"/>
                  </w:r>
                  <w:r>
                    <w:rPr>
                      <w:rFonts w:hint="eastAsia"/>
                      <w:color w:val="auto"/>
                      <w:kern w:val="0"/>
                      <w:sz w:val="21"/>
                      <w:szCs w:val="21"/>
                      <w:lang w:eastAsia="zh-CN"/>
                    </w:rPr>
                    <w:t>Ⅲ</w:t>
                  </w:r>
                  <w:r>
                    <w:rPr>
                      <w:color w:val="auto"/>
                      <w:kern w:val="0"/>
                      <w:sz w:val="21"/>
                      <w:szCs w:val="21"/>
                    </w:rPr>
                    <w:fldChar w:fldCharType="end"/>
                  </w:r>
                  <w:r>
                    <w:rPr>
                      <w:color w:val="auto"/>
                      <w:kern w:val="0"/>
                      <w:sz w:val="21"/>
                      <w:szCs w:val="21"/>
                    </w:rPr>
                    <w:t>类）</w:t>
                  </w:r>
                </w:p>
              </w:tc>
              <w:tc>
                <w:tcPr>
                  <w:tcW w:w="469" w:type="pct"/>
                  <w:noWrap w:val="0"/>
                  <w:vAlign w:val="center"/>
                </w:tcPr>
                <w:p w14:paraId="01E51E7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6~9</w:t>
                  </w:r>
                </w:p>
              </w:tc>
              <w:tc>
                <w:tcPr>
                  <w:tcW w:w="558" w:type="pct"/>
                  <w:noWrap w:val="0"/>
                  <w:vAlign w:val="center"/>
                </w:tcPr>
                <w:p w14:paraId="4DD1E7E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≤20</w:t>
                  </w:r>
                </w:p>
              </w:tc>
              <w:tc>
                <w:tcPr>
                  <w:tcW w:w="616" w:type="pct"/>
                  <w:noWrap w:val="0"/>
                  <w:vAlign w:val="center"/>
                </w:tcPr>
                <w:p w14:paraId="5881F84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≤1.0</w:t>
                  </w:r>
                </w:p>
              </w:tc>
              <w:tc>
                <w:tcPr>
                  <w:tcW w:w="618" w:type="pct"/>
                  <w:noWrap w:val="0"/>
                  <w:vAlign w:val="center"/>
                </w:tcPr>
                <w:p w14:paraId="5BEC65F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≤0.2</w:t>
                  </w:r>
                </w:p>
              </w:tc>
              <w:tc>
                <w:tcPr>
                  <w:tcW w:w="625" w:type="pct"/>
                  <w:noWrap w:val="0"/>
                  <w:vAlign w:val="center"/>
                </w:tcPr>
                <w:p w14:paraId="095E107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kern w:val="0"/>
                      <w:sz w:val="21"/>
                      <w:szCs w:val="21"/>
                    </w:rPr>
                  </w:pPr>
                </w:p>
              </w:tc>
            </w:tr>
          </w:tbl>
          <w:p w14:paraId="25FF8CB1">
            <w:pPr>
              <w:ind w:firstLine="420"/>
              <w:jc w:val="left"/>
              <w:rPr>
                <w:color w:val="auto"/>
                <w:spacing w:val="6"/>
                <w:sz w:val="24"/>
                <w:szCs w:val="24"/>
              </w:rPr>
            </w:pPr>
            <w:r>
              <w:rPr>
                <w:bCs/>
                <w:color w:val="auto"/>
                <w:sz w:val="24"/>
                <w:szCs w:val="24"/>
              </w:rPr>
              <w:t>由上表可知：</w:t>
            </w:r>
            <w:r>
              <w:rPr>
                <w:rFonts w:hint="eastAsia"/>
                <w:bCs/>
                <w:color w:val="auto"/>
                <w:sz w:val="24"/>
                <w:szCs w:val="24"/>
                <w:lang w:eastAsia="zh-CN"/>
              </w:rPr>
              <w:t>尧塘河</w:t>
            </w:r>
            <w:r>
              <w:rPr>
                <w:bCs/>
                <w:color w:val="auto"/>
                <w:sz w:val="24"/>
                <w:szCs w:val="24"/>
              </w:rPr>
              <w:t>各监测断面监测因子pH、COD、NH</w:t>
            </w:r>
            <w:r>
              <w:rPr>
                <w:bCs/>
                <w:color w:val="auto"/>
                <w:sz w:val="24"/>
                <w:szCs w:val="24"/>
                <w:vertAlign w:val="subscript"/>
              </w:rPr>
              <w:t>3</w:t>
            </w:r>
            <w:r>
              <w:rPr>
                <w:bCs/>
                <w:color w:val="auto"/>
                <w:sz w:val="24"/>
                <w:szCs w:val="24"/>
              </w:rPr>
              <w:t>-N、TP能满足《地表水环境质量标准》（GB3838-2002）表1中</w:t>
            </w:r>
            <w:r>
              <w:rPr>
                <w:bCs/>
                <w:color w:val="auto"/>
                <w:sz w:val="24"/>
                <w:szCs w:val="24"/>
              </w:rPr>
              <w:fldChar w:fldCharType="begin"/>
            </w:r>
            <w:r>
              <w:rPr>
                <w:bCs/>
                <w:color w:val="auto"/>
                <w:sz w:val="24"/>
                <w:szCs w:val="24"/>
              </w:rPr>
              <w:instrText xml:space="preserve"> = 3 \* ROMAN \* MERGEFORMAT </w:instrText>
            </w:r>
            <w:r>
              <w:rPr>
                <w:bCs/>
                <w:color w:val="auto"/>
                <w:sz w:val="24"/>
                <w:szCs w:val="24"/>
              </w:rPr>
              <w:fldChar w:fldCharType="separate"/>
            </w:r>
            <w:r>
              <w:rPr>
                <w:bCs/>
                <w:color w:val="auto"/>
                <w:sz w:val="24"/>
                <w:szCs w:val="24"/>
              </w:rPr>
              <w:t>III</w:t>
            </w:r>
            <w:r>
              <w:rPr>
                <w:bCs/>
                <w:color w:val="auto"/>
                <w:sz w:val="24"/>
                <w:szCs w:val="24"/>
              </w:rPr>
              <w:fldChar w:fldCharType="end"/>
            </w:r>
            <w:r>
              <w:rPr>
                <w:bCs/>
                <w:color w:val="auto"/>
                <w:sz w:val="24"/>
                <w:szCs w:val="24"/>
              </w:rPr>
              <w:t>类水质标准，地表水环境质量较好。</w:t>
            </w:r>
          </w:p>
          <w:p w14:paraId="6A8C8EA5">
            <w:pPr>
              <w:ind w:firstLine="0" w:firstLineChars="0"/>
              <w:rPr>
                <w:b/>
                <w:bCs/>
                <w:color w:val="auto"/>
                <w:sz w:val="24"/>
                <w:szCs w:val="24"/>
              </w:rPr>
            </w:pPr>
            <w:r>
              <w:rPr>
                <w:b/>
                <w:bCs/>
                <w:color w:val="auto"/>
                <w:sz w:val="24"/>
                <w:szCs w:val="24"/>
              </w:rPr>
              <w:t>2、大气环境</w:t>
            </w:r>
          </w:p>
          <w:p w14:paraId="1983E81F">
            <w:pPr>
              <w:ind w:firstLine="0" w:firstLineChars="0"/>
              <w:rPr>
                <w:b/>
                <w:bCs/>
                <w:color w:val="auto"/>
                <w:sz w:val="24"/>
                <w:szCs w:val="24"/>
              </w:rPr>
            </w:pPr>
            <w:r>
              <w:rPr>
                <w:b/>
                <w:bCs/>
                <w:color w:val="auto"/>
                <w:sz w:val="24"/>
                <w:szCs w:val="24"/>
              </w:rPr>
              <w:t>2.1环境空气质量评价标准</w:t>
            </w:r>
          </w:p>
          <w:p w14:paraId="63177EC5">
            <w:pPr>
              <w:ind w:firstLine="0" w:firstLineChars="0"/>
              <w:rPr>
                <w:b/>
                <w:bCs/>
                <w:color w:val="auto"/>
                <w:sz w:val="24"/>
                <w:szCs w:val="24"/>
              </w:rPr>
            </w:pPr>
            <w:r>
              <w:rPr>
                <w:b/>
                <w:bCs/>
                <w:color w:val="auto"/>
                <w:sz w:val="24"/>
                <w:szCs w:val="24"/>
              </w:rPr>
              <w:t>2.</w:t>
            </w:r>
            <w:r>
              <w:rPr>
                <w:rFonts w:hint="eastAsia"/>
                <w:b/>
                <w:bCs/>
                <w:color w:val="auto"/>
                <w:sz w:val="24"/>
                <w:szCs w:val="24"/>
                <w:lang w:val="en-US" w:eastAsia="zh-CN"/>
              </w:rPr>
              <w:t>1</w:t>
            </w:r>
            <w:r>
              <w:rPr>
                <w:b/>
                <w:bCs/>
                <w:color w:val="auto"/>
                <w:sz w:val="24"/>
                <w:szCs w:val="24"/>
              </w:rPr>
              <w:t>环境空气质量状况</w:t>
            </w:r>
          </w:p>
          <w:p w14:paraId="46190044">
            <w:pPr>
              <w:ind w:firstLine="422"/>
              <w:rPr>
                <w:b/>
                <w:bCs/>
                <w:color w:val="auto"/>
                <w:sz w:val="24"/>
                <w:szCs w:val="24"/>
              </w:rPr>
            </w:pPr>
            <w:r>
              <w:rPr>
                <w:b/>
                <w:bCs/>
                <w:color w:val="auto"/>
                <w:sz w:val="24"/>
                <w:szCs w:val="24"/>
              </w:rPr>
              <w:t>（1）基本污染物</w:t>
            </w:r>
          </w:p>
          <w:p w14:paraId="17738935">
            <w:pPr>
              <w:ind w:firstLine="420"/>
              <w:rPr>
                <w:color w:val="auto"/>
                <w:sz w:val="24"/>
                <w:szCs w:val="24"/>
              </w:rPr>
            </w:pPr>
            <w:r>
              <w:rPr>
                <w:color w:val="auto"/>
                <w:sz w:val="24"/>
                <w:szCs w:val="24"/>
              </w:rPr>
              <w:t>项目所在区域基本污染物的环境质量达标情况采用《</w:t>
            </w:r>
            <w:r>
              <w:rPr>
                <w:rFonts w:hint="eastAsia"/>
                <w:color w:val="auto"/>
                <w:sz w:val="24"/>
                <w:szCs w:val="24"/>
                <w:lang w:eastAsia="zh-CN"/>
              </w:rPr>
              <w:t>2024年常州市生态环境质量状况公报</w:t>
            </w:r>
            <w:r>
              <w:rPr>
                <w:color w:val="auto"/>
                <w:sz w:val="24"/>
                <w:szCs w:val="24"/>
              </w:rPr>
              <w:t>》中的数据进行分析评价，公报数据如下。</w:t>
            </w:r>
          </w:p>
          <w:p w14:paraId="202C9641">
            <w:pPr>
              <w:pStyle w:val="30"/>
              <w:adjustRightInd w:val="0"/>
              <w:snapToGrid w:val="0"/>
              <w:spacing w:after="0" w:line="240" w:lineRule="auto"/>
              <w:ind w:firstLine="0" w:firstLineChars="0"/>
              <w:rPr>
                <w:rFonts w:hAnsi="Times New Roman"/>
                <w:b/>
                <w:bCs/>
                <w:color w:val="auto"/>
                <w:sz w:val="21"/>
                <w:szCs w:val="21"/>
              </w:rPr>
            </w:pPr>
            <w:r>
              <w:rPr>
                <w:rFonts w:hAnsi="Times New Roman"/>
                <w:b/>
                <w:bCs/>
                <w:color w:val="auto"/>
                <w:sz w:val="21"/>
                <w:szCs w:val="21"/>
              </w:rPr>
              <w:t>表3-</w:t>
            </w:r>
            <w:r>
              <w:rPr>
                <w:rFonts w:hint="eastAsia" w:hAnsi="Times New Roman"/>
                <w:b/>
                <w:bCs/>
                <w:color w:val="auto"/>
                <w:sz w:val="21"/>
                <w:szCs w:val="21"/>
                <w:lang w:val="en-US" w:eastAsia="zh-CN"/>
              </w:rPr>
              <w:t>3</w:t>
            </w:r>
            <w:r>
              <w:rPr>
                <w:rFonts w:hAnsi="Times New Roman"/>
                <w:b/>
                <w:bCs/>
                <w:color w:val="auto"/>
                <w:sz w:val="21"/>
                <w:szCs w:val="21"/>
              </w:rPr>
              <w:t xml:space="preserve">  区域空气质量现状评价表</w:t>
            </w:r>
          </w:p>
          <w:tbl>
            <w:tblPr>
              <w:tblStyle w:val="17"/>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57"/>
              <w:gridCol w:w="808"/>
              <w:gridCol w:w="2394"/>
              <w:gridCol w:w="1162"/>
              <w:gridCol w:w="1075"/>
              <w:gridCol w:w="1231"/>
              <w:gridCol w:w="1023"/>
              <w:gridCol w:w="1029"/>
            </w:tblGrid>
            <w:tr w14:paraId="2D6645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noWrap w:val="0"/>
                  <w:vAlign w:val="center"/>
                </w:tcPr>
                <w:p w14:paraId="753930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aps w:val="0"/>
                      <w:smallCaps w:val="0"/>
                      <w:color w:val="auto"/>
                      <w:spacing w:val="0"/>
                      <w:sz w:val="21"/>
                      <w:szCs w:val="21"/>
                    </w:rPr>
                  </w:pPr>
                  <w:r>
                    <w:rPr>
                      <w:rFonts w:hint="default" w:ascii="Times New Roman" w:hAnsi="Times New Roman" w:eastAsia="宋体" w:cs="Times New Roman"/>
                      <w:b/>
                      <w:bCs/>
                      <w:caps w:val="0"/>
                      <w:smallCaps w:val="0"/>
                      <w:color w:val="auto"/>
                      <w:spacing w:val="0"/>
                      <w:sz w:val="21"/>
                      <w:szCs w:val="21"/>
                    </w:rPr>
                    <w:t>区域</w:t>
                  </w:r>
                </w:p>
              </w:tc>
              <w:tc>
                <w:tcPr>
                  <w:tcW w:w="435" w:type="pct"/>
                  <w:noWrap w:val="0"/>
                  <w:vAlign w:val="center"/>
                </w:tcPr>
                <w:p w14:paraId="146599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aps w:val="0"/>
                      <w:smallCaps w:val="0"/>
                      <w:color w:val="auto"/>
                      <w:spacing w:val="0"/>
                      <w:sz w:val="21"/>
                      <w:szCs w:val="21"/>
                    </w:rPr>
                  </w:pPr>
                  <w:r>
                    <w:rPr>
                      <w:rFonts w:hint="default" w:ascii="Times New Roman" w:hAnsi="Times New Roman" w:eastAsia="宋体" w:cs="Times New Roman"/>
                      <w:b/>
                      <w:bCs/>
                      <w:caps w:val="0"/>
                      <w:smallCaps w:val="0"/>
                      <w:color w:val="auto"/>
                      <w:spacing w:val="0"/>
                      <w:sz w:val="21"/>
                      <w:szCs w:val="21"/>
                    </w:rPr>
                    <w:t>污染物</w:t>
                  </w:r>
                </w:p>
              </w:tc>
              <w:tc>
                <w:tcPr>
                  <w:tcW w:w="1289" w:type="pct"/>
                  <w:noWrap w:val="0"/>
                  <w:vAlign w:val="center"/>
                </w:tcPr>
                <w:p w14:paraId="27ED6C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aps w:val="0"/>
                      <w:smallCaps w:val="0"/>
                      <w:color w:val="auto"/>
                      <w:spacing w:val="0"/>
                      <w:sz w:val="21"/>
                      <w:szCs w:val="21"/>
                    </w:rPr>
                  </w:pPr>
                  <w:r>
                    <w:rPr>
                      <w:rFonts w:hint="default" w:ascii="Times New Roman" w:hAnsi="Times New Roman" w:eastAsia="宋体" w:cs="Times New Roman"/>
                      <w:b/>
                      <w:bCs/>
                      <w:caps w:val="0"/>
                      <w:smallCaps w:val="0"/>
                      <w:color w:val="auto"/>
                      <w:spacing w:val="0"/>
                      <w:sz w:val="21"/>
                      <w:szCs w:val="21"/>
                    </w:rPr>
                    <w:t>年评价指标</w:t>
                  </w:r>
                </w:p>
              </w:tc>
              <w:tc>
                <w:tcPr>
                  <w:tcW w:w="626" w:type="pct"/>
                  <w:noWrap w:val="0"/>
                  <w:vAlign w:val="center"/>
                </w:tcPr>
                <w:p w14:paraId="29B854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aps w:val="0"/>
                      <w:smallCaps w:val="0"/>
                      <w:color w:val="auto"/>
                      <w:spacing w:val="0"/>
                      <w:sz w:val="21"/>
                      <w:szCs w:val="21"/>
                    </w:rPr>
                  </w:pPr>
                  <w:r>
                    <w:rPr>
                      <w:rFonts w:hint="default" w:ascii="Times New Roman" w:hAnsi="Times New Roman" w:eastAsia="宋体" w:cs="Times New Roman"/>
                      <w:b/>
                      <w:bCs/>
                      <w:caps w:val="0"/>
                      <w:smallCaps w:val="0"/>
                      <w:color w:val="auto"/>
                      <w:spacing w:val="0"/>
                      <w:sz w:val="21"/>
                      <w:szCs w:val="21"/>
                    </w:rPr>
                    <w:t>现状浓度</w:t>
                  </w:r>
                </w:p>
                <w:p w14:paraId="59F81A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aps w:val="0"/>
                      <w:smallCaps w:val="0"/>
                      <w:color w:val="auto"/>
                      <w:spacing w:val="0"/>
                      <w:sz w:val="21"/>
                      <w:szCs w:val="21"/>
                    </w:rPr>
                  </w:pPr>
                  <w:r>
                    <w:rPr>
                      <w:rFonts w:hint="eastAsia" w:ascii="Times New Roman" w:hAnsi="Times New Roman" w:eastAsia="宋体" w:cs="Times New Roman"/>
                      <w:b/>
                      <w:bCs/>
                      <w:caps w:val="0"/>
                      <w:smallCaps w:val="0"/>
                      <w:color w:val="auto"/>
                      <w:spacing w:val="0"/>
                      <w:sz w:val="21"/>
                      <w:szCs w:val="21"/>
                      <w:lang w:eastAsia="zh-CN"/>
                    </w:rPr>
                    <w:t>(</w:t>
                  </w:r>
                  <w:r>
                    <w:rPr>
                      <w:rFonts w:hint="default" w:ascii="Times New Roman" w:hAnsi="Times New Roman" w:eastAsia="宋体" w:cs="Times New Roman"/>
                      <w:b/>
                      <w:bCs/>
                      <w:caps w:val="0"/>
                      <w:smallCaps w:val="0"/>
                      <w:color w:val="auto"/>
                      <w:spacing w:val="0"/>
                      <w:sz w:val="21"/>
                      <w:szCs w:val="21"/>
                    </w:rPr>
                    <w:t>μg/m</w:t>
                  </w:r>
                  <w:r>
                    <w:rPr>
                      <w:rFonts w:hint="default" w:ascii="Times New Roman" w:hAnsi="Times New Roman" w:eastAsia="宋体" w:cs="Times New Roman"/>
                      <w:b/>
                      <w:bCs/>
                      <w:caps w:val="0"/>
                      <w:smallCaps w:val="0"/>
                      <w:color w:val="auto"/>
                      <w:spacing w:val="0"/>
                      <w:sz w:val="21"/>
                      <w:szCs w:val="21"/>
                      <w:vertAlign w:val="superscript"/>
                    </w:rPr>
                    <w:t>3</w:t>
                  </w:r>
                  <w:r>
                    <w:rPr>
                      <w:rFonts w:hint="eastAsia" w:ascii="Times New Roman" w:hAnsi="Times New Roman" w:eastAsia="宋体" w:cs="Times New Roman"/>
                      <w:b/>
                      <w:bCs/>
                      <w:caps w:val="0"/>
                      <w:smallCaps w:val="0"/>
                      <w:color w:val="auto"/>
                      <w:spacing w:val="0"/>
                      <w:sz w:val="21"/>
                      <w:szCs w:val="21"/>
                      <w:vertAlign w:val="superscript"/>
                      <w:lang w:eastAsia="zh-CN"/>
                    </w:rPr>
                    <w:t>)</w:t>
                  </w:r>
                </w:p>
              </w:tc>
              <w:tc>
                <w:tcPr>
                  <w:tcW w:w="579" w:type="pct"/>
                  <w:noWrap w:val="0"/>
                  <w:vAlign w:val="center"/>
                </w:tcPr>
                <w:p w14:paraId="2F71AF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aps w:val="0"/>
                      <w:smallCaps w:val="0"/>
                      <w:color w:val="auto"/>
                      <w:spacing w:val="0"/>
                      <w:sz w:val="21"/>
                      <w:szCs w:val="21"/>
                    </w:rPr>
                  </w:pPr>
                  <w:r>
                    <w:rPr>
                      <w:rFonts w:hint="default" w:ascii="Times New Roman" w:hAnsi="Times New Roman" w:eastAsia="宋体" w:cs="Times New Roman"/>
                      <w:b/>
                      <w:bCs/>
                      <w:caps w:val="0"/>
                      <w:smallCaps w:val="0"/>
                      <w:color w:val="auto"/>
                      <w:spacing w:val="0"/>
                      <w:sz w:val="21"/>
                      <w:szCs w:val="21"/>
                    </w:rPr>
                    <w:t>标准值</w:t>
                  </w:r>
                </w:p>
                <w:p w14:paraId="4FC407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aps w:val="0"/>
                      <w:smallCaps w:val="0"/>
                      <w:color w:val="auto"/>
                      <w:spacing w:val="0"/>
                      <w:sz w:val="21"/>
                      <w:szCs w:val="21"/>
                    </w:rPr>
                  </w:pPr>
                  <w:r>
                    <w:rPr>
                      <w:rFonts w:hint="eastAsia" w:ascii="Times New Roman" w:hAnsi="Times New Roman" w:eastAsia="宋体" w:cs="Times New Roman"/>
                      <w:b/>
                      <w:bCs/>
                      <w:caps w:val="0"/>
                      <w:smallCaps w:val="0"/>
                      <w:color w:val="auto"/>
                      <w:spacing w:val="0"/>
                      <w:sz w:val="21"/>
                      <w:szCs w:val="21"/>
                      <w:lang w:eastAsia="zh-CN"/>
                    </w:rPr>
                    <w:t>(</w:t>
                  </w:r>
                  <w:r>
                    <w:rPr>
                      <w:rFonts w:hint="default" w:ascii="Times New Roman" w:hAnsi="Times New Roman" w:eastAsia="宋体" w:cs="Times New Roman"/>
                      <w:b/>
                      <w:bCs/>
                      <w:caps w:val="0"/>
                      <w:smallCaps w:val="0"/>
                      <w:color w:val="auto"/>
                      <w:spacing w:val="0"/>
                      <w:sz w:val="21"/>
                      <w:szCs w:val="21"/>
                    </w:rPr>
                    <w:t>μg/m</w:t>
                  </w:r>
                  <w:r>
                    <w:rPr>
                      <w:rFonts w:hint="default" w:ascii="Times New Roman" w:hAnsi="Times New Roman" w:eastAsia="宋体" w:cs="Times New Roman"/>
                      <w:b/>
                      <w:bCs/>
                      <w:caps w:val="0"/>
                      <w:smallCaps w:val="0"/>
                      <w:color w:val="auto"/>
                      <w:spacing w:val="0"/>
                      <w:sz w:val="21"/>
                      <w:szCs w:val="21"/>
                      <w:vertAlign w:val="superscript"/>
                    </w:rPr>
                    <w:t>3</w:t>
                  </w:r>
                  <w:r>
                    <w:rPr>
                      <w:rFonts w:hint="eastAsia" w:ascii="Times New Roman" w:hAnsi="Times New Roman" w:eastAsia="宋体" w:cs="Times New Roman"/>
                      <w:b/>
                      <w:bCs/>
                      <w:caps w:val="0"/>
                      <w:smallCaps w:val="0"/>
                      <w:color w:val="auto"/>
                      <w:spacing w:val="0"/>
                      <w:sz w:val="21"/>
                      <w:szCs w:val="21"/>
                      <w:vertAlign w:val="superscript"/>
                      <w:lang w:eastAsia="zh-CN"/>
                    </w:rPr>
                    <w:t>)</w:t>
                  </w:r>
                </w:p>
              </w:tc>
              <w:tc>
                <w:tcPr>
                  <w:tcW w:w="663" w:type="pct"/>
                  <w:noWrap w:val="0"/>
                  <w:vAlign w:val="center"/>
                </w:tcPr>
                <w:p w14:paraId="737F9F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aps w:val="0"/>
                      <w:smallCaps w:val="0"/>
                      <w:color w:val="auto"/>
                      <w:spacing w:val="0"/>
                      <w:sz w:val="21"/>
                      <w:szCs w:val="21"/>
                    </w:rPr>
                  </w:pPr>
                  <w:r>
                    <w:rPr>
                      <w:rFonts w:hint="default" w:ascii="Times New Roman" w:hAnsi="Times New Roman" w:eastAsia="宋体" w:cs="Times New Roman"/>
                      <w:b/>
                      <w:bCs/>
                      <w:caps w:val="0"/>
                      <w:smallCaps w:val="0"/>
                      <w:color w:val="auto"/>
                      <w:spacing w:val="0"/>
                      <w:sz w:val="21"/>
                      <w:szCs w:val="21"/>
                    </w:rPr>
                    <w:t>占标率（%）</w:t>
                  </w:r>
                </w:p>
              </w:tc>
              <w:tc>
                <w:tcPr>
                  <w:tcW w:w="551" w:type="pct"/>
                  <w:noWrap w:val="0"/>
                  <w:vAlign w:val="center"/>
                </w:tcPr>
                <w:p w14:paraId="73EDF4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aps w:val="0"/>
                      <w:smallCaps w:val="0"/>
                      <w:color w:val="auto"/>
                      <w:spacing w:val="0"/>
                      <w:sz w:val="21"/>
                      <w:szCs w:val="21"/>
                    </w:rPr>
                  </w:pPr>
                  <w:r>
                    <w:rPr>
                      <w:rFonts w:hint="default" w:ascii="Times New Roman" w:hAnsi="Times New Roman" w:eastAsia="宋体" w:cs="Times New Roman"/>
                      <w:b/>
                      <w:bCs/>
                      <w:caps w:val="0"/>
                      <w:smallCaps w:val="0"/>
                      <w:color w:val="auto"/>
                      <w:spacing w:val="0"/>
                      <w:sz w:val="21"/>
                      <w:szCs w:val="21"/>
                    </w:rPr>
                    <w:t>达标情况</w:t>
                  </w:r>
                </w:p>
              </w:tc>
              <w:tc>
                <w:tcPr>
                  <w:tcW w:w="554" w:type="pct"/>
                  <w:noWrap w:val="0"/>
                  <w:vAlign w:val="center"/>
                </w:tcPr>
                <w:p w14:paraId="15F0C1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aps w:val="0"/>
                      <w:smallCaps w:val="0"/>
                      <w:color w:val="auto"/>
                      <w:spacing w:val="0"/>
                      <w:sz w:val="21"/>
                      <w:szCs w:val="21"/>
                      <w:lang w:val="en-US" w:eastAsia="zh-CN"/>
                    </w:rPr>
                  </w:pPr>
                  <w:r>
                    <w:rPr>
                      <w:rFonts w:hint="default" w:ascii="Times New Roman" w:hAnsi="Times New Roman" w:eastAsia="宋体" w:cs="Times New Roman"/>
                      <w:b/>
                      <w:bCs/>
                      <w:caps w:val="0"/>
                      <w:smallCaps w:val="0"/>
                      <w:color w:val="auto"/>
                      <w:spacing w:val="0"/>
                      <w:sz w:val="21"/>
                      <w:szCs w:val="21"/>
                      <w:lang w:val="en-US" w:eastAsia="zh-CN"/>
                    </w:rPr>
                    <w:t>超标率（%）</w:t>
                  </w:r>
                </w:p>
              </w:tc>
            </w:tr>
            <w:tr w14:paraId="36B87B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restart"/>
                  <w:noWrap w:val="0"/>
                  <w:vAlign w:val="center"/>
                </w:tcPr>
                <w:p w14:paraId="6ABBF6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rPr>
                  </w:pPr>
                  <w:r>
                    <w:rPr>
                      <w:rFonts w:hint="default" w:ascii="Times New Roman" w:hAnsi="Times New Roman" w:eastAsia="宋体" w:cs="Times New Roman"/>
                      <w:caps w:val="0"/>
                      <w:smallCaps w:val="0"/>
                      <w:color w:val="auto"/>
                      <w:spacing w:val="0"/>
                      <w:sz w:val="21"/>
                      <w:szCs w:val="21"/>
                    </w:rPr>
                    <w:t>常州全市</w:t>
                  </w:r>
                </w:p>
              </w:tc>
              <w:tc>
                <w:tcPr>
                  <w:tcW w:w="435" w:type="pct"/>
                  <w:vMerge w:val="restart"/>
                  <w:noWrap w:val="0"/>
                  <w:vAlign w:val="center"/>
                </w:tcPr>
                <w:p w14:paraId="20FD4C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rPr>
                  </w:pPr>
                  <w:r>
                    <w:rPr>
                      <w:rFonts w:hint="default" w:ascii="Times New Roman" w:hAnsi="Times New Roman" w:eastAsia="宋体" w:cs="Times New Roman"/>
                      <w:caps w:val="0"/>
                      <w:smallCaps w:val="0"/>
                      <w:color w:val="auto"/>
                      <w:spacing w:val="0"/>
                      <w:sz w:val="21"/>
                      <w:szCs w:val="21"/>
                      <w:highlight w:val="none"/>
                    </w:rPr>
                    <w:t>SO</w:t>
                  </w:r>
                  <w:r>
                    <w:rPr>
                      <w:rFonts w:hint="default" w:ascii="Times New Roman" w:hAnsi="Times New Roman" w:eastAsia="宋体" w:cs="Times New Roman"/>
                      <w:caps w:val="0"/>
                      <w:smallCaps w:val="0"/>
                      <w:color w:val="auto"/>
                      <w:spacing w:val="0"/>
                      <w:sz w:val="21"/>
                      <w:szCs w:val="21"/>
                      <w:highlight w:val="none"/>
                      <w:vertAlign w:val="subscript"/>
                    </w:rPr>
                    <w:t>2</w:t>
                  </w:r>
                </w:p>
              </w:tc>
              <w:tc>
                <w:tcPr>
                  <w:tcW w:w="1289" w:type="pct"/>
                  <w:noWrap w:val="0"/>
                  <w:vAlign w:val="center"/>
                </w:tcPr>
                <w:p w14:paraId="3DE0ED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rPr>
                  </w:pPr>
                  <w:r>
                    <w:rPr>
                      <w:rFonts w:hint="default" w:ascii="Times New Roman" w:hAnsi="Times New Roman" w:eastAsia="宋体" w:cs="Times New Roman"/>
                      <w:caps w:val="0"/>
                      <w:smallCaps w:val="0"/>
                      <w:color w:val="auto"/>
                      <w:spacing w:val="0"/>
                      <w:sz w:val="21"/>
                      <w:szCs w:val="21"/>
                      <w:highlight w:val="none"/>
                    </w:rPr>
                    <w:t>年平均质量浓度</w:t>
                  </w:r>
                </w:p>
              </w:tc>
              <w:tc>
                <w:tcPr>
                  <w:tcW w:w="626" w:type="pct"/>
                  <w:noWrap w:val="0"/>
                  <w:vAlign w:val="center"/>
                </w:tcPr>
                <w:p w14:paraId="1636AF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lang w:eastAsia="zh-CN"/>
                    </w:rPr>
                  </w:pPr>
                  <w:r>
                    <w:rPr>
                      <w:rFonts w:hint="default" w:ascii="Times New Roman" w:hAnsi="Times New Roman" w:eastAsia="宋体" w:cs="Times New Roman"/>
                      <w:caps w:val="0"/>
                      <w:smallCaps w:val="0"/>
                      <w:color w:val="auto"/>
                      <w:spacing w:val="0"/>
                      <w:kern w:val="0"/>
                      <w:sz w:val="21"/>
                      <w:szCs w:val="21"/>
                      <w:highlight w:val="none"/>
                      <w:lang w:val="en-US" w:eastAsia="zh-CN"/>
                    </w:rPr>
                    <w:t>8</w:t>
                  </w:r>
                </w:p>
              </w:tc>
              <w:tc>
                <w:tcPr>
                  <w:tcW w:w="579" w:type="pct"/>
                  <w:noWrap w:val="0"/>
                  <w:vAlign w:val="center"/>
                </w:tcPr>
                <w:p w14:paraId="6D2C5F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rPr>
                  </w:pPr>
                  <w:r>
                    <w:rPr>
                      <w:rFonts w:hint="default" w:ascii="Times New Roman" w:hAnsi="Times New Roman" w:eastAsia="宋体" w:cs="Times New Roman"/>
                      <w:caps w:val="0"/>
                      <w:smallCaps w:val="0"/>
                      <w:color w:val="auto"/>
                      <w:spacing w:val="0"/>
                      <w:kern w:val="0"/>
                      <w:sz w:val="21"/>
                      <w:szCs w:val="21"/>
                      <w:highlight w:val="none"/>
                    </w:rPr>
                    <w:t>60</w:t>
                  </w:r>
                </w:p>
              </w:tc>
              <w:tc>
                <w:tcPr>
                  <w:tcW w:w="663" w:type="pct"/>
                  <w:noWrap w:val="0"/>
                  <w:vAlign w:val="center"/>
                </w:tcPr>
                <w:p w14:paraId="36F0B5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lang w:val="en-US" w:eastAsia="zh-CN"/>
                    </w:rPr>
                  </w:pPr>
                  <w:r>
                    <w:rPr>
                      <w:rFonts w:hint="default" w:ascii="Times New Roman" w:hAnsi="Times New Roman" w:eastAsia="宋体" w:cs="Times New Roman"/>
                      <w:caps w:val="0"/>
                      <w:smallCaps w:val="0"/>
                      <w:color w:val="auto"/>
                      <w:spacing w:val="0"/>
                      <w:sz w:val="21"/>
                      <w:szCs w:val="21"/>
                      <w:highlight w:val="none"/>
                      <w:lang w:val="en-US" w:eastAsia="zh-CN"/>
                    </w:rPr>
                    <w:t>13.33</w:t>
                  </w:r>
                </w:p>
              </w:tc>
              <w:tc>
                <w:tcPr>
                  <w:tcW w:w="551" w:type="pct"/>
                  <w:vMerge w:val="restart"/>
                  <w:noWrap w:val="0"/>
                  <w:vAlign w:val="center"/>
                </w:tcPr>
                <w:p w14:paraId="5B0451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rPr>
                  </w:pPr>
                  <w:r>
                    <w:rPr>
                      <w:rFonts w:hint="default" w:ascii="Times New Roman" w:hAnsi="Times New Roman" w:eastAsia="宋体" w:cs="Times New Roman"/>
                      <w:caps w:val="0"/>
                      <w:smallCaps w:val="0"/>
                      <w:color w:val="auto"/>
                      <w:spacing w:val="0"/>
                      <w:sz w:val="21"/>
                      <w:szCs w:val="21"/>
                      <w:highlight w:val="none"/>
                    </w:rPr>
                    <w:t>达标</w:t>
                  </w:r>
                </w:p>
              </w:tc>
              <w:tc>
                <w:tcPr>
                  <w:tcW w:w="554" w:type="pct"/>
                  <w:vMerge w:val="restart"/>
                  <w:noWrap w:val="0"/>
                  <w:vAlign w:val="center"/>
                </w:tcPr>
                <w:p w14:paraId="134D66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lang w:val="en-US" w:eastAsia="zh-CN"/>
                    </w:rPr>
                  </w:pPr>
                  <w:r>
                    <w:rPr>
                      <w:rFonts w:hint="default" w:ascii="Times New Roman" w:hAnsi="Times New Roman" w:eastAsia="宋体" w:cs="Times New Roman"/>
                      <w:caps w:val="0"/>
                      <w:smallCaps w:val="0"/>
                      <w:color w:val="auto"/>
                      <w:spacing w:val="0"/>
                      <w:sz w:val="21"/>
                      <w:szCs w:val="21"/>
                      <w:highlight w:val="none"/>
                      <w:lang w:val="en-US" w:eastAsia="zh-CN"/>
                    </w:rPr>
                    <w:t>/</w:t>
                  </w:r>
                </w:p>
              </w:tc>
            </w:tr>
            <w:tr w14:paraId="48A9CB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center"/>
                </w:tcPr>
                <w:p w14:paraId="47CC9A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rPr>
                  </w:pPr>
                </w:p>
              </w:tc>
              <w:tc>
                <w:tcPr>
                  <w:tcW w:w="435" w:type="pct"/>
                  <w:vMerge w:val="continue"/>
                  <w:noWrap w:val="0"/>
                  <w:vAlign w:val="center"/>
                </w:tcPr>
                <w:p w14:paraId="5FFF0C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yellow"/>
                    </w:rPr>
                  </w:pPr>
                </w:p>
              </w:tc>
              <w:tc>
                <w:tcPr>
                  <w:tcW w:w="1289" w:type="pct"/>
                  <w:noWrap w:val="0"/>
                  <w:vAlign w:val="center"/>
                </w:tcPr>
                <w:p w14:paraId="22F460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lang w:val="en-US" w:eastAsia="zh-CN"/>
                    </w:rPr>
                  </w:pPr>
                  <w:r>
                    <w:rPr>
                      <w:rFonts w:hint="default" w:ascii="Times New Roman" w:hAnsi="Times New Roman" w:eastAsia="宋体" w:cs="Times New Roman"/>
                      <w:caps w:val="0"/>
                      <w:smallCaps w:val="0"/>
                      <w:color w:val="auto"/>
                      <w:spacing w:val="0"/>
                      <w:sz w:val="21"/>
                      <w:szCs w:val="21"/>
                      <w:highlight w:val="none"/>
                    </w:rPr>
                    <w:t>日</w:t>
                  </w:r>
                  <w:r>
                    <w:rPr>
                      <w:rFonts w:hint="default" w:ascii="Times New Roman" w:hAnsi="Times New Roman" w:eastAsia="宋体" w:cs="Times New Roman"/>
                      <w:caps w:val="0"/>
                      <w:smallCaps w:val="0"/>
                      <w:color w:val="auto"/>
                      <w:spacing w:val="0"/>
                      <w:sz w:val="21"/>
                      <w:szCs w:val="21"/>
                      <w:highlight w:val="none"/>
                      <w:lang w:val="en-US" w:eastAsia="zh-CN"/>
                    </w:rPr>
                    <w:t>均值浓度</w:t>
                  </w:r>
                </w:p>
              </w:tc>
              <w:tc>
                <w:tcPr>
                  <w:tcW w:w="626" w:type="pct"/>
                  <w:noWrap w:val="0"/>
                  <w:vAlign w:val="center"/>
                </w:tcPr>
                <w:p w14:paraId="703F51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5</w:t>
                  </w:r>
                  <w:r>
                    <w:rPr>
                      <w:rFonts w:hint="default" w:ascii="Times New Roman" w:hAnsi="Times New Roman" w:eastAsia="宋体" w:cs="Times New Roman"/>
                      <w:caps w:val="0"/>
                      <w:smallCaps w:val="0"/>
                      <w:color w:val="auto"/>
                      <w:spacing w:val="0"/>
                      <w:kern w:val="0"/>
                      <w:sz w:val="21"/>
                      <w:szCs w:val="21"/>
                      <w:highlight w:val="none"/>
                      <w:lang w:val="en-US" w:eastAsia="zh-CN"/>
                    </w:rPr>
                    <w:t>~1</w:t>
                  </w:r>
                  <w:r>
                    <w:rPr>
                      <w:rFonts w:hint="eastAsia" w:ascii="Times New Roman" w:hAnsi="Times New Roman" w:eastAsia="宋体" w:cs="Times New Roman"/>
                      <w:caps w:val="0"/>
                      <w:smallCaps w:val="0"/>
                      <w:color w:val="auto"/>
                      <w:spacing w:val="0"/>
                      <w:kern w:val="0"/>
                      <w:sz w:val="21"/>
                      <w:szCs w:val="21"/>
                      <w:highlight w:val="none"/>
                      <w:lang w:val="en-US" w:eastAsia="zh-CN"/>
                    </w:rPr>
                    <w:t>5</w:t>
                  </w:r>
                </w:p>
              </w:tc>
              <w:tc>
                <w:tcPr>
                  <w:tcW w:w="579" w:type="pct"/>
                  <w:noWrap w:val="0"/>
                  <w:vAlign w:val="center"/>
                </w:tcPr>
                <w:p w14:paraId="3AA42C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rPr>
                  </w:pPr>
                  <w:r>
                    <w:rPr>
                      <w:rFonts w:hint="default" w:ascii="Times New Roman" w:hAnsi="Times New Roman" w:eastAsia="宋体" w:cs="Times New Roman"/>
                      <w:caps w:val="0"/>
                      <w:smallCaps w:val="0"/>
                      <w:color w:val="auto"/>
                      <w:spacing w:val="0"/>
                      <w:kern w:val="0"/>
                      <w:sz w:val="21"/>
                      <w:szCs w:val="21"/>
                      <w:highlight w:val="none"/>
                    </w:rPr>
                    <w:t>150</w:t>
                  </w:r>
                </w:p>
              </w:tc>
              <w:tc>
                <w:tcPr>
                  <w:tcW w:w="663" w:type="pct"/>
                  <w:noWrap w:val="0"/>
                  <w:vAlign w:val="center"/>
                </w:tcPr>
                <w:p w14:paraId="1AEFB6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3.33</w:t>
                  </w:r>
                  <w:r>
                    <w:rPr>
                      <w:rFonts w:hint="default" w:ascii="Times New Roman" w:hAnsi="Times New Roman" w:eastAsia="宋体" w:cs="Times New Roman"/>
                      <w:caps w:val="0"/>
                      <w:smallCaps w:val="0"/>
                      <w:color w:val="auto"/>
                      <w:spacing w:val="0"/>
                      <w:kern w:val="0"/>
                      <w:sz w:val="21"/>
                      <w:szCs w:val="21"/>
                      <w:highlight w:val="none"/>
                      <w:lang w:val="en-US" w:eastAsia="zh-CN"/>
                    </w:rPr>
                    <w:t>~1</w:t>
                  </w:r>
                  <w:r>
                    <w:rPr>
                      <w:rFonts w:hint="eastAsia" w:ascii="Times New Roman" w:hAnsi="Times New Roman" w:eastAsia="宋体" w:cs="Times New Roman"/>
                      <w:caps w:val="0"/>
                      <w:smallCaps w:val="0"/>
                      <w:color w:val="auto"/>
                      <w:spacing w:val="0"/>
                      <w:kern w:val="0"/>
                      <w:sz w:val="21"/>
                      <w:szCs w:val="21"/>
                      <w:highlight w:val="none"/>
                      <w:lang w:val="en-US" w:eastAsia="zh-CN"/>
                    </w:rPr>
                    <w:t>0</w:t>
                  </w:r>
                </w:p>
              </w:tc>
              <w:tc>
                <w:tcPr>
                  <w:tcW w:w="551" w:type="pct"/>
                  <w:vMerge w:val="continue"/>
                  <w:noWrap w:val="0"/>
                  <w:vAlign w:val="center"/>
                </w:tcPr>
                <w:p w14:paraId="694F15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lang w:val="en-US" w:eastAsia="zh-CN"/>
                    </w:rPr>
                  </w:pPr>
                </w:p>
              </w:tc>
              <w:tc>
                <w:tcPr>
                  <w:tcW w:w="554" w:type="pct"/>
                  <w:vMerge w:val="continue"/>
                  <w:noWrap w:val="0"/>
                  <w:vAlign w:val="center"/>
                </w:tcPr>
                <w:p w14:paraId="2A907D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yellow"/>
                      <w:lang w:val="en-US" w:eastAsia="zh-CN"/>
                    </w:rPr>
                  </w:pPr>
                </w:p>
              </w:tc>
            </w:tr>
            <w:tr w14:paraId="235F08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5F27FE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rPr>
                  </w:pPr>
                </w:p>
              </w:tc>
              <w:tc>
                <w:tcPr>
                  <w:tcW w:w="435" w:type="pct"/>
                  <w:vMerge w:val="restart"/>
                  <w:noWrap w:val="0"/>
                  <w:vAlign w:val="center"/>
                </w:tcPr>
                <w:p w14:paraId="767228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rPr>
                  </w:pPr>
                  <w:r>
                    <w:rPr>
                      <w:rFonts w:hint="default" w:ascii="Times New Roman" w:hAnsi="Times New Roman" w:eastAsia="宋体" w:cs="Times New Roman"/>
                      <w:caps w:val="0"/>
                      <w:smallCaps w:val="0"/>
                      <w:color w:val="auto"/>
                      <w:spacing w:val="0"/>
                      <w:sz w:val="21"/>
                      <w:szCs w:val="21"/>
                      <w:highlight w:val="none"/>
                    </w:rPr>
                    <w:t>NO</w:t>
                  </w:r>
                  <w:r>
                    <w:rPr>
                      <w:rFonts w:hint="default" w:ascii="Times New Roman" w:hAnsi="Times New Roman" w:eastAsia="宋体" w:cs="Times New Roman"/>
                      <w:caps w:val="0"/>
                      <w:smallCaps w:val="0"/>
                      <w:color w:val="auto"/>
                      <w:spacing w:val="0"/>
                      <w:sz w:val="21"/>
                      <w:szCs w:val="21"/>
                      <w:highlight w:val="none"/>
                      <w:vertAlign w:val="subscript"/>
                    </w:rPr>
                    <w:t>2</w:t>
                  </w:r>
                </w:p>
              </w:tc>
              <w:tc>
                <w:tcPr>
                  <w:tcW w:w="1289" w:type="pct"/>
                  <w:noWrap w:val="0"/>
                  <w:vAlign w:val="center"/>
                </w:tcPr>
                <w:p w14:paraId="1FBC84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rPr>
                  </w:pPr>
                  <w:r>
                    <w:rPr>
                      <w:rFonts w:hint="default" w:ascii="Times New Roman" w:hAnsi="Times New Roman" w:eastAsia="宋体" w:cs="Times New Roman"/>
                      <w:caps w:val="0"/>
                      <w:smallCaps w:val="0"/>
                      <w:color w:val="auto"/>
                      <w:spacing w:val="0"/>
                      <w:sz w:val="21"/>
                      <w:szCs w:val="21"/>
                      <w:highlight w:val="none"/>
                    </w:rPr>
                    <w:t>年平均浓度</w:t>
                  </w:r>
                </w:p>
              </w:tc>
              <w:tc>
                <w:tcPr>
                  <w:tcW w:w="626" w:type="pct"/>
                  <w:noWrap w:val="0"/>
                  <w:vAlign w:val="center"/>
                </w:tcPr>
                <w:p w14:paraId="621DA2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26</w:t>
                  </w:r>
                </w:p>
              </w:tc>
              <w:tc>
                <w:tcPr>
                  <w:tcW w:w="579" w:type="pct"/>
                  <w:noWrap w:val="0"/>
                  <w:vAlign w:val="center"/>
                </w:tcPr>
                <w:p w14:paraId="569387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rPr>
                  </w:pPr>
                  <w:r>
                    <w:rPr>
                      <w:rFonts w:hint="default" w:ascii="Times New Roman" w:hAnsi="Times New Roman" w:eastAsia="宋体" w:cs="Times New Roman"/>
                      <w:caps w:val="0"/>
                      <w:smallCaps w:val="0"/>
                      <w:color w:val="auto"/>
                      <w:spacing w:val="0"/>
                      <w:kern w:val="0"/>
                      <w:sz w:val="21"/>
                      <w:szCs w:val="21"/>
                      <w:highlight w:val="none"/>
                    </w:rPr>
                    <w:t>40</w:t>
                  </w:r>
                </w:p>
              </w:tc>
              <w:tc>
                <w:tcPr>
                  <w:tcW w:w="663" w:type="pct"/>
                  <w:noWrap w:val="0"/>
                  <w:vAlign w:val="center"/>
                </w:tcPr>
                <w:p w14:paraId="523A96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lang w:val="en-US" w:eastAsia="zh-CN"/>
                    </w:rPr>
                  </w:pPr>
                  <w:r>
                    <w:rPr>
                      <w:rFonts w:hint="eastAsia" w:ascii="Times New Roman" w:hAnsi="Times New Roman" w:eastAsia="宋体" w:cs="Times New Roman"/>
                      <w:caps w:val="0"/>
                      <w:smallCaps w:val="0"/>
                      <w:color w:val="auto"/>
                      <w:spacing w:val="0"/>
                      <w:sz w:val="21"/>
                      <w:szCs w:val="21"/>
                      <w:highlight w:val="none"/>
                      <w:lang w:val="en-US" w:eastAsia="zh-CN"/>
                    </w:rPr>
                    <w:t>6</w:t>
                  </w:r>
                  <w:r>
                    <w:rPr>
                      <w:rFonts w:hint="default" w:ascii="Times New Roman" w:hAnsi="Times New Roman" w:eastAsia="宋体" w:cs="Times New Roman"/>
                      <w:caps w:val="0"/>
                      <w:smallCaps w:val="0"/>
                      <w:color w:val="auto"/>
                      <w:spacing w:val="0"/>
                      <w:sz w:val="21"/>
                      <w:szCs w:val="21"/>
                      <w:highlight w:val="none"/>
                      <w:lang w:val="en-US" w:eastAsia="zh-CN"/>
                    </w:rPr>
                    <w:t>5</w:t>
                  </w:r>
                </w:p>
              </w:tc>
              <w:tc>
                <w:tcPr>
                  <w:tcW w:w="551" w:type="pct"/>
                  <w:noWrap w:val="0"/>
                  <w:vAlign w:val="center"/>
                </w:tcPr>
                <w:p w14:paraId="2437B0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rPr>
                  </w:pPr>
                  <w:r>
                    <w:rPr>
                      <w:rFonts w:hint="default" w:ascii="Times New Roman" w:hAnsi="Times New Roman" w:eastAsia="宋体" w:cs="Times New Roman"/>
                      <w:caps w:val="0"/>
                      <w:smallCaps w:val="0"/>
                      <w:color w:val="auto"/>
                      <w:spacing w:val="0"/>
                      <w:sz w:val="21"/>
                      <w:szCs w:val="21"/>
                      <w:highlight w:val="none"/>
                    </w:rPr>
                    <w:t>达标</w:t>
                  </w:r>
                </w:p>
              </w:tc>
              <w:tc>
                <w:tcPr>
                  <w:tcW w:w="554" w:type="pct"/>
                  <w:noWrap w:val="0"/>
                  <w:vAlign w:val="center"/>
                </w:tcPr>
                <w:p w14:paraId="7084B9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lang w:val="en-US" w:eastAsia="zh-CN"/>
                    </w:rPr>
                  </w:pPr>
                  <w:r>
                    <w:rPr>
                      <w:rFonts w:hint="default" w:ascii="Times New Roman" w:hAnsi="Times New Roman" w:eastAsia="宋体" w:cs="Times New Roman"/>
                      <w:caps w:val="0"/>
                      <w:smallCaps w:val="0"/>
                      <w:color w:val="auto"/>
                      <w:spacing w:val="0"/>
                      <w:sz w:val="21"/>
                      <w:szCs w:val="21"/>
                      <w:highlight w:val="none"/>
                      <w:lang w:val="en-US" w:eastAsia="zh-CN"/>
                    </w:rPr>
                    <w:t>/</w:t>
                  </w:r>
                </w:p>
              </w:tc>
            </w:tr>
            <w:tr w14:paraId="24A9F9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20CAC8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rPr>
                  </w:pPr>
                </w:p>
              </w:tc>
              <w:tc>
                <w:tcPr>
                  <w:tcW w:w="435" w:type="pct"/>
                  <w:vMerge w:val="continue"/>
                  <w:noWrap w:val="0"/>
                  <w:vAlign w:val="center"/>
                </w:tcPr>
                <w:p w14:paraId="64363F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rPr>
                  </w:pPr>
                </w:p>
              </w:tc>
              <w:tc>
                <w:tcPr>
                  <w:tcW w:w="1289" w:type="pct"/>
                  <w:noWrap w:val="0"/>
                  <w:vAlign w:val="center"/>
                </w:tcPr>
                <w:p w14:paraId="2A5EAC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rPr>
                  </w:pPr>
                  <w:r>
                    <w:rPr>
                      <w:rFonts w:hint="default" w:ascii="Times New Roman" w:hAnsi="Times New Roman" w:eastAsia="宋体" w:cs="Times New Roman"/>
                      <w:caps w:val="0"/>
                      <w:smallCaps w:val="0"/>
                      <w:color w:val="auto"/>
                      <w:spacing w:val="0"/>
                      <w:sz w:val="21"/>
                      <w:szCs w:val="21"/>
                      <w:highlight w:val="none"/>
                    </w:rPr>
                    <w:t>日</w:t>
                  </w:r>
                  <w:r>
                    <w:rPr>
                      <w:rFonts w:hint="default" w:ascii="Times New Roman" w:hAnsi="Times New Roman" w:eastAsia="宋体" w:cs="Times New Roman"/>
                      <w:caps w:val="0"/>
                      <w:smallCaps w:val="0"/>
                      <w:color w:val="auto"/>
                      <w:spacing w:val="0"/>
                      <w:sz w:val="21"/>
                      <w:szCs w:val="21"/>
                      <w:highlight w:val="none"/>
                      <w:lang w:val="en-US" w:eastAsia="zh-CN"/>
                    </w:rPr>
                    <w:t>均值浓度</w:t>
                  </w:r>
                </w:p>
              </w:tc>
              <w:tc>
                <w:tcPr>
                  <w:tcW w:w="626" w:type="pct"/>
                  <w:noWrap w:val="0"/>
                  <w:vAlign w:val="center"/>
                </w:tcPr>
                <w:p w14:paraId="55005F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5</w:t>
                  </w:r>
                  <w:r>
                    <w:rPr>
                      <w:rFonts w:hint="default" w:ascii="Times New Roman" w:hAnsi="Times New Roman" w:eastAsia="宋体" w:cs="Times New Roman"/>
                      <w:caps w:val="0"/>
                      <w:smallCaps w:val="0"/>
                      <w:color w:val="auto"/>
                      <w:spacing w:val="0"/>
                      <w:kern w:val="0"/>
                      <w:sz w:val="21"/>
                      <w:szCs w:val="21"/>
                      <w:highlight w:val="none"/>
                      <w:lang w:val="en-US" w:eastAsia="zh-CN"/>
                    </w:rPr>
                    <w:t>~</w:t>
                  </w:r>
                  <w:r>
                    <w:rPr>
                      <w:rFonts w:hint="eastAsia" w:ascii="Times New Roman" w:hAnsi="Times New Roman" w:eastAsia="宋体" w:cs="Times New Roman"/>
                      <w:caps w:val="0"/>
                      <w:smallCaps w:val="0"/>
                      <w:color w:val="auto"/>
                      <w:spacing w:val="0"/>
                      <w:kern w:val="0"/>
                      <w:sz w:val="21"/>
                      <w:szCs w:val="21"/>
                      <w:highlight w:val="none"/>
                      <w:lang w:val="en-US" w:eastAsia="zh-CN"/>
                    </w:rPr>
                    <w:t>92</w:t>
                  </w:r>
                </w:p>
              </w:tc>
              <w:tc>
                <w:tcPr>
                  <w:tcW w:w="579" w:type="pct"/>
                  <w:noWrap w:val="0"/>
                  <w:vAlign w:val="center"/>
                </w:tcPr>
                <w:p w14:paraId="365865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rPr>
                  </w:pPr>
                  <w:r>
                    <w:rPr>
                      <w:rFonts w:hint="default" w:ascii="Times New Roman" w:hAnsi="Times New Roman" w:eastAsia="宋体" w:cs="Times New Roman"/>
                      <w:caps w:val="0"/>
                      <w:smallCaps w:val="0"/>
                      <w:color w:val="auto"/>
                      <w:spacing w:val="0"/>
                      <w:kern w:val="0"/>
                      <w:sz w:val="21"/>
                      <w:szCs w:val="21"/>
                      <w:highlight w:val="none"/>
                    </w:rPr>
                    <w:t>80</w:t>
                  </w:r>
                </w:p>
              </w:tc>
              <w:tc>
                <w:tcPr>
                  <w:tcW w:w="663" w:type="pct"/>
                  <w:noWrap w:val="0"/>
                  <w:vAlign w:val="center"/>
                </w:tcPr>
                <w:p w14:paraId="192BB1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6.25</w:t>
                  </w:r>
                  <w:r>
                    <w:rPr>
                      <w:rFonts w:hint="default" w:ascii="Times New Roman" w:hAnsi="Times New Roman" w:eastAsia="宋体" w:cs="Times New Roman"/>
                      <w:caps w:val="0"/>
                      <w:smallCaps w:val="0"/>
                      <w:color w:val="auto"/>
                      <w:spacing w:val="0"/>
                      <w:kern w:val="0"/>
                      <w:sz w:val="21"/>
                      <w:szCs w:val="21"/>
                      <w:highlight w:val="none"/>
                      <w:lang w:val="en-US" w:eastAsia="zh-CN"/>
                    </w:rPr>
                    <w:t>~1</w:t>
                  </w:r>
                  <w:r>
                    <w:rPr>
                      <w:rFonts w:hint="eastAsia" w:ascii="Times New Roman" w:hAnsi="Times New Roman" w:eastAsia="宋体" w:cs="Times New Roman"/>
                      <w:caps w:val="0"/>
                      <w:smallCaps w:val="0"/>
                      <w:color w:val="auto"/>
                      <w:spacing w:val="0"/>
                      <w:kern w:val="0"/>
                      <w:sz w:val="21"/>
                      <w:szCs w:val="21"/>
                      <w:highlight w:val="none"/>
                      <w:lang w:val="en-US" w:eastAsia="zh-CN"/>
                    </w:rPr>
                    <w:t>15</w:t>
                  </w:r>
                </w:p>
              </w:tc>
              <w:tc>
                <w:tcPr>
                  <w:tcW w:w="551" w:type="pct"/>
                  <w:noWrap w:val="0"/>
                  <w:vAlign w:val="center"/>
                </w:tcPr>
                <w:p w14:paraId="3A0CD8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lang w:val="en-US" w:eastAsia="zh-CN"/>
                    </w:rPr>
                  </w:pPr>
                  <w:r>
                    <w:rPr>
                      <w:rFonts w:hint="default" w:ascii="Times New Roman" w:hAnsi="Times New Roman" w:eastAsia="宋体" w:cs="Times New Roman"/>
                      <w:caps w:val="0"/>
                      <w:smallCaps w:val="0"/>
                      <w:color w:val="auto"/>
                      <w:spacing w:val="0"/>
                      <w:sz w:val="21"/>
                      <w:szCs w:val="21"/>
                      <w:highlight w:val="none"/>
                      <w:lang w:val="en-US" w:eastAsia="zh-CN"/>
                    </w:rPr>
                    <w:t>达标</w:t>
                  </w:r>
                  <w:r>
                    <w:rPr>
                      <w:rFonts w:hint="default" w:ascii="Times New Roman" w:hAnsi="Times New Roman" w:eastAsia="宋体" w:cs="Times New Roman"/>
                      <w:caps w:val="0"/>
                      <w:smallCaps w:val="0"/>
                      <w:color w:val="auto"/>
                      <w:spacing w:val="0"/>
                      <w:sz w:val="21"/>
                      <w:szCs w:val="21"/>
                      <w:highlight w:val="none"/>
                      <w:vertAlign w:val="superscript"/>
                      <w:lang w:val="en-US" w:eastAsia="zh-CN"/>
                    </w:rPr>
                    <w:t>①</w:t>
                  </w:r>
                </w:p>
              </w:tc>
              <w:tc>
                <w:tcPr>
                  <w:tcW w:w="554" w:type="pct"/>
                  <w:noWrap w:val="0"/>
                  <w:vAlign w:val="center"/>
                </w:tcPr>
                <w:p w14:paraId="7EB6F3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yellow"/>
                      <w:lang w:val="en-US" w:eastAsia="zh-CN"/>
                    </w:rPr>
                  </w:pPr>
                  <w:r>
                    <w:rPr>
                      <w:rFonts w:hint="eastAsia" w:ascii="Times New Roman" w:hAnsi="Times New Roman" w:eastAsia="宋体" w:cs="Times New Roman"/>
                      <w:caps w:val="0"/>
                      <w:smallCaps w:val="0"/>
                      <w:color w:val="auto"/>
                      <w:spacing w:val="0"/>
                      <w:sz w:val="21"/>
                      <w:szCs w:val="21"/>
                      <w:highlight w:val="none"/>
                      <w:lang w:val="en-US" w:eastAsia="zh-CN"/>
                    </w:rPr>
                    <w:t>0.8</w:t>
                  </w:r>
                </w:p>
              </w:tc>
            </w:tr>
            <w:tr w14:paraId="3950B2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361F4F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rPr>
                  </w:pPr>
                </w:p>
              </w:tc>
              <w:tc>
                <w:tcPr>
                  <w:tcW w:w="435" w:type="pct"/>
                  <w:vMerge w:val="restart"/>
                  <w:noWrap w:val="0"/>
                  <w:vAlign w:val="center"/>
                </w:tcPr>
                <w:p w14:paraId="248BED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rPr>
                  </w:pPr>
                  <w:r>
                    <w:rPr>
                      <w:rFonts w:hint="default" w:ascii="Times New Roman" w:hAnsi="Times New Roman" w:eastAsia="宋体" w:cs="Times New Roman"/>
                      <w:caps w:val="0"/>
                      <w:smallCaps w:val="0"/>
                      <w:color w:val="auto"/>
                      <w:spacing w:val="0"/>
                      <w:sz w:val="21"/>
                      <w:szCs w:val="21"/>
                      <w:highlight w:val="none"/>
                    </w:rPr>
                    <w:t>PM</w:t>
                  </w:r>
                  <w:r>
                    <w:rPr>
                      <w:rFonts w:hint="default" w:ascii="Times New Roman" w:hAnsi="Times New Roman" w:eastAsia="宋体" w:cs="Times New Roman"/>
                      <w:caps w:val="0"/>
                      <w:smallCaps w:val="0"/>
                      <w:color w:val="auto"/>
                      <w:spacing w:val="0"/>
                      <w:sz w:val="21"/>
                      <w:szCs w:val="21"/>
                      <w:highlight w:val="none"/>
                      <w:vertAlign w:val="subscript"/>
                    </w:rPr>
                    <w:t>10</w:t>
                  </w:r>
                </w:p>
              </w:tc>
              <w:tc>
                <w:tcPr>
                  <w:tcW w:w="1289" w:type="pct"/>
                  <w:noWrap w:val="0"/>
                  <w:vAlign w:val="center"/>
                </w:tcPr>
                <w:p w14:paraId="715F1A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rPr>
                  </w:pPr>
                  <w:r>
                    <w:rPr>
                      <w:rFonts w:hint="default" w:ascii="Times New Roman" w:hAnsi="Times New Roman" w:eastAsia="宋体" w:cs="Times New Roman"/>
                      <w:caps w:val="0"/>
                      <w:smallCaps w:val="0"/>
                      <w:color w:val="auto"/>
                      <w:spacing w:val="0"/>
                      <w:sz w:val="21"/>
                      <w:szCs w:val="21"/>
                      <w:highlight w:val="none"/>
                    </w:rPr>
                    <w:t>年平均浓度</w:t>
                  </w:r>
                </w:p>
              </w:tc>
              <w:tc>
                <w:tcPr>
                  <w:tcW w:w="626" w:type="pct"/>
                  <w:noWrap w:val="0"/>
                  <w:vAlign w:val="center"/>
                </w:tcPr>
                <w:p w14:paraId="4A1204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lang w:val="en-US" w:eastAsia="zh-CN"/>
                    </w:rPr>
                  </w:pPr>
                  <w:r>
                    <w:rPr>
                      <w:rFonts w:hint="default" w:ascii="Times New Roman" w:hAnsi="Times New Roman" w:eastAsia="宋体" w:cs="Times New Roman"/>
                      <w:caps w:val="0"/>
                      <w:smallCaps w:val="0"/>
                      <w:color w:val="auto"/>
                      <w:spacing w:val="0"/>
                      <w:kern w:val="0"/>
                      <w:sz w:val="21"/>
                      <w:szCs w:val="21"/>
                      <w:highlight w:val="none"/>
                      <w:lang w:val="en-US" w:eastAsia="zh-CN"/>
                    </w:rPr>
                    <w:t>5</w:t>
                  </w:r>
                  <w:r>
                    <w:rPr>
                      <w:rFonts w:hint="eastAsia" w:ascii="Times New Roman" w:hAnsi="Times New Roman" w:eastAsia="宋体" w:cs="Times New Roman"/>
                      <w:caps w:val="0"/>
                      <w:smallCaps w:val="0"/>
                      <w:color w:val="auto"/>
                      <w:spacing w:val="0"/>
                      <w:kern w:val="0"/>
                      <w:sz w:val="21"/>
                      <w:szCs w:val="21"/>
                      <w:highlight w:val="none"/>
                      <w:lang w:val="en-US" w:eastAsia="zh-CN"/>
                    </w:rPr>
                    <w:t>2</w:t>
                  </w:r>
                </w:p>
              </w:tc>
              <w:tc>
                <w:tcPr>
                  <w:tcW w:w="579" w:type="pct"/>
                  <w:noWrap w:val="0"/>
                  <w:vAlign w:val="center"/>
                </w:tcPr>
                <w:p w14:paraId="43403F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rPr>
                  </w:pPr>
                  <w:r>
                    <w:rPr>
                      <w:rFonts w:hint="default" w:ascii="Times New Roman" w:hAnsi="Times New Roman" w:eastAsia="宋体" w:cs="Times New Roman"/>
                      <w:caps w:val="0"/>
                      <w:smallCaps w:val="0"/>
                      <w:color w:val="auto"/>
                      <w:spacing w:val="0"/>
                      <w:kern w:val="0"/>
                      <w:sz w:val="21"/>
                      <w:szCs w:val="21"/>
                      <w:highlight w:val="none"/>
                    </w:rPr>
                    <w:t>70</w:t>
                  </w:r>
                </w:p>
              </w:tc>
              <w:tc>
                <w:tcPr>
                  <w:tcW w:w="663" w:type="pct"/>
                  <w:noWrap w:val="0"/>
                  <w:vAlign w:val="center"/>
                </w:tcPr>
                <w:p w14:paraId="77614B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lang w:val="en-US" w:eastAsia="zh-CN"/>
                    </w:rPr>
                  </w:pPr>
                  <w:r>
                    <w:rPr>
                      <w:rFonts w:hint="eastAsia" w:ascii="Times New Roman" w:hAnsi="Times New Roman" w:eastAsia="宋体" w:cs="Times New Roman"/>
                      <w:caps w:val="0"/>
                      <w:smallCaps w:val="0"/>
                      <w:color w:val="auto"/>
                      <w:spacing w:val="0"/>
                      <w:sz w:val="21"/>
                      <w:szCs w:val="21"/>
                      <w:highlight w:val="none"/>
                      <w:lang w:val="en-US" w:eastAsia="zh-CN"/>
                    </w:rPr>
                    <w:t>74.29</w:t>
                  </w:r>
                </w:p>
              </w:tc>
              <w:tc>
                <w:tcPr>
                  <w:tcW w:w="551" w:type="pct"/>
                  <w:noWrap w:val="0"/>
                  <w:vAlign w:val="center"/>
                </w:tcPr>
                <w:p w14:paraId="79FBBF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rPr>
                  </w:pPr>
                  <w:r>
                    <w:rPr>
                      <w:rFonts w:hint="default" w:ascii="Times New Roman" w:hAnsi="Times New Roman" w:eastAsia="宋体" w:cs="Times New Roman"/>
                      <w:caps w:val="0"/>
                      <w:smallCaps w:val="0"/>
                      <w:color w:val="auto"/>
                      <w:spacing w:val="0"/>
                      <w:sz w:val="21"/>
                      <w:szCs w:val="21"/>
                      <w:highlight w:val="none"/>
                    </w:rPr>
                    <w:t>达标</w:t>
                  </w:r>
                </w:p>
              </w:tc>
              <w:tc>
                <w:tcPr>
                  <w:tcW w:w="554" w:type="pct"/>
                  <w:noWrap w:val="0"/>
                  <w:vAlign w:val="center"/>
                </w:tcPr>
                <w:p w14:paraId="1EB7A2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lang w:val="en-US" w:eastAsia="zh-CN"/>
                    </w:rPr>
                  </w:pPr>
                  <w:r>
                    <w:rPr>
                      <w:rFonts w:hint="default" w:ascii="Times New Roman" w:hAnsi="Times New Roman" w:eastAsia="宋体" w:cs="Times New Roman"/>
                      <w:caps w:val="0"/>
                      <w:smallCaps w:val="0"/>
                      <w:color w:val="auto"/>
                      <w:spacing w:val="0"/>
                      <w:sz w:val="21"/>
                      <w:szCs w:val="21"/>
                      <w:highlight w:val="none"/>
                      <w:lang w:val="en-US" w:eastAsia="zh-CN"/>
                    </w:rPr>
                    <w:t>/</w:t>
                  </w:r>
                </w:p>
              </w:tc>
            </w:tr>
            <w:tr w14:paraId="1D5107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766867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rPr>
                  </w:pPr>
                </w:p>
              </w:tc>
              <w:tc>
                <w:tcPr>
                  <w:tcW w:w="435" w:type="pct"/>
                  <w:vMerge w:val="continue"/>
                  <w:noWrap w:val="0"/>
                  <w:vAlign w:val="center"/>
                </w:tcPr>
                <w:p w14:paraId="2B08DB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rPr>
                  </w:pPr>
                </w:p>
              </w:tc>
              <w:tc>
                <w:tcPr>
                  <w:tcW w:w="1289" w:type="pct"/>
                  <w:noWrap w:val="0"/>
                  <w:vAlign w:val="center"/>
                </w:tcPr>
                <w:p w14:paraId="37699C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rPr>
                  </w:pPr>
                  <w:r>
                    <w:rPr>
                      <w:rFonts w:hint="default" w:ascii="Times New Roman" w:hAnsi="Times New Roman" w:eastAsia="宋体" w:cs="Times New Roman"/>
                      <w:caps w:val="0"/>
                      <w:smallCaps w:val="0"/>
                      <w:color w:val="auto"/>
                      <w:spacing w:val="0"/>
                      <w:sz w:val="21"/>
                      <w:szCs w:val="21"/>
                      <w:highlight w:val="none"/>
                    </w:rPr>
                    <w:t>日</w:t>
                  </w:r>
                  <w:r>
                    <w:rPr>
                      <w:rFonts w:hint="default" w:ascii="Times New Roman" w:hAnsi="Times New Roman" w:eastAsia="宋体" w:cs="Times New Roman"/>
                      <w:caps w:val="0"/>
                      <w:smallCaps w:val="0"/>
                      <w:color w:val="auto"/>
                      <w:spacing w:val="0"/>
                      <w:sz w:val="21"/>
                      <w:szCs w:val="21"/>
                      <w:highlight w:val="none"/>
                      <w:lang w:val="en-US" w:eastAsia="zh-CN"/>
                    </w:rPr>
                    <w:t>均值浓度</w:t>
                  </w:r>
                </w:p>
              </w:tc>
              <w:tc>
                <w:tcPr>
                  <w:tcW w:w="626" w:type="pct"/>
                  <w:noWrap w:val="0"/>
                  <w:vAlign w:val="center"/>
                </w:tcPr>
                <w:p w14:paraId="272A99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9</w:t>
                  </w:r>
                  <w:r>
                    <w:rPr>
                      <w:rFonts w:hint="default" w:ascii="Times New Roman" w:hAnsi="Times New Roman" w:eastAsia="宋体" w:cs="Times New Roman"/>
                      <w:caps w:val="0"/>
                      <w:smallCaps w:val="0"/>
                      <w:color w:val="auto"/>
                      <w:spacing w:val="0"/>
                      <w:kern w:val="0"/>
                      <w:sz w:val="21"/>
                      <w:szCs w:val="21"/>
                      <w:highlight w:val="none"/>
                      <w:lang w:val="en-US" w:eastAsia="zh-CN"/>
                    </w:rPr>
                    <w:t>~</w:t>
                  </w:r>
                  <w:r>
                    <w:rPr>
                      <w:rFonts w:hint="eastAsia" w:ascii="Times New Roman" w:hAnsi="Times New Roman" w:eastAsia="宋体" w:cs="Times New Roman"/>
                      <w:caps w:val="0"/>
                      <w:smallCaps w:val="0"/>
                      <w:color w:val="auto"/>
                      <w:spacing w:val="0"/>
                      <w:kern w:val="0"/>
                      <w:sz w:val="21"/>
                      <w:szCs w:val="21"/>
                      <w:highlight w:val="none"/>
                      <w:lang w:val="en-US" w:eastAsia="zh-CN"/>
                    </w:rPr>
                    <w:t>206</w:t>
                  </w:r>
                </w:p>
              </w:tc>
              <w:tc>
                <w:tcPr>
                  <w:tcW w:w="579" w:type="pct"/>
                  <w:noWrap w:val="0"/>
                  <w:vAlign w:val="center"/>
                </w:tcPr>
                <w:p w14:paraId="02692C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rPr>
                  </w:pPr>
                  <w:r>
                    <w:rPr>
                      <w:rFonts w:hint="default" w:ascii="Times New Roman" w:hAnsi="Times New Roman" w:eastAsia="宋体" w:cs="Times New Roman"/>
                      <w:caps w:val="0"/>
                      <w:smallCaps w:val="0"/>
                      <w:color w:val="auto"/>
                      <w:spacing w:val="0"/>
                      <w:kern w:val="0"/>
                      <w:sz w:val="21"/>
                      <w:szCs w:val="21"/>
                      <w:highlight w:val="none"/>
                    </w:rPr>
                    <w:t>150</w:t>
                  </w:r>
                </w:p>
              </w:tc>
              <w:tc>
                <w:tcPr>
                  <w:tcW w:w="663" w:type="pct"/>
                  <w:noWrap w:val="0"/>
                  <w:vAlign w:val="center"/>
                </w:tcPr>
                <w:p w14:paraId="1D635C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6</w:t>
                  </w:r>
                  <w:r>
                    <w:rPr>
                      <w:rFonts w:hint="default" w:ascii="Times New Roman" w:hAnsi="Times New Roman" w:eastAsia="宋体" w:cs="Times New Roman"/>
                      <w:caps w:val="0"/>
                      <w:smallCaps w:val="0"/>
                      <w:color w:val="auto"/>
                      <w:spacing w:val="0"/>
                      <w:kern w:val="0"/>
                      <w:sz w:val="21"/>
                      <w:szCs w:val="21"/>
                      <w:highlight w:val="none"/>
                      <w:lang w:val="en-US" w:eastAsia="zh-CN"/>
                    </w:rPr>
                    <w:t>~1</w:t>
                  </w:r>
                  <w:r>
                    <w:rPr>
                      <w:rFonts w:hint="eastAsia" w:ascii="Times New Roman" w:hAnsi="Times New Roman" w:eastAsia="宋体" w:cs="Times New Roman"/>
                      <w:caps w:val="0"/>
                      <w:smallCaps w:val="0"/>
                      <w:color w:val="auto"/>
                      <w:spacing w:val="0"/>
                      <w:kern w:val="0"/>
                      <w:sz w:val="21"/>
                      <w:szCs w:val="21"/>
                      <w:highlight w:val="none"/>
                      <w:lang w:val="en-US" w:eastAsia="zh-CN"/>
                    </w:rPr>
                    <w:t>37.33</w:t>
                  </w:r>
                </w:p>
              </w:tc>
              <w:tc>
                <w:tcPr>
                  <w:tcW w:w="551" w:type="pct"/>
                  <w:noWrap w:val="0"/>
                  <w:vAlign w:val="center"/>
                </w:tcPr>
                <w:p w14:paraId="093A3D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lang w:val="en-US" w:eastAsia="zh-CN"/>
                    </w:rPr>
                  </w:pPr>
                  <w:r>
                    <w:rPr>
                      <w:rFonts w:hint="default" w:ascii="Times New Roman" w:hAnsi="Times New Roman" w:eastAsia="宋体" w:cs="Times New Roman"/>
                      <w:caps w:val="0"/>
                      <w:smallCaps w:val="0"/>
                      <w:color w:val="auto"/>
                      <w:spacing w:val="0"/>
                      <w:sz w:val="21"/>
                      <w:szCs w:val="21"/>
                      <w:highlight w:val="none"/>
                      <w:lang w:val="en-US" w:eastAsia="zh-CN"/>
                    </w:rPr>
                    <w:t>达标</w:t>
                  </w:r>
                  <w:r>
                    <w:rPr>
                      <w:rFonts w:hint="default" w:ascii="Times New Roman" w:hAnsi="Times New Roman" w:eastAsia="宋体" w:cs="Times New Roman"/>
                      <w:caps w:val="0"/>
                      <w:smallCaps w:val="0"/>
                      <w:color w:val="auto"/>
                      <w:spacing w:val="0"/>
                      <w:sz w:val="21"/>
                      <w:szCs w:val="21"/>
                      <w:highlight w:val="none"/>
                      <w:vertAlign w:val="superscript"/>
                      <w:lang w:val="en-US" w:eastAsia="zh-CN"/>
                    </w:rPr>
                    <w:t>②</w:t>
                  </w:r>
                </w:p>
              </w:tc>
              <w:tc>
                <w:tcPr>
                  <w:tcW w:w="554" w:type="pct"/>
                  <w:noWrap w:val="0"/>
                  <w:vAlign w:val="center"/>
                </w:tcPr>
                <w:p w14:paraId="1D538B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yellow"/>
                      <w:lang w:val="en-US" w:eastAsia="zh-CN"/>
                    </w:rPr>
                  </w:pPr>
                  <w:r>
                    <w:rPr>
                      <w:rFonts w:hint="eastAsia" w:ascii="Times New Roman" w:hAnsi="Times New Roman" w:eastAsia="宋体" w:cs="Times New Roman"/>
                      <w:caps w:val="0"/>
                      <w:smallCaps w:val="0"/>
                      <w:color w:val="auto"/>
                      <w:spacing w:val="0"/>
                      <w:sz w:val="21"/>
                      <w:szCs w:val="21"/>
                      <w:highlight w:val="none"/>
                      <w:lang w:val="en-US" w:eastAsia="zh-CN"/>
                    </w:rPr>
                    <w:t>1.7</w:t>
                  </w:r>
                </w:p>
              </w:tc>
            </w:tr>
            <w:tr w14:paraId="3E5807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7A0711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rPr>
                  </w:pPr>
                </w:p>
              </w:tc>
              <w:tc>
                <w:tcPr>
                  <w:tcW w:w="435" w:type="pct"/>
                  <w:vMerge w:val="restart"/>
                  <w:noWrap w:val="0"/>
                  <w:vAlign w:val="center"/>
                </w:tcPr>
                <w:p w14:paraId="40BC35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rPr>
                  </w:pPr>
                  <w:r>
                    <w:rPr>
                      <w:rFonts w:hint="default" w:ascii="Times New Roman" w:hAnsi="Times New Roman" w:eastAsia="宋体" w:cs="Times New Roman"/>
                      <w:caps w:val="0"/>
                      <w:smallCaps w:val="0"/>
                      <w:color w:val="auto"/>
                      <w:spacing w:val="0"/>
                      <w:sz w:val="21"/>
                      <w:szCs w:val="21"/>
                      <w:highlight w:val="none"/>
                    </w:rPr>
                    <w:t>PM</w:t>
                  </w:r>
                  <w:r>
                    <w:rPr>
                      <w:rFonts w:hint="default" w:ascii="Times New Roman" w:hAnsi="Times New Roman" w:eastAsia="宋体" w:cs="Times New Roman"/>
                      <w:caps w:val="0"/>
                      <w:smallCaps w:val="0"/>
                      <w:color w:val="auto"/>
                      <w:spacing w:val="0"/>
                      <w:sz w:val="21"/>
                      <w:szCs w:val="21"/>
                      <w:highlight w:val="none"/>
                      <w:vertAlign w:val="subscript"/>
                    </w:rPr>
                    <w:t>2.5</w:t>
                  </w:r>
                </w:p>
              </w:tc>
              <w:tc>
                <w:tcPr>
                  <w:tcW w:w="1289" w:type="pct"/>
                  <w:noWrap w:val="0"/>
                  <w:vAlign w:val="center"/>
                </w:tcPr>
                <w:p w14:paraId="4E4431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rPr>
                  </w:pPr>
                  <w:r>
                    <w:rPr>
                      <w:rFonts w:hint="default" w:ascii="Times New Roman" w:hAnsi="Times New Roman" w:eastAsia="宋体" w:cs="Times New Roman"/>
                      <w:caps w:val="0"/>
                      <w:smallCaps w:val="0"/>
                      <w:color w:val="auto"/>
                      <w:spacing w:val="0"/>
                      <w:sz w:val="21"/>
                      <w:szCs w:val="21"/>
                      <w:highlight w:val="none"/>
                    </w:rPr>
                    <w:t>年平均浓度</w:t>
                  </w:r>
                </w:p>
              </w:tc>
              <w:tc>
                <w:tcPr>
                  <w:tcW w:w="626" w:type="pct"/>
                  <w:noWrap w:val="0"/>
                  <w:vAlign w:val="center"/>
                </w:tcPr>
                <w:p w14:paraId="7871DC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lang w:val="en-US" w:eastAsia="zh-CN"/>
                    </w:rPr>
                  </w:pPr>
                  <w:r>
                    <w:rPr>
                      <w:rFonts w:hint="default" w:ascii="Times New Roman" w:hAnsi="Times New Roman" w:eastAsia="宋体" w:cs="Times New Roman"/>
                      <w:caps w:val="0"/>
                      <w:smallCaps w:val="0"/>
                      <w:color w:val="auto"/>
                      <w:spacing w:val="0"/>
                      <w:kern w:val="0"/>
                      <w:sz w:val="21"/>
                      <w:szCs w:val="21"/>
                      <w:highlight w:val="none"/>
                      <w:lang w:val="en-US" w:eastAsia="zh-CN"/>
                    </w:rPr>
                    <w:t>3</w:t>
                  </w:r>
                  <w:r>
                    <w:rPr>
                      <w:rFonts w:hint="eastAsia" w:ascii="Times New Roman" w:hAnsi="Times New Roman" w:eastAsia="宋体" w:cs="Times New Roman"/>
                      <w:caps w:val="0"/>
                      <w:smallCaps w:val="0"/>
                      <w:color w:val="auto"/>
                      <w:spacing w:val="0"/>
                      <w:kern w:val="0"/>
                      <w:sz w:val="21"/>
                      <w:szCs w:val="21"/>
                      <w:highlight w:val="none"/>
                      <w:lang w:val="en-US" w:eastAsia="zh-CN"/>
                    </w:rPr>
                    <w:t>2</w:t>
                  </w:r>
                </w:p>
              </w:tc>
              <w:tc>
                <w:tcPr>
                  <w:tcW w:w="579" w:type="pct"/>
                  <w:noWrap w:val="0"/>
                  <w:vAlign w:val="center"/>
                </w:tcPr>
                <w:p w14:paraId="27DC29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rPr>
                  </w:pPr>
                  <w:r>
                    <w:rPr>
                      <w:rFonts w:hint="default" w:ascii="Times New Roman" w:hAnsi="Times New Roman" w:eastAsia="宋体" w:cs="Times New Roman"/>
                      <w:caps w:val="0"/>
                      <w:smallCaps w:val="0"/>
                      <w:color w:val="auto"/>
                      <w:spacing w:val="0"/>
                      <w:kern w:val="0"/>
                      <w:sz w:val="21"/>
                      <w:szCs w:val="21"/>
                      <w:highlight w:val="none"/>
                    </w:rPr>
                    <w:t>35</w:t>
                  </w:r>
                </w:p>
              </w:tc>
              <w:tc>
                <w:tcPr>
                  <w:tcW w:w="663" w:type="pct"/>
                  <w:noWrap w:val="0"/>
                  <w:vAlign w:val="center"/>
                </w:tcPr>
                <w:p w14:paraId="7F1F1C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lang w:val="en-US" w:eastAsia="zh-CN"/>
                    </w:rPr>
                  </w:pPr>
                  <w:r>
                    <w:rPr>
                      <w:rFonts w:hint="default" w:ascii="Times New Roman" w:hAnsi="Times New Roman" w:eastAsia="宋体" w:cs="Times New Roman"/>
                      <w:caps w:val="0"/>
                      <w:smallCaps w:val="0"/>
                      <w:color w:val="auto"/>
                      <w:spacing w:val="0"/>
                      <w:sz w:val="21"/>
                      <w:szCs w:val="21"/>
                      <w:highlight w:val="none"/>
                      <w:lang w:val="en-US" w:eastAsia="zh-CN"/>
                    </w:rPr>
                    <w:t>9</w:t>
                  </w:r>
                  <w:r>
                    <w:rPr>
                      <w:rFonts w:hint="eastAsia" w:ascii="Times New Roman" w:hAnsi="Times New Roman" w:eastAsia="宋体" w:cs="Times New Roman"/>
                      <w:caps w:val="0"/>
                      <w:smallCaps w:val="0"/>
                      <w:color w:val="auto"/>
                      <w:spacing w:val="0"/>
                      <w:sz w:val="21"/>
                      <w:szCs w:val="21"/>
                      <w:highlight w:val="none"/>
                      <w:lang w:val="en-US" w:eastAsia="zh-CN"/>
                    </w:rPr>
                    <w:t>1.43</w:t>
                  </w:r>
                </w:p>
              </w:tc>
              <w:tc>
                <w:tcPr>
                  <w:tcW w:w="551" w:type="pct"/>
                  <w:noWrap w:val="0"/>
                  <w:vAlign w:val="center"/>
                </w:tcPr>
                <w:p w14:paraId="281798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rPr>
                  </w:pPr>
                  <w:r>
                    <w:rPr>
                      <w:rFonts w:hint="default" w:ascii="Times New Roman" w:hAnsi="Times New Roman" w:eastAsia="宋体" w:cs="Times New Roman"/>
                      <w:caps w:val="0"/>
                      <w:smallCaps w:val="0"/>
                      <w:color w:val="auto"/>
                      <w:spacing w:val="0"/>
                      <w:sz w:val="21"/>
                      <w:szCs w:val="21"/>
                      <w:highlight w:val="none"/>
                    </w:rPr>
                    <w:t>达标</w:t>
                  </w:r>
                </w:p>
              </w:tc>
              <w:tc>
                <w:tcPr>
                  <w:tcW w:w="554" w:type="pct"/>
                  <w:noWrap w:val="0"/>
                  <w:vAlign w:val="center"/>
                </w:tcPr>
                <w:p w14:paraId="7552D4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lang w:val="en-US" w:eastAsia="zh-CN"/>
                    </w:rPr>
                  </w:pPr>
                  <w:r>
                    <w:rPr>
                      <w:rFonts w:hint="default" w:ascii="Times New Roman" w:hAnsi="Times New Roman" w:eastAsia="宋体" w:cs="Times New Roman"/>
                      <w:caps w:val="0"/>
                      <w:smallCaps w:val="0"/>
                      <w:color w:val="auto"/>
                      <w:spacing w:val="0"/>
                      <w:sz w:val="21"/>
                      <w:szCs w:val="21"/>
                      <w:highlight w:val="none"/>
                      <w:lang w:val="en-US" w:eastAsia="zh-CN"/>
                    </w:rPr>
                    <w:t>/</w:t>
                  </w:r>
                </w:p>
              </w:tc>
            </w:tr>
            <w:tr w14:paraId="0416BA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2ECACD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rPr>
                  </w:pPr>
                </w:p>
              </w:tc>
              <w:tc>
                <w:tcPr>
                  <w:tcW w:w="435" w:type="pct"/>
                  <w:vMerge w:val="continue"/>
                  <w:noWrap w:val="0"/>
                  <w:vAlign w:val="center"/>
                </w:tcPr>
                <w:p w14:paraId="6B599A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rPr>
                  </w:pPr>
                </w:p>
              </w:tc>
              <w:tc>
                <w:tcPr>
                  <w:tcW w:w="1289" w:type="pct"/>
                  <w:noWrap w:val="0"/>
                  <w:vAlign w:val="center"/>
                </w:tcPr>
                <w:p w14:paraId="64C779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rPr>
                  </w:pPr>
                  <w:r>
                    <w:rPr>
                      <w:rFonts w:hint="default" w:ascii="Times New Roman" w:hAnsi="Times New Roman" w:eastAsia="宋体" w:cs="Times New Roman"/>
                      <w:caps w:val="0"/>
                      <w:smallCaps w:val="0"/>
                      <w:color w:val="auto"/>
                      <w:spacing w:val="0"/>
                      <w:sz w:val="21"/>
                      <w:szCs w:val="21"/>
                      <w:highlight w:val="none"/>
                    </w:rPr>
                    <w:t>日</w:t>
                  </w:r>
                  <w:r>
                    <w:rPr>
                      <w:rFonts w:hint="default" w:ascii="Times New Roman" w:hAnsi="Times New Roman" w:eastAsia="宋体" w:cs="Times New Roman"/>
                      <w:caps w:val="0"/>
                      <w:smallCaps w:val="0"/>
                      <w:color w:val="auto"/>
                      <w:spacing w:val="0"/>
                      <w:sz w:val="21"/>
                      <w:szCs w:val="21"/>
                      <w:highlight w:val="none"/>
                      <w:lang w:val="en-US" w:eastAsia="zh-CN"/>
                    </w:rPr>
                    <w:t>均值浓度</w:t>
                  </w:r>
                </w:p>
              </w:tc>
              <w:tc>
                <w:tcPr>
                  <w:tcW w:w="626" w:type="pct"/>
                  <w:noWrap w:val="0"/>
                  <w:vAlign w:val="center"/>
                </w:tcPr>
                <w:p w14:paraId="2CFDD7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5</w:t>
                  </w:r>
                  <w:r>
                    <w:rPr>
                      <w:rFonts w:hint="default" w:ascii="Times New Roman" w:hAnsi="Times New Roman" w:eastAsia="宋体" w:cs="Times New Roman"/>
                      <w:caps w:val="0"/>
                      <w:smallCaps w:val="0"/>
                      <w:color w:val="auto"/>
                      <w:spacing w:val="0"/>
                      <w:kern w:val="0"/>
                      <w:sz w:val="21"/>
                      <w:szCs w:val="21"/>
                      <w:highlight w:val="none"/>
                      <w:lang w:val="en-US" w:eastAsia="zh-CN"/>
                    </w:rPr>
                    <w:t>~15</w:t>
                  </w:r>
                  <w:r>
                    <w:rPr>
                      <w:rFonts w:hint="eastAsia" w:ascii="Times New Roman" w:hAnsi="Times New Roman" w:eastAsia="宋体" w:cs="Times New Roman"/>
                      <w:caps w:val="0"/>
                      <w:smallCaps w:val="0"/>
                      <w:color w:val="auto"/>
                      <w:spacing w:val="0"/>
                      <w:kern w:val="0"/>
                      <w:sz w:val="21"/>
                      <w:szCs w:val="21"/>
                      <w:highlight w:val="none"/>
                      <w:lang w:val="en-US" w:eastAsia="zh-CN"/>
                    </w:rPr>
                    <w:t>7</w:t>
                  </w:r>
                </w:p>
              </w:tc>
              <w:tc>
                <w:tcPr>
                  <w:tcW w:w="579" w:type="pct"/>
                  <w:noWrap w:val="0"/>
                  <w:vAlign w:val="center"/>
                </w:tcPr>
                <w:p w14:paraId="7B708A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rPr>
                  </w:pPr>
                  <w:r>
                    <w:rPr>
                      <w:rFonts w:hint="default" w:ascii="Times New Roman" w:hAnsi="Times New Roman" w:eastAsia="宋体" w:cs="Times New Roman"/>
                      <w:caps w:val="0"/>
                      <w:smallCaps w:val="0"/>
                      <w:color w:val="auto"/>
                      <w:spacing w:val="0"/>
                      <w:kern w:val="0"/>
                      <w:sz w:val="21"/>
                      <w:szCs w:val="21"/>
                      <w:highlight w:val="none"/>
                    </w:rPr>
                    <w:t>75</w:t>
                  </w:r>
                </w:p>
              </w:tc>
              <w:tc>
                <w:tcPr>
                  <w:tcW w:w="663" w:type="pct"/>
                  <w:noWrap w:val="0"/>
                  <w:vAlign w:val="center"/>
                </w:tcPr>
                <w:p w14:paraId="2C7FFD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6.67</w:t>
                  </w:r>
                  <w:r>
                    <w:rPr>
                      <w:rFonts w:hint="default" w:ascii="Times New Roman" w:hAnsi="Times New Roman" w:eastAsia="宋体" w:cs="Times New Roman"/>
                      <w:caps w:val="0"/>
                      <w:smallCaps w:val="0"/>
                      <w:color w:val="auto"/>
                      <w:spacing w:val="0"/>
                      <w:kern w:val="0"/>
                      <w:sz w:val="21"/>
                      <w:szCs w:val="21"/>
                      <w:highlight w:val="none"/>
                      <w:lang w:val="en-US" w:eastAsia="zh-CN"/>
                    </w:rPr>
                    <w:t>~20</w:t>
                  </w:r>
                  <w:r>
                    <w:rPr>
                      <w:rFonts w:hint="eastAsia" w:ascii="Times New Roman" w:hAnsi="Times New Roman" w:eastAsia="宋体" w:cs="Times New Roman"/>
                      <w:caps w:val="0"/>
                      <w:smallCaps w:val="0"/>
                      <w:color w:val="auto"/>
                      <w:spacing w:val="0"/>
                      <w:kern w:val="0"/>
                      <w:sz w:val="21"/>
                      <w:szCs w:val="21"/>
                      <w:highlight w:val="none"/>
                      <w:lang w:val="en-US" w:eastAsia="zh-CN"/>
                    </w:rPr>
                    <w:t>9.33</w:t>
                  </w:r>
                </w:p>
              </w:tc>
              <w:tc>
                <w:tcPr>
                  <w:tcW w:w="551" w:type="pct"/>
                  <w:noWrap w:val="0"/>
                  <w:vAlign w:val="center"/>
                </w:tcPr>
                <w:p w14:paraId="5B1006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lang w:val="en-US" w:eastAsia="zh-CN"/>
                    </w:rPr>
                  </w:pPr>
                  <w:r>
                    <w:rPr>
                      <w:rFonts w:hint="default" w:ascii="Times New Roman" w:hAnsi="Times New Roman" w:eastAsia="宋体" w:cs="Times New Roman"/>
                      <w:caps w:val="0"/>
                      <w:smallCaps w:val="0"/>
                      <w:color w:val="auto"/>
                      <w:spacing w:val="0"/>
                      <w:sz w:val="21"/>
                      <w:szCs w:val="21"/>
                      <w:highlight w:val="none"/>
                      <w:lang w:val="en-US" w:eastAsia="zh-CN"/>
                    </w:rPr>
                    <w:t>超标</w:t>
                  </w:r>
                  <w:r>
                    <w:rPr>
                      <w:rFonts w:hint="default" w:ascii="Times New Roman" w:hAnsi="Times New Roman" w:eastAsia="宋体" w:cs="Times New Roman"/>
                      <w:caps w:val="0"/>
                      <w:smallCaps w:val="0"/>
                      <w:color w:val="auto"/>
                      <w:spacing w:val="0"/>
                      <w:sz w:val="21"/>
                      <w:szCs w:val="21"/>
                      <w:highlight w:val="none"/>
                      <w:vertAlign w:val="superscript"/>
                      <w:lang w:val="en-US" w:eastAsia="zh-CN"/>
                    </w:rPr>
                    <w:t>③</w:t>
                  </w:r>
                </w:p>
              </w:tc>
              <w:tc>
                <w:tcPr>
                  <w:tcW w:w="554" w:type="pct"/>
                  <w:noWrap w:val="0"/>
                  <w:vAlign w:val="center"/>
                </w:tcPr>
                <w:p w14:paraId="42D729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yellow"/>
                      <w:lang w:val="en-US" w:eastAsia="zh-CN"/>
                    </w:rPr>
                  </w:pPr>
                  <w:r>
                    <w:rPr>
                      <w:rFonts w:hint="default" w:ascii="Times New Roman" w:hAnsi="Times New Roman" w:eastAsia="宋体" w:cs="Times New Roman"/>
                      <w:caps w:val="0"/>
                      <w:smallCaps w:val="0"/>
                      <w:color w:val="auto"/>
                      <w:spacing w:val="0"/>
                      <w:sz w:val="21"/>
                      <w:szCs w:val="21"/>
                      <w:highlight w:val="none"/>
                      <w:lang w:val="en-US" w:eastAsia="zh-CN"/>
                    </w:rPr>
                    <w:t>6.</w:t>
                  </w:r>
                  <w:r>
                    <w:rPr>
                      <w:rFonts w:hint="eastAsia" w:ascii="Times New Roman" w:hAnsi="Times New Roman" w:eastAsia="宋体" w:cs="Times New Roman"/>
                      <w:caps w:val="0"/>
                      <w:smallCaps w:val="0"/>
                      <w:color w:val="auto"/>
                      <w:spacing w:val="0"/>
                      <w:sz w:val="21"/>
                      <w:szCs w:val="21"/>
                      <w:highlight w:val="none"/>
                      <w:lang w:val="en-US" w:eastAsia="zh-CN"/>
                    </w:rPr>
                    <w:t>8</w:t>
                  </w:r>
                </w:p>
              </w:tc>
            </w:tr>
            <w:tr w14:paraId="798347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5" w:hRule="atLeast"/>
              </w:trPr>
              <w:tc>
                <w:tcPr>
                  <w:tcW w:w="300" w:type="pct"/>
                  <w:vMerge w:val="continue"/>
                  <w:noWrap w:val="0"/>
                  <w:vAlign w:val="top"/>
                </w:tcPr>
                <w:p w14:paraId="343BD0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rPr>
                  </w:pPr>
                </w:p>
              </w:tc>
              <w:tc>
                <w:tcPr>
                  <w:tcW w:w="435" w:type="pct"/>
                  <w:vMerge w:val="restart"/>
                  <w:noWrap w:val="0"/>
                  <w:vAlign w:val="center"/>
                </w:tcPr>
                <w:p w14:paraId="4A8D03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rPr>
                  </w:pPr>
                  <w:r>
                    <w:rPr>
                      <w:rFonts w:hint="default" w:ascii="Times New Roman" w:hAnsi="Times New Roman" w:eastAsia="宋体" w:cs="Times New Roman"/>
                      <w:caps w:val="0"/>
                      <w:smallCaps w:val="0"/>
                      <w:color w:val="auto"/>
                      <w:spacing w:val="0"/>
                      <w:sz w:val="21"/>
                      <w:szCs w:val="21"/>
                      <w:highlight w:val="none"/>
                    </w:rPr>
                    <w:t>CO</w:t>
                  </w:r>
                </w:p>
              </w:tc>
              <w:tc>
                <w:tcPr>
                  <w:tcW w:w="1289" w:type="pct"/>
                  <w:noWrap w:val="0"/>
                  <w:tcMar>
                    <w:top w:w="0" w:type="dxa"/>
                    <w:left w:w="0" w:type="dxa"/>
                    <w:bottom w:w="0" w:type="dxa"/>
                    <w:right w:w="0" w:type="dxa"/>
                  </w:tcMar>
                  <w:vAlign w:val="center"/>
                </w:tcPr>
                <w:p w14:paraId="2CBAEF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rPr>
                  </w:pPr>
                  <w:r>
                    <w:rPr>
                      <w:rFonts w:hint="default" w:ascii="Times New Roman" w:hAnsi="Times New Roman" w:eastAsia="宋体" w:cs="Times New Roman"/>
                      <w:caps w:val="0"/>
                      <w:smallCaps w:val="0"/>
                      <w:color w:val="auto"/>
                      <w:spacing w:val="0"/>
                      <w:sz w:val="21"/>
                      <w:szCs w:val="21"/>
                      <w:highlight w:val="none"/>
                    </w:rPr>
                    <w:t>日平均第95百分位数</w:t>
                  </w:r>
                </w:p>
              </w:tc>
              <w:tc>
                <w:tcPr>
                  <w:tcW w:w="626" w:type="pct"/>
                  <w:noWrap w:val="0"/>
                  <w:vAlign w:val="center"/>
                </w:tcPr>
                <w:p w14:paraId="4C2310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lang w:val="en-US" w:eastAsia="zh-CN"/>
                    </w:rPr>
                  </w:pPr>
                  <w:r>
                    <w:rPr>
                      <w:rFonts w:hint="default" w:ascii="Times New Roman" w:hAnsi="Times New Roman" w:eastAsia="宋体" w:cs="Times New Roman"/>
                      <w:caps w:val="0"/>
                      <w:smallCaps w:val="0"/>
                      <w:color w:val="auto"/>
                      <w:spacing w:val="0"/>
                      <w:kern w:val="0"/>
                      <w:sz w:val="21"/>
                      <w:szCs w:val="21"/>
                      <w:highlight w:val="none"/>
                    </w:rPr>
                    <w:t>1</w:t>
                  </w:r>
                  <w:r>
                    <w:rPr>
                      <w:rFonts w:hint="default" w:ascii="Times New Roman" w:hAnsi="Times New Roman" w:eastAsia="宋体" w:cs="Times New Roman"/>
                      <w:caps w:val="0"/>
                      <w:smallCaps w:val="0"/>
                      <w:color w:val="auto"/>
                      <w:spacing w:val="0"/>
                      <w:kern w:val="0"/>
                      <w:sz w:val="21"/>
                      <w:szCs w:val="21"/>
                      <w:highlight w:val="none"/>
                      <w:lang w:val="en-US" w:eastAsia="zh-CN"/>
                    </w:rPr>
                    <w:t>100</w:t>
                  </w:r>
                </w:p>
              </w:tc>
              <w:tc>
                <w:tcPr>
                  <w:tcW w:w="579" w:type="pct"/>
                  <w:vMerge w:val="restart"/>
                  <w:noWrap w:val="0"/>
                  <w:vAlign w:val="center"/>
                </w:tcPr>
                <w:p w14:paraId="0AEDD6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rPr>
                  </w:pPr>
                  <w:r>
                    <w:rPr>
                      <w:rFonts w:hint="default" w:ascii="Times New Roman" w:hAnsi="Times New Roman" w:eastAsia="宋体" w:cs="Times New Roman"/>
                      <w:caps w:val="0"/>
                      <w:smallCaps w:val="0"/>
                      <w:color w:val="auto"/>
                      <w:spacing w:val="0"/>
                      <w:kern w:val="0"/>
                      <w:sz w:val="21"/>
                      <w:szCs w:val="21"/>
                      <w:highlight w:val="none"/>
                    </w:rPr>
                    <w:t>4000</w:t>
                  </w:r>
                </w:p>
              </w:tc>
              <w:tc>
                <w:tcPr>
                  <w:tcW w:w="663" w:type="pct"/>
                  <w:noWrap w:val="0"/>
                  <w:vAlign w:val="center"/>
                </w:tcPr>
                <w:p w14:paraId="103BC6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rPr>
                  </w:pPr>
                  <w:r>
                    <w:rPr>
                      <w:rFonts w:hint="default" w:ascii="Times New Roman" w:hAnsi="Times New Roman" w:eastAsia="宋体" w:cs="Times New Roman"/>
                      <w:caps w:val="0"/>
                      <w:smallCaps w:val="0"/>
                      <w:color w:val="auto"/>
                      <w:spacing w:val="0"/>
                      <w:sz w:val="21"/>
                      <w:szCs w:val="21"/>
                      <w:highlight w:val="none"/>
                    </w:rPr>
                    <w:t>2</w:t>
                  </w:r>
                  <w:r>
                    <w:rPr>
                      <w:rFonts w:hint="default" w:ascii="Times New Roman" w:hAnsi="Times New Roman" w:eastAsia="宋体" w:cs="Times New Roman"/>
                      <w:caps w:val="0"/>
                      <w:smallCaps w:val="0"/>
                      <w:color w:val="auto"/>
                      <w:spacing w:val="0"/>
                      <w:sz w:val="21"/>
                      <w:szCs w:val="21"/>
                      <w:highlight w:val="none"/>
                      <w:lang w:val="en-US" w:eastAsia="zh-CN"/>
                    </w:rPr>
                    <w:t>7.</w:t>
                  </w:r>
                  <w:r>
                    <w:rPr>
                      <w:rFonts w:hint="default" w:ascii="Times New Roman" w:hAnsi="Times New Roman" w:eastAsia="宋体" w:cs="Times New Roman"/>
                      <w:caps w:val="0"/>
                      <w:smallCaps w:val="0"/>
                      <w:color w:val="auto"/>
                      <w:spacing w:val="0"/>
                      <w:sz w:val="21"/>
                      <w:szCs w:val="21"/>
                      <w:highlight w:val="none"/>
                    </w:rPr>
                    <w:t>5</w:t>
                  </w:r>
                </w:p>
              </w:tc>
              <w:tc>
                <w:tcPr>
                  <w:tcW w:w="551" w:type="pct"/>
                  <w:vMerge w:val="restart"/>
                  <w:noWrap w:val="0"/>
                  <w:vAlign w:val="center"/>
                </w:tcPr>
                <w:p w14:paraId="21D06B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rPr>
                  </w:pPr>
                  <w:r>
                    <w:rPr>
                      <w:rFonts w:hint="default" w:ascii="Times New Roman" w:hAnsi="Times New Roman" w:eastAsia="宋体" w:cs="Times New Roman"/>
                      <w:caps w:val="0"/>
                      <w:smallCaps w:val="0"/>
                      <w:color w:val="auto"/>
                      <w:spacing w:val="0"/>
                      <w:sz w:val="21"/>
                      <w:szCs w:val="21"/>
                      <w:highlight w:val="none"/>
                    </w:rPr>
                    <w:t>达标</w:t>
                  </w:r>
                </w:p>
              </w:tc>
              <w:tc>
                <w:tcPr>
                  <w:tcW w:w="554" w:type="pct"/>
                  <w:vMerge w:val="restart"/>
                  <w:noWrap w:val="0"/>
                  <w:vAlign w:val="center"/>
                </w:tcPr>
                <w:p w14:paraId="1A178B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lang w:val="en-US" w:eastAsia="zh-CN"/>
                    </w:rPr>
                  </w:pPr>
                  <w:r>
                    <w:rPr>
                      <w:rFonts w:hint="default" w:ascii="Times New Roman" w:hAnsi="Times New Roman" w:eastAsia="宋体" w:cs="Times New Roman"/>
                      <w:caps w:val="0"/>
                      <w:smallCaps w:val="0"/>
                      <w:color w:val="auto"/>
                      <w:spacing w:val="0"/>
                      <w:sz w:val="21"/>
                      <w:szCs w:val="21"/>
                      <w:highlight w:val="none"/>
                      <w:lang w:val="en-US" w:eastAsia="zh-CN"/>
                    </w:rPr>
                    <w:t>/</w:t>
                  </w:r>
                </w:p>
              </w:tc>
            </w:tr>
            <w:tr w14:paraId="0E5496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5" w:hRule="atLeast"/>
              </w:trPr>
              <w:tc>
                <w:tcPr>
                  <w:tcW w:w="300" w:type="pct"/>
                  <w:vMerge w:val="continue"/>
                  <w:noWrap w:val="0"/>
                  <w:vAlign w:val="top"/>
                </w:tcPr>
                <w:p w14:paraId="631EA0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rPr>
                  </w:pPr>
                </w:p>
              </w:tc>
              <w:tc>
                <w:tcPr>
                  <w:tcW w:w="435" w:type="pct"/>
                  <w:vMerge w:val="continue"/>
                  <w:noWrap w:val="0"/>
                  <w:vAlign w:val="center"/>
                </w:tcPr>
                <w:p w14:paraId="537246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yellow"/>
                    </w:rPr>
                  </w:pPr>
                </w:p>
              </w:tc>
              <w:tc>
                <w:tcPr>
                  <w:tcW w:w="1289" w:type="pct"/>
                  <w:noWrap w:val="0"/>
                  <w:tcMar>
                    <w:top w:w="0" w:type="dxa"/>
                    <w:left w:w="0" w:type="dxa"/>
                    <w:bottom w:w="0" w:type="dxa"/>
                    <w:right w:w="0" w:type="dxa"/>
                  </w:tcMar>
                  <w:vAlign w:val="center"/>
                </w:tcPr>
                <w:p w14:paraId="14F358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lang w:val="en-US" w:eastAsia="zh-CN"/>
                    </w:rPr>
                  </w:pPr>
                  <w:r>
                    <w:rPr>
                      <w:rFonts w:hint="default" w:ascii="Times New Roman" w:hAnsi="Times New Roman" w:eastAsia="宋体" w:cs="Times New Roman"/>
                      <w:caps w:val="0"/>
                      <w:smallCaps w:val="0"/>
                      <w:color w:val="auto"/>
                      <w:spacing w:val="0"/>
                      <w:sz w:val="21"/>
                      <w:szCs w:val="21"/>
                      <w:highlight w:val="none"/>
                      <w:lang w:val="en-US" w:eastAsia="zh-CN"/>
                    </w:rPr>
                    <w:t>日均值浓度</w:t>
                  </w:r>
                </w:p>
              </w:tc>
              <w:tc>
                <w:tcPr>
                  <w:tcW w:w="626" w:type="pct"/>
                  <w:noWrap w:val="0"/>
                  <w:vAlign w:val="center"/>
                </w:tcPr>
                <w:p w14:paraId="1BFE9F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lang w:val="en-US" w:eastAsia="zh-CN"/>
                    </w:rPr>
                  </w:pPr>
                  <w:r>
                    <w:rPr>
                      <w:rFonts w:hint="default" w:ascii="Times New Roman" w:hAnsi="Times New Roman" w:eastAsia="宋体" w:cs="Times New Roman"/>
                      <w:caps w:val="0"/>
                      <w:smallCaps w:val="0"/>
                      <w:color w:val="auto"/>
                      <w:spacing w:val="0"/>
                      <w:sz w:val="21"/>
                      <w:szCs w:val="21"/>
                      <w:highlight w:val="none"/>
                      <w:lang w:val="en-US" w:eastAsia="zh-CN"/>
                    </w:rPr>
                    <w:t>400~1500</w:t>
                  </w:r>
                </w:p>
              </w:tc>
              <w:tc>
                <w:tcPr>
                  <w:tcW w:w="579" w:type="pct"/>
                  <w:vMerge w:val="continue"/>
                  <w:noWrap w:val="0"/>
                  <w:vAlign w:val="center"/>
                </w:tcPr>
                <w:p w14:paraId="61C794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rPr>
                  </w:pPr>
                </w:p>
              </w:tc>
              <w:tc>
                <w:tcPr>
                  <w:tcW w:w="663" w:type="pct"/>
                  <w:noWrap w:val="0"/>
                  <w:vAlign w:val="center"/>
                </w:tcPr>
                <w:p w14:paraId="14459E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lang w:val="en-US" w:eastAsia="zh-CN"/>
                    </w:rPr>
                  </w:pPr>
                  <w:r>
                    <w:rPr>
                      <w:rFonts w:hint="default" w:ascii="Times New Roman" w:hAnsi="Times New Roman" w:eastAsia="宋体" w:cs="Times New Roman"/>
                      <w:caps w:val="0"/>
                      <w:smallCaps w:val="0"/>
                      <w:color w:val="auto"/>
                      <w:spacing w:val="0"/>
                      <w:sz w:val="21"/>
                      <w:szCs w:val="21"/>
                      <w:highlight w:val="none"/>
                      <w:lang w:val="en-US" w:eastAsia="zh-CN"/>
                    </w:rPr>
                    <w:t>10~37.5</w:t>
                  </w:r>
                </w:p>
              </w:tc>
              <w:tc>
                <w:tcPr>
                  <w:tcW w:w="551" w:type="pct"/>
                  <w:vMerge w:val="continue"/>
                  <w:noWrap w:val="0"/>
                  <w:vAlign w:val="center"/>
                </w:tcPr>
                <w:p w14:paraId="1C76AC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rPr>
                  </w:pPr>
                </w:p>
              </w:tc>
              <w:tc>
                <w:tcPr>
                  <w:tcW w:w="554" w:type="pct"/>
                  <w:vMerge w:val="continue"/>
                  <w:noWrap w:val="0"/>
                  <w:vAlign w:val="center"/>
                </w:tcPr>
                <w:p w14:paraId="41800A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yellow"/>
                    </w:rPr>
                  </w:pPr>
                </w:p>
              </w:tc>
            </w:tr>
            <w:tr w14:paraId="6C9D1B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1B4146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rPr>
                  </w:pPr>
                </w:p>
              </w:tc>
              <w:tc>
                <w:tcPr>
                  <w:tcW w:w="435" w:type="pct"/>
                  <w:noWrap w:val="0"/>
                  <w:vAlign w:val="center"/>
                </w:tcPr>
                <w:p w14:paraId="1A3BBF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rPr>
                  </w:pPr>
                  <w:r>
                    <w:rPr>
                      <w:rFonts w:hint="default" w:ascii="Times New Roman" w:hAnsi="Times New Roman" w:eastAsia="宋体" w:cs="Times New Roman"/>
                      <w:caps w:val="0"/>
                      <w:smallCaps w:val="0"/>
                      <w:color w:val="auto"/>
                      <w:spacing w:val="0"/>
                      <w:sz w:val="21"/>
                      <w:szCs w:val="21"/>
                      <w:highlight w:val="none"/>
                    </w:rPr>
                    <w:t>O</w:t>
                  </w:r>
                  <w:r>
                    <w:rPr>
                      <w:rFonts w:hint="default" w:ascii="Times New Roman" w:hAnsi="Times New Roman" w:eastAsia="宋体" w:cs="Times New Roman"/>
                      <w:caps w:val="0"/>
                      <w:smallCaps w:val="0"/>
                      <w:color w:val="auto"/>
                      <w:spacing w:val="0"/>
                      <w:sz w:val="21"/>
                      <w:szCs w:val="21"/>
                      <w:highlight w:val="none"/>
                      <w:vertAlign w:val="subscript"/>
                    </w:rPr>
                    <w:t>3</w:t>
                  </w:r>
                </w:p>
              </w:tc>
              <w:tc>
                <w:tcPr>
                  <w:tcW w:w="1289" w:type="pct"/>
                  <w:noWrap w:val="0"/>
                  <w:tcMar>
                    <w:top w:w="0" w:type="dxa"/>
                    <w:left w:w="0" w:type="dxa"/>
                    <w:bottom w:w="0" w:type="dxa"/>
                    <w:right w:w="0" w:type="dxa"/>
                  </w:tcMar>
                  <w:vAlign w:val="center"/>
                </w:tcPr>
                <w:p w14:paraId="7F683F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rPr>
                  </w:pPr>
                  <w:r>
                    <w:rPr>
                      <w:rFonts w:hint="default" w:ascii="Times New Roman" w:hAnsi="Times New Roman" w:eastAsia="宋体" w:cs="Times New Roman"/>
                      <w:caps w:val="0"/>
                      <w:smallCaps w:val="0"/>
                      <w:color w:val="auto"/>
                      <w:spacing w:val="0"/>
                      <w:sz w:val="21"/>
                      <w:szCs w:val="21"/>
                      <w:highlight w:val="none"/>
                    </w:rPr>
                    <w:t>日最大8h滑动平均值第90百分位数</w:t>
                  </w:r>
                </w:p>
              </w:tc>
              <w:tc>
                <w:tcPr>
                  <w:tcW w:w="626" w:type="pct"/>
                  <w:noWrap w:val="0"/>
                  <w:vAlign w:val="center"/>
                </w:tcPr>
                <w:p w14:paraId="7A24F3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lang w:val="en-US" w:eastAsia="zh-CN"/>
                    </w:rPr>
                  </w:pPr>
                  <w:r>
                    <w:rPr>
                      <w:rFonts w:hint="default" w:ascii="Times New Roman" w:hAnsi="Times New Roman" w:eastAsia="宋体" w:cs="Times New Roman"/>
                      <w:caps w:val="0"/>
                      <w:smallCaps w:val="0"/>
                      <w:color w:val="auto"/>
                      <w:spacing w:val="0"/>
                      <w:kern w:val="0"/>
                      <w:sz w:val="21"/>
                      <w:szCs w:val="21"/>
                      <w:highlight w:val="none"/>
                    </w:rPr>
                    <w:t>1</w:t>
                  </w:r>
                  <w:r>
                    <w:rPr>
                      <w:rFonts w:hint="eastAsia" w:ascii="Times New Roman" w:hAnsi="Times New Roman" w:eastAsia="宋体" w:cs="Times New Roman"/>
                      <w:caps w:val="0"/>
                      <w:smallCaps w:val="0"/>
                      <w:color w:val="auto"/>
                      <w:spacing w:val="0"/>
                      <w:kern w:val="0"/>
                      <w:sz w:val="21"/>
                      <w:szCs w:val="21"/>
                      <w:highlight w:val="none"/>
                      <w:lang w:val="en-US" w:eastAsia="zh-CN"/>
                    </w:rPr>
                    <w:t>68</w:t>
                  </w:r>
                </w:p>
              </w:tc>
              <w:tc>
                <w:tcPr>
                  <w:tcW w:w="579" w:type="pct"/>
                  <w:noWrap w:val="0"/>
                  <w:vAlign w:val="center"/>
                </w:tcPr>
                <w:p w14:paraId="7F438F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rPr>
                  </w:pPr>
                  <w:r>
                    <w:rPr>
                      <w:rFonts w:hint="default" w:ascii="Times New Roman" w:hAnsi="Times New Roman" w:eastAsia="宋体" w:cs="Times New Roman"/>
                      <w:caps w:val="0"/>
                      <w:smallCaps w:val="0"/>
                      <w:color w:val="auto"/>
                      <w:spacing w:val="0"/>
                      <w:kern w:val="0"/>
                      <w:sz w:val="21"/>
                      <w:szCs w:val="21"/>
                      <w:highlight w:val="none"/>
                    </w:rPr>
                    <w:t>160</w:t>
                  </w:r>
                </w:p>
              </w:tc>
              <w:tc>
                <w:tcPr>
                  <w:tcW w:w="663" w:type="pct"/>
                  <w:noWrap w:val="0"/>
                  <w:vAlign w:val="center"/>
                </w:tcPr>
                <w:p w14:paraId="17D444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aps w:val="0"/>
                      <w:smallCaps w:val="0"/>
                      <w:color w:val="auto"/>
                      <w:spacing w:val="0"/>
                      <w:sz w:val="21"/>
                      <w:szCs w:val="21"/>
                      <w:highlight w:val="none"/>
                      <w:lang w:val="en-US" w:eastAsia="zh-CN"/>
                    </w:rPr>
                  </w:pPr>
                  <w:r>
                    <w:rPr>
                      <w:rFonts w:hint="default" w:ascii="Times New Roman" w:hAnsi="Times New Roman" w:eastAsia="宋体" w:cs="Times New Roman"/>
                      <w:caps w:val="0"/>
                      <w:smallCaps w:val="0"/>
                      <w:color w:val="auto"/>
                      <w:spacing w:val="0"/>
                      <w:kern w:val="0"/>
                      <w:sz w:val="21"/>
                      <w:szCs w:val="21"/>
                      <w:highlight w:val="none"/>
                    </w:rPr>
                    <w:t>10</w:t>
                  </w:r>
                  <w:r>
                    <w:rPr>
                      <w:rFonts w:hint="eastAsia" w:ascii="Times New Roman" w:hAnsi="Times New Roman" w:eastAsia="宋体" w:cs="Times New Roman"/>
                      <w:caps w:val="0"/>
                      <w:smallCaps w:val="0"/>
                      <w:color w:val="auto"/>
                      <w:spacing w:val="0"/>
                      <w:kern w:val="0"/>
                      <w:sz w:val="21"/>
                      <w:szCs w:val="21"/>
                      <w:highlight w:val="none"/>
                      <w:lang w:val="en-US" w:eastAsia="zh-CN"/>
                    </w:rPr>
                    <w:t>5</w:t>
                  </w:r>
                </w:p>
              </w:tc>
              <w:tc>
                <w:tcPr>
                  <w:tcW w:w="551" w:type="pct"/>
                  <w:noWrap w:val="0"/>
                  <w:vAlign w:val="center"/>
                </w:tcPr>
                <w:p w14:paraId="004A7F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rPr>
                  </w:pPr>
                  <w:r>
                    <w:rPr>
                      <w:rFonts w:hint="default" w:ascii="Times New Roman" w:hAnsi="Times New Roman" w:eastAsia="宋体" w:cs="Times New Roman"/>
                      <w:caps w:val="0"/>
                      <w:smallCaps w:val="0"/>
                      <w:color w:val="auto"/>
                      <w:spacing w:val="0"/>
                      <w:sz w:val="21"/>
                      <w:szCs w:val="21"/>
                      <w:highlight w:val="none"/>
                    </w:rPr>
                    <w:t>超标</w:t>
                  </w:r>
                </w:p>
              </w:tc>
              <w:tc>
                <w:tcPr>
                  <w:tcW w:w="554" w:type="pct"/>
                  <w:noWrap w:val="0"/>
                  <w:vAlign w:val="center"/>
                </w:tcPr>
                <w:p w14:paraId="405CF5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pacing w:val="0"/>
                      <w:sz w:val="21"/>
                      <w:szCs w:val="21"/>
                      <w:highlight w:val="none"/>
                      <w:lang w:val="en-US" w:eastAsia="zh-CN"/>
                    </w:rPr>
                  </w:pPr>
                  <w:r>
                    <w:rPr>
                      <w:rFonts w:hint="default" w:ascii="Times New Roman" w:hAnsi="Times New Roman" w:eastAsia="宋体" w:cs="Times New Roman"/>
                      <w:caps w:val="0"/>
                      <w:smallCaps w:val="0"/>
                      <w:color w:val="auto"/>
                      <w:spacing w:val="0"/>
                      <w:sz w:val="21"/>
                      <w:szCs w:val="21"/>
                      <w:highlight w:val="none"/>
                      <w:lang w:val="en-US" w:eastAsia="zh-CN"/>
                    </w:rPr>
                    <w:t>1</w:t>
                  </w:r>
                  <w:r>
                    <w:rPr>
                      <w:rFonts w:hint="eastAsia" w:ascii="Times New Roman" w:hAnsi="Times New Roman" w:eastAsia="宋体" w:cs="Times New Roman"/>
                      <w:caps w:val="0"/>
                      <w:smallCaps w:val="0"/>
                      <w:color w:val="auto"/>
                      <w:spacing w:val="0"/>
                      <w:sz w:val="21"/>
                      <w:szCs w:val="21"/>
                      <w:highlight w:val="none"/>
                      <w:lang w:val="en-US" w:eastAsia="zh-CN"/>
                    </w:rPr>
                    <w:t>3.7</w:t>
                  </w:r>
                </w:p>
              </w:tc>
            </w:tr>
          </w:tbl>
          <w:p w14:paraId="31F744FA">
            <w:pPr>
              <w:adjustRightInd w:val="0"/>
              <w:snapToGrid w:val="0"/>
              <w:ind w:firstLine="420"/>
              <w:rPr>
                <w:color w:val="auto"/>
                <w:sz w:val="24"/>
                <w:szCs w:val="24"/>
              </w:rPr>
            </w:pPr>
            <w:r>
              <w:rPr>
                <w:rFonts w:hint="eastAsia"/>
                <w:color w:val="auto"/>
                <w:sz w:val="24"/>
                <w:szCs w:val="24"/>
              </w:rPr>
              <w:t>注：①NO</w:t>
            </w:r>
            <w:r>
              <w:rPr>
                <w:rFonts w:hint="eastAsia"/>
                <w:color w:val="auto"/>
                <w:sz w:val="24"/>
                <w:szCs w:val="24"/>
                <w:vertAlign w:val="subscript"/>
              </w:rPr>
              <w:t>2</w:t>
            </w:r>
            <w:r>
              <w:rPr>
                <w:rFonts w:hint="eastAsia"/>
                <w:color w:val="auto"/>
                <w:sz w:val="24"/>
                <w:szCs w:val="24"/>
              </w:rPr>
              <w:t>日平均第98百分位数达标；②PM</w:t>
            </w:r>
            <w:r>
              <w:rPr>
                <w:rFonts w:hint="eastAsia"/>
                <w:color w:val="auto"/>
                <w:sz w:val="24"/>
                <w:szCs w:val="24"/>
                <w:vertAlign w:val="subscript"/>
              </w:rPr>
              <w:t>10</w:t>
            </w:r>
            <w:r>
              <w:rPr>
                <w:rFonts w:hint="eastAsia"/>
                <w:color w:val="auto"/>
                <w:sz w:val="24"/>
                <w:szCs w:val="24"/>
              </w:rPr>
              <w:t>日平均第95百分位数达标；③PM</w:t>
            </w:r>
            <w:r>
              <w:rPr>
                <w:rFonts w:hint="eastAsia"/>
                <w:color w:val="auto"/>
                <w:sz w:val="24"/>
                <w:szCs w:val="24"/>
                <w:vertAlign w:val="subscript"/>
              </w:rPr>
              <w:t>2.5</w:t>
            </w:r>
            <w:r>
              <w:rPr>
                <w:rFonts w:hint="eastAsia"/>
                <w:color w:val="auto"/>
                <w:sz w:val="24"/>
                <w:szCs w:val="24"/>
              </w:rPr>
              <w:t>日平均第95百分位数超标。</w:t>
            </w:r>
          </w:p>
          <w:p w14:paraId="46DE633E">
            <w:pPr>
              <w:adjustRightInd w:val="0"/>
              <w:snapToGrid w:val="0"/>
              <w:ind w:firstLine="420"/>
              <w:rPr>
                <w:color w:val="auto"/>
                <w:sz w:val="24"/>
                <w:szCs w:val="24"/>
              </w:rPr>
            </w:pPr>
            <w:r>
              <w:rPr>
                <w:color w:val="auto"/>
                <w:sz w:val="24"/>
                <w:szCs w:val="24"/>
              </w:rPr>
              <w:t>根据上表可知，</w:t>
            </w:r>
            <w:r>
              <w:rPr>
                <w:rFonts w:hint="eastAsia"/>
                <w:color w:val="auto"/>
                <w:sz w:val="24"/>
                <w:szCs w:val="24"/>
                <w:lang w:val="en-US" w:eastAsia="zh-CN"/>
              </w:rPr>
              <w:t>2024年常州市环境空气中SO</w:t>
            </w:r>
            <w:r>
              <w:rPr>
                <w:rFonts w:hint="eastAsia"/>
                <w:color w:val="auto"/>
                <w:sz w:val="24"/>
                <w:szCs w:val="24"/>
                <w:vertAlign w:val="subscript"/>
                <w:lang w:val="en-US" w:eastAsia="zh-CN"/>
              </w:rPr>
              <w:t>2</w:t>
            </w:r>
            <w:r>
              <w:rPr>
                <w:rFonts w:hint="eastAsia"/>
                <w:color w:val="auto"/>
                <w:sz w:val="24"/>
                <w:szCs w:val="24"/>
                <w:lang w:val="en-US" w:eastAsia="zh-CN"/>
              </w:rPr>
              <w:t>年平均质量浓度及日平均第98百分位数、NO</w:t>
            </w:r>
            <w:r>
              <w:rPr>
                <w:rFonts w:hint="eastAsia"/>
                <w:color w:val="auto"/>
                <w:sz w:val="24"/>
                <w:szCs w:val="24"/>
                <w:vertAlign w:val="subscript"/>
                <w:lang w:val="en-US" w:eastAsia="zh-CN"/>
              </w:rPr>
              <w:t>2</w:t>
            </w:r>
            <w:r>
              <w:rPr>
                <w:rFonts w:hint="eastAsia"/>
                <w:color w:val="auto"/>
                <w:sz w:val="24"/>
                <w:szCs w:val="24"/>
                <w:lang w:val="en-US" w:eastAsia="zh-CN"/>
              </w:rPr>
              <w:t>年平均质量浓度及日平均第98百分位数、颗粒物（PM</w:t>
            </w:r>
            <w:r>
              <w:rPr>
                <w:rFonts w:hint="eastAsia"/>
                <w:color w:val="auto"/>
                <w:sz w:val="24"/>
                <w:szCs w:val="24"/>
                <w:vertAlign w:val="subscript"/>
                <w:lang w:val="en-US" w:eastAsia="zh-CN"/>
              </w:rPr>
              <w:t>10</w:t>
            </w:r>
            <w:r>
              <w:rPr>
                <w:rFonts w:hint="eastAsia"/>
                <w:color w:val="auto"/>
                <w:sz w:val="24"/>
                <w:szCs w:val="24"/>
                <w:lang w:val="en-US" w:eastAsia="zh-CN"/>
              </w:rPr>
              <w:t>）年平均质量浓度及日平均第95百分位数、细颗粒物（PM</w:t>
            </w:r>
            <w:r>
              <w:rPr>
                <w:rFonts w:hint="eastAsia"/>
                <w:color w:val="auto"/>
                <w:sz w:val="24"/>
                <w:szCs w:val="24"/>
                <w:vertAlign w:val="subscript"/>
                <w:lang w:val="en-US" w:eastAsia="zh-CN"/>
              </w:rPr>
              <w:t>2.5</w:t>
            </w:r>
            <w:r>
              <w:rPr>
                <w:rFonts w:hint="eastAsia"/>
                <w:color w:val="auto"/>
                <w:sz w:val="24"/>
                <w:szCs w:val="24"/>
                <w:lang w:val="en-US" w:eastAsia="zh-CN"/>
              </w:rPr>
              <w:t>）年平均质量浓度、CO日平均第95百分位数及日均值浓度均达到《环境空气质量标准》（GB3095-2012）表1中二级浓度限值；细颗粒物（PM</w:t>
            </w:r>
            <w:r>
              <w:rPr>
                <w:rFonts w:hint="eastAsia"/>
                <w:color w:val="auto"/>
                <w:sz w:val="24"/>
                <w:szCs w:val="24"/>
                <w:vertAlign w:val="subscript"/>
                <w:lang w:val="en-US" w:eastAsia="zh-CN"/>
              </w:rPr>
              <w:t>2.5</w:t>
            </w:r>
            <w:r>
              <w:rPr>
                <w:rFonts w:hint="eastAsia"/>
                <w:color w:val="auto"/>
                <w:sz w:val="24"/>
                <w:szCs w:val="24"/>
                <w:lang w:val="en-US" w:eastAsia="zh-CN"/>
              </w:rPr>
              <w:t>）日平均第95百分位数、O</w:t>
            </w:r>
            <w:r>
              <w:rPr>
                <w:rFonts w:hint="eastAsia"/>
                <w:color w:val="auto"/>
                <w:sz w:val="24"/>
                <w:szCs w:val="24"/>
                <w:vertAlign w:val="subscript"/>
                <w:lang w:val="en-US" w:eastAsia="zh-CN"/>
              </w:rPr>
              <w:t>3</w:t>
            </w:r>
            <w:r>
              <w:rPr>
                <w:rFonts w:hint="eastAsia"/>
                <w:color w:val="auto"/>
                <w:sz w:val="24"/>
                <w:szCs w:val="24"/>
                <w:lang w:val="en-US" w:eastAsia="zh-CN"/>
              </w:rPr>
              <w:t>日最大8小时滑动平均值第90百分位数超过《环境空气质量标准》（GB3095-2012）表1中二级浓度限值。项目所在区PM2.5、O</w:t>
            </w:r>
            <w:r>
              <w:rPr>
                <w:rFonts w:hint="eastAsia"/>
                <w:color w:val="auto"/>
                <w:sz w:val="24"/>
                <w:szCs w:val="24"/>
                <w:vertAlign w:val="subscript"/>
                <w:lang w:val="en-US" w:eastAsia="zh-CN"/>
              </w:rPr>
              <w:t>3</w:t>
            </w:r>
            <w:r>
              <w:rPr>
                <w:rFonts w:hint="eastAsia"/>
                <w:color w:val="auto"/>
                <w:sz w:val="24"/>
                <w:szCs w:val="24"/>
                <w:lang w:val="en-US" w:eastAsia="zh-CN"/>
              </w:rPr>
              <w:t>超标，因此判定为不达标区。</w:t>
            </w:r>
          </w:p>
          <w:p w14:paraId="5F5812B7">
            <w:pPr>
              <w:ind w:firstLine="422"/>
              <w:rPr>
                <w:rFonts w:hint="eastAsia" w:eastAsia="宋体"/>
                <w:b/>
                <w:bCs/>
                <w:color w:val="auto"/>
                <w:sz w:val="24"/>
                <w:szCs w:val="24"/>
                <w:lang w:eastAsia="zh-CN"/>
              </w:rPr>
            </w:pPr>
            <w:r>
              <w:rPr>
                <w:b/>
                <w:bCs/>
                <w:color w:val="auto"/>
                <w:sz w:val="24"/>
                <w:szCs w:val="24"/>
              </w:rPr>
              <w:t>（</w:t>
            </w:r>
            <w:r>
              <w:rPr>
                <w:rFonts w:hint="eastAsia"/>
                <w:b/>
                <w:bCs/>
                <w:color w:val="auto"/>
                <w:sz w:val="24"/>
                <w:szCs w:val="24"/>
                <w:lang w:val="en-US" w:eastAsia="zh-CN"/>
              </w:rPr>
              <w:t>2</w:t>
            </w:r>
            <w:r>
              <w:rPr>
                <w:b/>
                <w:bCs/>
                <w:color w:val="auto"/>
                <w:sz w:val="24"/>
                <w:szCs w:val="24"/>
              </w:rPr>
              <w:t>）</w:t>
            </w:r>
            <w:r>
              <w:rPr>
                <w:rFonts w:hint="eastAsia"/>
                <w:b/>
                <w:bCs/>
                <w:color w:val="auto"/>
                <w:sz w:val="24"/>
                <w:szCs w:val="24"/>
                <w:lang w:val="en-US" w:eastAsia="zh-CN"/>
              </w:rPr>
              <w:t>区域大气污染物整治方案</w:t>
            </w:r>
          </w:p>
          <w:p w14:paraId="2A9F1381">
            <w:pPr>
              <w:adjustRightInd w:val="0"/>
              <w:snapToGrid w:val="0"/>
              <w:ind w:firstLine="420"/>
              <w:rPr>
                <w:rFonts w:hint="eastAsia"/>
                <w:color w:val="auto"/>
                <w:sz w:val="24"/>
                <w:szCs w:val="24"/>
              </w:rPr>
            </w:pPr>
            <w:r>
              <w:rPr>
                <w:rFonts w:hint="eastAsia"/>
                <w:color w:val="auto"/>
                <w:sz w:val="24"/>
                <w:szCs w:val="24"/>
              </w:rPr>
              <w:t>为加快改善环境空气质量，常州市人民政府发布了《常州市空气质量持续改善行动计划实施方案》（常政发〔2024〕51号），进一步提出如下大气污染防治工作计划：</w:t>
            </w:r>
          </w:p>
          <w:p w14:paraId="52FE6B02">
            <w:pPr>
              <w:adjustRightInd w:val="0"/>
              <w:snapToGrid w:val="0"/>
              <w:ind w:firstLine="420"/>
              <w:rPr>
                <w:rFonts w:hint="eastAsia"/>
                <w:color w:val="auto"/>
                <w:sz w:val="24"/>
                <w:szCs w:val="24"/>
              </w:rPr>
            </w:pPr>
            <w:r>
              <w:rPr>
                <w:rFonts w:hint="eastAsia"/>
                <w:color w:val="auto"/>
                <w:sz w:val="24"/>
                <w:szCs w:val="24"/>
              </w:rPr>
              <w:t>主要目标是：到2025年，全市PM2.5浓度总体达标，PM2.5浓度比2020年下降10%，基本消除重度及以上污染天气，空气质量持续改善；氮氧化物和VOCs排放总量比2020年分别下降10%以上，完成省下达的减排目标。</w:t>
            </w:r>
          </w:p>
          <w:p w14:paraId="77DB56BA">
            <w:pPr>
              <w:adjustRightInd w:val="0"/>
              <w:snapToGrid w:val="0"/>
              <w:ind w:firstLine="420"/>
              <w:rPr>
                <w:rFonts w:hint="eastAsia"/>
                <w:color w:val="auto"/>
                <w:sz w:val="24"/>
                <w:szCs w:val="24"/>
              </w:rPr>
            </w:pPr>
            <w:r>
              <w:rPr>
                <w:rFonts w:hint="eastAsia"/>
                <w:color w:val="auto"/>
                <w:sz w:val="24"/>
                <w:szCs w:val="24"/>
              </w:rPr>
              <w:t>重点任务：</w:t>
            </w:r>
          </w:p>
          <w:p w14:paraId="39F3F57C">
            <w:pPr>
              <w:adjustRightInd w:val="0"/>
              <w:snapToGrid w:val="0"/>
              <w:ind w:firstLine="420"/>
              <w:rPr>
                <w:rFonts w:hint="eastAsia"/>
                <w:color w:val="auto"/>
                <w:sz w:val="24"/>
                <w:szCs w:val="24"/>
              </w:rPr>
            </w:pPr>
            <w:r>
              <w:rPr>
                <w:rFonts w:hint="eastAsia"/>
                <w:color w:val="auto"/>
                <w:sz w:val="24"/>
                <w:szCs w:val="24"/>
              </w:rPr>
              <w:t>（一）坚决遏制“两高”项目盲目发展。按照江苏省“两高”项目分类管理工作要求，严格执行国家、省有关钢铁（炼钢、炼铁）、焦化、电解铝、水泥（熟料）、平板玻璃（不含光伏压延玻璃）和炼化（纳入国家产业规划除外）等行业产业政策标准。到2025年，短流程炼钢产能占比力争达20%以上。</w:t>
            </w:r>
          </w:p>
          <w:p w14:paraId="57F70211">
            <w:pPr>
              <w:adjustRightInd w:val="0"/>
              <w:snapToGrid w:val="0"/>
              <w:ind w:firstLine="420"/>
              <w:rPr>
                <w:rFonts w:hint="eastAsia"/>
                <w:color w:val="auto"/>
                <w:sz w:val="24"/>
                <w:szCs w:val="24"/>
              </w:rPr>
            </w:pPr>
            <w:r>
              <w:rPr>
                <w:rFonts w:hint="eastAsia"/>
                <w:color w:val="auto"/>
                <w:sz w:val="24"/>
                <w:szCs w:val="24"/>
              </w:rPr>
              <w:t>（二）加快退出重点行业落后产能。落实《产业结构调整指导目录》，依法依规逐步退出限制类涉气行业工艺和装备、逐步淘汰步进式烧结机和球团竖炉以及半封闭式硅锰合金、镍铁、高碳铬铁、高碳锰铁电炉。</w:t>
            </w:r>
          </w:p>
          <w:p w14:paraId="745A70C9">
            <w:pPr>
              <w:adjustRightInd w:val="0"/>
              <w:snapToGrid w:val="0"/>
              <w:ind w:firstLine="420"/>
              <w:rPr>
                <w:rFonts w:hint="eastAsia"/>
                <w:color w:val="auto"/>
                <w:sz w:val="24"/>
                <w:szCs w:val="24"/>
              </w:rPr>
            </w:pPr>
            <w:r>
              <w:rPr>
                <w:rFonts w:hint="eastAsia"/>
                <w:color w:val="auto"/>
                <w:sz w:val="24"/>
                <w:szCs w:val="24"/>
              </w:rPr>
              <w:t>（三）推进产业集群、园区绿色转型升级。中小型传统制造企业集中的辖市（区）均要制定涉气产业集群发展规划，严格项目审批，严防污染下乡。针对现有产业集群制定专项整治方案，依法淘汰关停一批、搬迁入园一批、就地改造一批、做优做强一批。</w:t>
            </w:r>
          </w:p>
          <w:p w14:paraId="423FA86A">
            <w:pPr>
              <w:adjustRightInd w:val="0"/>
              <w:snapToGrid w:val="0"/>
              <w:ind w:firstLine="420"/>
              <w:rPr>
                <w:rFonts w:hint="eastAsia"/>
                <w:color w:val="auto"/>
                <w:sz w:val="24"/>
                <w:szCs w:val="24"/>
              </w:rPr>
            </w:pPr>
            <w:r>
              <w:rPr>
                <w:rFonts w:hint="eastAsia"/>
                <w:color w:val="auto"/>
                <w:sz w:val="24"/>
                <w:szCs w:val="24"/>
              </w:rPr>
              <w:t>（四）优化含VOCs原辅材料和产品结构。严格控制生产和使用高VOCs含量涂料、油墨、胶粘剂、清洗剂等建设项目。加大工业涂装、包装印刷和电子行业清洁原料替代力度。鼓励和推进汽车4S店、大型汽修厂实施水性涂料替代。</w:t>
            </w:r>
          </w:p>
          <w:p w14:paraId="36B40AB7">
            <w:pPr>
              <w:adjustRightInd w:val="0"/>
              <w:snapToGrid w:val="0"/>
              <w:ind w:firstLine="420"/>
              <w:rPr>
                <w:rFonts w:hint="eastAsia"/>
                <w:color w:val="auto"/>
                <w:sz w:val="24"/>
                <w:szCs w:val="24"/>
              </w:rPr>
            </w:pPr>
            <w:r>
              <w:rPr>
                <w:rFonts w:hint="eastAsia"/>
                <w:color w:val="auto"/>
                <w:sz w:val="24"/>
                <w:szCs w:val="24"/>
              </w:rPr>
              <w:t>（五）大力发展新能源和清洁能源。加快推进光伏发电项目建设和公共机构光伏应用，提升全市公共机构光伏应用水平和示范表率功能，因地制宜发展风力发电，统筹发展生物质能，推广建设“光储充检换”一体化充电示范项目，通过光伏优先消纳、余量存入储能、充满之后上网以及储能夜充日放，实现存储就地消纳。到2025年，新能源发电装机规模达到430万千瓦，公共机构新建建筑可安装光伏屋顶面积力争实现光伏覆盖率达到50%。</w:t>
            </w:r>
          </w:p>
          <w:p w14:paraId="6185A913">
            <w:pPr>
              <w:adjustRightInd w:val="0"/>
              <w:snapToGrid w:val="0"/>
              <w:ind w:firstLine="420"/>
              <w:rPr>
                <w:rFonts w:hint="eastAsia"/>
                <w:color w:val="auto"/>
                <w:sz w:val="24"/>
                <w:szCs w:val="24"/>
              </w:rPr>
            </w:pPr>
            <w:r>
              <w:rPr>
                <w:rFonts w:hint="eastAsia"/>
                <w:color w:val="auto"/>
                <w:sz w:val="24"/>
                <w:szCs w:val="24"/>
              </w:rPr>
              <w:t>（六）严格合理控制煤炭消费总量。原则上不再新增自备燃煤机组，支持自备燃煤机组实施清洁能源替代。未达到能耗强度降低基本目标进度要求的地区，在节能审查等环节对高耗能项目缓批限批。在保障能源安全供应的前提下，继续实施煤炭消费总量控制，鼓励发电向高效、清洁机组倾斜，到2025年全市煤炭消费量较2020年下降5%左右。</w:t>
            </w:r>
          </w:p>
          <w:p w14:paraId="2684449A">
            <w:pPr>
              <w:adjustRightInd w:val="0"/>
              <w:snapToGrid w:val="0"/>
              <w:ind w:firstLine="420"/>
              <w:rPr>
                <w:rFonts w:hint="eastAsia"/>
                <w:color w:val="auto"/>
                <w:sz w:val="24"/>
                <w:szCs w:val="24"/>
              </w:rPr>
            </w:pPr>
            <w:r>
              <w:rPr>
                <w:rFonts w:hint="eastAsia"/>
                <w:color w:val="auto"/>
                <w:sz w:val="24"/>
                <w:szCs w:val="24"/>
              </w:rPr>
              <w:t>（七）推进燃煤锅炉关停整合和工业炉窑清洁能源替代。充分发挥30万千瓦及以上热电联产电厂的供热能力，对其供热半径30公里范围内的燃煤锅炉和落后燃煤小热电机组（含自备电厂）进行关停或整合。到2025年，淘汰35蒸吨/小时及以下燃煤锅炉，基本淘汰茶水炉、经营性炉灶、储粮烘干设备、农产品加工等燃煤设施。不再新增燃料类煤气发生炉，新改扩建加热炉、热处理炉、干燥炉、熔化炉原则上采用清洁低碳能源。</w:t>
            </w:r>
          </w:p>
          <w:p w14:paraId="1529430C">
            <w:pPr>
              <w:adjustRightInd w:val="0"/>
              <w:snapToGrid w:val="0"/>
              <w:ind w:firstLine="420"/>
              <w:rPr>
                <w:rFonts w:hint="eastAsia"/>
                <w:color w:val="auto"/>
                <w:sz w:val="24"/>
                <w:szCs w:val="24"/>
              </w:rPr>
            </w:pPr>
            <w:r>
              <w:rPr>
                <w:rFonts w:hint="eastAsia"/>
                <w:color w:val="auto"/>
                <w:sz w:val="24"/>
                <w:szCs w:val="24"/>
              </w:rPr>
              <w:t>（八）推进近零碳园区和近零碳工厂试点建设。重点选择绿色产业园区、外贸出口相对集中的园区、“危污乱散低”综合治理“绿岛”园区、科创产业园区等园区类型和市级及以上绿色工厂，推进近零碳园区、近零碳工厂试点。以近零碳园区为主阵地，同步开展近零碳工厂培育和新型智能微电网、虚拟电厂等新能源应用场景推广试点。鼓励企业参与绿电、绿证交易，打造高比例可再生能源消纳示范区，推广综合能源服务，推进能源梯级利用、余热余压回收、绿色供冷供热，推动园区内源网荷储深度融合。</w:t>
            </w:r>
          </w:p>
          <w:p w14:paraId="24400EE4">
            <w:pPr>
              <w:adjustRightInd w:val="0"/>
              <w:snapToGrid w:val="0"/>
              <w:ind w:firstLine="420"/>
              <w:rPr>
                <w:rFonts w:hint="eastAsia"/>
                <w:color w:val="auto"/>
                <w:sz w:val="24"/>
                <w:szCs w:val="24"/>
              </w:rPr>
            </w:pPr>
            <w:r>
              <w:rPr>
                <w:rFonts w:hint="eastAsia"/>
                <w:color w:val="auto"/>
                <w:sz w:val="24"/>
                <w:szCs w:val="24"/>
              </w:rPr>
              <w:t>（九）持续优化货物运输结构。到2025年，水路、铁路货运量比2020年分别增长12%和10%左右，铁路集装箱多式联运量年均增长10%以上。全市采取公铁联运等“外集内配”物流方式。</w:t>
            </w:r>
          </w:p>
          <w:p w14:paraId="3931A1D7">
            <w:pPr>
              <w:adjustRightInd w:val="0"/>
              <w:snapToGrid w:val="0"/>
              <w:ind w:firstLine="420"/>
              <w:rPr>
                <w:rFonts w:hint="eastAsia"/>
                <w:color w:val="auto"/>
                <w:sz w:val="24"/>
                <w:szCs w:val="24"/>
              </w:rPr>
            </w:pPr>
            <w:r>
              <w:rPr>
                <w:rFonts w:hint="eastAsia"/>
                <w:color w:val="auto"/>
                <w:sz w:val="24"/>
                <w:szCs w:val="24"/>
              </w:rPr>
              <w:t>（十）实施绿色车轮计划。公共领域新增或更新公交、出租、城市物流配送、轻型环卫等车辆中，新能源汽车或者清洁能源汽车比例不低于80%。加快提升新能源汽车配套基础设施服务保障能力，新建住宅小区停车位立足新能源汽车安全特性100%预留充换电设施接入条件，老旧小区改造应因地制宜同步进行充换电设施改造，积极探索私桩共享模式。制定新能源汽车停车收费优惠政策，落实住宅小区新能源汽车充电电价优惠政策，对新能源汽车实行停车、充电收费优惠。力争提前一年在2024年底前基本淘汰国三及以下排放标准柴油货车。</w:t>
            </w:r>
          </w:p>
          <w:p w14:paraId="0F458C0A">
            <w:pPr>
              <w:adjustRightInd w:val="0"/>
              <w:snapToGrid w:val="0"/>
              <w:ind w:firstLine="420"/>
              <w:rPr>
                <w:rFonts w:hint="eastAsia"/>
                <w:color w:val="auto"/>
                <w:sz w:val="24"/>
                <w:szCs w:val="24"/>
              </w:rPr>
            </w:pPr>
            <w:r>
              <w:rPr>
                <w:rFonts w:hint="eastAsia"/>
                <w:color w:val="auto"/>
                <w:sz w:val="24"/>
                <w:szCs w:val="24"/>
              </w:rPr>
              <w:t>（十一）强化非道路移动源综合治理。到2025年，基本淘汰第一阶段及以下排放标准的非道路移动机械，鼓励新增或更新的3吨以下叉车基本实现新能源化；民航机场桥电使用率达95%以上。大力提高岸电使用率，到2025年，主要港口和排放控制区内靠港船舶的岸电使用电量较2020年翻一番。</w:t>
            </w:r>
          </w:p>
          <w:p w14:paraId="07020539">
            <w:pPr>
              <w:adjustRightInd w:val="0"/>
              <w:snapToGrid w:val="0"/>
              <w:ind w:firstLine="420"/>
              <w:rPr>
                <w:rFonts w:hint="eastAsia"/>
                <w:color w:val="auto"/>
                <w:sz w:val="24"/>
                <w:szCs w:val="24"/>
              </w:rPr>
            </w:pPr>
            <w:r>
              <w:rPr>
                <w:rFonts w:hint="eastAsia"/>
                <w:color w:val="auto"/>
                <w:sz w:val="24"/>
                <w:szCs w:val="24"/>
              </w:rPr>
              <w:t>（十二）实施扬尘精细化治理。积极实施“清洁城市行动”。全面取消全市范围内四级道路，进一步提升一、二级道路的比重，重点区域周边道路全部提升为一级道路作业标准。对于部分无法用大型车辆进行作业的区域，要配备一定数量的小型机械化冲洗车、洗扫车，实行人机结合的保洁模式，做到“机械保面、人工保点”。推进5000平方米及以上建筑工地安装视频监控并接入监管平台。鼓励推广使用新能源渣土运输车辆。推广装配式施工，推进“全电工地”试点。</w:t>
            </w:r>
          </w:p>
          <w:p w14:paraId="23BBAAED">
            <w:pPr>
              <w:adjustRightInd w:val="0"/>
              <w:snapToGrid w:val="0"/>
              <w:ind w:firstLine="420"/>
              <w:rPr>
                <w:rFonts w:hint="eastAsia"/>
                <w:color w:val="auto"/>
                <w:sz w:val="24"/>
                <w:szCs w:val="24"/>
              </w:rPr>
            </w:pPr>
            <w:r>
              <w:rPr>
                <w:rFonts w:hint="eastAsia"/>
                <w:color w:val="auto"/>
                <w:sz w:val="24"/>
                <w:szCs w:val="24"/>
              </w:rPr>
              <w:t>（十三）推进矿山生态环境综合整治。新建矿山原则上要同步建设专用廊道或采用其他清洁运输方式。对限期整改仍不达标的矿山，根据安全生产、水土保持、生态环境等要求依法关闭或停止生产。</w:t>
            </w:r>
          </w:p>
          <w:p w14:paraId="35BC1624">
            <w:pPr>
              <w:adjustRightInd w:val="0"/>
              <w:snapToGrid w:val="0"/>
              <w:ind w:firstLine="420"/>
              <w:rPr>
                <w:rFonts w:hint="eastAsia"/>
                <w:color w:val="auto"/>
                <w:sz w:val="24"/>
                <w:szCs w:val="24"/>
              </w:rPr>
            </w:pPr>
            <w:r>
              <w:rPr>
                <w:rFonts w:hint="eastAsia"/>
                <w:color w:val="auto"/>
                <w:sz w:val="24"/>
                <w:szCs w:val="24"/>
              </w:rPr>
              <w:t>（十四）加强秸秆禁烧和综合利用。到2025年，全市农作物秸秆综合利用率稳定达95%以上。禁止露天焚烧秸秆。综合运用卫星遥感、高清视频监控、无人机等手段，提高秸秆焚烧火点监测及巡查精准度。</w:t>
            </w:r>
          </w:p>
          <w:p w14:paraId="73958E7C">
            <w:pPr>
              <w:adjustRightInd w:val="0"/>
              <w:snapToGrid w:val="0"/>
              <w:ind w:firstLine="420"/>
              <w:rPr>
                <w:rFonts w:hint="eastAsia"/>
                <w:color w:val="auto"/>
                <w:sz w:val="24"/>
                <w:szCs w:val="24"/>
              </w:rPr>
            </w:pPr>
            <w:r>
              <w:rPr>
                <w:rFonts w:hint="eastAsia"/>
                <w:color w:val="auto"/>
                <w:sz w:val="24"/>
                <w:szCs w:val="24"/>
              </w:rPr>
              <w:t>（十五）强化VOCs全流程、全环节综合治理。鼓励储罐使用低泄漏的呼吸阀、紧急泄压阀，定期开展密封性检测。重点工业园区建立分环节、分物种管控清单，实施高排放关键活性物种“指纹化”监测监控和靶向治理。到2025年，重点工业园区VOCs浓度力争比2021年下降20%。</w:t>
            </w:r>
          </w:p>
          <w:p w14:paraId="605CD230">
            <w:pPr>
              <w:adjustRightInd w:val="0"/>
              <w:snapToGrid w:val="0"/>
              <w:ind w:firstLine="420"/>
              <w:rPr>
                <w:rFonts w:hint="eastAsia"/>
                <w:color w:val="auto"/>
                <w:sz w:val="24"/>
                <w:szCs w:val="24"/>
              </w:rPr>
            </w:pPr>
            <w:r>
              <w:rPr>
                <w:rFonts w:hint="eastAsia"/>
                <w:color w:val="auto"/>
                <w:sz w:val="24"/>
                <w:szCs w:val="24"/>
              </w:rPr>
              <w:t>（十六）实施重点行业超低排放与深度治理。有序推进铸造、垃圾焚烧发电、玻璃、有色、石灰、矿棉等行业深度治理。持续推进煤电机组深度脱硝改造，力争2024年底前完成单机10万千瓦及以上煤电机组深度脱硝改造任务。到2025年底，全市水泥企业基本完成超低排放改造。实施重点行业绩效等级提升行动。</w:t>
            </w:r>
          </w:p>
          <w:p w14:paraId="1B5DBD3A">
            <w:pPr>
              <w:adjustRightInd w:val="0"/>
              <w:snapToGrid w:val="0"/>
              <w:ind w:firstLine="420"/>
              <w:rPr>
                <w:rFonts w:hint="eastAsia"/>
                <w:color w:val="auto"/>
                <w:sz w:val="24"/>
                <w:szCs w:val="24"/>
              </w:rPr>
            </w:pPr>
            <w:r>
              <w:rPr>
                <w:rFonts w:hint="eastAsia"/>
                <w:color w:val="auto"/>
                <w:sz w:val="24"/>
                <w:szCs w:val="24"/>
              </w:rPr>
              <w:t>（十七）推进餐饮油烟、恶臭异味专项整治。加强部门联动，因地制宜解决人民群众反映集中的油烟和恶臭扰民问题。严格居民楼附近餐饮服务单位布局管理。拟开设餐饮服务单位的建筑应设计建设专用烟道。建立重点园区“嗅辨+监测”异味溯源机制。</w:t>
            </w:r>
          </w:p>
          <w:p w14:paraId="5D745CF7">
            <w:pPr>
              <w:adjustRightInd w:val="0"/>
              <w:snapToGrid w:val="0"/>
              <w:ind w:firstLine="420"/>
              <w:rPr>
                <w:rFonts w:hint="eastAsia"/>
                <w:color w:val="auto"/>
                <w:sz w:val="24"/>
                <w:szCs w:val="24"/>
              </w:rPr>
            </w:pPr>
            <w:r>
              <w:rPr>
                <w:rFonts w:hint="eastAsia"/>
                <w:color w:val="auto"/>
                <w:sz w:val="24"/>
                <w:szCs w:val="24"/>
              </w:rPr>
              <w:t>（十八）推动大气氨污染防控。推广氮肥机械深施和低蛋白日粮技术。到2025年，全市主要农作物化肥施用量较2020年削减3%，畜禽粪污综合利用率稳定在95%左右。加强氮肥、纯碱等行业大气氨排放治理。强化工业源烟气脱硫脱硝氨逃逸防控。</w:t>
            </w:r>
          </w:p>
          <w:p w14:paraId="26384BD0">
            <w:pPr>
              <w:adjustRightInd w:val="0"/>
              <w:snapToGrid w:val="0"/>
              <w:ind w:firstLine="420"/>
              <w:rPr>
                <w:rFonts w:hint="eastAsia"/>
                <w:color w:val="auto"/>
                <w:sz w:val="24"/>
                <w:szCs w:val="24"/>
              </w:rPr>
            </w:pPr>
            <w:r>
              <w:rPr>
                <w:rFonts w:hint="eastAsia"/>
                <w:color w:val="auto"/>
                <w:sz w:val="24"/>
                <w:szCs w:val="24"/>
              </w:rPr>
              <w:t>（十九）开展区域联防联控和城市空气质量达标管理。积极推进大气污染联防联控机制建设。空气质量未达标的地区编制实施大气环境质量限期达标规划，明确达标路线图及重点任务，并向社会公开。</w:t>
            </w:r>
          </w:p>
          <w:p w14:paraId="6EB3C9DD">
            <w:pPr>
              <w:adjustRightInd w:val="0"/>
              <w:snapToGrid w:val="0"/>
              <w:ind w:firstLine="420"/>
              <w:rPr>
                <w:rFonts w:hint="eastAsia"/>
                <w:color w:val="auto"/>
                <w:sz w:val="24"/>
                <w:szCs w:val="24"/>
              </w:rPr>
            </w:pPr>
            <w:r>
              <w:rPr>
                <w:rFonts w:hint="eastAsia"/>
                <w:color w:val="auto"/>
                <w:sz w:val="24"/>
                <w:szCs w:val="24"/>
              </w:rPr>
              <w:t>（二十）提升重污染天气应对能力。建立健全市、县两级重污染天气应急预案体系，进一步明确各级政府部门责任分工。结合排污许可制度，确保应急减排清单覆盖所有涉气企业。按照区域预警提示信息，依法依规与同一区域内的城市同步采取应急响应措施。</w:t>
            </w:r>
          </w:p>
          <w:p w14:paraId="55CED491">
            <w:pPr>
              <w:adjustRightInd w:val="0"/>
              <w:snapToGrid w:val="0"/>
              <w:ind w:firstLine="420"/>
              <w:rPr>
                <w:rFonts w:hint="eastAsia"/>
                <w:color w:val="auto"/>
                <w:sz w:val="24"/>
                <w:szCs w:val="24"/>
              </w:rPr>
            </w:pPr>
            <w:r>
              <w:rPr>
                <w:rFonts w:hint="eastAsia"/>
                <w:color w:val="auto"/>
                <w:sz w:val="24"/>
                <w:szCs w:val="24"/>
              </w:rPr>
              <w:t>（二十一）强化大气监测和执法监管。加强机场、港口、铁路货场、物流园区、工业园区、产业集群、公路等大气环境监测。依法拓展非现场监管手段应用，探索超标识别、取证和执法的数字化监管模式，强化执法效能评估。</w:t>
            </w:r>
          </w:p>
          <w:p w14:paraId="1918C5B8">
            <w:pPr>
              <w:adjustRightInd w:val="0"/>
              <w:snapToGrid w:val="0"/>
              <w:ind w:firstLine="420"/>
              <w:rPr>
                <w:rFonts w:hint="eastAsia"/>
                <w:color w:val="auto"/>
                <w:sz w:val="24"/>
                <w:szCs w:val="24"/>
              </w:rPr>
            </w:pPr>
            <w:r>
              <w:rPr>
                <w:rFonts w:hint="eastAsia"/>
                <w:color w:val="auto"/>
                <w:sz w:val="24"/>
                <w:szCs w:val="24"/>
              </w:rPr>
              <w:t>（二十二）加强决策科技支撑。持续开展PM2.5和臭氧协同控制科技攻关。推进致臭物质识别、恶臭污染评估和溯源技术方法研究。到2025年，完成排放清单编制并实现逐年更新。推进“一地一策”驻点跟踪研究。</w:t>
            </w:r>
          </w:p>
          <w:p w14:paraId="5DF5B5B3">
            <w:pPr>
              <w:adjustRightInd w:val="0"/>
              <w:snapToGrid w:val="0"/>
              <w:ind w:firstLine="420"/>
              <w:rPr>
                <w:rFonts w:hint="eastAsia"/>
                <w:color w:val="auto"/>
                <w:sz w:val="24"/>
                <w:szCs w:val="24"/>
              </w:rPr>
            </w:pPr>
            <w:r>
              <w:rPr>
                <w:rFonts w:hint="eastAsia"/>
                <w:color w:val="auto"/>
                <w:sz w:val="24"/>
                <w:szCs w:val="24"/>
              </w:rPr>
              <w:t>（二十三）强化标准引领。推动落实大气污染物排放最新标准，重点行业逐步配套技术指南和工程技术规范，研究制定精细化治理方案。在生产、销售、进口、使用等环节严格执行VOCs含量限值标准。进口非道路移动机械和发动机应达到我国现行新生产设备排放标准。</w:t>
            </w:r>
          </w:p>
          <w:p w14:paraId="6278C821">
            <w:pPr>
              <w:adjustRightInd w:val="0"/>
              <w:snapToGrid w:val="0"/>
              <w:ind w:firstLine="420"/>
              <w:rPr>
                <w:rFonts w:hint="eastAsia"/>
                <w:color w:val="auto"/>
                <w:sz w:val="24"/>
                <w:szCs w:val="24"/>
              </w:rPr>
            </w:pPr>
            <w:r>
              <w:rPr>
                <w:rFonts w:hint="eastAsia"/>
                <w:color w:val="auto"/>
                <w:sz w:val="24"/>
                <w:szCs w:val="24"/>
              </w:rPr>
              <w:t>（二十四）完善生态环境资金投入机制。综合运用经济、技术等手段推动老旧车辆退出。按照市场化方式加大传统产业及集群升级、工业污染治理、铁路专用线建设、新能源铁路装备推广等领域信贷融资支持力度。</w:t>
            </w:r>
          </w:p>
          <w:p w14:paraId="2023777D">
            <w:pPr>
              <w:adjustRightInd w:val="0"/>
              <w:snapToGrid w:val="0"/>
              <w:ind w:firstLine="420"/>
              <w:rPr>
                <w:rFonts w:hint="eastAsia"/>
                <w:color w:val="auto"/>
                <w:sz w:val="24"/>
                <w:szCs w:val="24"/>
              </w:rPr>
            </w:pPr>
            <w:r>
              <w:rPr>
                <w:rFonts w:hint="eastAsia"/>
                <w:color w:val="auto"/>
                <w:sz w:val="24"/>
                <w:szCs w:val="24"/>
              </w:rPr>
              <w:t>（二十五）加强组织领导。坚持和加强党对大气污染防治工作的全面领导。各级政府对本行政区域内空气质量负总责，组织制定本地实施方案。市各有关部门要协同配合落实任务分工，出台政策时统筹考虑空气质量持续改善需求。</w:t>
            </w:r>
          </w:p>
          <w:p w14:paraId="3FCE5975">
            <w:pPr>
              <w:adjustRightInd w:val="0"/>
              <w:snapToGrid w:val="0"/>
              <w:ind w:firstLine="420"/>
              <w:rPr>
                <w:rFonts w:hint="eastAsia"/>
                <w:color w:val="auto"/>
                <w:sz w:val="24"/>
                <w:szCs w:val="24"/>
              </w:rPr>
            </w:pPr>
            <w:r>
              <w:rPr>
                <w:rFonts w:hint="eastAsia"/>
                <w:color w:val="auto"/>
                <w:sz w:val="24"/>
                <w:szCs w:val="24"/>
              </w:rPr>
              <w:t>（二十六）严格监督考核。将空气质量改善目标完成情况作为深入打好污染防治攻坚战成效考核的重要内容。对超额完成目标的地区给予激励；对未完成目标的地区，从资金分配、项目审批、荣誉表彰、责任追究等方面实施惩戒；对问题突出的地区，视情组织开展约谈督查。</w:t>
            </w:r>
          </w:p>
          <w:p w14:paraId="38171B8E">
            <w:pPr>
              <w:adjustRightInd w:val="0"/>
              <w:snapToGrid w:val="0"/>
              <w:ind w:firstLine="420"/>
              <w:rPr>
                <w:rFonts w:hint="eastAsia"/>
                <w:color w:val="auto"/>
                <w:sz w:val="24"/>
                <w:szCs w:val="24"/>
              </w:rPr>
            </w:pPr>
            <w:r>
              <w:rPr>
                <w:rFonts w:hint="eastAsia"/>
                <w:color w:val="auto"/>
                <w:sz w:val="24"/>
                <w:szCs w:val="24"/>
              </w:rPr>
              <w:t>（二十七）推进全民行动。落实《江苏省生态文明教育促进办法》，加强舆论引导和监督，普及大气环境与健康知识。政府带头开展绿色采购，推进使用新能源车辆，全面使用低（无）VOCs含量产品。强化公民环境意识，推动形成简约适度、绿色低碳、文明健康的生活方式，共同改善空气质量。</w:t>
            </w:r>
          </w:p>
          <w:p w14:paraId="5D321F98">
            <w:pPr>
              <w:adjustRightInd w:val="0"/>
              <w:snapToGrid w:val="0"/>
              <w:ind w:firstLine="420"/>
              <w:rPr>
                <w:color w:val="auto"/>
                <w:sz w:val="24"/>
                <w:szCs w:val="24"/>
              </w:rPr>
            </w:pPr>
            <w:r>
              <w:rPr>
                <w:rFonts w:hint="eastAsia"/>
                <w:color w:val="auto"/>
                <w:sz w:val="24"/>
                <w:szCs w:val="24"/>
              </w:rPr>
              <w:t>通过上述工作的不断推进实施，本项目所在区域空气环境质量将得到持续改善。</w:t>
            </w:r>
          </w:p>
          <w:p w14:paraId="3815EC6D">
            <w:pPr>
              <w:ind w:firstLine="422"/>
              <w:rPr>
                <w:b/>
                <w:bCs/>
                <w:color w:val="auto"/>
                <w:sz w:val="24"/>
                <w:szCs w:val="24"/>
              </w:rPr>
            </w:pPr>
            <w:r>
              <w:rPr>
                <w:b/>
                <w:bCs/>
                <w:color w:val="auto"/>
                <w:sz w:val="24"/>
                <w:szCs w:val="24"/>
              </w:rPr>
              <w:t>（</w:t>
            </w:r>
            <w:r>
              <w:rPr>
                <w:rFonts w:hint="eastAsia"/>
                <w:b/>
                <w:bCs/>
                <w:color w:val="auto"/>
                <w:sz w:val="24"/>
                <w:szCs w:val="24"/>
                <w:lang w:val="en-US" w:eastAsia="zh-CN"/>
              </w:rPr>
              <w:t>3</w:t>
            </w:r>
            <w:r>
              <w:rPr>
                <w:b/>
                <w:bCs/>
                <w:color w:val="auto"/>
                <w:sz w:val="24"/>
                <w:szCs w:val="24"/>
              </w:rPr>
              <w:t>）特征污染物</w:t>
            </w:r>
          </w:p>
          <w:p w14:paraId="060A8827">
            <w:pPr>
              <w:adjustRightInd w:val="0"/>
              <w:snapToGrid w:val="0"/>
              <w:ind w:firstLine="420"/>
              <w:rPr>
                <w:color w:val="auto"/>
                <w:sz w:val="24"/>
                <w:szCs w:val="24"/>
              </w:rPr>
            </w:pPr>
            <w:r>
              <w:rPr>
                <w:color w:val="auto"/>
                <w:sz w:val="24"/>
                <w:szCs w:val="24"/>
              </w:rPr>
              <w:t>本项目位于</w:t>
            </w:r>
            <w:r>
              <w:rPr>
                <w:rFonts w:hint="eastAsia"/>
                <w:color w:val="auto"/>
                <w:sz w:val="24"/>
                <w:szCs w:val="24"/>
                <w:lang w:val="en-US" w:eastAsia="zh-CN"/>
              </w:rPr>
              <w:t>金坛经济</w:t>
            </w:r>
            <w:r>
              <w:rPr>
                <w:rFonts w:hint="eastAsia"/>
                <w:color w:val="auto"/>
                <w:sz w:val="24"/>
                <w:szCs w:val="24"/>
                <w:lang w:eastAsia="zh-CN"/>
              </w:rPr>
              <w:t>开发区</w:t>
            </w:r>
            <w:r>
              <w:rPr>
                <w:color w:val="auto"/>
                <w:sz w:val="24"/>
                <w:szCs w:val="24"/>
              </w:rPr>
              <w:t>，属于环境空气二类区</w:t>
            </w:r>
            <w:r>
              <w:rPr>
                <w:rFonts w:hint="eastAsia"/>
                <w:color w:val="auto"/>
                <w:sz w:val="24"/>
                <w:szCs w:val="24"/>
                <w:lang w:eastAsia="zh-CN"/>
              </w:rPr>
              <w:t>。</w:t>
            </w:r>
            <w:r>
              <w:rPr>
                <w:rFonts w:hint="eastAsia"/>
                <w:color w:val="auto"/>
                <w:sz w:val="24"/>
                <w:szCs w:val="24"/>
              </w:rPr>
              <w:t>项目特征因子“非甲烷总烃”监测数据引用</w:t>
            </w:r>
            <w:r>
              <w:rPr>
                <w:rFonts w:hint="default" w:ascii="Times New Roman" w:hAnsi="Times New Roman" w:eastAsia="宋体" w:cs="Times New Roman"/>
                <w:color w:val="auto"/>
                <w:sz w:val="24"/>
                <w:szCs w:val="24"/>
                <w:highlight w:val="none"/>
              </w:rPr>
              <w:t>特斯特</w:t>
            </w:r>
            <w:r>
              <w:rPr>
                <w:rFonts w:hint="default" w:ascii="Times New Roman" w:hAnsi="Times New Roman" w:eastAsia="宋体" w:cs="Times New Roman"/>
                <w:color w:val="auto"/>
                <w:sz w:val="24"/>
                <w:szCs w:val="24"/>
              </w:rPr>
              <w:t>（江苏）检测科技有限公司</w:t>
            </w:r>
            <w:r>
              <w:rPr>
                <w:rFonts w:hint="eastAsia"/>
                <w:color w:val="auto"/>
                <w:sz w:val="24"/>
                <w:szCs w:val="24"/>
              </w:rPr>
              <w:t>于202</w:t>
            </w:r>
            <w:r>
              <w:rPr>
                <w:rFonts w:hint="eastAsia"/>
                <w:color w:val="auto"/>
                <w:sz w:val="24"/>
                <w:szCs w:val="24"/>
                <w:lang w:val="en-US" w:eastAsia="zh-CN"/>
              </w:rPr>
              <w:t>4</w:t>
            </w:r>
            <w:r>
              <w:rPr>
                <w:rFonts w:hint="eastAsia"/>
                <w:color w:val="auto"/>
                <w:sz w:val="24"/>
                <w:szCs w:val="24"/>
              </w:rPr>
              <w:t>年</w:t>
            </w:r>
            <w:r>
              <w:rPr>
                <w:rFonts w:hint="eastAsia"/>
                <w:color w:val="auto"/>
                <w:sz w:val="24"/>
                <w:szCs w:val="24"/>
                <w:lang w:val="en-US" w:eastAsia="zh-CN"/>
              </w:rPr>
              <w:t>11</w:t>
            </w:r>
            <w:r>
              <w:rPr>
                <w:rFonts w:hint="eastAsia"/>
                <w:color w:val="auto"/>
                <w:sz w:val="24"/>
                <w:szCs w:val="24"/>
              </w:rPr>
              <w:t>月</w:t>
            </w:r>
            <w:r>
              <w:rPr>
                <w:rFonts w:hint="eastAsia"/>
                <w:color w:val="auto"/>
                <w:sz w:val="24"/>
                <w:szCs w:val="24"/>
                <w:lang w:val="en-US" w:eastAsia="zh-CN"/>
              </w:rPr>
              <w:t>11</w:t>
            </w:r>
            <w:r>
              <w:rPr>
                <w:rFonts w:hint="eastAsia"/>
                <w:color w:val="auto"/>
                <w:sz w:val="24"/>
                <w:szCs w:val="24"/>
              </w:rPr>
              <w:t>日至</w:t>
            </w:r>
            <w:r>
              <w:rPr>
                <w:rFonts w:hint="eastAsia"/>
                <w:color w:val="auto"/>
                <w:sz w:val="24"/>
                <w:szCs w:val="24"/>
                <w:lang w:val="en-US" w:eastAsia="zh-CN"/>
              </w:rPr>
              <w:t>11</w:t>
            </w:r>
            <w:r>
              <w:rPr>
                <w:rFonts w:hint="eastAsia"/>
                <w:color w:val="auto"/>
                <w:sz w:val="24"/>
                <w:szCs w:val="24"/>
              </w:rPr>
              <w:t>月</w:t>
            </w:r>
            <w:r>
              <w:rPr>
                <w:rFonts w:hint="eastAsia"/>
                <w:color w:val="auto"/>
                <w:sz w:val="24"/>
                <w:szCs w:val="24"/>
                <w:lang w:val="en-US" w:eastAsia="zh-CN"/>
              </w:rPr>
              <w:t>17</w:t>
            </w:r>
            <w:r>
              <w:rPr>
                <w:rFonts w:hint="eastAsia"/>
                <w:color w:val="auto"/>
                <w:sz w:val="24"/>
                <w:szCs w:val="24"/>
              </w:rPr>
              <w:t>日在</w:t>
            </w:r>
            <w:r>
              <w:rPr>
                <w:rFonts w:hint="eastAsia" w:ascii="Times New Roman" w:hAnsi="Times New Roman" w:eastAsia="宋体" w:cs="Times New Roman"/>
                <w:color w:val="auto"/>
                <w:sz w:val="24"/>
                <w:lang w:val="en-US" w:eastAsia="zh-CN"/>
              </w:rPr>
              <w:t>常州</w:t>
            </w:r>
            <w:r>
              <w:rPr>
                <w:rFonts w:hint="eastAsia" w:cs="Times New Roman"/>
                <w:color w:val="auto"/>
                <w:sz w:val="24"/>
                <w:lang w:val="en-US" w:eastAsia="zh-CN"/>
              </w:rPr>
              <w:t>市金东环保工程有限公司东侧</w:t>
            </w:r>
            <w:r>
              <w:rPr>
                <w:rFonts w:hint="eastAsia" w:ascii="Times New Roman" w:hAnsi="Times New Roman" w:eastAsia="宋体" w:cs="Times New Roman"/>
                <w:color w:val="auto"/>
                <w:sz w:val="24"/>
                <w:lang w:val="en-US" w:eastAsia="zh-CN"/>
              </w:rPr>
              <w:t>点位</w:t>
            </w:r>
            <w:r>
              <w:rPr>
                <w:rFonts w:hint="eastAsia"/>
                <w:color w:val="auto"/>
                <w:sz w:val="24"/>
                <w:szCs w:val="24"/>
              </w:rPr>
              <w:t>的实测数据，报告编号为</w:t>
            </w:r>
            <w:r>
              <w:rPr>
                <w:rFonts w:hint="eastAsia"/>
                <w:color w:val="auto"/>
                <w:sz w:val="24"/>
                <w:szCs w:val="24"/>
                <w:lang w:val="en-US" w:eastAsia="zh-CN"/>
              </w:rPr>
              <w:t>TST202411058</w:t>
            </w:r>
            <w:r>
              <w:rPr>
                <w:rFonts w:hint="eastAsia"/>
                <w:color w:val="auto"/>
                <w:sz w:val="24"/>
                <w:szCs w:val="24"/>
              </w:rPr>
              <w:t>，监测点位位于本项目</w:t>
            </w:r>
            <w:r>
              <w:rPr>
                <w:rFonts w:hint="eastAsia"/>
                <w:color w:val="auto"/>
                <w:sz w:val="24"/>
                <w:szCs w:val="24"/>
                <w:lang w:val="en-US" w:eastAsia="zh-CN"/>
              </w:rPr>
              <w:t>西北</w:t>
            </w:r>
            <w:r>
              <w:rPr>
                <w:rFonts w:hint="eastAsia"/>
                <w:color w:val="auto"/>
                <w:sz w:val="24"/>
                <w:szCs w:val="24"/>
              </w:rPr>
              <w:t>方向约</w:t>
            </w:r>
            <w:r>
              <w:rPr>
                <w:rFonts w:hint="eastAsia"/>
                <w:color w:val="auto"/>
                <w:sz w:val="24"/>
                <w:szCs w:val="24"/>
                <w:lang w:val="en-US" w:eastAsia="zh-CN"/>
              </w:rPr>
              <w:t>4500</w:t>
            </w:r>
            <w:r>
              <w:rPr>
                <w:rFonts w:hint="eastAsia"/>
                <w:color w:val="auto"/>
                <w:sz w:val="24"/>
                <w:szCs w:val="24"/>
              </w:rPr>
              <w:t>米</w:t>
            </w:r>
            <w:r>
              <w:rPr>
                <w:rFonts w:hint="eastAsia"/>
                <w:color w:val="auto"/>
                <w:sz w:val="24"/>
                <w:szCs w:val="24"/>
                <w:lang w:eastAsia="zh-CN"/>
              </w:rPr>
              <w:t>，</w:t>
            </w:r>
            <w:r>
              <w:rPr>
                <w:rFonts w:hint="eastAsia"/>
                <w:color w:val="auto"/>
                <w:sz w:val="24"/>
                <w:szCs w:val="24"/>
                <w:lang w:val="en-US" w:eastAsia="zh-CN"/>
              </w:rPr>
              <w:t>位于5KM范围内，监测布点有效</w:t>
            </w:r>
            <w:r>
              <w:rPr>
                <w:rFonts w:hint="eastAsia"/>
                <w:color w:val="auto"/>
                <w:sz w:val="24"/>
                <w:szCs w:val="24"/>
                <w:lang w:eastAsia="zh-CN"/>
              </w:rPr>
              <w:t>。</w:t>
            </w:r>
            <w:r>
              <w:rPr>
                <w:rFonts w:hint="eastAsia"/>
                <w:color w:val="auto"/>
                <w:sz w:val="24"/>
                <w:szCs w:val="24"/>
              </w:rPr>
              <w:t>监测期间至今，区域内未新增明显的大气污染源</w:t>
            </w:r>
            <w:r>
              <w:rPr>
                <w:rFonts w:hint="eastAsia"/>
                <w:color w:val="auto"/>
                <w:sz w:val="24"/>
                <w:szCs w:val="24"/>
                <w:lang w:eastAsia="zh-CN"/>
              </w:rPr>
              <w:t>。</w:t>
            </w:r>
            <w:r>
              <w:rPr>
                <w:rFonts w:hint="eastAsia"/>
                <w:color w:val="auto"/>
                <w:sz w:val="24"/>
                <w:szCs w:val="24"/>
              </w:rPr>
              <w:t>具体测点距离、方位见下表</w:t>
            </w:r>
            <w:r>
              <w:rPr>
                <w:color w:val="auto"/>
                <w:sz w:val="24"/>
                <w:szCs w:val="24"/>
              </w:rPr>
              <w:t>。</w:t>
            </w:r>
          </w:p>
          <w:p w14:paraId="700C60D2">
            <w:pPr>
              <w:pStyle w:val="30"/>
              <w:adjustRightInd w:val="0"/>
              <w:snapToGrid w:val="0"/>
              <w:spacing w:after="0" w:line="240" w:lineRule="auto"/>
              <w:ind w:firstLine="0" w:firstLineChars="0"/>
              <w:rPr>
                <w:rFonts w:hAnsi="Times New Roman"/>
                <w:b/>
                <w:bCs/>
                <w:color w:val="auto"/>
                <w:sz w:val="21"/>
                <w:szCs w:val="21"/>
              </w:rPr>
            </w:pPr>
            <w:r>
              <w:rPr>
                <w:rFonts w:hAnsi="Times New Roman"/>
                <w:b/>
                <w:bCs/>
                <w:color w:val="auto"/>
                <w:sz w:val="21"/>
                <w:szCs w:val="21"/>
              </w:rPr>
              <w:t>表3-</w:t>
            </w:r>
            <w:r>
              <w:rPr>
                <w:rFonts w:hint="eastAsia" w:hAnsi="Times New Roman"/>
                <w:b/>
                <w:bCs/>
                <w:color w:val="auto"/>
                <w:sz w:val="21"/>
                <w:szCs w:val="21"/>
                <w:lang w:val="en-US" w:eastAsia="zh-CN"/>
              </w:rPr>
              <w:t>4</w:t>
            </w:r>
            <w:r>
              <w:rPr>
                <w:rFonts w:hAnsi="Times New Roman"/>
                <w:b/>
                <w:bCs/>
                <w:color w:val="auto"/>
                <w:sz w:val="21"/>
                <w:szCs w:val="21"/>
              </w:rPr>
              <w:t xml:space="preserve">  污染物监测/调查点位基本信息</w:t>
            </w:r>
          </w:p>
          <w:tbl>
            <w:tblPr>
              <w:tblStyle w:val="31"/>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490"/>
              <w:gridCol w:w="1114"/>
              <w:gridCol w:w="984"/>
              <w:gridCol w:w="1777"/>
              <w:gridCol w:w="1547"/>
              <w:gridCol w:w="1109"/>
              <w:gridCol w:w="1257"/>
            </w:tblGrid>
            <w:tr w14:paraId="63260F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803" w:type="pct"/>
                  <w:vMerge w:val="restart"/>
                  <w:tcBorders>
                    <w:tl2br w:val="nil"/>
                    <w:tr2bl w:val="nil"/>
                  </w:tcBorders>
                  <w:noWrap w:val="0"/>
                  <w:vAlign w:val="center"/>
                </w:tcPr>
                <w:p w14:paraId="56DF1B28">
                  <w:pPr>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lang w:val="en-US" w:eastAsia="en-US" w:bidi="ar-SA"/>
                    </w:rPr>
                  </w:pPr>
                  <w:r>
                    <w:rPr>
                      <w:rFonts w:hint="default" w:ascii="Times New Roman" w:hAnsi="Times New Roman" w:eastAsia="宋体" w:cs="Times New Roman"/>
                      <w:b/>
                      <w:bCs/>
                      <w:snapToGrid w:val="0"/>
                      <w:color w:val="auto"/>
                      <w:spacing w:val="0"/>
                      <w:kern w:val="0"/>
                      <w:position w:val="0"/>
                      <w:sz w:val="21"/>
                      <w:szCs w:val="21"/>
                      <w:lang w:val="en-US" w:eastAsia="en-US" w:bidi="ar-SA"/>
                    </w:rPr>
                    <w:t>监测点名称</w:t>
                  </w:r>
                </w:p>
              </w:tc>
              <w:tc>
                <w:tcPr>
                  <w:tcW w:w="1130" w:type="pct"/>
                  <w:gridSpan w:val="2"/>
                  <w:tcBorders>
                    <w:tl2br w:val="nil"/>
                    <w:tr2bl w:val="nil"/>
                  </w:tcBorders>
                  <w:noWrap w:val="0"/>
                  <w:vAlign w:val="center"/>
                </w:tcPr>
                <w:p w14:paraId="4820C4B1">
                  <w:pPr>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lang w:val="en-US" w:eastAsia="en-US" w:bidi="ar-SA"/>
                    </w:rPr>
                  </w:pPr>
                  <w:r>
                    <w:rPr>
                      <w:rFonts w:hint="default" w:ascii="Times New Roman" w:hAnsi="Times New Roman" w:eastAsia="宋体" w:cs="Times New Roman"/>
                      <w:b/>
                      <w:bCs/>
                      <w:snapToGrid w:val="0"/>
                      <w:color w:val="auto"/>
                      <w:spacing w:val="0"/>
                      <w:kern w:val="0"/>
                      <w:position w:val="0"/>
                      <w:sz w:val="21"/>
                      <w:szCs w:val="21"/>
                      <w:lang w:val="en-US" w:eastAsia="en-US" w:bidi="ar-SA"/>
                    </w:rPr>
                    <w:t>监测点坐标</w:t>
                  </w:r>
                </w:p>
              </w:tc>
              <w:tc>
                <w:tcPr>
                  <w:tcW w:w="957" w:type="pct"/>
                  <w:vMerge w:val="restart"/>
                  <w:tcBorders>
                    <w:tl2br w:val="nil"/>
                    <w:tr2bl w:val="nil"/>
                  </w:tcBorders>
                  <w:noWrap w:val="0"/>
                  <w:vAlign w:val="center"/>
                </w:tcPr>
                <w:p w14:paraId="717E2813">
                  <w:pPr>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lang w:val="en-US" w:eastAsia="en-US" w:bidi="ar-SA"/>
                    </w:rPr>
                  </w:pPr>
                  <w:r>
                    <w:rPr>
                      <w:rFonts w:hint="default" w:ascii="Times New Roman" w:hAnsi="Times New Roman" w:eastAsia="宋体" w:cs="Times New Roman"/>
                      <w:b/>
                      <w:bCs/>
                      <w:snapToGrid w:val="0"/>
                      <w:color w:val="auto"/>
                      <w:spacing w:val="0"/>
                      <w:kern w:val="0"/>
                      <w:position w:val="0"/>
                      <w:sz w:val="21"/>
                      <w:szCs w:val="21"/>
                      <w:lang w:val="en-US" w:eastAsia="en-US" w:bidi="ar-SA"/>
                    </w:rPr>
                    <w:t>监测因子</w:t>
                  </w:r>
                </w:p>
              </w:tc>
              <w:tc>
                <w:tcPr>
                  <w:tcW w:w="833" w:type="pct"/>
                  <w:vMerge w:val="restart"/>
                  <w:tcBorders>
                    <w:tl2br w:val="nil"/>
                    <w:tr2bl w:val="nil"/>
                  </w:tcBorders>
                  <w:noWrap w:val="0"/>
                  <w:vAlign w:val="center"/>
                </w:tcPr>
                <w:p w14:paraId="1DF894B7">
                  <w:pPr>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lang w:val="en-US" w:eastAsia="en-US" w:bidi="ar-SA"/>
                    </w:rPr>
                  </w:pPr>
                  <w:r>
                    <w:rPr>
                      <w:rFonts w:hint="default" w:ascii="Times New Roman" w:hAnsi="Times New Roman" w:eastAsia="宋体" w:cs="Times New Roman"/>
                      <w:b/>
                      <w:bCs/>
                      <w:snapToGrid w:val="0"/>
                      <w:color w:val="auto"/>
                      <w:spacing w:val="0"/>
                      <w:kern w:val="0"/>
                      <w:position w:val="0"/>
                      <w:sz w:val="21"/>
                      <w:szCs w:val="21"/>
                      <w:lang w:val="en-US" w:eastAsia="en-US" w:bidi="ar-SA"/>
                    </w:rPr>
                    <w:t>监测时段</w:t>
                  </w:r>
                </w:p>
              </w:tc>
              <w:tc>
                <w:tcPr>
                  <w:tcW w:w="597" w:type="pct"/>
                  <w:vMerge w:val="restart"/>
                  <w:tcBorders>
                    <w:tl2br w:val="nil"/>
                    <w:tr2bl w:val="nil"/>
                  </w:tcBorders>
                  <w:noWrap w:val="0"/>
                  <w:vAlign w:val="center"/>
                </w:tcPr>
                <w:p w14:paraId="04C2AB70">
                  <w:pPr>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lang w:val="en-US" w:eastAsia="en-US" w:bidi="ar-SA"/>
                    </w:rPr>
                  </w:pPr>
                  <w:r>
                    <w:rPr>
                      <w:rFonts w:hint="default" w:ascii="Times New Roman" w:hAnsi="Times New Roman" w:eastAsia="宋体" w:cs="Times New Roman"/>
                      <w:b/>
                      <w:bCs/>
                      <w:snapToGrid w:val="0"/>
                      <w:color w:val="auto"/>
                      <w:spacing w:val="0"/>
                      <w:kern w:val="0"/>
                      <w:position w:val="0"/>
                      <w:sz w:val="21"/>
                      <w:szCs w:val="21"/>
                      <w:lang w:val="en-US" w:eastAsia="en-US" w:bidi="ar-SA"/>
                    </w:rPr>
                    <w:t>相对厂址方位</w:t>
                  </w:r>
                </w:p>
              </w:tc>
              <w:tc>
                <w:tcPr>
                  <w:tcW w:w="677" w:type="pct"/>
                  <w:vMerge w:val="restart"/>
                  <w:tcBorders>
                    <w:tl2br w:val="nil"/>
                    <w:tr2bl w:val="nil"/>
                  </w:tcBorders>
                  <w:noWrap w:val="0"/>
                  <w:vAlign w:val="center"/>
                </w:tcPr>
                <w:p w14:paraId="58FB344E">
                  <w:pPr>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lang w:val="en-US" w:eastAsia="en-US" w:bidi="ar-SA"/>
                    </w:rPr>
                  </w:pPr>
                  <w:r>
                    <w:rPr>
                      <w:rFonts w:hint="default" w:ascii="Times New Roman" w:hAnsi="Times New Roman" w:eastAsia="宋体" w:cs="Times New Roman"/>
                      <w:b/>
                      <w:bCs/>
                      <w:snapToGrid w:val="0"/>
                      <w:color w:val="auto"/>
                      <w:spacing w:val="0"/>
                      <w:kern w:val="0"/>
                      <w:position w:val="0"/>
                      <w:sz w:val="21"/>
                      <w:szCs w:val="21"/>
                      <w:lang w:val="en-US" w:eastAsia="en-US" w:bidi="ar-SA"/>
                    </w:rPr>
                    <w:t>相对厂界距离/m</w:t>
                  </w:r>
                </w:p>
              </w:tc>
            </w:tr>
            <w:tr w14:paraId="22A297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803" w:type="pct"/>
                  <w:vMerge w:val="continue"/>
                  <w:tcBorders>
                    <w:tl2br w:val="nil"/>
                    <w:tr2bl w:val="nil"/>
                  </w:tcBorders>
                  <w:noWrap w:val="0"/>
                  <w:vAlign w:val="center"/>
                </w:tcPr>
                <w:p w14:paraId="35F428B1">
                  <w:pPr>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spacing w:val="0"/>
                      <w:kern w:val="0"/>
                      <w:position w:val="0"/>
                      <w:sz w:val="21"/>
                      <w:szCs w:val="21"/>
                      <w:lang w:val="en-US" w:eastAsia="en-US" w:bidi="ar-SA"/>
                    </w:rPr>
                  </w:pPr>
                </w:p>
              </w:tc>
              <w:tc>
                <w:tcPr>
                  <w:tcW w:w="600" w:type="pct"/>
                  <w:tcBorders>
                    <w:tl2br w:val="nil"/>
                    <w:tr2bl w:val="nil"/>
                  </w:tcBorders>
                  <w:noWrap w:val="0"/>
                  <w:vAlign w:val="center"/>
                </w:tcPr>
                <w:p w14:paraId="5330C9F1">
                  <w:pPr>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lang w:val="en-US" w:eastAsia="en-US" w:bidi="ar-SA"/>
                    </w:rPr>
                  </w:pPr>
                  <w:r>
                    <w:rPr>
                      <w:rFonts w:hint="default" w:ascii="Times New Roman" w:hAnsi="Times New Roman" w:eastAsia="宋体" w:cs="Times New Roman"/>
                      <w:b/>
                      <w:bCs/>
                      <w:snapToGrid w:val="0"/>
                      <w:color w:val="auto"/>
                      <w:spacing w:val="0"/>
                      <w:kern w:val="0"/>
                      <w:position w:val="0"/>
                      <w:sz w:val="21"/>
                      <w:szCs w:val="21"/>
                      <w:lang w:val="en-US" w:eastAsia="en-US" w:bidi="ar-SA"/>
                    </w:rPr>
                    <w:t>经度</w:t>
                  </w:r>
                </w:p>
              </w:tc>
              <w:tc>
                <w:tcPr>
                  <w:tcW w:w="530" w:type="pct"/>
                  <w:tcBorders>
                    <w:tl2br w:val="nil"/>
                    <w:tr2bl w:val="nil"/>
                  </w:tcBorders>
                  <w:noWrap w:val="0"/>
                  <w:vAlign w:val="center"/>
                </w:tcPr>
                <w:p w14:paraId="7BD6EC0C">
                  <w:pPr>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auto"/>
                      <w:spacing w:val="0"/>
                      <w:kern w:val="0"/>
                      <w:position w:val="0"/>
                      <w:sz w:val="21"/>
                      <w:szCs w:val="21"/>
                      <w:lang w:val="en-US" w:eastAsia="en-US" w:bidi="ar-SA"/>
                    </w:rPr>
                  </w:pPr>
                  <w:r>
                    <w:rPr>
                      <w:rFonts w:hint="default" w:ascii="Times New Roman" w:hAnsi="Times New Roman" w:eastAsia="宋体" w:cs="Times New Roman"/>
                      <w:b/>
                      <w:bCs/>
                      <w:snapToGrid w:val="0"/>
                      <w:color w:val="auto"/>
                      <w:spacing w:val="0"/>
                      <w:kern w:val="0"/>
                      <w:position w:val="0"/>
                      <w:sz w:val="21"/>
                      <w:szCs w:val="21"/>
                      <w:lang w:val="en-US" w:eastAsia="en-US" w:bidi="ar-SA"/>
                    </w:rPr>
                    <w:t>纬度</w:t>
                  </w:r>
                </w:p>
              </w:tc>
              <w:tc>
                <w:tcPr>
                  <w:tcW w:w="957" w:type="pct"/>
                  <w:vMerge w:val="continue"/>
                  <w:tcBorders>
                    <w:tl2br w:val="nil"/>
                    <w:tr2bl w:val="nil"/>
                  </w:tcBorders>
                  <w:noWrap w:val="0"/>
                  <w:vAlign w:val="center"/>
                </w:tcPr>
                <w:p w14:paraId="54B276A3">
                  <w:pPr>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position w:val="0"/>
                      <w:sz w:val="21"/>
                      <w:szCs w:val="21"/>
                    </w:rPr>
                  </w:pPr>
                </w:p>
              </w:tc>
              <w:tc>
                <w:tcPr>
                  <w:tcW w:w="833" w:type="pct"/>
                  <w:vMerge w:val="continue"/>
                  <w:tcBorders>
                    <w:tl2br w:val="nil"/>
                    <w:tr2bl w:val="nil"/>
                  </w:tcBorders>
                  <w:noWrap w:val="0"/>
                  <w:vAlign w:val="center"/>
                </w:tcPr>
                <w:p w14:paraId="475F2A6E">
                  <w:pPr>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position w:val="0"/>
                      <w:sz w:val="21"/>
                      <w:szCs w:val="21"/>
                    </w:rPr>
                  </w:pPr>
                </w:p>
              </w:tc>
              <w:tc>
                <w:tcPr>
                  <w:tcW w:w="597" w:type="pct"/>
                  <w:vMerge w:val="continue"/>
                  <w:tcBorders>
                    <w:tl2br w:val="nil"/>
                    <w:tr2bl w:val="nil"/>
                  </w:tcBorders>
                  <w:noWrap w:val="0"/>
                  <w:vAlign w:val="center"/>
                </w:tcPr>
                <w:p w14:paraId="7448310F">
                  <w:pPr>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position w:val="0"/>
                      <w:sz w:val="21"/>
                      <w:szCs w:val="21"/>
                    </w:rPr>
                  </w:pPr>
                </w:p>
              </w:tc>
              <w:tc>
                <w:tcPr>
                  <w:tcW w:w="677" w:type="pct"/>
                  <w:vMerge w:val="continue"/>
                  <w:tcBorders>
                    <w:tl2br w:val="nil"/>
                    <w:tr2bl w:val="nil"/>
                  </w:tcBorders>
                  <w:noWrap w:val="0"/>
                  <w:vAlign w:val="center"/>
                </w:tcPr>
                <w:p w14:paraId="47A71B0B">
                  <w:pPr>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position w:val="0"/>
                      <w:sz w:val="21"/>
                      <w:szCs w:val="21"/>
                    </w:rPr>
                  </w:pPr>
                </w:p>
              </w:tc>
            </w:tr>
            <w:tr w14:paraId="057E57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803" w:type="pct"/>
                  <w:tcBorders>
                    <w:tl2br w:val="nil"/>
                    <w:tr2bl w:val="nil"/>
                  </w:tcBorders>
                  <w:noWrap w:val="0"/>
                  <w:vAlign w:val="center"/>
                </w:tcPr>
                <w:p w14:paraId="7E53ADE1">
                  <w:pPr>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常州市金东环保工程有限公司东侧</w:t>
                  </w:r>
                </w:p>
              </w:tc>
              <w:tc>
                <w:tcPr>
                  <w:tcW w:w="600" w:type="pct"/>
                  <w:tcBorders>
                    <w:tl2br w:val="nil"/>
                    <w:tr2bl w:val="nil"/>
                  </w:tcBorders>
                  <w:noWrap w:val="0"/>
                  <w:vAlign w:val="center"/>
                </w:tcPr>
                <w:p w14:paraId="66C7F161">
                  <w:pPr>
                    <w:pStyle w:val="32"/>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rPr>
                    <w:t>119.627998</w:t>
                  </w:r>
                </w:p>
              </w:tc>
              <w:tc>
                <w:tcPr>
                  <w:tcW w:w="530" w:type="pct"/>
                  <w:tcBorders>
                    <w:tl2br w:val="nil"/>
                    <w:tr2bl w:val="nil"/>
                  </w:tcBorders>
                  <w:noWrap w:val="0"/>
                  <w:vAlign w:val="center"/>
                </w:tcPr>
                <w:p w14:paraId="2B8E4249">
                  <w:pPr>
                    <w:pStyle w:val="32"/>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rPr>
                    <w:t>31.750997</w:t>
                  </w:r>
                </w:p>
              </w:tc>
              <w:tc>
                <w:tcPr>
                  <w:tcW w:w="957" w:type="pct"/>
                  <w:tcBorders>
                    <w:tl2br w:val="nil"/>
                    <w:tr2bl w:val="nil"/>
                  </w:tcBorders>
                  <w:noWrap w:val="0"/>
                  <w:vAlign w:val="center"/>
                </w:tcPr>
                <w:p w14:paraId="09381E65">
                  <w:pPr>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非甲烷总烃</w:t>
                  </w:r>
                </w:p>
              </w:tc>
              <w:tc>
                <w:tcPr>
                  <w:tcW w:w="833" w:type="pct"/>
                  <w:tcBorders>
                    <w:tl2br w:val="nil"/>
                    <w:tr2bl w:val="nil"/>
                  </w:tcBorders>
                  <w:noWrap w:val="0"/>
                  <w:vAlign w:val="center"/>
                </w:tcPr>
                <w:p w14:paraId="4D646E63">
                  <w:pPr>
                    <w:pStyle w:val="32"/>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202</w:t>
                  </w:r>
                  <w:r>
                    <w:rPr>
                      <w:rFonts w:hint="eastAsia" w:ascii="Times New Roman" w:hAnsi="Times New Roman" w:cs="Times New Roman"/>
                      <w:color w:val="auto"/>
                      <w:spacing w:val="0"/>
                      <w:position w:val="0"/>
                      <w:sz w:val="21"/>
                      <w:szCs w:val="21"/>
                      <w:lang w:val="en-US" w:eastAsia="zh-CN"/>
                    </w:rPr>
                    <w:t>4</w:t>
                  </w:r>
                  <w:r>
                    <w:rPr>
                      <w:rFonts w:hint="default" w:ascii="Times New Roman" w:hAnsi="Times New Roman" w:eastAsia="宋体" w:cs="Times New Roman"/>
                      <w:color w:val="auto"/>
                      <w:spacing w:val="0"/>
                      <w:position w:val="0"/>
                      <w:sz w:val="21"/>
                      <w:szCs w:val="21"/>
                    </w:rPr>
                    <w:t>年</w:t>
                  </w:r>
                  <w:r>
                    <w:rPr>
                      <w:rFonts w:hint="eastAsia" w:ascii="Times New Roman" w:hAnsi="Times New Roman" w:cs="Times New Roman"/>
                      <w:color w:val="auto"/>
                      <w:spacing w:val="0"/>
                      <w:position w:val="0"/>
                      <w:sz w:val="21"/>
                      <w:szCs w:val="21"/>
                      <w:lang w:val="en-US" w:eastAsia="zh-CN"/>
                    </w:rPr>
                    <w:t>11</w:t>
                  </w:r>
                  <w:r>
                    <w:rPr>
                      <w:rFonts w:hint="default" w:ascii="Times New Roman" w:hAnsi="Times New Roman" w:eastAsia="宋体" w:cs="Times New Roman"/>
                      <w:color w:val="auto"/>
                      <w:spacing w:val="0"/>
                      <w:position w:val="0"/>
                      <w:sz w:val="21"/>
                      <w:szCs w:val="21"/>
                    </w:rPr>
                    <w:t>月</w:t>
                  </w:r>
                  <w:r>
                    <w:rPr>
                      <w:rFonts w:hint="eastAsia" w:ascii="Times New Roman" w:hAnsi="Times New Roman" w:cs="Times New Roman"/>
                      <w:color w:val="auto"/>
                      <w:spacing w:val="0"/>
                      <w:position w:val="0"/>
                      <w:sz w:val="21"/>
                      <w:szCs w:val="21"/>
                      <w:lang w:val="en-US" w:eastAsia="zh-CN"/>
                    </w:rPr>
                    <w:t>11</w:t>
                  </w:r>
                  <w:r>
                    <w:rPr>
                      <w:rFonts w:hint="default" w:ascii="Times New Roman" w:hAnsi="Times New Roman" w:eastAsia="宋体" w:cs="Times New Roman"/>
                      <w:color w:val="auto"/>
                      <w:spacing w:val="0"/>
                      <w:position w:val="0"/>
                      <w:sz w:val="21"/>
                      <w:szCs w:val="21"/>
                    </w:rPr>
                    <w:t>日至</w:t>
                  </w:r>
                  <w:r>
                    <w:rPr>
                      <w:rFonts w:hint="eastAsia" w:ascii="Times New Roman" w:hAnsi="Times New Roman" w:cs="Times New Roman"/>
                      <w:color w:val="auto"/>
                      <w:spacing w:val="0"/>
                      <w:position w:val="0"/>
                      <w:sz w:val="21"/>
                      <w:szCs w:val="21"/>
                      <w:lang w:val="en-US" w:eastAsia="zh-CN"/>
                    </w:rPr>
                    <w:t>11</w:t>
                  </w:r>
                  <w:r>
                    <w:rPr>
                      <w:rFonts w:hint="default" w:ascii="Times New Roman" w:hAnsi="Times New Roman" w:eastAsia="宋体" w:cs="Times New Roman"/>
                      <w:color w:val="auto"/>
                      <w:spacing w:val="0"/>
                      <w:position w:val="0"/>
                      <w:sz w:val="21"/>
                      <w:szCs w:val="21"/>
                    </w:rPr>
                    <w:t>月</w:t>
                  </w:r>
                  <w:r>
                    <w:rPr>
                      <w:rFonts w:hint="eastAsia" w:ascii="Times New Roman" w:hAnsi="Times New Roman" w:cs="Times New Roman"/>
                      <w:color w:val="auto"/>
                      <w:spacing w:val="0"/>
                      <w:position w:val="0"/>
                      <w:sz w:val="21"/>
                      <w:szCs w:val="21"/>
                      <w:lang w:val="en-US" w:eastAsia="zh-CN"/>
                    </w:rPr>
                    <w:t>17</w:t>
                  </w:r>
                  <w:r>
                    <w:rPr>
                      <w:rFonts w:hint="default" w:ascii="Times New Roman" w:hAnsi="Times New Roman" w:eastAsia="宋体" w:cs="Times New Roman"/>
                      <w:color w:val="auto"/>
                      <w:spacing w:val="0"/>
                      <w:position w:val="0"/>
                      <w:sz w:val="21"/>
                      <w:szCs w:val="21"/>
                    </w:rPr>
                    <w:t>日</w:t>
                  </w:r>
                </w:p>
              </w:tc>
              <w:tc>
                <w:tcPr>
                  <w:tcW w:w="597" w:type="pct"/>
                  <w:tcBorders>
                    <w:tl2br w:val="nil"/>
                    <w:tr2bl w:val="nil"/>
                  </w:tcBorders>
                  <w:noWrap w:val="0"/>
                  <w:vAlign w:val="center"/>
                </w:tcPr>
                <w:p w14:paraId="6CF26B6D">
                  <w:pPr>
                    <w:pStyle w:val="32"/>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NW</w:t>
                  </w:r>
                </w:p>
              </w:tc>
              <w:tc>
                <w:tcPr>
                  <w:tcW w:w="677" w:type="pct"/>
                  <w:tcBorders>
                    <w:tl2br w:val="nil"/>
                    <w:tr2bl w:val="nil"/>
                  </w:tcBorders>
                  <w:noWrap w:val="0"/>
                  <w:vAlign w:val="center"/>
                </w:tcPr>
                <w:p w14:paraId="6F8C3F56">
                  <w:pPr>
                    <w:pStyle w:val="32"/>
                    <w:keepNext w:val="0"/>
                    <w:keepLines w:val="0"/>
                    <w:pageBreakBefore w:val="0"/>
                    <w:widowControl/>
                    <w:kinsoku/>
                    <w:wordWrap/>
                    <w:overflowPunct/>
                    <w:topLinePunct/>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45</w:t>
                  </w:r>
                  <w:r>
                    <w:rPr>
                      <w:rFonts w:hint="eastAsia" w:ascii="Times New Roman" w:hAnsi="Times New Roman" w:eastAsia="宋体" w:cs="Times New Roman"/>
                      <w:color w:val="auto"/>
                      <w:spacing w:val="0"/>
                      <w:position w:val="0"/>
                      <w:sz w:val="21"/>
                      <w:szCs w:val="21"/>
                      <w:lang w:val="en-US" w:eastAsia="zh-CN"/>
                    </w:rPr>
                    <w:t>00</w:t>
                  </w:r>
                </w:p>
              </w:tc>
            </w:tr>
          </w:tbl>
          <w:p w14:paraId="67C1E1BD">
            <w:pPr>
              <w:pStyle w:val="30"/>
              <w:adjustRightInd w:val="0"/>
              <w:snapToGrid w:val="0"/>
              <w:spacing w:after="0" w:line="240" w:lineRule="auto"/>
              <w:ind w:firstLine="0" w:firstLineChars="0"/>
              <w:rPr>
                <w:rFonts w:hAnsi="Times New Roman"/>
                <w:b/>
                <w:bCs/>
                <w:color w:val="auto"/>
                <w:sz w:val="21"/>
                <w:szCs w:val="21"/>
              </w:rPr>
            </w:pPr>
            <w:r>
              <w:rPr>
                <w:rFonts w:hAnsi="Times New Roman"/>
                <w:b/>
                <w:bCs/>
                <w:color w:val="auto"/>
                <w:sz w:val="21"/>
                <w:szCs w:val="21"/>
              </w:rPr>
              <w:t>表3-</w:t>
            </w:r>
            <w:r>
              <w:rPr>
                <w:rFonts w:hint="eastAsia" w:hAnsi="Times New Roman"/>
                <w:b/>
                <w:bCs/>
                <w:color w:val="auto"/>
                <w:sz w:val="21"/>
                <w:szCs w:val="21"/>
                <w:lang w:val="en-US" w:eastAsia="zh-CN"/>
              </w:rPr>
              <w:t>5</w:t>
            </w:r>
            <w:r>
              <w:rPr>
                <w:rFonts w:hAnsi="Times New Roman"/>
                <w:b/>
                <w:bCs/>
                <w:color w:val="auto"/>
                <w:sz w:val="21"/>
                <w:szCs w:val="21"/>
              </w:rPr>
              <w:t xml:space="preserve">  污染物环境质量现状（监测/调查结果）表</w:t>
            </w:r>
          </w:p>
          <w:tbl>
            <w:tblPr>
              <w:tblStyle w:val="17"/>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3010"/>
              <w:gridCol w:w="1565"/>
              <w:gridCol w:w="1275"/>
              <w:gridCol w:w="679"/>
              <w:gridCol w:w="913"/>
              <w:gridCol w:w="1164"/>
            </w:tblGrid>
            <w:tr w14:paraId="44DF30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2" w:type="pct"/>
                  <w:vMerge w:val="restart"/>
                  <w:tcBorders>
                    <w:tl2br w:val="nil"/>
                    <w:tr2bl w:val="nil"/>
                  </w:tcBorders>
                  <w:noWrap w:val="0"/>
                  <w:vAlign w:val="center"/>
                </w:tcPr>
                <w:p w14:paraId="63C15809">
                  <w:pPr>
                    <w:pStyle w:val="33"/>
                    <w:keepNext w:val="0"/>
                    <w:keepLines w:val="0"/>
                    <w:pageBreakBefore w:val="0"/>
                    <w:kinsoku/>
                    <w:wordWrap/>
                    <w:overflowPunct/>
                    <w:autoSpaceDE/>
                    <w:autoSpaceDN/>
                    <w:bidi w:val="0"/>
                    <w:spacing w:line="240" w:lineRule="auto"/>
                    <w:ind w:firstLine="0" w:firstLineChars="0"/>
                    <w:rPr>
                      <w:rFonts w:hint="default" w:ascii="Times New Roman" w:hAnsi="Times New Roman" w:cs="Times New Roman"/>
                      <w:b/>
                      <w:bCs/>
                      <w:color w:val="auto"/>
                      <w:sz w:val="21"/>
                      <w:szCs w:val="21"/>
                    </w:rPr>
                  </w:pPr>
                  <w:bookmarkStart w:id="2" w:name="_Hlk130048704"/>
                  <w:r>
                    <w:rPr>
                      <w:rFonts w:hint="default" w:ascii="Times New Roman" w:hAnsi="Times New Roman" w:cs="Times New Roman"/>
                      <w:b/>
                      <w:bCs/>
                      <w:color w:val="auto"/>
                      <w:sz w:val="21"/>
                      <w:szCs w:val="21"/>
                    </w:rPr>
                    <w:t>序号</w:t>
                  </w:r>
                </w:p>
              </w:tc>
              <w:tc>
                <w:tcPr>
                  <w:tcW w:w="1622" w:type="pct"/>
                  <w:vMerge w:val="restart"/>
                  <w:tcBorders>
                    <w:tl2br w:val="nil"/>
                    <w:tr2bl w:val="nil"/>
                  </w:tcBorders>
                  <w:noWrap w:val="0"/>
                  <w:vAlign w:val="center"/>
                </w:tcPr>
                <w:p w14:paraId="7C4AAF50">
                  <w:pPr>
                    <w:pStyle w:val="33"/>
                    <w:keepNext w:val="0"/>
                    <w:keepLines w:val="0"/>
                    <w:pageBreakBefore w:val="0"/>
                    <w:kinsoku/>
                    <w:wordWrap/>
                    <w:overflowPunct/>
                    <w:autoSpaceDE/>
                    <w:autoSpaceDN/>
                    <w:bidi w:val="0"/>
                    <w:spacing w:line="240" w:lineRule="auto"/>
                    <w:ind w:firstLine="0" w:firstLineChars="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点位名称</w:t>
                  </w:r>
                </w:p>
              </w:tc>
              <w:tc>
                <w:tcPr>
                  <w:tcW w:w="843" w:type="pct"/>
                  <w:vMerge w:val="restart"/>
                  <w:tcBorders>
                    <w:tl2br w:val="nil"/>
                    <w:tr2bl w:val="nil"/>
                  </w:tcBorders>
                  <w:noWrap w:val="0"/>
                  <w:vAlign w:val="center"/>
                </w:tcPr>
                <w:p w14:paraId="37011536">
                  <w:pPr>
                    <w:pStyle w:val="33"/>
                    <w:keepNext w:val="0"/>
                    <w:keepLines w:val="0"/>
                    <w:pageBreakBefore w:val="0"/>
                    <w:kinsoku/>
                    <w:wordWrap/>
                    <w:overflowPunct/>
                    <w:autoSpaceDE/>
                    <w:autoSpaceDN/>
                    <w:bidi w:val="0"/>
                    <w:spacing w:line="240" w:lineRule="auto"/>
                    <w:ind w:firstLine="0" w:firstLineChars="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污染物名称</w:t>
                  </w:r>
                </w:p>
              </w:tc>
              <w:tc>
                <w:tcPr>
                  <w:tcW w:w="2172" w:type="pct"/>
                  <w:gridSpan w:val="4"/>
                  <w:tcBorders>
                    <w:tl2br w:val="nil"/>
                    <w:tr2bl w:val="nil"/>
                  </w:tcBorders>
                  <w:noWrap w:val="0"/>
                  <w:vAlign w:val="center"/>
                </w:tcPr>
                <w:p w14:paraId="24E7FA0E">
                  <w:pPr>
                    <w:pStyle w:val="33"/>
                    <w:keepNext w:val="0"/>
                    <w:keepLines w:val="0"/>
                    <w:pageBreakBefore w:val="0"/>
                    <w:kinsoku/>
                    <w:wordWrap/>
                    <w:overflowPunct/>
                    <w:autoSpaceDE/>
                    <w:autoSpaceDN/>
                    <w:bidi w:val="0"/>
                    <w:spacing w:line="240" w:lineRule="auto"/>
                    <w:ind w:firstLine="0" w:firstLineChars="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小时浓度（mg/m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r>
            <w:tr w14:paraId="32AC55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2" w:type="pct"/>
                  <w:vMerge w:val="continue"/>
                  <w:tcBorders>
                    <w:tl2br w:val="nil"/>
                    <w:tr2bl w:val="nil"/>
                  </w:tcBorders>
                  <w:noWrap w:val="0"/>
                  <w:vAlign w:val="center"/>
                </w:tcPr>
                <w:p w14:paraId="31AF7180">
                  <w:pPr>
                    <w:pStyle w:val="33"/>
                    <w:keepNext w:val="0"/>
                    <w:keepLines w:val="0"/>
                    <w:pageBreakBefore w:val="0"/>
                    <w:kinsoku/>
                    <w:wordWrap/>
                    <w:overflowPunct/>
                    <w:autoSpaceDE/>
                    <w:autoSpaceDN/>
                    <w:bidi w:val="0"/>
                    <w:spacing w:line="240" w:lineRule="auto"/>
                    <w:ind w:firstLine="0" w:firstLineChars="0"/>
                    <w:rPr>
                      <w:rFonts w:hint="default" w:ascii="Times New Roman" w:hAnsi="Times New Roman" w:cs="Times New Roman"/>
                      <w:color w:val="auto"/>
                      <w:sz w:val="21"/>
                      <w:szCs w:val="21"/>
                    </w:rPr>
                  </w:pPr>
                </w:p>
              </w:tc>
              <w:tc>
                <w:tcPr>
                  <w:tcW w:w="1622" w:type="pct"/>
                  <w:vMerge w:val="continue"/>
                  <w:tcBorders>
                    <w:tl2br w:val="nil"/>
                    <w:tr2bl w:val="nil"/>
                  </w:tcBorders>
                  <w:noWrap w:val="0"/>
                  <w:vAlign w:val="center"/>
                </w:tcPr>
                <w:p w14:paraId="6FC06697">
                  <w:pPr>
                    <w:pStyle w:val="33"/>
                    <w:keepNext w:val="0"/>
                    <w:keepLines w:val="0"/>
                    <w:pageBreakBefore w:val="0"/>
                    <w:kinsoku/>
                    <w:wordWrap/>
                    <w:overflowPunct/>
                    <w:autoSpaceDE/>
                    <w:autoSpaceDN/>
                    <w:bidi w:val="0"/>
                    <w:spacing w:line="240" w:lineRule="auto"/>
                    <w:ind w:firstLine="0" w:firstLineChars="0"/>
                    <w:rPr>
                      <w:rFonts w:hint="default" w:ascii="Times New Roman" w:hAnsi="Times New Roman" w:cs="Times New Roman"/>
                      <w:color w:val="auto"/>
                      <w:sz w:val="21"/>
                      <w:szCs w:val="21"/>
                    </w:rPr>
                  </w:pPr>
                </w:p>
              </w:tc>
              <w:tc>
                <w:tcPr>
                  <w:tcW w:w="843" w:type="pct"/>
                  <w:vMerge w:val="continue"/>
                  <w:tcBorders>
                    <w:tl2br w:val="nil"/>
                    <w:tr2bl w:val="nil"/>
                  </w:tcBorders>
                  <w:noWrap w:val="0"/>
                  <w:vAlign w:val="center"/>
                </w:tcPr>
                <w:p w14:paraId="49ED3B64">
                  <w:pPr>
                    <w:pStyle w:val="33"/>
                    <w:keepNext w:val="0"/>
                    <w:keepLines w:val="0"/>
                    <w:pageBreakBefore w:val="0"/>
                    <w:kinsoku/>
                    <w:wordWrap/>
                    <w:overflowPunct/>
                    <w:autoSpaceDE/>
                    <w:autoSpaceDN/>
                    <w:bidi w:val="0"/>
                    <w:spacing w:line="240" w:lineRule="auto"/>
                    <w:ind w:firstLine="0" w:firstLineChars="0"/>
                    <w:rPr>
                      <w:rFonts w:hint="default" w:ascii="Times New Roman" w:hAnsi="Times New Roman" w:cs="Times New Roman"/>
                      <w:color w:val="auto"/>
                      <w:sz w:val="21"/>
                      <w:szCs w:val="21"/>
                    </w:rPr>
                  </w:pPr>
                </w:p>
              </w:tc>
              <w:tc>
                <w:tcPr>
                  <w:tcW w:w="687" w:type="pct"/>
                  <w:tcBorders>
                    <w:tl2br w:val="nil"/>
                    <w:tr2bl w:val="nil"/>
                  </w:tcBorders>
                  <w:noWrap w:val="0"/>
                  <w:vAlign w:val="center"/>
                </w:tcPr>
                <w:p w14:paraId="3D132BBA">
                  <w:pPr>
                    <w:pStyle w:val="33"/>
                    <w:keepNext w:val="0"/>
                    <w:keepLines w:val="0"/>
                    <w:pageBreakBefore w:val="0"/>
                    <w:kinsoku/>
                    <w:wordWrap/>
                    <w:overflowPunct/>
                    <w:autoSpaceDE/>
                    <w:autoSpaceDN/>
                    <w:bidi w:val="0"/>
                    <w:spacing w:line="240" w:lineRule="auto"/>
                    <w:ind w:firstLine="0" w:firstLineChars="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实测值</w:t>
                  </w:r>
                </w:p>
              </w:tc>
              <w:tc>
                <w:tcPr>
                  <w:tcW w:w="366" w:type="pct"/>
                  <w:tcBorders>
                    <w:tl2br w:val="nil"/>
                    <w:tr2bl w:val="nil"/>
                  </w:tcBorders>
                  <w:noWrap w:val="0"/>
                  <w:vAlign w:val="center"/>
                </w:tcPr>
                <w:p w14:paraId="683E8B1E">
                  <w:pPr>
                    <w:pStyle w:val="33"/>
                    <w:keepNext w:val="0"/>
                    <w:keepLines w:val="0"/>
                    <w:pageBreakBefore w:val="0"/>
                    <w:kinsoku/>
                    <w:wordWrap/>
                    <w:overflowPunct/>
                    <w:autoSpaceDE/>
                    <w:autoSpaceDN/>
                    <w:bidi w:val="0"/>
                    <w:spacing w:line="240" w:lineRule="auto"/>
                    <w:ind w:firstLine="0" w:firstLineChars="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w:t>
                  </w:r>
                </w:p>
              </w:tc>
              <w:tc>
                <w:tcPr>
                  <w:tcW w:w="492" w:type="pct"/>
                  <w:tcBorders>
                    <w:tl2br w:val="nil"/>
                    <w:tr2bl w:val="nil"/>
                  </w:tcBorders>
                  <w:noWrap w:val="0"/>
                  <w:vAlign w:val="center"/>
                </w:tcPr>
                <w:p w14:paraId="1B6C1721">
                  <w:pPr>
                    <w:pStyle w:val="33"/>
                    <w:keepNext w:val="0"/>
                    <w:keepLines w:val="0"/>
                    <w:pageBreakBefore w:val="0"/>
                    <w:kinsoku/>
                    <w:wordWrap/>
                    <w:overflowPunct/>
                    <w:autoSpaceDE/>
                    <w:autoSpaceDN/>
                    <w:bidi w:val="0"/>
                    <w:spacing w:line="240" w:lineRule="auto"/>
                    <w:ind w:firstLine="0" w:firstLineChars="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超标率</w:t>
                  </w:r>
                </w:p>
              </w:tc>
              <w:tc>
                <w:tcPr>
                  <w:tcW w:w="626" w:type="pct"/>
                  <w:tcBorders>
                    <w:tl2br w:val="nil"/>
                    <w:tr2bl w:val="nil"/>
                  </w:tcBorders>
                  <w:noWrap w:val="0"/>
                  <w:vAlign w:val="center"/>
                </w:tcPr>
                <w:p w14:paraId="213E0883">
                  <w:pPr>
                    <w:pStyle w:val="33"/>
                    <w:keepNext w:val="0"/>
                    <w:keepLines w:val="0"/>
                    <w:pageBreakBefore w:val="0"/>
                    <w:kinsoku/>
                    <w:wordWrap/>
                    <w:overflowPunct/>
                    <w:autoSpaceDE/>
                    <w:autoSpaceDN/>
                    <w:bidi w:val="0"/>
                    <w:spacing w:line="240" w:lineRule="auto"/>
                    <w:ind w:firstLine="0" w:firstLineChars="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最大超标倍数</w:t>
                  </w:r>
                </w:p>
              </w:tc>
            </w:tr>
            <w:tr w14:paraId="7232E1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2" w:type="pct"/>
                  <w:tcBorders>
                    <w:tl2br w:val="nil"/>
                    <w:tr2bl w:val="nil"/>
                  </w:tcBorders>
                  <w:noWrap w:val="0"/>
                  <w:vAlign w:val="center"/>
                </w:tcPr>
                <w:p w14:paraId="5CF0DA31">
                  <w:pPr>
                    <w:pStyle w:val="33"/>
                    <w:keepNext w:val="0"/>
                    <w:keepLines w:val="0"/>
                    <w:pageBreakBefore w:val="0"/>
                    <w:kinsoku/>
                    <w:wordWrap/>
                    <w:overflowPunct/>
                    <w:autoSpaceDE/>
                    <w:autoSpaceDN/>
                    <w:bidi w:val="0"/>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G</w:t>
                  </w:r>
                  <w:r>
                    <w:rPr>
                      <w:rFonts w:hint="eastAsia" w:ascii="Times New Roman" w:hAnsi="Times New Roman" w:cs="Times New Roman"/>
                      <w:color w:val="auto"/>
                      <w:sz w:val="21"/>
                      <w:szCs w:val="21"/>
                      <w:lang w:val="en-US" w:eastAsia="zh-CN"/>
                    </w:rPr>
                    <w:t>1</w:t>
                  </w:r>
                </w:p>
              </w:tc>
              <w:tc>
                <w:tcPr>
                  <w:tcW w:w="1622" w:type="pct"/>
                  <w:tcBorders>
                    <w:tl2br w:val="nil"/>
                    <w:tr2bl w:val="nil"/>
                  </w:tcBorders>
                  <w:noWrap w:val="0"/>
                  <w:vAlign w:val="center"/>
                </w:tcPr>
                <w:p w14:paraId="576E04BE">
                  <w:pPr>
                    <w:pStyle w:val="33"/>
                    <w:keepNext w:val="0"/>
                    <w:keepLines w:val="0"/>
                    <w:pageBreakBefore w:val="0"/>
                    <w:kinsoku/>
                    <w:wordWrap/>
                    <w:overflowPunct/>
                    <w:autoSpaceDE/>
                    <w:autoSpaceDN/>
                    <w:bidi w:val="0"/>
                    <w:spacing w:line="240" w:lineRule="auto"/>
                    <w:ind w:firstLine="0" w:firstLineChars="0"/>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0"/>
                      <w:position w:val="0"/>
                      <w:sz w:val="21"/>
                      <w:szCs w:val="21"/>
                      <w:lang w:val="en-US" w:eastAsia="zh-CN"/>
                    </w:rPr>
                    <w:t>常州市金东环保工程有限公司东侧</w:t>
                  </w:r>
                </w:p>
              </w:tc>
              <w:tc>
                <w:tcPr>
                  <w:tcW w:w="843" w:type="pct"/>
                  <w:tcBorders>
                    <w:tl2br w:val="nil"/>
                    <w:tr2bl w:val="nil"/>
                  </w:tcBorders>
                  <w:noWrap w:val="0"/>
                  <w:vAlign w:val="center"/>
                </w:tcPr>
                <w:p w14:paraId="3279E61B">
                  <w:pPr>
                    <w:keepNext w:val="0"/>
                    <w:keepLines w:val="0"/>
                    <w:pageBreakBefore w:val="0"/>
                    <w:widowControl/>
                    <w:kinsoku/>
                    <w:wordWrap/>
                    <w:overflowPunct/>
                    <w:topLinePunct/>
                    <w:autoSpaceDE/>
                    <w:autoSpaceDN/>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spacing w:val="0"/>
                      <w:kern w:val="0"/>
                      <w:position w:val="0"/>
                      <w:sz w:val="21"/>
                      <w:szCs w:val="21"/>
                      <w:lang w:val="en-US" w:eastAsia="zh-CN" w:bidi="ar-SA"/>
                    </w:rPr>
                  </w:pPr>
                  <w:r>
                    <w:rPr>
                      <w:rFonts w:hint="default" w:ascii="Times New Roman" w:hAnsi="Times New Roman" w:eastAsia="宋体" w:cs="Times New Roman"/>
                      <w:color w:val="auto"/>
                      <w:spacing w:val="0"/>
                      <w:position w:val="0"/>
                      <w:sz w:val="21"/>
                      <w:szCs w:val="21"/>
                      <w:lang w:val="en-US" w:eastAsia="zh-CN"/>
                    </w:rPr>
                    <w:t>非甲烷总烃</w:t>
                  </w:r>
                </w:p>
              </w:tc>
              <w:tc>
                <w:tcPr>
                  <w:tcW w:w="687" w:type="pct"/>
                  <w:tcBorders>
                    <w:tl2br w:val="nil"/>
                    <w:tr2bl w:val="nil"/>
                  </w:tcBorders>
                  <w:noWrap w:val="0"/>
                  <w:vAlign w:val="center"/>
                </w:tcPr>
                <w:p w14:paraId="2DB535BB">
                  <w:pPr>
                    <w:pStyle w:val="33"/>
                    <w:keepNext w:val="0"/>
                    <w:keepLines w:val="0"/>
                    <w:pageBreakBefore w:val="0"/>
                    <w:kinsoku/>
                    <w:wordWrap/>
                    <w:overflowPunct/>
                    <w:autoSpaceDE/>
                    <w:autoSpaceDN/>
                    <w:bidi w:val="0"/>
                    <w:spacing w:line="240" w:lineRule="auto"/>
                    <w:ind w:firstLine="0" w:firstLineChars="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0.11~0.63</w:t>
                  </w:r>
                </w:p>
              </w:tc>
              <w:tc>
                <w:tcPr>
                  <w:tcW w:w="366" w:type="pct"/>
                  <w:tcBorders>
                    <w:tl2br w:val="nil"/>
                    <w:tr2bl w:val="nil"/>
                  </w:tcBorders>
                  <w:noWrap w:val="0"/>
                  <w:vAlign w:val="center"/>
                </w:tcPr>
                <w:p w14:paraId="47FFB76C">
                  <w:pPr>
                    <w:pStyle w:val="33"/>
                    <w:keepNext w:val="0"/>
                    <w:keepLines w:val="0"/>
                    <w:pageBreakBefore w:val="0"/>
                    <w:kinsoku/>
                    <w:wordWrap/>
                    <w:overflowPunct/>
                    <w:autoSpaceDE/>
                    <w:autoSpaceDN/>
                    <w:bidi w:val="0"/>
                    <w:spacing w:line="240" w:lineRule="auto"/>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492" w:type="pct"/>
                  <w:tcBorders>
                    <w:tl2br w:val="nil"/>
                    <w:tr2bl w:val="nil"/>
                  </w:tcBorders>
                  <w:noWrap w:val="0"/>
                  <w:vAlign w:val="center"/>
                </w:tcPr>
                <w:p w14:paraId="127E09F8">
                  <w:pPr>
                    <w:pStyle w:val="33"/>
                    <w:keepNext w:val="0"/>
                    <w:keepLines w:val="0"/>
                    <w:pageBreakBefore w:val="0"/>
                    <w:kinsoku/>
                    <w:wordWrap/>
                    <w:overflowPunct/>
                    <w:autoSpaceDE/>
                    <w:autoSpaceDN/>
                    <w:bidi w:val="0"/>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w:t>
                  </w:r>
                </w:p>
              </w:tc>
              <w:tc>
                <w:tcPr>
                  <w:tcW w:w="626" w:type="pct"/>
                  <w:tcBorders>
                    <w:tl2br w:val="nil"/>
                    <w:tr2bl w:val="nil"/>
                  </w:tcBorders>
                  <w:noWrap w:val="0"/>
                  <w:vAlign w:val="center"/>
                </w:tcPr>
                <w:p w14:paraId="270DF981">
                  <w:pPr>
                    <w:pStyle w:val="33"/>
                    <w:keepNext w:val="0"/>
                    <w:keepLines w:val="0"/>
                    <w:pageBreakBefore w:val="0"/>
                    <w:kinsoku/>
                    <w:wordWrap/>
                    <w:overflowPunct/>
                    <w:autoSpaceDE/>
                    <w:autoSpaceDN/>
                    <w:bidi w:val="0"/>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w:t>
                  </w:r>
                </w:p>
              </w:tc>
            </w:tr>
            <w:bookmarkEnd w:id="2"/>
          </w:tbl>
          <w:p w14:paraId="0D59474E">
            <w:pPr>
              <w:ind w:firstLine="420"/>
              <w:rPr>
                <w:color w:val="auto"/>
                <w:sz w:val="24"/>
                <w:szCs w:val="24"/>
              </w:rPr>
            </w:pPr>
            <w:r>
              <w:rPr>
                <w:rFonts w:hint="eastAsia"/>
                <w:color w:val="auto"/>
                <w:sz w:val="24"/>
                <w:szCs w:val="24"/>
              </w:rPr>
              <w:t>根据上表可以看出，特征因子非甲烷总烃未出现超标现象，均满足项目所在地区的环境功能区划要求</w:t>
            </w:r>
            <w:r>
              <w:rPr>
                <w:color w:val="auto"/>
                <w:sz w:val="24"/>
                <w:szCs w:val="24"/>
              </w:rPr>
              <w:t>。</w:t>
            </w:r>
          </w:p>
          <w:p w14:paraId="127EFB52">
            <w:pPr>
              <w:spacing w:line="240" w:lineRule="auto"/>
              <w:ind w:firstLine="0" w:firstLineChars="0"/>
              <w:rPr>
                <w:b/>
                <w:bCs/>
                <w:color w:val="auto"/>
                <w:sz w:val="24"/>
                <w:szCs w:val="24"/>
              </w:rPr>
            </w:pPr>
            <w:r>
              <w:rPr>
                <w:b/>
                <w:bCs/>
                <w:color w:val="auto"/>
                <w:sz w:val="24"/>
                <w:szCs w:val="24"/>
              </w:rPr>
              <w:t>3</w:t>
            </w:r>
            <w:r>
              <w:rPr>
                <w:rFonts w:hint="eastAsia"/>
                <w:b/>
                <w:bCs/>
                <w:color w:val="auto"/>
                <w:sz w:val="24"/>
                <w:szCs w:val="24"/>
                <w:lang w:val="en-US" w:eastAsia="zh-CN"/>
              </w:rPr>
              <w:t>、</w:t>
            </w:r>
            <w:r>
              <w:rPr>
                <w:b/>
                <w:bCs/>
                <w:color w:val="auto"/>
                <w:sz w:val="24"/>
                <w:szCs w:val="24"/>
              </w:rPr>
              <w:t>声环境</w:t>
            </w:r>
          </w:p>
          <w:p w14:paraId="3A4C62F5">
            <w:pPr>
              <w:ind w:firstLine="0" w:firstLineChars="0"/>
              <w:rPr>
                <w:b/>
                <w:bCs/>
                <w:color w:val="auto"/>
                <w:sz w:val="24"/>
                <w:szCs w:val="24"/>
              </w:rPr>
            </w:pPr>
            <w:r>
              <w:rPr>
                <w:b/>
                <w:bCs/>
                <w:color w:val="auto"/>
                <w:sz w:val="24"/>
                <w:szCs w:val="24"/>
              </w:rPr>
              <w:t>3.</w:t>
            </w:r>
            <w:r>
              <w:rPr>
                <w:rFonts w:hint="eastAsia"/>
                <w:b/>
                <w:bCs/>
                <w:color w:val="auto"/>
                <w:sz w:val="24"/>
                <w:szCs w:val="24"/>
                <w:lang w:val="en-US" w:eastAsia="zh-CN"/>
              </w:rPr>
              <w:t>1</w:t>
            </w:r>
            <w:r>
              <w:rPr>
                <w:b/>
                <w:bCs/>
                <w:color w:val="auto"/>
                <w:sz w:val="24"/>
                <w:szCs w:val="24"/>
              </w:rPr>
              <w:t>声环境质量状况</w:t>
            </w:r>
          </w:p>
          <w:p w14:paraId="5B5BAA8D">
            <w:pPr>
              <w:spacing w:line="360" w:lineRule="auto"/>
              <w:ind w:firstLine="480" w:firstLineChars="200"/>
              <w:rPr>
                <w:b/>
                <w:bCs/>
                <w:color w:val="auto"/>
                <w:sz w:val="24"/>
                <w:szCs w:val="24"/>
              </w:rPr>
            </w:pPr>
            <w:r>
              <w:rPr>
                <w:rFonts w:hint="default" w:ascii="Times New Roman" w:hAnsi="Times New Roman" w:eastAsia="宋体" w:cs="Times New Roman"/>
                <w:color w:val="auto"/>
                <w:sz w:val="24"/>
                <w:highlight w:val="none"/>
              </w:rPr>
              <w:t>本项目周边</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rPr>
              <w:t>0米范围内无敏感点，因此无需开展噪声现状调查。</w:t>
            </w:r>
          </w:p>
          <w:p w14:paraId="1662FF9B">
            <w:pPr>
              <w:ind w:firstLine="0" w:firstLineChars="0"/>
              <w:rPr>
                <w:b/>
                <w:bCs/>
                <w:color w:val="auto"/>
                <w:sz w:val="24"/>
                <w:szCs w:val="24"/>
              </w:rPr>
            </w:pPr>
            <w:r>
              <w:rPr>
                <w:b/>
                <w:bCs/>
                <w:color w:val="auto"/>
                <w:sz w:val="24"/>
                <w:szCs w:val="24"/>
              </w:rPr>
              <w:t>4</w:t>
            </w:r>
            <w:r>
              <w:rPr>
                <w:rFonts w:hint="eastAsia"/>
                <w:b/>
                <w:bCs/>
                <w:color w:val="auto"/>
                <w:sz w:val="24"/>
                <w:szCs w:val="24"/>
                <w:lang w:val="en-US" w:eastAsia="zh-CN"/>
              </w:rPr>
              <w:t>、</w:t>
            </w:r>
            <w:r>
              <w:rPr>
                <w:b/>
                <w:bCs/>
                <w:color w:val="auto"/>
                <w:sz w:val="24"/>
                <w:szCs w:val="24"/>
              </w:rPr>
              <w:t>生态环境</w:t>
            </w:r>
          </w:p>
          <w:p w14:paraId="0A3128AD">
            <w:pPr>
              <w:ind w:firstLine="420"/>
              <w:rPr>
                <w:color w:val="auto"/>
                <w:sz w:val="24"/>
                <w:szCs w:val="24"/>
              </w:rPr>
            </w:pPr>
            <w:r>
              <w:rPr>
                <w:color w:val="auto"/>
                <w:sz w:val="24"/>
                <w:szCs w:val="24"/>
              </w:rPr>
              <w:t>本项目位于</w:t>
            </w:r>
            <w:r>
              <w:rPr>
                <w:rFonts w:hint="eastAsia"/>
                <w:color w:val="auto"/>
                <w:sz w:val="24"/>
                <w:szCs w:val="24"/>
                <w:lang w:val="en-US" w:eastAsia="zh-CN"/>
              </w:rPr>
              <w:t>金坛经济</w:t>
            </w:r>
            <w:r>
              <w:rPr>
                <w:rFonts w:hint="eastAsia"/>
                <w:color w:val="auto"/>
                <w:sz w:val="24"/>
                <w:szCs w:val="24"/>
                <w:lang w:eastAsia="zh-CN"/>
              </w:rPr>
              <w:t>开发区</w:t>
            </w:r>
            <w:r>
              <w:rPr>
                <w:color w:val="auto"/>
                <w:sz w:val="24"/>
                <w:szCs w:val="24"/>
                <w:lang w:val="zh-CN"/>
              </w:rPr>
              <w:t>，用地范围内无生态环境保护目标，无需进行生态现状调查。</w:t>
            </w:r>
          </w:p>
          <w:p w14:paraId="7FC9EC0B">
            <w:pPr>
              <w:ind w:firstLine="0" w:firstLineChars="0"/>
              <w:rPr>
                <w:b/>
                <w:bCs/>
                <w:color w:val="auto"/>
                <w:sz w:val="24"/>
                <w:szCs w:val="24"/>
              </w:rPr>
            </w:pPr>
            <w:r>
              <w:rPr>
                <w:b/>
                <w:bCs/>
                <w:color w:val="auto"/>
                <w:sz w:val="24"/>
                <w:szCs w:val="24"/>
              </w:rPr>
              <w:t>5</w:t>
            </w:r>
            <w:r>
              <w:rPr>
                <w:rFonts w:hint="eastAsia"/>
                <w:b/>
                <w:bCs/>
                <w:color w:val="auto"/>
                <w:sz w:val="24"/>
                <w:szCs w:val="24"/>
                <w:lang w:val="en-US" w:eastAsia="zh-CN"/>
              </w:rPr>
              <w:t>、</w:t>
            </w:r>
            <w:r>
              <w:rPr>
                <w:b/>
                <w:bCs/>
                <w:color w:val="auto"/>
                <w:sz w:val="24"/>
                <w:szCs w:val="24"/>
              </w:rPr>
              <w:t>电磁辐射</w:t>
            </w:r>
          </w:p>
          <w:p w14:paraId="2B2F278D">
            <w:pPr>
              <w:ind w:firstLine="420"/>
              <w:rPr>
                <w:color w:val="auto"/>
                <w:sz w:val="24"/>
                <w:szCs w:val="24"/>
                <w:lang w:val="zh-CN"/>
              </w:rPr>
            </w:pPr>
            <w:r>
              <w:rPr>
                <w:color w:val="auto"/>
                <w:sz w:val="24"/>
                <w:szCs w:val="24"/>
                <w:lang w:val="zh-CN"/>
              </w:rPr>
              <w:t>本项目</w:t>
            </w:r>
            <w:r>
              <w:rPr>
                <w:rFonts w:hint="eastAsia"/>
                <w:color w:val="auto"/>
                <w:sz w:val="24"/>
                <w:szCs w:val="24"/>
                <w:lang w:val="en-US" w:eastAsia="zh-CN"/>
              </w:rPr>
              <w:t>不涉及</w:t>
            </w:r>
            <w:r>
              <w:rPr>
                <w:color w:val="auto"/>
                <w:sz w:val="24"/>
                <w:szCs w:val="24"/>
                <w:lang w:val="zh-CN"/>
              </w:rPr>
              <w:t>。</w:t>
            </w:r>
          </w:p>
          <w:p w14:paraId="4F65FB57">
            <w:pPr>
              <w:ind w:firstLine="0" w:firstLineChars="0"/>
              <w:rPr>
                <w:b/>
                <w:bCs/>
                <w:color w:val="auto"/>
                <w:sz w:val="24"/>
                <w:szCs w:val="24"/>
              </w:rPr>
            </w:pPr>
            <w:r>
              <w:rPr>
                <w:b/>
                <w:bCs/>
                <w:color w:val="auto"/>
                <w:sz w:val="24"/>
                <w:szCs w:val="24"/>
              </w:rPr>
              <w:t>6</w:t>
            </w:r>
            <w:r>
              <w:rPr>
                <w:rFonts w:hint="eastAsia"/>
                <w:b/>
                <w:bCs/>
                <w:color w:val="auto"/>
                <w:sz w:val="24"/>
                <w:szCs w:val="24"/>
                <w:lang w:val="en-US" w:eastAsia="zh-CN"/>
              </w:rPr>
              <w:t>、</w:t>
            </w:r>
            <w:r>
              <w:rPr>
                <w:b/>
                <w:bCs/>
                <w:color w:val="auto"/>
                <w:sz w:val="24"/>
                <w:szCs w:val="24"/>
              </w:rPr>
              <w:t>地下水</w:t>
            </w:r>
            <w:r>
              <w:rPr>
                <w:rFonts w:hint="eastAsia"/>
                <w:b/>
                <w:bCs/>
                <w:color w:val="auto"/>
                <w:sz w:val="24"/>
                <w:szCs w:val="24"/>
                <w:lang w:eastAsia="zh-CN"/>
              </w:rPr>
              <w:t>、</w:t>
            </w:r>
            <w:r>
              <w:rPr>
                <w:rFonts w:hint="eastAsia"/>
                <w:b/>
                <w:bCs/>
                <w:color w:val="auto"/>
                <w:sz w:val="24"/>
                <w:szCs w:val="24"/>
                <w:lang w:val="en-US" w:eastAsia="zh-CN"/>
              </w:rPr>
              <w:t>土壤</w:t>
            </w:r>
            <w:r>
              <w:rPr>
                <w:b/>
                <w:bCs/>
                <w:color w:val="auto"/>
                <w:sz w:val="24"/>
                <w:szCs w:val="24"/>
              </w:rPr>
              <w:t>环境</w:t>
            </w:r>
          </w:p>
          <w:p w14:paraId="454B86A9">
            <w:pPr>
              <w:ind w:firstLine="420"/>
              <w:rPr>
                <w:color w:val="auto"/>
                <w:sz w:val="24"/>
                <w:szCs w:val="24"/>
              </w:rPr>
            </w:pPr>
            <w:r>
              <w:rPr>
                <w:color w:val="auto"/>
                <w:sz w:val="24"/>
                <w:szCs w:val="24"/>
              </w:rPr>
              <w:t>根据《建设项目环境影响报告表编制技术指南（污染影响类）》中相关要求，地下水</w:t>
            </w:r>
            <w:r>
              <w:rPr>
                <w:rFonts w:hint="eastAsia"/>
                <w:color w:val="auto"/>
                <w:sz w:val="24"/>
                <w:szCs w:val="24"/>
                <w:lang w:eastAsia="zh-CN"/>
              </w:rPr>
              <w:t>、</w:t>
            </w:r>
            <w:r>
              <w:rPr>
                <w:rFonts w:hint="eastAsia"/>
                <w:color w:val="auto"/>
                <w:sz w:val="24"/>
                <w:szCs w:val="24"/>
                <w:lang w:val="en-US" w:eastAsia="zh-CN"/>
              </w:rPr>
              <w:t>土壤</w:t>
            </w:r>
            <w:r>
              <w:rPr>
                <w:color w:val="auto"/>
                <w:sz w:val="24"/>
                <w:szCs w:val="24"/>
              </w:rPr>
              <w:t>环境原则上不开展环境质量现状调查。</w:t>
            </w:r>
          </w:p>
          <w:p w14:paraId="7F8CA18F">
            <w:pPr>
              <w:snapToGrid w:val="0"/>
              <w:ind w:firstLine="420"/>
              <w:rPr>
                <w:color w:val="auto"/>
                <w:sz w:val="24"/>
                <w:szCs w:val="24"/>
              </w:rPr>
            </w:pPr>
            <w:r>
              <w:rPr>
                <w:color w:val="auto"/>
                <w:sz w:val="24"/>
                <w:szCs w:val="24"/>
              </w:rPr>
              <w:t>本项目建设地点位于</w:t>
            </w:r>
            <w:r>
              <w:rPr>
                <w:rFonts w:hint="eastAsia"/>
                <w:color w:val="auto"/>
                <w:sz w:val="24"/>
                <w:szCs w:val="24"/>
                <w:lang w:val="en-US" w:eastAsia="zh-CN"/>
              </w:rPr>
              <w:t>金坛经济</w:t>
            </w:r>
            <w:r>
              <w:rPr>
                <w:rFonts w:hint="eastAsia"/>
                <w:color w:val="auto"/>
                <w:sz w:val="24"/>
                <w:szCs w:val="24"/>
                <w:lang w:eastAsia="zh-CN"/>
              </w:rPr>
              <w:t>开发区</w:t>
            </w:r>
            <w:r>
              <w:rPr>
                <w:color w:val="auto"/>
                <w:sz w:val="24"/>
                <w:szCs w:val="24"/>
              </w:rPr>
              <w:t>，用地性质为工业用地，项目500m范围内无地下集中式饮用水水源和热水、矿泉水、温泉等特殊地下水资源；本项目主要的地下水</w:t>
            </w:r>
            <w:r>
              <w:rPr>
                <w:rFonts w:hint="eastAsia"/>
                <w:color w:val="auto"/>
                <w:sz w:val="24"/>
                <w:szCs w:val="24"/>
                <w:lang w:eastAsia="zh-CN"/>
              </w:rPr>
              <w:t>、</w:t>
            </w:r>
            <w:r>
              <w:rPr>
                <w:rFonts w:hint="eastAsia"/>
                <w:color w:val="auto"/>
                <w:sz w:val="24"/>
                <w:szCs w:val="24"/>
                <w:lang w:val="en-US" w:eastAsia="zh-CN"/>
              </w:rPr>
              <w:t>土壤</w:t>
            </w:r>
            <w:r>
              <w:rPr>
                <w:color w:val="auto"/>
                <w:sz w:val="24"/>
                <w:szCs w:val="24"/>
              </w:rPr>
              <w:t>污染途径为液态原辅料和危险废物的渗漏，主要涉及到的污染物为原辅料（</w:t>
            </w:r>
            <w:r>
              <w:rPr>
                <w:rFonts w:hint="eastAsia"/>
                <w:color w:val="auto"/>
                <w:sz w:val="24"/>
                <w:szCs w:val="24"/>
                <w:highlight w:val="none"/>
                <w:lang w:val="en-US" w:eastAsia="zh-CN"/>
              </w:rPr>
              <w:t>UV油墨、煤油、切削液</w:t>
            </w:r>
            <w:r>
              <w:rPr>
                <w:color w:val="auto"/>
                <w:sz w:val="24"/>
                <w:szCs w:val="24"/>
                <w:highlight w:val="none"/>
              </w:rPr>
              <w:t>等</w:t>
            </w:r>
            <w:r>
              <w:rPr>
                <w:color w:val="auto"/>
                <w:sz w:val="24"/>
                <w:szCs w:val="24"/>
              </w:rPr>
              <w:t>）、危险废物（</w:t>
            </w:r>
            <w:r>
              <w:rPr>
                <w:rFonts w:hint="eastAsia"/>
                <w:color w:val="auto"/>
                <w:sz w:val="24"/>
                <w:szCs w:val="24"/>
                <w:highlight w:val="none"/>
                <w:lang w:val="en-US" w:eastAsia="zh-CN"/>
              </w:rPr>
              <w:t>废墨盒、清洗废液、废切削液、废滤芯、废煤油、废包装桶、废抹布手套、废活性炭</w:t>
            </w:r>
            <w:r>
              <w:rPr>
                <w:rFonts w:hint="eastAsia"/>
                <w:color w:val="auto"/>
                <w:sz w:val="24"/>
                <w:szCs w:val="24"/>
                <w:highlight w:val="none"/>
              </w:rPr>
              <w:t>、废擦拭布、抛光废液</w:t>
            </w:r>
            <w:r>
              <w:rPr>
                <w:rFonts w:hint="eastAsia"/>
                <w:color w:val="auto"/>
                <w:sz w:val="24"/>
                <w:szCs w:val="24"/>
                <w:highlight w:val="none"/>
                <w:lang w:eastAsia="zh-CN"/>
              </w:rPr>
              <w:t>、</w:t>
            </w:r>
            <w:r>
              <w:rPr>
                <w:rFonts w:hint="eastAsia"/>
                <w:color w:val="auto"/>
                <w:sz w:val="24"/>
                <w:szCs w:val="24"/>
                <w:highlight w:val="none"/>
                <w:lang w:val="en-US" w:eastAsia="zh-CN"/>
              </w:rPr>
              <w:t>废抹布</w:t>
            </w:r>
            <w:r>
              <w:rPr>
                <w:color w:val="auto"/>
                <w:sz w:val="24"/>
                <w:szCs w:val="24"/>
                <w:highlight w:val="none"/>
              </w:rPr>
              <w:t>等</w:t>
            </w:r>
            <w:r>
              <w:rPr>
                <w:color w:val="auto"/>
                <w:sz w:val="24"/>
                <w:szCs w:val="24"/>
              </w:rPr>
              <w:t>）；生产辅料储存于</w:t>
            </w:r>
            <w:r>
              <w:rPr>
                <w:color w:val="auto"/>
                <w:sz w:val="24"/>
                <w:szCs w:val="24"/>
                <w:highlight w:val="none"/>
              </w:rPr>
              <w:t>原辅料</w:t>
            </w:r>
            <w:r>
              <w:rPr>
                <w:rFonts w:hint="eastAsia"/>
                <w:color w:val="auto"/>
                <w:sz w:val="24"/>
                <w:szCs w:val="24"/>
                <w:highlight w:val="none"/>
                <w:lang w:val="en-US" w:eastAsia="zh-CN"/>
              </w:rPr>
              <w:t>仓库</w:t>
            </w:r>
            <w:r>
              <w:rPr>
                <w:color w:val="auto"/>
                <w:sz w:val="24"/>
                <w:szCs w:val="24"/>
              </w:rPr>
              <w:t>内，地面做好防渗漏措施，加强使用过程中对人员和取用流程的管控，能有效防止其渗漏；危险废物暂存于危废暂存间内，危废暂存间拟按照《危险废物贮存污染控制标准》（GB18597-20</w:t>
            </w:r>
            <w:r>
              <w:rPr>
                <w:rFonts w:hint="eastAsia"/>
                <w:color w:val="auto"/>
                <w:sz w:val="24"/>
                <w:szCs w:val="24"/>
                <w:lang w:val="en-US" w:eastAsia="zh-CN"/>
              </w:rPr>
              <w:t>23</w:t>
            </w:r>
            <w:r>
              <w:rPr>
                <w:color w:val="auto"/>
                <w:sz w:val="24"/>
                <w:szCs w:val="24"/>
              </w:rPr>
              <w:t>）的要求采取防渗防漏措施，能有效防止地下水</w:t>
            </w:r>
            <w:r>
              <w:rPr>
                <w:rFonts w:hint="eastAsia"/>
                <w:color w:val="auto"/>
                <w:sz w:val="24"/>
                <w:szCs w:val="24"/>
                <w:lang w:eastAsia="zh-CN"/>
              </w:rPr>
              <w:t>、</w:t>
            </w:r>
            <w:r>
              <w:rPr>
                <w:rFonts w:hint="eastAsia"/>
                <w:color w:val="auto"/>
                <w:sz w:val="24"/>
                <w:szCs w:val="24"/>
                <w:lang w:val="en-US" w:eastAsia="zh-CN"/>
              </w:rPr>
              <w:t>土壤</w:t>
            </w:r>
            <w:r>
              <w:rPr>
                <w:color w:val="auto"/>
                <w:sz w:val="24"/>
                <w:szCs w:val="24"/>
              </w:rPr>
              <w:t>污染；采取了辅料和危险废物渗漏防治措施后本项目对于周边的保护目标基本无影响。</w:t>
            </w:r>
          </w:p>
          <w:p w14:paraId="1F6CEB61">
            <w:pPr>
              <w:ind w:firstLine="0" w:firstLineChars="0"/>
              <w:rPr>
                <w:color w:val="auto"/>
                <w:sz w:val="24"/>
                <w:szCs w:val="24"/>
              </w:rPr>
            </w:pPr>
          </w:p>
        </w:tc>
      </w:tr>
      <w:tr w14:paraId="6675AC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1" w:hRule="atLeast"/>
          <w:jc w:val="center"/>
        </w:trPr>
        <w:tc>
          <w:tcPr>
            <w:tcW w:w="468" w:type="dxa"/>
            <w:noWrap w:val="0"/>
            <w:vAlign w:val="center"/>
          </w:tcPr>
          <w:p w14:paraId="18B311E4">
            <w:pPr>
              <w:spacing w:line="240" w:lineRule="auto"/>
              <w:ind w:firstLine="0" w:firstLineChars="0"/>
              <w:jc w:val="center"/>
              <w:rPr>
                <w:b/>
                <w:bCs/>
                <w:color w:val="auto"/>
                <w:sz w:val="24"/>
                <w:szCs w:val="24"/>
              </w:rPr>
            </w:pPr>
            <w:r>
              <w:rPr>
                <w:rFonts w:hint="eastAsia"/>
                <w:b/>
                <w:bCs/>
                <w:color w:val="auto"/>
                <w:sz w:val="24"/>
                <w:szCs w:val="24"/>
                <w:lang w:eastAsia="zh-CN"/>
              </w:rPr>
              <w:t xml:space="preserve"> </w:t>
            </w:r>
            <w:r>
              <w:rPr>
                <w:b/>
                <w:bCs/>
                <w:color w:val="auto"/>
                <w:sz w:val="24"/>
                <w:szCs w:val="24"/>
              </w:rPr>
              <w:t>主要环境保护目标</w:t>
            </w:r>
          </w:p>
        </w:tc>
        <w:tc>
          <w:tcPr>
            <w:tcW w:w="9501" w:type="dxa"/>
            <w:noWrap w:val="0"/>
            <w:vAlign w:val="center"/>
          </w:tcPr>
          <w:p w14:paraId="36C88B8B">
            <w:pPr>
              <w:ind w:firstLine="420"/>
              <w:rPr>
                <w:color w:val="auto"/>
                <w:sz w:val="24"/>
                <w:szCs w:val="24"/>
              </w:rPr>
            </w:pPr>
            <w:r>
              <w:rPr>
                <w:color w:val="auto"/>
                <w:sz w:val="24"/>
                <w:szCs w:val="24"/>
              </w:rPr>
              <w:t>根据现场勘查，项目周边环境</w:t>
            </w:r>
            <w:r>
              <w:rPr>
                <w:rFonts w:hint="eastAsia"/>
                <w:color w:val="auto"/>
                <w:sz w:val="24"/>
                <w:szCs w:val="24"/>
                <w:lang w:eastAsia="zh-CN"/>
              </w:rPr>
              <w:t>（</w:t>
            </w:r>
            <w:r>
              <w:rPr>
                <w:rFonts w:hint="eastAsia"/>
                <w:color w:val="auto"/>
                <w:sz w:val="24"/>
                <w:szCs w:val="24"/>
                <w:lang w:val="en-US" w:eastAsia="zh-CN"/>
              </w:rPr>
              <w:t>500米内</w:t>
            </w:r>
            <w:r>
              <w:rPr>
                <w:rFonts w:hint="eastAsia"/>
                <w:color w:val="auto"/>
                <w:sz w:val="24"/>
                <w:szCs w:val="24"/>
                <w:lang w:eastAsia="zh-CN"/>
              </w:rPr>
              <w:t>）</w:t>
            </w:r>
            <w:r>
              <w:rPr>
                <w:color w:val="auto"/>
                <w:sz w:val="24"/>
                <w:szCs w:val="24"/>
              </w:rPr>
              <w:t>保护目标见下表。</w:t>
            </w:r>
          </w:p>
          <w:p w14:paraId="6E5D8991">
            <w:pPr>
              <w:spacing w:line="240" w:lineRule="auto"/>
              <w:ind w:firstLine="0" w:firstLineChars="0"/>
              <w:jc w:val="center"/>
              <w:rPr>
                <w:b/>
                <w:bCs/>
                <w:color w:val="auto"/>
                <w:sz w:val="21"/>
                <w:szCs w:val="21"/>
              </w:rPr>
            </w:pPr>
            <w:r>
              <w:rPr>
                <w:b/>
                <w:bCs/>
                <w:color w:val="auto"/>
                <w:sz w:val="21"/>
                <w:szCs w:val="21"/>
              </w:rPr>
              <w:t>表3-</w:t>
            </w:r>
            <w:r>
              <w:rPr>
                <w:rFonts w:hint="eastAsia"/>
                <w:b/>
                <w:bCs/>
                <w:color w:val="auto"/>
                <w:sz w:val="21"/>
                <w:szCs w:val="21"/>
                <w:lang w:val="en-US" w:eastAsia="zh-CN"/>
              </w:rPr>
              <w:t>6</w:t>
            </w:r>
            <w:r>
              <w:rPr>
                <w:b/>
                <w:bCs/>
                <w:color w:val="auto"/>
                <w:sz w:val="21"/>
                <w:szCs w:val="21"/>
              </w:rPr>
              <w:t xml:space="preserve"> 项目周边</w:t>
            </w:r>
            <w:r>
              <w:rPr>
                <w:rFonts w:hint="eastAsia"/>
                <w:b/>
                <w:bCs/>
                <w:color w:val="auto"/>
                <w:sz w:val="21"/>
                <w:szCs w:val="21"/>
                <w:lang w:val="en-US" w:eastAsia="zh-CN"/>
              </w:rPr>
              <w:t>其他</w:t>
            </w:r>
            <w:r>
              <w:rPr>
                <w:b/>
                <w:bCs/>
                <w:color w:val="auto"/>
                <w:sz w:val="21"/>
                <w:szCs w:val="21"/>
              </w:rPr>
              <w:t>环境保护目标</w:t>
            </w:r>
            <w:r>
              <w:rPr>
                <w:rFonts w:hint="eastAsia"/>
                <w:b/>
                <w:bCs/>
                <w:color w:val="auto"/>
                <w:sz w:val="21"/>
                <w:szCs w:val="21"/>
                <w:lang w:val="en-US" w:eastAsia="zh-CN"/>
              </w:rPr>
              <w:t>一览</w:t>
            </w:r>
            <w:r>
              <w:rPr>
                <w:b/>
                <w:bCs/>
                <w:color w:val="auto"/>
                <w:sz w:val="21"/>
                <w:szCs w:val="21"/>
              </w:rPr>
              <w:t>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42"/>
              <w:gridCol w:w="1546"/>
              <w:gridCol w:w="1430"/>
              <w:gridCol w:w="1161"/>
              <w:gridCol w:w="953"/>
              <w:gridCol w:w="2108"/>
              <w:gridCol w:w="682"/>
              <w:gridCol w:w="763"/>
            </w:tblGrid>
            <w:tr w14:paraId="42FC26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6" w:type="pct"/>
                  <w:vMerge w:val="restart"/>
                  <w:tcBorders>
                    <w:tl2br w:val="nil"/>
                    <w:tr2bl w:val="nil"/>
                  </w:tcBorders>
                  <w:noWrap w:val="0"/>
                  <w:tcMar>
                    <w:top w:w="0" w:type="dxa"/>
                    <w:left w:w="0" w:type="dxa"/>
                    <w:bottom w:w="0" w:type="dxa"/>
                    <w:right w:w="0" w:type="dxa"/>
                  </w:tcMar>
                  <w:vAlign w:val="center"/>
                </w:tcPr>
                <w:p w14:paraId="2382A777">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保护项目</w:t>
                  </w:r>
                </w:p>
              </w:tc>
              <w:tc>
                <w:tcPr>
                  <w:tcW w:w="1603" w:type="pct"/>
                  <w:gridSpan w:val="2"/>
                  <w:tcBorders>
                    <w:tl2br w:val="nil"/>
                    <w:tr2bl w:val="nil"/>
                  </w:tcBorders>
                  <w:noWrap w:val="0"/>
                  <w:tcMar>
                    <w:top w:w="0" w:type="dxa"/>
                    <w:left w:w="0" w:type="dxa"/>
                    <w:bottom w:w="0" w:type="dxa"/>
                    <w:right w:w="0" w:type="dxa"/>
                  </w:tcMar>
                  <w:vAlign w:val="center"/>
                </w:tcPr>
                <w:p w14:paraId="15A3001D">
                  <w:pPr>
                    <w:keepNext/>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坐标</w:t>
                  </w:r>
                </w:p>
              </w:tc>
              <w:tc>
                <w:tcPr>
                  <w:tcW w:w="625" w:type="pct"/>
                  <w:vMerge w:val="restart"/>
                  <w:tcBorders>
                    <w:tl2br w:val="nil"/>
                    <w:tr2bl w:val="nil"/>
                  </w:tcBorders>
                  <w:noWrap w:val="0"/>
                  <w:tcMar>
                    <w:top w:w="0" w:type="dxa"/>
                    <w:left w:w="0" w:type="dxa"/>
                    <w:bottom w:w="0" w:type="dxa"/>
                    <w:right w:w="0" w:type="dxa"/>
                  </w:tcMar>
                  <w:vAlign w:val="center"/>
                </w:tcPr>
                <w:p w14:paraId="63AFCBA8">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保护对象</w:t>
                  </w:r>
                </w:p>
              </w:tc>
              <w:tc>
                <w:tcPr>
                  <w:tcW w:w="513" w:type="pct"/>
                  <w:vMerge w:val="restart"/>
                  <w:tcBorders>
                    <w:tl2br w:val="nil"/>
                    <w:tr2bl w:val="nil"/>
                  </w:tcBorders>
                  <w:noWrap w:val="0"/>
                  <w:tcMar>
                    <w:top w:w="0" w:type="dxa"/>
                    <w:left w:w="0" w:type="dxa"/>
                    <w:bottom w:w="0" w:type="dxa"/>
                    <w:right w:w="0" w:type="dxa"/>
                  </w:tcMar>
                  <w:vAlign w:val="center"/>
                </w:tcPr>
                <w:p w14:paraId="649D7C95">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保护内容</w:t>
                  </w:r>
                </w:p>
              </w:tc>
              <w:tc>
                <w:tcPr>
                  <w:tcW w:w="1135" w:type="pct"/>
                  <w:vMerge w:val="restart"/>
                  <w:tcBorders>
                    <w:tl2br w:val="nil"/>
                    <w:tr2bl w:val="nil"/>
                  </w:tcBorders>
                  <w:noWrap w:val="0"/>
                  <w:tcMar>
                    <w:top w:w="0" w:type="dxa"/>
                    <w:left w:w="0" w:type="dxa"/>
                    <w:bottom w:w="0" w:type="dxa"/>
                    <w:right w:w="0" w:type="dxa"/>
                  </w:tcMar>
                  <w:vAlign w:val="center"/>
                </w:tcPr>
                <w:p w14:paraId="3071AA32">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环境功能区</w:t>
                  </w:r>
                </w:p>
              </w:tc>
              <w:tc>
                <w:tcPr>
                  <w:tcW w:w="367" w:type="pct"/>
                  <w:vMerge w:val="restart"/>
                  <w:tcBorders>
                    <w:tl2br w:val="nil"/>
                    <w:tr2bl w:val="nil"/>
                  </w:tcBorders>
                  <w:noWrap w:val="0"/>
                  <w:tcMar>
                    <w:top w:w="0" w:type="dxa"/>
                    <w:left w:w="0" w:type="dxa"/>
                    <w:bottom w:w="0" w:type="dxa"/>
                    <w:right w:w="0" w:type="dxa"/>
                  </w:tcMar>
                  <w:vAlign w:val="center"/>
                </w:tcPr>
                <w:p w14:paraId="2B7FEC30">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相对厂址方位</w:t>
                  </w:r>
                </w:p>
              </w:tc>
              <w:tc>
                <w:tcPr>
                  <w:tcW w:w="409" w:type="pct"/>
                  <w:vMerge w:val="restart"/>
                  <w:tcBorders>
                    <w:tl2br w:val="nil"/>
                    <w:tr2bl w:val="nil"/>
                  </w:tcBorders>
                  <w:noWrap w:val="0"/>
                  <w:tcMar>
                    <w:top w:w="0" w:type="dxa"/>
                    <w:left w:w="0" w:type="dxa"/>
                    <w:bottom w:w="0" w:type="dxa"/>
                    <w:right w:w="0" w:type="dxa"/>
                  </w:tcMar>
                  <w:vAlign w:val="center"/>
                </w:tcPr>
                <w:p w14:paraId="29177FF7">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相对厂界最近距离/m</w:t>
                  </w:r>
                </w:p>
              </w:tc>
            </w:tr>
            <w:tr w14:paraId="577230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6" w:type="pct"/>
                  <w:vMerge w:val="continue"/>
                  <w:tcBorders>
                    <w:tl2br w:val="nil"/>
                    <w:tr2bl w:val="nil"/>
                  </w:tcBorders>
                  <w:noWrap w:val="0"/>
                  <w:tcMar>
                    <w:top w:w="0" w:type="dxa"/>
                    <w:left w:w="0" w:type="dxa"/>
                    <w:bottom w:w="0" w:type="dxa"/>
                    <w:right w:w="0" w:type="dxa"/>
                  </w:tcMar>
                  <w:vAlign w:val="center"/>
                </w:tcPr>
                <w:p w14:paraId="0E246AEF">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p>
              </w:tc>
              <w:tc>
                <w:tcPr>
                  <w:tcW w:w="833" w:type="pct"/>
                  <w:tcBorders>
                    <w:tl2br w:val="nil"/>
                    <w:tr2bl w:val="nil"/>
                  </w:tcBorders>
                  <w:noWrap w:val="0"/>
                  <w:tcMar>
                    <w:top w:w="0" w:type="dxa"/>
                    <w:left w:w="0" w:type="dxa"/>
                    <w:bottom w:w="0" w:type="dxa"/>
                    <w:right w:w="0" w:type="dxa"/>
                  </w:tcMar>
                  <w:vAlign w:val="center"/>
                </w:tcPr>
                <w:p w14:paraId="3F20D7CE">
                  <w:pPr>
                    <w:keepNext/>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X</w:t>
                  </w:r>
                </w:p>
              </w:tc>
              <w:tc>
                <w:tcPr>
                  <w:tcW w:w="770" w:type="pct"/>
                  <w:tcBorders>
                    <w:tl2br w:val="nil"/>
                    <w:tr2bl w:val="nil"/>
                  </w:tcBorders>
                  <w:noWrap w:val="0"/>
                  <w:tcMar>
                    <w:top w:w="0" w:type="dxa"/>
                    <w:left w:w="0" w:type="dxa"/>
                    <w:bottom w:w="0" w:type="dxa"/>
                    <w:right w:w="0" w:type="dxa"/>
                  </w:tcMar>
                  <w:vAlign w:val="center"/>
                </w:tcPr>
                <w:p w14:paraId="06FE65B3">
                  <w:pPr>
                    <w:keepNext/>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Y</w:t>
                  </w:r>
                </w:p>
              </w:tc>
              <w:tc>
                <w:tcPr>
                  <w:tcW w:w="625" w:type="pct"/>
                  <w:vMerge w:val="continue"/>
                  <w:tcBorders>
                    <w:tl2br w:val="nil"/>
                    <w:tr2bl w:val="nil"/>
                  </w:tcBorders>
                  <w:noWrap w:val="0"/>
                  <w:tcMar>
                    <w:top w:w="0" w:type="dxa"/>
                    <w:left w:w="0" w:type="dxa"/>
                    <w:bottom w:w="0" w:type="dxa"/>
                    <w:right w:w="0" w:type="dxa"/>
                  </w:tcMar>
                  <w:vAlign w:val="center"/>
                </w:tcPr>
                <w:p w14:paraId="6414C313">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p>
              </w:tc>
              <w:tc>
                <w:tcPr>
                  <w:tcW w:w="513" w:type="pct"/>
                  <w:vMerge w:val="continue"/>
                  <w:tcBorders>
                    <w:tl2br w:val="nil"/>
                    <w:tr2bl w:val="nil"/>
                  </w:tcBorders>
                  <w:noWrap w:val="0"/>
                  <w:tcMar>
                    <w:top w:w="0" w:type="dxa"/>
                    <w:left w:w="0" w:type="dxa"/>
                    <w:bottom w:w="0" w:type="dxa"/>
                    <w:right w:w="0" w:type="dxa"/>
                  </w:tcMar>
                  <w:vAlign w:val="center"/>
                </w:tcPr>
                <w:p w14:paraId="65C14D8B">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p>
              </w:tc>
              <w:tc>
                <w:tcPr>
                  <w:tcW w:w="1135" w:type="pct"/>
                  <w:vMerge w:val="continue"/>
                  <w:tcBorders>
                    <w:tl2br w:val="nil"/>
                    <w:tr2bl w:val="nil"/>
                  </w:tcBorders>
                  <w:noWrap w:val="0"/>
                  <w:tcMar>
                    <w:top w:w="0" w:type="dxa"/>
                    <w:left w:w="0" w:type="dxa"/>
                    <w:bottom w:w="0" w:type="dxa"/>
                    <w:right w:w="0" w:type="dxa"/>
                  </w:tcMar>
                  <w:vAlign w:val="center"/>
                </w:tcPr>
                <w:p w14:paraId="0BEC3175">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p>
              </w:tc>
              <w:tc>
                <w:tcPr>
                  <w:tcW w:w="367" w:type="pct"/>
                  <w:vMerge w:val="continue"/>
                  <w:tcBorders>
                    <w:tl2br w:val="nil"/>
                    <w:tr2bl w:val="nil"/>
                  </w:tcBorders>
                  <w:noWrap w:val="0"/>
                  <w:tcMar>
                    <w:top w:w="0" w:type="dxa"/>
                    <w:left w:w="0" w:type="dxa"/>
                    <w:bottom w:w="0" w:type="dxa"/>
                    <w:right w:w="0" w:type="dxa"/>
                  </w:tcMar>
                  <w:vAlign w:val="center"/>
                </w:tcPr>
                <w:p w14:paraId="6A153C1A">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p>
              </w:tc>
              <w:tc>
                <w:tcPr>
                  <w:tcW w:w="409" w:type="pct"/>
                  <w:vMerge w:val="continue"/>
                  <w:tcBorders>
                    <w:tl2br w:val="nil"/>
                    <w:tr2bl w:val="nil"/>
                  </w:tcBorders>
                  <w:noWrap w:val="0"/>
                  <w:tcMar>
                    <w:top w:w="0" w:type="dxa"/>
                    <w:left w:w="0" w:type="dxa"/>
                    <w:bottom w:w="0" w:type="dxa"/>
                    <w:right w:w="0" w:type="dxa"/>
                  </w:tcMar>
                  <w:vAlign w:val="center"/>
                </w:tcPr>
                <w:p w14:paraId="2A90B15D">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p>
              </w:tc>
            </w:tr>
            <w:tr w14:paraId="047587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6" w:type="pct"/>
                  <w:tcBorders>
                    <w:tl2br w:val="nil"/>
                    <w:tr2bl w:val="nil"/>
                  </w:tcBorders>
                  <w:noWrap w:val="0"/>
                  <w:tcMar>
                    <w:top w:w="0" w:type="dxa"/>
                    <w:left w:w="0" w:type="dxa"/>
                    <w:bottom w:w="0" w:type="dxa"/>
                    <w:right w:w="0" w:type="dxa"/>
                  </w:tcMar>
                  <w:vAlign w:val="center"/>
                </w:tcPr>
                <w:p w14:paraId="731B785E">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大气环境</w:t>
                  </w:r>
                </w:p>
              </w:tc>
              <w:tc>
                <w:tcPr>
                  <w:tcW w:w="4653" w:type="pct"/>
                  <w:gridSpan w:val="7"/>
                  <w:tcBorders>
                    <w:tl2br w:val="nil"/>
                    <w:tr2bl w:val="nil"/>
                  </w:tcBorders>
                  <w:noWrap w:val="0"/>
                  <w:tcMar>
                    <w:top w:w="0" w:type="dxa"/>
                    <w:left w:w="0" w:type="dxa"/>
                    <w:bottom w:w="0" w:type="dxa"/>
                    <w:right w:w="0" w:type="dxa"/>
                  </w:tcMar>
                  <w:vAlign w:val="center"/>
                </w:tcPr>
                <w:p w14:paraId="3932276C">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olor w:val="auto"/>
                      <w:lang w:val="en-US" w:eastAsia="zh-CN"/>
                    </w:rPr>
                    <w:t>本项目厂界外</w:t>
                  </w:r>
                  <w:r>
                    <w:rPr>
                      <w:rFonts w:hint="default"/>
                      <w:color w:val="auto"/>
                    </w:rPr>
                    <w:t>500米范围内</w:t>
                  </w:r>
                  <w:r>
                    <w:rPr>
                      <w:rFonts w:hint="eastAsia"/>
                      <w:color w:val="auto"/>
                      <w:lang w:val="en-US" w:eastAsia="zh-CN"/>
                    </w:rPr>
                    <w:t>无保护目标</w:t>
                  </w:r>
                </w:p>
              </w:tc>
            </w:tr>
            <w:tr w14:paraId="31A778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6" w:type="pct"/>
                  <w:tcBorders>
                    <w:tl2br w:val="nil"/>
                    <w:tr2bl w:val="nil"/>
                  </w:tcBorders>
                  <w:noWrap w:val="0"/>
                  <w:tcMar>
                    <w:top w:w="0" w:type="dxa"/>
                    <w:left w:w="0" w:type="dxa"/>
                    <w:bottom w:w="0" w:type="dxa"/>
                    <w:right w:w="0" w:type="dxa"/>
                  </w:tcMar>
                  <w:vAlign w:val="center"/>
                </w:tcPr>
                <w:p w14:paraId="02D9DE50">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4653" w:type="pct"/>
                  <w:gridSpan w:val="7"/>
                  <w:tcBorders>
                    <w:tl2br w:val="nil"/>
                    <w:tr2bl w:val="nil"/>
                  </w:tcBorders>
                  <w:noWrap w:val="0"/>
                  <w:tcMar>
                    <w:top w:w="0" w:type="dxa"/>
                    <w:left w:w="0" w:type="dxa"/>
                    <w:bottom w:w="0" w:type="dxa"/>
                    <w:right w:w="0" w:type="dxa"/>
                  </w:tcMar>
                  <w:vAlign w:val="center"/>
                </w:tcPr>
                <w:p w14:paraId="1DEB0E9C">
                  <w:pPr>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color w:val="auto"/>
                      <w:sz w:val="21"/>
                      <w:szCs w:val="21"/>
                      <w:lang w:val="en-US" w:eastAsia="zh-CN"/>
                    </w:rPr>
                    <w:t>本项目厂界外50米范围内无声环境保护对象</w:t>
                  </w:r>
                </w:p>
              </w:tc>
            </w:tr>
            <w:tr w14:paraId="788A0B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79" w:hRule="atLeast"/>
                <w:jc w:val="center"/>
              </w:trPr>
              <w:tc>
                <w:tcPr>
                  <w:tcW w:w="346" w:type="pct"/>
                  <w:tcBorders>
                    <w:tl2br w:val="nil"/>
                    <w:tr2bl w:val="nil"/>
                  </w:tcBorders>
                  <w:noWrap w:val="0"/>
                  <w:tcMar>
                    <w:top w:w="0" w:type="dxa"/>
                    <w:left w:w="0" w:type="dxa"/>
                    <w:bottom w:w="0" w:type="dxa"/>
                    <w:right w:w="0" w:type="dxa"/>
                  </w:tcMar>
                  <w:vAlign w:val="center"/>
                </w:tcPr>
                <w:p w14:paraId="1370F880">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生态环境</w:t>
                  </w:r>
                </w:p>
              </w:tc>
              <w:tc>
                <w:tcPr>
                  <w:tcW w:w="4653" w:type="pct"/>
                  <w:gridSpan w:val="7"/>
                  <w:tcBorders>
                    <w:tl2br w:val="nil"/>
                    <w:tr2bl w:val="nil"/>
                  </w:tcBorders>
                  <w:noWrap w:val="0"/>
                  <w:tcMar>
                    <w:top w:w="0" w:type="dxa"/>
                    <w:left w:w="0" w:type="dxa"/>
                    <w:bottom w:w="0" w:type="dxa"/>
                    <w:right w:w="0" w:type="dxa"/>
                  </w:tcMar>
                  <w:vAlign w:val="center"/>
                </w:tcPr>
                <w:p w14:paraId="13CCAB4C">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color w:val="auto"/>
                    </w:rPr>
                    <w:t>项目位于江苏省金坛经济开发区内，不新增用地，用地范围内无生态环境敏感目标</w:t>
                  </w:r>
                </w:p>
              </w:tc>
            </w:tr>
            <w:tr w14:paraId="6287F5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6" w:type="pct"/>
                  <w:tcBorders>
                    <w:tl2br w:val="nil"/>
                    <w:tr2bl w:val="nil"/>
                  </w:tcBorders>
                  <w:noWrap w:val="0"/>
                  <w:tcMar>
                    <w:top w:w="0" w:type="dxa"/>
                    <w:left w:w="0" w:type="dxa"/>
                    <w:bottom w:w="0" w:type="dxa"/>
                    <w:right w:w="0" w:type="dxa"/>
                  </w:tcMar>
                  <w:vAlign w:val="center"/>
                </w:tcPr>
                <w:p w14:paraId="3D8531AD">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4653" w:type="pct"/>
                  <w:gridSpan w:val="7"/>
                  <w:tcBorders>
                    <w:tl2br w:val="nil"/>
                    <w:tr2bl w:val="nil"/>
                  </w:tcBorders>
                  <w:noWrap w:val="0"/>
                  <w:tcMar>
                    <w:top w:w="0" w:type="dxa"/>
                    <w:left w:w="0" w:type="dxa"/>
                    <w:bottom w:w="0" w:type="dxa"/>
                    <w:right w:w="0" w:type="dxa"/>
                  </w:tcMar>
                  <w:vAlign w:val="center"/>
                </w:tcPr>
                <w:p w14:paraId="0CA7D3E3">
                  <w:pPr>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本项目厂界外500米范围内无地下水集中式饮用水水源等特殊地下水资源</w:t>
                  </w:r>
                </w:p>
              </w:tc>
            </w:tr>
            <w:tr w14:paraId="1D163E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8"/>
                  <w:tcBorders>
                    <w:tl2br w:val="nil"/>
                    <w:tr2bl w:val="nil"/>
                  </w:tcBorders>
                  <w:noWrap w:val="0"/>
                  <w:tcMar>
                    <w:top w:w="0" w:type="dxa"/>
                    <w:left w:w="0" w:type="dxa"/>
                    <w:bottom w:w="0" w:type="dxa"/>
                    <w:right w:w="0" w:type="dxa"/>
                  </w:tcMar>
                  <w:vAlign w:val="center"/>
                </w:tcPr>
                <w:p w14:paraId="75118BD4">
                  <w:pPr>
                    <w:pageBreakBefore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注：项目距离国控站点（金坛城区）直线距离约</w:t>
                  </w:r>
                  <w:r>
                    <w:rPr>
                      <w:rFonts w:hint="eastAsia" w:cs="Times New Roman"/>
                      <w:b/>
                      <w:bCs/>
                      <w:color w:val="auto"/>
                      <w:sz w:val="21"/>
                      <w:szCs w:val="21"/>
                      <w:lang w:val="en-US" w:eastAsia="zh-CN"/>
                    </w:rPr>
                    <w:t>7.2</w:t>
                  </w:r>
                  <w:r>
                    <w:rPr>
                      <w:rFonts w:hint="default" w:ascii="Times New Roman" w:hAnsi="Times New Roman" w:eastAsia="宋体" w:cs="Times New Roman"/>
                      <w:b/>
                      <w:bCs/>
                      <w:color w:val="auto"/>
                      <w:sz w:val="21"/>
                      <w:szCs w:val="21"/>
                      <w:lang w:val="en-US" w:eastAsia="zh-CN"/>
                    </w:rPr>
                    <w:t>km，距离省控站点（金坛监测站）</w:t>
                  </w:r>
                  <w:r>
                    <w:rPr>
                      <w:rFonts w:hint="eastAsia" w:cs="Times New Roman"/>
                      <w:b/>
                      <w:bCs/>
                      <w:color w:val="auto"/>
                      <w:sz w:val="21"/>
                      <w:szCs w:val="21"/>
                      <w:lang w:val="en-US" w:eastAsia="zh-CN"/>
                    </w:rPr>
                    <w:t>8.1</w:t>
                  </w:r>
                  <w:r>
                    <w:rPr>
                      <w:rFonts w:hint="default" w:ascii="Times New Roman" w:hAnsi="Times New Roman" w:eastAsia="宋体" w:cs="Times New Roman"/>
                      <w:b/>
                      <w:bCs/>
                      <w:color w:val="auto"/>
                      <w:sz w:val="21"/>
                      <w:szCs w:val="21"/>
                      <w:lang w:val="en-US" w:eastAsia="zh-CN"/>
                    </w:rPr>
                    <w:t>km</w:t>
                  </w:r>
                  <w:r>
                    <w:rPr>
                      <w:rFonts w:hint="eastAsia" w:ascii="Times New Roman" w:hAnsi="Times New Roman" w:eastAsia="宋体" w:cs="Times New Roman"/>
                      <w:b/>
                      <w:bCs/>
                      <w:color w:val="auto"/>
                      <w:sz w:val="21"/>
                      <w:szCs w:val="21"/>
                      <w:lang w:val="en-US" w:eastAsia="zh-CN"/>
                    </w:rPr>
                    <w:t>，距离最近的国,省控断面（五工区）直线距离约</w:t>
                  </w:r>
                  <w:r>
                    <w:rPr>
                      <w:rFonts w:hint="eastAsia" w:cs="Times New Roman"/>
                      <w:b/>
                      <w:bCs/>
                      <w:color w:val="auto"/>
                      <w:sz w:val="21"/>
                      <w:szCs w:val="21"/>
                      <w:lang w:val="en-US" w:eastAsia="zh-CN"/>
                    </w:rPr>
                    <w:t>13.4</w:t>
                  </w:r>
                  <w:r>
                    <w:rPr>
                      <w:rFonts w:hint="default" w:ascii="Times New Roman" w:hAnsi="Times New Roman" w:eastAsia="宋体" w:cs="Times New Roman"/>
                      <w:b/>
                      <w:bCs/>
                      <w:color w:val="auto"/>
                      <w:sz w:val="21"/>
                      <w:szCs w:val="21"/>
                      <w:lang w:val="en-US" w:eastAsia="zh-CN"/>
                    </w:rPr>
                    <w:t>km</w:t>
                  </w:r>
                  <w:r>
                    <w:rPr>
                      <w:rFonts w:hint="eastAsia" w:ascii="Times New Roman" w:hAnsi="Times New Roman" w:eastAsia="宋体" w:cs="Times New Roman"/>
                      <w:b/>
                      <w:bCs/>
                      <w:color w:val="auto"/>
                      <w:sz w:val="21"/>
                      <w:szCs w:val="21"/>
                      <w:lang w:val="en-US" w:eastAsia="zh-CN"/>
                    </w:rPr>
                    <w:t>。</w:t>
                  </w:r>
                </w:p>
              </w:tc>
            </w:tr>
          </w:tbl>
          <w:p w14:paraId="4306E315">
            <w:pPr>
              <w:spacing w:line="240" w:lineRule="auto"/>
              <w:ind w:firstLine="0" w:firstLineChars="0"/>
              <w:rPr>
                <w:color w:val="auto"/>
                <w:sz w:val="24"/>
                <w:szCs w:val="24"/>
              </w:rPr>
            </w:pPr>
          </w:p>
        </w:tc>
      </w:tr>
      <w:tr w14:paraId="5CDADE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3" w:hRule="atLeast"/>
          <w:jc w:val="center"/>
        </w:trPr>
        <w:tc>
          <w:tcPr>
            <w:tcW w:w="468" w:type="dxa"/>
            <w:noWrap w:val="0"/>
            <w:vAlign w:val="center"/>
          </w:tcPr>
          <w:p w14:paraId="4CE01EDE">
            <w:pPr>
              <w:spacing w:line="240" w:lineRule="auto"/>
              <w:ind w:firstLine="0" w:firstLineChars="0"/>
              <w:jc w:val="center"/>
              <w:rPr>
                <w:b/>
                <w:color w:val="auto"/>
                <w:sz w:val="24"/>
                <w:szCs w:val="24"/>
              </w:rPr>
            </w:pPr>
            <w:r>
              <w:rPr>
                <w:b/>
                <w:bCs/>
                <w:color w:val="auto"/>
                <w:sz w:val="24"/>
                <w:szCs w:val="24"/>
              </w:rPr>
              <w:t>污染物排放控制标准</w:t>
            </w:r>
          </w:p>
        </w:tc>
        <w:tc>
          <w:tcPr>
            <w:tcW w:w="9501" w:type="dxa"/>
            <w:noWrap w:val="0"/>
            <w:vAlign w:val="center"/>
          </w:tcPr>
          <w:p w14:paraId="0E5D8DB2">
            <w:pPr>
              <w:ind w:firstLine="0" w:firstLineChars="0"/>
              <w:rPr>
                <w:b/>
                <w:bCs/>
                <w:color w:val="auto"/>
                <w:sz w:val="24"/>
                <w:szCs w:val="24"/>
              </w:rPr>
            </w:pPr>
            <w:r>
              <w:rPr>
                <w:rFonts w:hint="eastAsia"/>
                <w:b/>
                <w:bCs/>
                <w:color w:val="auto"/>
                <w:sz w:val="24"/>
                <w:szCs w:val="24"/>
                <w:lang w:val="en-US" w:eastAsia="zh-CN"/>
              </w:rPr>
              <w:t>1、</w:t>
            </w:r>
            <w:r>
              <w:rPr>
                <w:b/>
                <w:bCs/>
                <w:color w:val="auto"/>
                <w:sz w:val="24"/>
                <w:szCs w:val="24"/>
              </w:rPr>
              <w:t>废气排放标准</w:t>
            </w:r>
          </w:p>
          <w:p w14:paraId="00BC48E6">
            <w:pPr>
              <w:ind w:firstLine="422"/>
              <w:rPr>
                <w:b/>
                <w:bCs/>
                <w:color w:val="auto"/>
                <w:sz w:val="24"/>
                <w:szCs w:val="24"/>
              </w:rPr>
            </w:pPr>
            <w:bookmarkStart w:id="3" w:name="_Hlk119942245"/>
            <w:r>
              <w:rPr>
                <w:rFonts w:hint="eastAsia"/>
                <w:b/>
                <w:bCs/>
                <w:color w:val="auto"/>
                <w:sz w:val="24"/>
                <w:szCs w:val="24"/>
                <w:lang w:val="en-US" w:eastAsia="zh-CN"/>
              </w:rPr>
              <w:t>①</w:t>
            </w:r>
            <w:r>
              <w:rPr>
                <w:b/>
                <w:bCs/>
                <w:color w:val="auto"/>
                <w:sz w:val="24"/>
                <w:szCs w:val="24"/>
              </w:rPr>
              <w:t>有组织废气</w:t>
            </w:r>
          </w:p>
          <w:p w14:paraId="5FABF7F9">
            <w:pPr>
              <w:spacing w:line="360" w:lineRule="auto"/>
              <w:ind w:firstLine="480" w:firstLineChars="200"/>
              <w:rPr>
                <w:rFonts w:hint="default" w:ascii="Times New Roman" w:hAnsi="Times New Roman" w:eastAsia="宋体" w:cs="Times New Roman"/>
                <w:color w:val="auto"/>
                <w:sz w:val="24"/>
                <w:highlight w:val="none"/>
                <w:lang w:val="en-US" w:eastAsia="zh-CN"/>
              </w:rPr>
            </w:pPr>
            <w:bookmarkStart w:id="4" w:name="_Hlk130047848"/>
            <w:r>
              <w:rPr>
                <w:rFonts w:hint="default" w:ascii="Times New Roman" w:hAnsi="Times New Roman" w:eastAsia="宋体" w:cs="Times New Roman"/>
                <w:color w:val="auto"/>
                <w:sz w:val="24"/>
                <w:highlight w:val="none"/>
              </w:rPr>
              <w:t>本项目</w:t>
            </w:r>
            <w:r>
              <w:rPr>
                <w:rFonts w:hint="eastAsia" w:cs="Times New Roman"/>
                <w:color w:val="auto"/>
                <w:sz w:val="24"/>
                <w:highlight w:val="none"/>
                <w:lang w:val="en-US" w:eastAsia="zh-CN"/>
              </w:rPr>
              <w:t>DA001排放的</w:t>
            </w:r>
            <w:r>
              <w:rPr>
                <w:rFonts w:hint="eastAsia" w:ascii="Times New Roman" w:hAnsi="Times New Roman" w:eastAsia="宋体" w:cs="Times New Roman"/>
                <w:color w:val="auto"/>
                <w:sz w:val="24"/>
                <w:highlight w:val="none"/>
                <w:lang w:val="en-US" w:eastAsia="zh-CN"/>
              </w:rPr>
              <w:t>非甲烷总烃</w:t>
            </w:r>
            <w:r>
              <w:rPr>
                <w:rFonts w:hint="eastAsia" w:cs="Times New Roman"/>
                <w:color w:val="auto"/>
                <w:sz w:val="24"/>
                <w:highlight w:val="none"/>
                <w:lang w:val="en-US" w:eastAsia="zh-CN"/>
              </w:rPr>
              <w:t>从严执行《印刷工业大气污染物排放标准》（DB32 4438-2022）表1</w:t>
            </w:r>
            <w:r>
              <w:rPr>
                <w:rFonts w:hint="eastAsia" w:ascii="Times New Roman" w:hAnsi="Times New Roman" w:eastAsia="宋体" w:cs="Times New Roman"/>
                <w:color w:val="auto"/>
                <w:sz w:val="24"/>
                <w:highlight w:val="none"/>
                <w:lang w:val="en-US" w:eastAsia="zh-CN"/>
              </w:rPr>
              <w:t>标准限值，</w:t>
            </w:r>
            <w:r>
              <w:rPr>
                <w:rFonts w:hint="eastAsia" w:cs="Times New Roman"/>
                <w:color w:val="auto"/>
                <w:sz w:val="24"/>
                <w:highlight w:val="none"/>
                <w:lang w:val="en-US" w:eastAsia="zh-CN"/>
              </w:rPr>
              <w:t>苯乙烯、</w:t>
            </w:r>
            <w:r>
              <w:rPr>
                <w:rFonts w:hint="eastAsia"/>
                <w:color w:val="auto"/>
                <w:sz w:val="24"/>
                <w:highlight w:val="none"/>
              </w:rPr>
              <w:t>1,3-丁二烯</w:t>
            </w:r>
            <w:r>
              <w:rPr>
                <w:rFonts w:hint="eastAsia"/>
                <w:color w:val="auto"/>
                <w:sz w:val="24"/>
                <w:highlight w:val="none"/>
                <w:lang w:eastAsia="zh-CN"/>
              </w:rPr>
              <w:t>、</w:t>
            </w:r>
            <w:r>
              <w:rPr>
                <w:rFonts w:hint="eastAsia" w:cs="Times New Roman"/>
                <w:color w:val="auto"/>
                <w:sz w:val="24"/>
                <w:highlight w:val="none"/>
                <w:lang w:val="en-US" w:eastAsia="zh-CN"/>
              </w:rPr>
              <w:t>丙烯腈、甲苯、乙苯、氯苯类、酚类、二氯甲烷、氨</w:t>
            </w:r>
            <w:r>
              <w:rPr>
                <w:rFonts w:hint="eastAsia" w:ascii="Times New Roman" w:hAnsi="Times New Roman" w:eastAsia="宋体" w:cs="Times New Roman"/>
                <w:color w:val="auto"/>
                <w:sz w:val="24"/>
                <w:highlight w:val="none"/>
                <w:lang w:val="en-US" w:eastAsia="zh-CN"/>
              </w:rPr>
              <w:t>有组织排放执行</w:t>
            </w:r>
            <w:r>
              <w:rPr>
                <w:rFonts w:hint="eastAsia" w:cs="Times New Roman"/>
                <w:color w:val="auto"/>
                <w:sz w:val="24"/>
                <w:highlight w:val="none"/>
                <w:lang w:val="en-US" w:eastAsia="zh-CN"/>
              </w:rPr>
              <w:t>《合成树脂工业污染物排放标准》（GB31572-2015）（含2024年修改单）中表5</w:t>
            </w:r>
            <w:r>
              <w:rPr>
                <w:rFonts w:hint="eastAsia" w:ascii="Times New Roman" w:hAnsi="Times New Roman" w:eastAsia="宋体" w:cs="Times New Roman"/>
                <w:color w:val="auto"/>
                <w:sz w:val="24"/>
                <w:highlight w:val="none"/>
                <w:lang w:val="en-US" w:eastAsia="zh-CN"/>
              </w:rPr>
              <w:t>标准限值</w:t>
            </w:r>
            <w:r>
              <w:rPr>
                <w:rFonts w:hint="eastAsia"/>
                <w:color w:val="auto"/>
                <w:sz w:val="24"/>
                <w:szCs w:val="24"/>
                <w:lang w:eastAsia="zh-CN"/>
              </w:rPr>
              <w:t>。</w:t>
            </w:r>
          </w:p>
          <w:p w14:paraId="105C7EB2">
            <w:pPr>
              <w:ind w:firstLine="422"/>
              <w:rPr>
                <w:b/>
                <w:bCs/>
                <w:color w:val="auto"/>
                <w:sz w:val="24"/>
                <w:szCs w:val="24"/>
              </w:rPr>
            </w:pPr>
            <w:r>
              <w:rPr>
                <w:rFonts w:hint="eastAsia"/>
                <w:b/>
                <w:bCs/>
                <w:color w:val="auto"/>
                <w:sz w:val="24"/>
                <w:szCs w:val="24"/>
                <w:lang w:val="en-US" w:eastAsia="zh-CN"/>
              </w:rPr>
              <w:t>②</w:t>
            </w:r>
            <w:r>
              <w:rPr>
                <w:b/>
                <w:bCs/>
                <w:color w:val="auto"/>
                <w:sz w:val="24"/>
                <w:szCs w:val="24"/>
              </w:rPr>
              <w:t>无组织废气</w:t>
            </w:r>
          </w:p>
          <w:p w14:paraId="6887A93F">
            <w:pPr>
              <w:adjustRightInd w:val="0"/>
              <w:snapToGrid w:val="0"/>
              <w:ind w:firstLine="420"/>
              <w:rPr>
                <w:color w:val="auto"/>
                <w:sz w:val="24"/>
                <w:szCs w:val="24"/>
              </w:rPr>
            </w:pPr>
            <w:r>
              <w:rPr>
                <w:rFonts w:hint="eastAsia"/>
                <w:color w:val="auto"/>
                <w:sz w:val="24"/>
                <w:szCs w:val="24"/>
                <w:lang w:val="en-US" w:eastAsia="zh-CN"/>
              </w:rPr>
              <w:t>本</w:t>
            </w:r>
            <w:r>
              <w:rPr>
                <w:color w:val="auto"/>
                <w:sz w:val="24"/>
                <w:szCs w:val="24"/>
              </w:rPr>
              <w:t>项目厂界</w:t>
            </w:r>
            <w:r>
              <w:rPr>
                <w:rFonts w:hint="eastAsia"/>
                <w:color w:val="auto"/>
                <w:sz w:val="24"/>
                <w:szCs w:val="24"/>
                <w:lang w:val="en-US" w:eastAsia="zh-CN"/>
              </w:rPr>
              <w:t>无组织</w:t>
            </w:r>
            <w:r>
              <w:rPr>
                <w:color w:val="auto"/>
                <w:sz w:val="24"/>
                <w:szCs w:val="24"/>
              </w:rPr>
              <w:t>非甲烷总烃</w:t>
            </w:r>
            <w:r>
              <w:rPr>
                <w:rFonts w:hint="eastAsia"/>
                <w:color w:val="auto"/>
                <w:sz w:val="24"/>
                <w:szCs w:val="24"/>
                <w:lang w:eastAsia="zh-CN"/>
              </w:rPr>
              <w:t>、</w:t>
            </w:r>
            <w:r>
              <w:rPr>
                <w:rFonts w:hint="eastAsia"/>
                <w:color w:val="auto"/>
                <w:sz w:val="24"/>
                <w:szCs w:val="24"/>
                <w:lang w:val="en-US" w:eastAsia="zh-CN"/>
              </w:rPr>
              <w:t>甲苯</w:t>
            </w:r>
            <w:r>
              <w:rPr>
                <w:color w:val="auto"/>
                <w:sz w:val="24"/>
                <w:szCs w:val="24"/>
              </w:rPr>
              <w:t>执行</w:t>
            </w:r>
            <w:r>
              <w:rPr>
                <w:rFonts w:hint="eastAsia" w:cs="Times New Roman"/>
                <w:color w:val="auto"/>
                <w:sz w:val="24"/>
                <w:highlight w:val="none"/>
                <w:lang w:val="en-US" w:eastAsia="zh-CN"/>
              </w:rPr>
              <w:t>《合成树脂工业污染物排放标准》（GB31572-2015）（含2024年修改单）中表9</w:t>
            </w:r>
            <w:r>
              <w:rPr>
                <w:rFonts w:hint="eastAsia"/>
                <w:color w:val="auto"/>
                <w:sz w:val="24"/>
                <w:szCs w:val="24"/>
                <w:lang w:val="en-US" w:eastAsia="zh-CN"/>
              </w:rPr>
              <w:t>标准</w:t>
            </w:r>
            <w:r>
              <w:rPr>
                <w:color w:val="auto"/>
                <w:sz w:val="24"/>
                <w:szCs w:val="24"/>
              </w:rPr>
              <w:t>限值</w:t>
            </w:r>
            <w:r>
              <w:rPr>
                <w:rFonts w:hint="eastAsia"/>
                <w:color w:val="auto"/>
                <w:sz w:val="24"/>
                <w:szCs w:val="24"/>
                <w:lang w:eastAsia="zh-CN"/>
              </w:rPr>
              <w:t>；</w:t>
            </w:r>
            <w:r>
              <w:rPr>
                <w:rFonts w:hint="eastAsia"/>
                <w:color w:val="auto"/>
                <w:sz w:val="24"/>
                <w:szCs w:val="24"/>
                <w:lang w:val="en-US" w:eastAsia="zh-CN"/>
              </w:rPr>
              <w:t>颗粒物、</w:t>
            </w:r>
            <w:r>
              <w:rPr>
                <w:rFonts w:hint="eastAsia" w:cs="Times New Roman"/>
                <w:color w:val="auto"/>
                <w:sz w:val="24"/>
                <w:highlight w:val="none"/>
                <w:lang w:val="en-US" w:eastAsia="zh-CN"/>
              </w:rPr>
              <w:t>丙烯腈、氯苯类、酚类、二氯甲烷</w:t>
            </w:r>
            <w:r>
              <w:rPr>
                <w:color w:val="auto"/>
                <w:sz w:val="24"/>
                <w:szCs w:val="24"/>
              </w:rPr>
              <w:t>执行</w:t>
            </w:r>
            <w:r>
              <w:rPr>
                <w:rFonts w:hint="eastAsia"/>
                <w:color w:val="auto"/>
                <w:sz w:val="24"/>
                <w:szCs w:val="24"/>
              </w:rPr>
              <w:t>《大气污染物综合排放标准》（DB32/4041-2021）表</w:t>
            </w:r>
            <w:r>
              <w:rPr>
                <w:rFonts w:hint="eastAsia"/>
                <w:color w:val="auto"/>
                <w:sz w:val="24"/>
                <w:szCs w:val="24"/>
                <w:lang w:val="en-US" w:eastAsia="zh-CN"/>
              </w:rPr>
              <w:t>3</w:t>
            </w:r>
            <w:r>
              <w:rPr>
                <w:rFonts w:hint="eastAsia"/>
                <w:color w:val="auto"/>
                <w:sz w:val="24"/>
                <w:szCs w:val="24"/>
              </w:rPr>
              <w:t>标准</w:t>
            </w:r>
            <w:r>
              <w:rPr>
                <w:rFonts w:hint="eastAsia"/>
                <w:color w:val="auto"/>
                <w:sz w:val="24"/>
                <w:szCs w:val="24"/>
                <w:lang w:val="en-US" w:eastAsia="zh-CN"/>
              </w:rPr>
              <w:t>限值；苯乙烯、氨</w:t>
            </w:r>
            <w:r>
              <w:rPr>
                <w:color w:val="auto"/>
                <w:sz w:val="24"/>
                <w:szCs w:val="24"/>
              </w:rPr>
              <w:t>执行</w:t>
            </w:r>
            <w:r>
              <w:rPr>
                <w:rFonts w:hint="eastAsia"/>
                <w:color w:val="auto"/>
                <w:sz w:val="24"/>
                <w:szCs w:val="24"/>
              </w:rPr>
              <w:t>《恶臭污染物排放标准》（GB14554-93）表1标准</w:t>
            </w:r>
            <w:r>
              <w:rPr>
                <w:rFonts w:hint="eastAsia"/>
                <w:color w:val="auto"/>
                <w:sz w:val="24"/>
                <w:szCs w:val="24"/>
                <w:lang w:val="en-US" w:eastAsia="zh-CN"/>
              </w:rPr>
              <w:t>限值</w:t>
            </w:r>
            <w:r>
              <w:rPr>
                <w:color w:val="auto"/>
                <w:sz w:val="24"/>
                <w:szCs w:val="24"/>
              </w:rPr>
              <w:t>。厂区内厂房外非甲烷总烃排放监控点浓度执行</w:t>
            </w:r>
            <w:r>
              <w:rPr>
                <w:rFonts w:hint="eastAsia"/>
                <w:color w:val="auto"/>
                <w:sz w:val="24"/>
                <w:szCs w:val="24"/>
              </w:rPr>
              <w:t>《大气污染物综合排放标准》（DB32/4041-2021）表</w:t>
            </w:r>
            <w:r>
              <w:rPr>
                <w:rFonts w:hint="eastAsia"/>
                <w:color w:val="auto"/>
                <w:sz w:val="24"/>
                <w:szCs w:val="24"/>
                <w:lang w:val="en-US" w:eastAsia="zh-CN"/>
              </w:rPr>
              <w:t>2</w:t>
            </w:r>
            <w:r>
              <w:rPr>
                <w:rFonts w:hint="eastAsia"/>
                <w:color w:val="auto"/>
                <w:sz w:val="24"/>
                <w:szCs w:val="24"/>
              </w:rPr>
              <w:t>标准</w:t>
            </w:r>
            <w:r>
              <w:rPr>
                <w:rFonts w:hint="default"/>
                <w:color w:val="auto"/>
                <w:sz w:val="24"/>
                <w:szCs w:val="24"/>
                <w:lang w:val="en-US" w:eastAsia="zh-CN"/>
              </w:rPr>
              <w:t>标准</w:t>
            </w:r>
            <w:r>
              <w:rPr>
                <w:rFonts w:hint="eastAsia"/>
                <w:color w:val="auto"/>
                <w:sz w:val="24"/>
                <w:szCs w:val="24"/>
                <w:lang w:val="en-US" w:eastAsia="zh-CN"/>
              </w:rPr>
              <w:t>限值</w:t>
            </w:r>
            <w:r>
              <w:rPr>
                <w:color w:val="auto"/>
                <w:sz w:val="24"/>
                <w:szCs w:val="24"/>
              </w:rPr>
              <w:t>。</w:t>
            </w:r>
          </w:p>
          <w:bookmarkEnd w:id="4"/>
          <w:p w14:paraId="3938D642">
            <w:pPr>
              <w:spacing w:line="240" w:lineRule="auto"/>
              <w:ind w:firstLine="0" w:firstLineChars="0"/>
              <w:jc w:val="center"/>
              <w:rPr>
                <w:b/>
                <w:bCs/>
                <w:color w:val="auto"/>
                <w:sz w:val="21"/>
                <w:szCs w:val="21"/>
              </w:rPr>
            </w:pPr>
            <w:r>
              <w:rPr>
                <w:b/>
                <w:bCs/>
                <w:color w:val="auto"/>
                <w:sz w:val="21"/>
                <w:szCs w:val="21"/>
              </w:rPr>
              <w:t>表3-</w:t>
            </w:r>
            <w:r>
              <w:rPr>
                <w:rFonts w:hint="eastAsia"/>
                <w:b/>
                <w:bCs/>
                <w:color w:val="auto"/>
                <w:sz w:val="21"/>
                <w:szCs w:val="21"/>
                <w:lang w:val="en-US" w:eastAsia="zh-CN"/>
              </w:rPr>
              <w:t>7</w:t>
            </w:r>
            <w:r>
              <w:rPr>
                <w:b/>
                <w:bCs/>
                <w:color w:val="auto"/>
                <w:sz w:val="21"/>
                <w:szCs w:val="21"/>
              </w:rPr>
              <w:t xml:space="preserve">  有组织废气排放标准</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3215"/>
              <w:gridCol w:w="1285"/>
              <w:gridCol w:w="1930"/>
              <w:gridCol w:w="1359"/>
              <w:gridCol w:w="661"/>
            </w:tblGrid>
            <w:tr w14:paraId="42BFCE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047F1100">
                  <w:pPr>
                    <w:spacing w:line="240" w:lineRule="auto"/>
                    <w:ind w:firstLine="0" w:firstLineChars="0"/>
                    <w:jc w:val="center"/>
                    <w:rPr>
                      <w:b/>
                      <w:bCs/>
                      <w:color w:val="auto"/>
                      <w:sz w:val="21"/>
                      <w:szCs w:val="21"/>
                    </w:rPr>
                  </w:pPr>
                  <w:bookmarkStart w:id="5" w:name="_Hlk130047891"/>
                  <w:r>
                    <w:rPr>
                      <w:rFonts w:hint="eastAsia"/>
                      <w:b/>
                      <w:bCs/>
                      <w:color w:val="auto"/>
                      <w:sz w:val="21"/>
                      <w:szCs w:val="21"/>
                    </w:rPr>
                    <w:t>污染源</w:t>
                  </w:r>
                </w:p>
              </w:tc>
              <w:tc>
                <w:tcPr>
                  <w:tcW w:w="3215" w:type="dxa"/>
                  <w:noWrap w:val="0"/>
                  <w:vAlign w:val="center"/>
                </w:tcPr>
                <w:p w14:paraId="08C2EA52">
                  <w:pPr>
                    <w:spacing w:line="240" w:lineRule="auto"/>
                    <w:ind w:firstLine="0" w:firstLineChars="0"/>
                    <w:jc w:val="center"/>
                    <w:rPr>
                      <w:b/>
                      <w:bCs/>
                      <w:color w:val="auto"/>
                      <w:sz w:val="21"/>
                      <w:szCs w:val="21"/>
                    </w:rPr>
                  </w:pPr>
                  <w:r>
                    <w:rPr>
                      <w:b/>
                      <w:bCs/>
                      <w:color w:val="auto"/>
                      <w:sz w:val="21"/>
                      <w:szCs w:val="21"/>
                    </w:rPr>
                    <w:t>执行标准</w:t>
                  </w:r>
                </w:p>
              </w:tc>
              <w:tc>
                <w:tcPr>
                  <w:tcW w:w="1285" w:type="dxa"/>
                  <w:noWrap w:val="0"/>
                  <w:vAlign w:val="center"/>
                </w:tcPr>
                <w:p w14:paraId="677809B4">
                  <w:pPr>
                    <w:spacing w:line="240" w:lineRule="auto"/>
                    <w:ind w:firstLine="0" w:firstLineChars="0"/>
                    <w:jc w:val="center"/>
                    <w:rPr>
                      <w:b/>
                      <w:bCs/>
                      <w:color w:val="auto"/>
                      <w:sz w:val="21"/>
                      <w:szCs w:val="21"/>
                    </w:rPr>
                  </w:pPr>
                  <w:r>
                    <w:rPr>
                      <w:b/>
                      <w:bCs/>
                      <w:color w:val="auto"/>
                      <w:sz w:val="21"/>
                      <w:szCs w:val="21"/>
                    </w:rPr>
                    <w:t>污染物</w:t>
                  </w:r>
                </w:p>
              </w:tc>
              <w:tc>
                <w:tcPr>
                  <w:tcW w:w="1930" w:type="dxa"/>
                  <w:noWrap w:val="0"/>
                  <w:vAlign w:val="center"/>
                </w:tcPr>
                <w:p w14:paraId="2D5EF5C0">
                  <w:pPr>
                    <w:spacing w:line="240" w:lineRule="auto"/>
                    <w:ind w:firstLine="0" w:firstLineChars="0"/>
                    <w:jc w:val="center"/>
                    <w:rPr>
                      <w:b/>
                      <w:bCs/>
                      <w:color w:val="auto"/>
                      <w:sz w:val="21"/>
                      <w:szCs w:val="21"/>
                    </w:rPr>
                  </w:pPr>
                  <w:r>
                    <w:rPr>
                      <w:b/>
                      <w:bCs/>
                      <w:color w:val="auto"/>
                      <w:sz w:val="21"/>
                      <w:szCs w:val="21"/>
                    </w:rPr>
                    <w:t>最高允许排放浓度mg/m</w:t>
                  </w:r>
                  <w:r>
                    <w:rPr>
                      <w:b/>
                      <w:bCs/>
                      <w:color w:val="auto"/>
                      <w:sz w:val="21"/>
                      <w:szCs w:val="21"/>
                      <w:vertAlign w:val="superscript"/>
                    </w:rPr>
                    <w:t>3</w:t>
                  </w:r>
                </w:p>
              </w:tc>
              <w:tc>
                <w:tcPr>
                  <w:tcW w:w="1359" w:type="dxa"/>
                  <w:noWrap w:val="0"/>
                  <w:vAlign w:val="center"/>
                </w:tcPr>
                <w:p w14:paraId="383649BC">
                  <w:pPr>
                    <w:spacing w:line="240" w:lineRule="auto"/>
                    <w:ind w:firstLine="0" w:firstLineChars="0"/>
                    <w:jc w:val="center"/>
                    <w:rPr>
                      <w:b/>
                      <w:bCs/>
                      <w:color w:val="auto"/>
                      <w:sz w:val="21"/>
                      <w:szCs w:val="21"/>
                    </w:rPr>
                  </w:pPr>
                  <w:r>
                    <w:rPr>
                      <w:b/>
                      <w:bCs/>
                      <w:color w:val="auto"/>
                      <w:sz w:val="21"/>
                      <w:szCs w:val="21"/>
                    </w:rPr>
                    <w:t>最高允许排放速率kg/h</w:t>
                  </w:r>
                </w:p>
              </w:tc>
              <w:tc>
                <w:tcPr>
                  <w:tcW w:w="661" w:type="dxa"/>
                  <w:noWrap w:val="0"/>
                  <w:vAlign w:val="center"/>
                </w:tcPr>
                <w:p w14:paraId="0DD3F1D3">
                  <w:pPr>
                    <w:spacing w:line="240" w:lineRule="auto"/>
                    <w:ind w:firstLine="0" w:firstLineChars="0"/>
                    <w:jc w:val="center"/>
                    <w:rPr>
                      <w:b/>
                      <w:bCs/>
                      <w:color w:val="auto"/>
                      <w:sz w:val="21"/>
                      <w:szCs w:val="21"/>
                    </w:rPr>
                  </w:pPr>
                  <w:r>
                    <w:rPr>
                      <w:b/>
                      <w:bCs/>
                      <w:color w:val="auto"/>
                      <w:sz w:val="21"/>
                      <w:szCs w:val="21"/>
                    </w:rPr>
                    <w:t>监控位置</w:t>
                  </w:r>
                </w:p>
              </w:tc>
            </w:tr>
            <w:tr w14:paraId="7550F7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vMerge w:val="restart"/>
                  <w:noWrap w:val="0"/>
                  <w:vAlign w:val="center"/>
                </w:tcPr>
                <w:p w14:paraId="0ED31B50">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DA001</w:t>
                  </w:r>
                </w:p>
              </w:tc>
              <w:tc>
                <w:tcPr>
                  <w:tcW w:w="3215" w:type="dxa"/>
                  <w:noWrap w:val="0"/>
                  <w:vAlign w:val="center"/>
                </w:tcPr>
                <w:p w14:paraId="157F6237">
                  <w:pPr>
                    <w:spacing w:line="240" w:lineRule="auto"/>
                    <w:ind w:firstLine="0" w:firstLineChars="0"/>
                    <w:jc w:val="center"/>
                    <w:rPr>
                      <w:color w:val="auto"/>
                      <w:sz w:val="21"/>
                      <w:szCs w:val="21"/>
                    </w:rPr>
                  </w:pPr>
                  <w:r>
                    <w:rPr>
                      <w:rFonts w:hint="eastAsia" w:cs="Times New Roman"/>
                      <w:color w:val="auto"/>
                      <w:sz w:val="21"/>
                      <w:szCs w:val="21"/>
                      <w:highlight w:val="none"/>
                      <w:lang w:val="en-US" w:eastAsia="zh-CN"/>
                    </w:rPr>
                    <w:t>《印刷工业大气污染物排放标准》（DB32 4438-2022）表1</w:t>
                  </w:r>
                </w:p>
              </w:tc>
              <w:tc>
                <w:tcPr>
                  <w:tcW w:w="1285" w:type="dxa"/>
                  <w:noWrap w:val="0"/>
                  <w:vAlign w:val="center"/>
                </w:tcPr>
                <w:p w14:paraId="22FB683A">
                  <w:pPr>
                    <w:spacing w:line="240" w:lineRule="auto"/>
                    <w:ind w:firstLine="0" w:firstLineChars="0"/>
                    <w:jc w:val="center"/>
                    <w:rPr>
                      <w:rFonts w:hint="eastAsia" w:eastAsia="宋体"/>
                      <w:color w:val="auto"/>
                      <w:kern w:val="2"/>
                      <w:sz w:val="21"/>
                      <w:szCs w:val="21"/>
                      <w:lang w:val="en-US" w:eastAsia="zh-CN" w:bidi="ar-SA"/>
                    </w:rPr>
                  </w:pPr>
                  <w:r>
                    <w:rPr>
                      <w:rFonts w:hint="eastAsia"/>
                      <w:color w:val="auto"/>
                      <w:sz w:val="21"/>
                      <w:szCs w:val="21"/>
                      <w:lang w:val="en-US" w:eastAsia="zh-CN"/>
                    </w:rPr>
                    <w:t>非甲烷总烃</w:t>
                  </w:r>
                </w:p>
              </w:tc>
              <w:tc>
                <w:tcPr>
                  <w:tcW w:w="1930" w:type="dxa"/>
                  <w:noWrap w:val="0"/>
                  <w:vAlign w:val="center"/>
                </w:tcPr>
                <w:p w14:paraId="3B7DC5A2">
                  <w:pPr>
                    <w:spacing w:line="240" w:lineRule="auto"/>
                    <w:ind w:firstLine="0" w:firstLineChars="0"/>
                    <w:jc w:val="center"/>
                    <w:rPr>
                      <w:rFonts w:hint="default" w:eastAsia="宋体"/>
                      <w:color w:val="auto"/>
                      <w:kern w:val="2"/>
                      <w:sz w:val="21"/>
                      <w:szCs w:val="21"/>
                      <w:lang w:val="en-US" w:eastAsia="zh-CN" w:bidi="ar-SA"/>
                    </w:rPr>
                  </w:pPr>
                  <w:r>
                    <w:rPr>
                      <w:rFonts w:hint="eastAsia"/>
                      <w:color w:val="auto"/>
                      <w:sz w:val="21"/>
                      <w:szCs w:val="21"/>
                      <w:lang w:val="en-US" w:eastAsia="zh-CN"/>
                    </w:rPr>
                    <w:t>50</w:t>
                  </w:r>
                </w:p>
              </w:tc>
              <w:tc>
                <w:tcPr>
                  <w:tcW w:w="1359" w:type="dxa"/>
                  <w:noWrap w:val="0"/>
                  <w:vAlign w:val="center"/>
                </w:tcPr>
                <w:p w14:paraId="3675C331">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1.8</w:t>
                  </w:r>
                </w:p>
              </w:tc>
              <w:tc>
                <w:tcPr>
                  <w:tcW w:w="661" w:type="dxa"/>
                  <w:vMerge w:val="restart"/>
                  <w:noWrap w:val="0"/>
                  <w:vAlign w:val="center"/>
                </w:tcPr>
                <w:p w14:paraId="0D1DC13A">
                  <w:pPr>
                    <w:spacing w:line="240" w:lineRule="auto"/>
                    <w:ind w:firstLine="0" w:firstLineChars="0"/>
                    <w:jc w:val="center"/>
                    <w:rPr>
                      <w:color w:val="auto"/>
                      <w:sz w:val="21"/>
                      <w:szCs w:val="21"/>
                    </w:rPr>
                  </w:pPr>
                  <w:r>
                    <w:rPr>
                      <w:rFonts w:hint="eastAsia"/>
                      <w:color w:val="auto"/>
                      <w:sz w:val="21"/>
                      <w:szCs w:val="21"/>
                    </w:rPr>
                    <w:t>车间或生产设施排气筒</w:t>
                  </w:r>
                </w:p>
              </w:tc>
            </w:tr>
            <w:tr w14:paraId="206693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vMerge w:val="continue"/>
                  <w:noWrap w:val="0"/>
                  <w:vAlign w:val="center"/>
                </w:tcPr>
                <w:p w14:paraId="2B9008C2">
                  <w:pPr>
                    <w:spacing w:line="240" w:lineRule="auto"/>
                    <w:ind w:firstLine="0" w:firstLineChars="0"/>
                    <w:jc w:val="center"/>
                    <w:rPr>
                      <w:rFonts w:hint="eastAsia"/>
                      <w:color w:val="auto"/>
                      <w:sz w:val="21"/>
                      <w:szCs w:val="21"/>
                      <w:lang w:val="en-US" w:eastAsia="zh-CN"/>
                    </w:rPr>
                  </w:pPr>
                </w:p>
              </w:tc>
              <w:tc>
                <w:tcPr>
                  <w:tcW w:w="3215" w:type="dxa"/>
                  <w:vMerge w:val="restart"/>
                  <w:noWrap w:val="0"/>
                  <w:vAlign w:val="center"/>
                </w:tcPr>
                <w:p w14:paraId="7B19F22B">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《合成树脂工业污染物排放标准》（GB31572-2015）（含2024年修改单）表5</w:t>
                  </w:r>
                </w:p>
              </w:tc>
              <w:tc>
                <w:tcPr>
                  <w:tcW w:w="1285" w:type="dxa"/>
                  <w:noWrap w:val="0"/>
                  <w:vAlign w:val="center"/>
                </w:tcPr>
                <w:p w14:paraId="315CE1CA">
                  <w:pPr>
                    <w:spacing w:line="240" w:lineRule="auto"/>
                    <w:ind w:firstLine="0" w:firstLineChars="0"/>
                    <w:jc w:val="center"/>
                    <w:rPr>
                      <w:rFonts w:hint="eastAsia"/>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苯乙烯</w:t>
                  </w:r>
                </w:p>
              </w:tc>
              <w:tc>
                <w:tcPr>
                  <w:tcW w:w="1930" w:type="dxa"/>
                  <w:noWrap w:val="0"/>
                  <w:vAlign w:val="center"/>
                </w:tcPr>
                <w:p w14:paraId="0ADB496D">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20</w:t>
                  </w:r>
                </w:p>
              </w:tc>
              <w:tc>
                <w:tcPr>
                  <w:tcW w:w="1359" w:type="dxa"/>
                  <w:noWrap w:val="0"/>
                  <w:vAlign w:val="center"/>
                </w:tcPr>
                <w:p w14:paraId="65CED9B6">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w:t>
                  </w:r>
                </w:p>
              </w:tc>
              <w:tc>
                <w:tcPr>
                  <w:tcW w:w="661" w:type="dxa"/>
                  <w:vMerge w:val="continue"/>
                  <w:noWrap w:val="0"/>
                  <w:vAlign w:val="center"/>
                </w:tcPr>
                <w:p w14:paraId="560FF47E">
                  <w:pPr>
                    <w:spacing w:line="240" w:lineRule="auto"/>
                    <w:ind w:firstLine="0" w:firstLineChars="0"/>
                    <w:jc w:val="center"/>
                    <w:rPr>
                      <w:rFonts w:hint="eastAsia"/>
                      <w:color w:val="auto"/>
                      <w:sz w:val="21"/>
                      <w:szCs w:val="21"/>
                    </w:rPr>
                  </w:pPr>
                </w:p>
              </w:tc>
            </w:tr>
            <w:tr w14:paraId="5433FB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vMerge w:val="continue"/>
                  <w:noWrap w:val="0"/>
                  <w:vAlign w:val="center"/>
                </w:tcPr>
                <w:p w14:paraId="70EFAA35">
                  <w:pPr>
                    <w:spacing w:line="240" w:lineRule="auto"/>
                    <w:ind w:firstLine="0" w:firstLineChars="0"/>
                    <w:jc w:val="center"/>
                    <w:rPr>
                      <w:rFonts w:hint="eastAsia"/>
                      <w:color w:val="auto"/>
                      <w:sz w:val="21"/>
                      <w:szCs w:val="21"/>
                      <w:lang w:val="en-US" w:eastAsia="zh-CN"/>
                    </w:rPr>
                  </w:pPr>
                </w:p>
              </w:tc>
              <w:tc>
                <w:tcPr>
                  <w:tcW w:w="3215" w:type="dxa"/>
                  <w:vMerge w:val="continue"/>
                  <w:noWrap w:val="0"/>
                  <w:vAlign w:val="center"/>
                </w:tcPr>
                <w:p w14:paraId="57635F4B">
                  <w:pPr>
                    <w:spacing w:line="240" w:lineRule="auto"/>
                    <w:ind w:firstLine="0" w:firstLineChars="0"/>
                    <w:jc w:val="center"/>
                    <w:rPr>
                      <w:rFonts w:hint="eastAsia" w:cs="Times New Roman"/>
                      <w:color w:val="auto"/>
                      <w:sz w:val="21"/>
                      <w:szCs w:val="21"/>
                      <w:highlight w:val="none"/>
                      <w:lang w:val="en-US" w:eastAsia="zh-CN"/>
                    </w:rPr>
                  </w:pPr>
                </w:p>
              </w:tc>
              <w:tc>
                <w:tcPr>
                  <w:tcW w:w="1285" w:type="dxa"/>
                  <w:noWrap w:val="0"/>
                  <w:vAlign w:val="center"/>
                </w:tcPr>
                <w:p w14:paraId="6FCC7751">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color w:val="auto"/>
                      <w:highlight w:val="none"/>
                    </w:rPr>
                    <w:t>1,3-丁二烯</w:t>
                  </w:r>
                </w:p>
              </w:tc>
              <w:tc>
                <w:tcPr>
                  <w:tcW w:w="1930" w:type="dxa"/>
                  <w:noWrap w:val="0"/>
                  <w:vAlign w:val="center"/>
                </w:tcPr>
                <w:p w14:paraId="261F5C45">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1</w:t>
                  </w:r>
                </w:p>
              </w:tc>
              <w:tc>
                <w:tcPr>
                  <w:tcW w:w="1359" w:type="dxa"/>
                  <w:noWrap w:val="0"/>
                  <w:vAlign w:val="center"/>
                </w:tcPr>
                <w:p w14:paraId="179EB394">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w:t>
                  </w:r>
                </w:p>
              </w:tc>
              <w:tc>
                <w:tcPr>
                  <w:tcW w:w="661" w:type="dxa"/>
                  <w:vMerge w:val="continue"/>
                  <w:noWrap w:val="0"/>
                  <w:vAlign w:val="center"/>
                </w:tcPr>
                <w:p w14:paraId="529C2093">
                  <w:pPr>
                    <w:spacing w:line="240" w:lineRule="auto"/>
                    <w:ind w:firstLine="0" w:firstLineChars="0"/>
                    <w:jc w:val="center"/>
                    <w:rPr>
                      <w:rFonts w:hint="eastAsia"/>
                      <w:color w:val="auto"/>
                      <w:sz w:val="21"/>
                      <w:szCs w:val="21"/>
                    </w:rPr>
                  </w:pPr>
                </w:p>
              </w:tc>
            </w:tr>
            <w:tr w14:paraId="3CE765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vMerge w:val="continue"/>
                  <w:noWrap w:val="0"/>
                  <w:vAlign w:val="center"/>
                </w:tcPr>
                <w:p w14:paraId="15822AAC">
                  <w:pPr>
                    <w:spacing w:line="240" w:lineRule="auto"/>
                    <w:ind w:firstLine="0" w:firstLineChars="0"/>
                    <w:jc w:val="center"/>
                    <w:rPr>
                      <w:rFonts w:hint="eastAsia"/>
                      <w:color w:val="auto"/>
                      <w:sz w:val="21"/>
                      <w:szCs w:val="21"/>
                      <w:lang w:val="en-US" w:eastAsia="zh-CN"/>
                    </w:rPr>
                  </w:pPr>
                </w:p>
              </w:tc>
              <w:tc>
                <w:tcPr>
                  <w:tcW w:w="3215" w:type="dxa"/>
                  <w:vMerge w:val="continue"/>
                  <w:noWrap w:val="0"/>
                  <w:vAlign w:val="center"/>
                </w:tcPr>
                <w:p w14:paraId="7D361E6D">
                  <w:pPr>
                    <w:spacing w:line="240" w:lineRule="auto"/>
                    <w:ind w:firstLine="0" w:firstLineChars="0"/>
                    <w:jc w:val="center"/>
                    <w:rPr>
                      <w:rFonts w:hint="eastAsia" w:cs="Times New Roman"/>
                      <w:color w:val="auto"/>
                      <w:sz w:val="21"/>
                      <w:szCs w:val="21"/>
                      <w:highlight w:val="none"/>
                      <w:lang w:val="en-US" w:eastAsia="zh-CN"/>
                    </w:rPr>
                  </w:pPr>
                </w:p>
              </w:tc>
              <w:tc>
                <w:tcPr>
                  <w:tcW w:w="1285" w:type="dxa"/>
                  <w:noWrap w:val="0"/>
                  <w:vAlign w:val="center"/>
                </w:tcPr>
                <w:p w14:paraId="1140FFD3">
                  <w:pPr>
                    <w:spacing w:line="240" w:lineRule="auto"/>
                    <w:ind w:firstLine="0" w:firstLineChars="0"/>
                    <w:jc w:val="center"/>
                    <w:rPr>
                      <w:rFonts w:hint="eastAsia"/>
                      <w:color w:val="auto"/>
                      <w:sz w:val="21"/>
                      <w:szCs w:val="21"/>
                      <w:lang w:val="en-US" w:eastAsia="zh-CN"/>
                    </w:rPr>
                  </w:pPr>
                  <w:r>
                    <w:rPr>
                      <w:rFonts w:hint="eastAsia" w:ascii="Times New Roman" w:hAnsi="Times New Roman" w:cs="Times New Roman"/>
                      <w:color w:val="auto"/>
                      <w:sz w:val="21"/>
                      <w:szCs w:val="21"/>
                      <w:highlight w:val="none"/>
                      <w:lang w:val="en-US" w:eastAsia="zh-CN"/>
                    </w:rPr>
                    <w:t>丙</w:t>
                  </w:r>
                  <w:r>
                    <w:rPr>
                      <w:rFonts w:hint="default" w:ascii="Times New Roman" w:hAnsi="Times New Roman" w:eastAsia="宋体" w:cs="Times New Roman"/>
                      <w:color w:val="auto"/>
                      <w:sz w:val="21"/>
                      <w:szCs w:val="21"/>
                      <w:highlight w:val="none"/>
                      <w:lang w:val="en-US" w:eastAsia="zh-CN"/>
                    </w:rPr>
                    <w:t>烯腈</w:t>
                  </w:r>
                </w:p>
              </w:tc>
              <w:tc>
                <w:tcPr>
                  <w:tcW w:w="1930" w:type="dxa"/>
                  <w:noWrap w:val="0"/>
                  <w:vAlign w:val="center"/>
                </w:tcPr>
                <w:p w14:paraId="0391BA5E">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0.5</w:t>
                  </w:r>
                </w:p>
              </w:tc>
              <w:tc>
                <w:tcPr>
                  <w:tcW w:w="1359" w:type="dxa"/>
                  <w:noWrap w:val="0"/>
                  <w:vAlign w:val="center"/>
                </w:tcPr>
                <w:p w14:paraId="450E6E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w:t>
                  </w:r>
                </w:p>
              </w:tc>
              <w:tc>
                <w:tcPr>
                  <w:tcW w:w="661" w:type="dxa"/>
                  <w:vMerge w:val="continue"/>
                  <w:noWrap w:val="0"/>
                  <w:vAlign w:val="center"/>
                </w:tcPr>
                <w:p w14:paraId="6C4B9690">
                  <w:pPr>
                    <w:spacing w:line="240" w:lineRule="auto"/>
                    <w:ind w:firstLine="0" w:firstLineChars="0"/>
                    <w:jc w:val="center"/>
                    <w:rPr>
                      <w:rFonts w:hint="eastAsia"/>
                      <w:color w:val="auto"/>
                      <w:sz w:val="21"/>
                      <w:szCs w:val="21"/>
                    </w:rPr>
                  </w:pPr>
                </w:p>
              </w:tc>
            </w:tr>
            <w:tr w14:paraId="37675E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vMerge w:val="continue"/>
                  <w:noWrap w:val="0"/>
                  <w:vAlign w:val="center"/>
                </w:tcPr>
                <w:p w14:paraId="20695039">
                  <w:pPr>
                    <w:spacing w:line="240" w:lineRule="auto"/>
                    <w:ind w:firstLine="0" w:firstLineChars="0"/>
                    <w:jc w:val="center"/>
                    <w:rPr>
                      <w:rFonts w:hint="eastAsia"/>
                      <w:color w:val="auto"/>
                      <w:sz w:val="21"/>
                      <w:szCs w:val="21"/>
                      <w:lang w:val="en-US" w:eastAsia="zh-CN"/>
                    </w:rPr>
                  </w:pPr>
                </w:p>
              </w:tc>
              <w:tc>
                <w:tcPr>
                  <w:tcW w:w="3215" w:type="dxa"/>
                  <w:vMerge w:val="continue"/>
                  <w:noWrap w:val="0"/>
                  <w:vAlign w:val="center"/>
                </w:tcPr>
                <w:p w14:paraId="416FC9F4">
                  <w:pPr>
                    <w:spacing w:line="240" w:lineRule="auto"/>
                    <w:ind w:firstLine="0" w:firstLineChars="0"/>
                    <w:jc w:val="center"/>
                    <w:rPr>
                      <w:rFonts w:hint="eastAsia" w:cs="Times New Roman"/>
                      <w:color w:val="auto"/>
                      <w:sz w:val="21"/>
                      <w:szCs w:val="21"/>
                      <w:highlight w:val="none"/>
                      <w:lang w:val="en-US" w:eastAsia="zh-CN"/>
                    </w:rPr>
                  </w:pPr>
                </w:p>
              </w:tc>
              <w:tc>
                <w:tcPr>
                  <w:tcW w:w="1285" w:type="dxa"/>
                  <w:noWrap w:val="0"/>
                  <w:vAlign w:val="center"/>
                </w:tcPr>
                <w:p w14:paraId="403DD12B">
                  <w:pPr>
                    <w:spacing w:line="240" w:lineRule="auto"/>
                    <w:ind w:firstLine="0" w:firstLineChars="0"/>
                    <w:jc w:val="center"/>
                    <w:rPr>
                      <w:rFonts w:hint="eastAsia"/>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甲苯</w:t>
                  </w:r>
                </w:p>
              </w:tc>
              <w:tc>
                <w:tcPr>
                  <w:tcW w:w="1930" w:type="dxa"/>
                  <w:noWrap w:val="0"/>
                  <w:vAlign w:val="center"/>
                </w:tcPr>
                <w:p w14:paraId="4EA3869E">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8</w:t>
                  </w:r>
                </w:p>
              </w:tc>
              <w:tc>
                <w:tcPr>
                  <w:tcW w:w="1359" w:type="dxa"/>
                  <w:noWrap w:val="0"/>
                  <w:vAlign w:val="center"/>
                </w:tcPr>
                <w:p w14:paraId="59F642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w:t>
                  </w:r>
                </w:p>
              </w:tc>
              <w:tc>
                <w:tcPr>
                  <w:tcW w:w="661" w:type="dxa"/>
                  <w:vMerge w:val="continue"/>
                  <w:noWrap w:val="0"/>
                  <w:vAlign w:val="center"/>
                </w:tcPr>
                <w:p w14:paraId="679057C7">
                  <w:pPr>
                    <w:spacing w:line="240" w:lineRule="auto"/>
                    <w:ind w:firstLine="0" w:firstLineChars="0"/>
                    <w:jc w:val="center"/>
                    <w:rPr>
                      <w:rFonts w:hint="eastAsia"/>
                      <w:color w:val="auto"/>
                      <w:sz w:val="21"/>
                      <w:szCs w:val="21"/>
                    </w:rPr>
                  </w:pPr>
                </w:p>
              </w:tc>
            </w:tr>
            <w:tr w14:paraId="702C5A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vMerge w:val="continue"/>
                  <w:noWrap w:val="0"/>
                  <w:vAlign w:val="center"/>
                </w:tcPr>
                <w:p w14:paraId="238F3E88">
                  <w:pPr>
                    <w:spacing w:line="240" w:lineRule="auto"/>
                    <w:ind w:firstLine="0" w:firstLineChars="0"/>
                    <w:jc w:val="center"/>
                    <w:rPr>
                      <w:rFonts w:hint="eastAsia"/>
                      <w:color w:val="auto"/>
                      <w:sz w:val="21"/>
                      <w:szCs w:val="21"/>
                      <w:lang w:val="en-US" w:eastAsia="zh-CN"/>
                    </w:rPr>
                  </w:pPr>
                </w:p>
              </w:tc>
              <w:tc>
                <w:tcPr>
                  <w:tcW w:w="3215" w:type="dxa"/>
                  <w:vMerge w:val="continue"/>
                  <w:noWrap w:val="0"/>
                  <w:vAlign w:val="center"/>
                </w:tcPr>
                <w:p w14:paraId="59CB7E47">
                  <w:pPr>
                    <w:spacing w:line="240" w:lineRule="auto"/>
                    <w:ind w:firstLine="0" w:firstLineChars="0"/>
                    <w:jc w:val="center"/>
                    <w:rPr>
                      <w:rFonts w:hint="eastAsia" w:cs="Times New Roman"/>
                      <w:color w:val="auto"/>
                      <w:sz w:val="21"/>
                      <w:szCs w:val="21"/>
                      <w:highlight w:val="none"/>
                      <w:lang w:val="en-US" w:eastAsia="zh-CN"/>
                    </w:rPr>
                  </w:pPr>
                </w:p>
              </w:tc>
              <w:tc>
                <w:tcPr>
                  <w:tcW w:w="1285" w:type="dxa"/>
                  <w:noWrap w:val="0"/>
                  <w:vAlign w:val="center"/>
                </w:tcPr>
                <w:p w14:paraId="6881278E">
                  <w:pPr>
                    <w:spacing w:line="240" w:lineRule="auto"/>
                    <w:ind w:firstLine="0" w:firstLineChars="0"/>
                    <w:jc w:val="center"/>
                    <w:rPr>
                      <w:rFonts w:hint="eastAsia"/>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乙苯</w:t>
                  </w:r>
                </w:p>
              </w:tc>
              <w:tc>
                <w:tcPr>
                  <w:tcW w:w="1930" w:type="dxa"/>
                  <w:noWrap w:val="0"/>
                  <w:vAlign w:val="center"/>
                </w:tcPr>
                <w:p w14:paraId="639B682E">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50</w:t>
                  </w:r>
                </w:p>
              </w:tc>
              <w:tc>
                <w:tcPr>
                  <w:tcW w:w="1359" w:type="dxa"/>
                  <w:noWrap w:val="0"/>
                  <w:vAlign w:val="center"/>
                </w:tcPr>
                <w:p w14:paraId="473CB5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w:t>
                  </w:r>
                </w:p>
              </w:tc>
              <w:tc>
                <w:tcPr>
                  <w:tcW w:w="661" w:type="dxa"/>
                  <w:vMerge w:val="continue"/>
                  <w:noWrap w:val="0"/>
                  <w:vAlign w:val="center"/>
                </w:tcPr>
                <w:p w14:paraId="3057D2C5">
                  <w:pPr>
                    <w:spacing w:line="240" w:lineRule="auto"/>
                    <w:ind w:firstLine="0" w:firstLineChars="0"/>
                    <w:jc w:val="center"/>
                    <w:rPr>
                      <w:rFonts w:hint="eastAsia"/>
                      <w:color w:val="auto"/>
                      <w:sz w:val="21"/>
                      <w:szCs w:val="21"/>
                    </w:rPr>
                  </w:pPr>
                </w:p>
              </w:tc>
            </w:tr>
            <w:tr w14:paraId="0223E3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vMerge w:val="continue"/>
                  <w:noWrap w:val="0"/>
                  <w:vAlign w:val="center"/>
                </w:tcPr>
                <w:p w14:paraId="1EF957F7">
                  <w:pPr>
                    <w:spacing w:line="240" w:lineRule="auto"/>
                    <w:ind w:firstLine="0" w:firstLineChars="0"/>
                    <w:jc w:val="center"/>
                    <w:rPr>
                      <w:rFonts w:hint="eastAsia"/>
                      <w:color w:val="auto"/>
                      <w:sz w:val="21"/>
                      <w:szCs w:val="21"/>
                      <w:lang w:val="en-US" w:eastAsia="zh-CN"/>
                    </w:rPr>
                  </w:pPr>
                </w:p>
              </w:tc>
              <w:tc>
                <w:tcPr>
                  <w:tcW w:w="3215" w:type="dxa"/>
                  <w:vMerge w:val="continue"/>
                  <w:noWrap w:val="0"/>
                  <w:vAlign w:val="center"/>
                </w:tcPr>
                <w:p w14:paraId="1D12FF02">
                  <w:pPr>
                    <w:spacing w:line="240" w:lineRule="auto"/>
                    <w:ind w:firstLine="0" w:firstLineChars="0"/>
                    <w:jc w:val="center"/>
                    <w:rPr>
                      <w:rFonts w:hint="eastAsia" w:cs="Times New Roman"/>
                      <w:color w:val="auto"/>
                      <w:sz w:val="21"/>
                      <w:szCs w:val="21"/>
                      <w:highlight w:val="none"/>
                      <w:lang w:val="en-US" w:eastAsia="zh-CN"/>
                    </w:rPr>
                  </w:pPr>
                </w:p>
              </w:tc>
              <w:tc>
                <w:tcPr>
                  <w:tcW w:w="1285" w:type="dxa"/>
                  <w:noWrap w:val="0"/>
                  <w:vAlign w:val="center"/>
                </w:tcPr>
                <w:p w14:paraId="2587B6BE">
                  <w:pPr>
                    <w:spacing w:line="240" w:lineRule="auto"/>
                    <w:ind w:firstLine="0" w:firstLineChars="0"/>
                    <w:jc w:val="center"/>
                    <w:rPr>
                      <w:rFonts w:hint="eastAsia"/>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氯苯类</w:t>
                  </w:r>
                </w:p>
              </w:tc>
              <w:tc>
                <w:tcPr>
                  <w:tcW w:w="1930" w:type="dxa"/>
                  <w:noWrap w:val="0"/>
                  <w:vAlign w:val="center"/>
                </w:tcPr>
                <w:p w14:paraId="62A37A5C">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20</w:t>
                  </w:r>
                </w:p>
              </w:tc>
              <w:tc>
                <w:tcPr>
                  <w:tcW w:w="1359" w:type="dxa"/>
                  <w:noWrap w:val="0"/>
                  <w:vAlign w:val="center"/>
                </w:tcPr>
                <w:p w14:paraId="13CBE1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w:t>
                  </w:r>
                </w:p>
              </w:tc>
              <w:tc>
                <w:tcPr>
                  <w:tcW w:w="661" w:type="dxa"/>
                  <w:vMerge w:val="continue"/>
                  <w:noWrap w:val="0"/>
                  <w:vAlign w:val="center"/>
                </w:tcPr>
                <w:p w14:paraId="7A33298A">
                  <w:pPr>
                    <w:spacing w:line="240" w:lineRule="auto"/>
                    <w:ind w:firstLine="0" w:firstLineChars="0"/>
                    <w:jc w:val="center"/>
                    <w:rPr>
                      <w:rFonts w:hint="eastAsia"/>
                      <w:color w:val="auto"/>
                      <w:sz w:val="21"/>
                      <w:szCs w:val="21"/>
                    </w:rPr>
                  </w:pPr>
                </w:p>
              </w:tc>
            </w:tr>
            <w:tr w14:paraId="25EAB0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vMerge w:val="continue"/>
                  <w:noWrap w:val="0"/>
                  <w:vAlign w:val="center"/>
                </w:tcPr>
                <w:p w14:paraId="65DCDE78">
                  <w:pPr>
                    <w:spacing w:line="240" w:lineRule="auto"/>
                    <w:ind w:firstLine="0" w:firstLineChars="0"/>
                    <w:jc w:val="center"/>
                    <w:rPr>
                      <w:rFonts w:hint="eastAsia"/>
                      <w:color w:val="auto"/>
                      <w:sz w:val="21"/>
                      <w:szCs w:val="21"/>
                      <w:lang w:val="en-US" w:eastAsia="zh-CN"/>
                    </w:rPr>
                  </w:pPr>
                </w:p>
              </w:tc>
              <w:tc>
                <w:tcPr>
                  <w:tcW w:w="3215" w:type="dxa"/>
                  <w:vMerge w:val="continue"/>
                  <w:noWrap w:val="0"/>
                  <w:vAlign w:val="center"/>
                </w:tcPr>
                <w:p w14:paraId="46705EED">
                  <w:pPr>
                    <w:spacing w:line="240" w:lineRule="auto"/>
                    <w:ind w:firstLine="0" w:firstLineChars="0"/>
                    <w:jc w:val="center"/>
                    <w:rPr>
                      <w:rFonts w:hint="eastAsia" w:cs="Times New Roman"/>
                      <w:color w:val="auto"/>
                      <w:sz w:val="21"/>
                      <w:szCs w:val="21"/>
                      <w:highlight w:val="none"/>
                      <w:lang w:val="en-US" w:eastAsia="zh-CN"/>
                    </w:rPr>
                  </w:pPr>
                </w:p>
              </w:tc>
              <w:tc>
                <w:tcPr>
                  <w:tcW w:w="1285" w:type="dxa"/>
                  <w:shd w:val="clear" w:color="auto" w:fill="auto"/>
                  <w:noWrap w:val="0"/>
                  <w:vAlign w:val="center"/>
                </w:tcPr>
                <w:p w14:paraId="4D99941C">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highlight w:val="none"/>
                      <w:lang w:val="en-US" w:eastAsia="zh-CN"/>
                    </w:rPr>
                    <w:t>酚类</w:t>
                  </w:r>
                </w:p>
              </w:tc>
              <w:tc>
                <w:tcPr>
                  <w:tcW w:w="1930" w:type="dxa"/>
                  <w:shd w:val="clear" w:color="auto" w:fill="auto"/>
                  <w:noWrap w:val="0"/>
                  <w:vAlign w:val="center"/>
                </w:tcPr>
                <w:p w14:paraId="21047049">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15</w:t>
                  </w:r>
                </w:p>
              </w:tc>
              <w:tc>
                <w:tcPr>
                  <w:tcW w:w="1359" w:type="dxa"/>
                  <w:shd w:val="clear" w:color="auto" w:fill="auto"/>
                  <w:noWrap w:val="0"/>
                  <w:vAlign w:val="center"/>
                </w:tcPr>
                <w:p w14:paraId="2F4236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661" w:type="dxa"/>
                  <w:vMerge w:val="continue"/>
                  <w:noWrap w:val="0"/>
                  <w:vAlign w:val="center"/>
                </w:tcPr>
                <w:p w14:paraId="398AC383">
                  <w:pPr>
                    <w:spacing w:line="240" w:lineRule="auto"/>
                    <w:ind w:firstLine="0" w:firstLineChars="0"/>
                    <w:jc w:val="center"/>
                    <w:rPr>
                      <w:rFonts w:hint="eastAsia"/>
                      <w:color w:val="auto"/>
                      <w:sz w:val="21"/>
                      <w:szCs w:val="21"/>
                    </w:rPr>
                  </w:pPr>
                </w:p>
              </w:tc>
            </w:tr>
            <w:tr w14:paraId="1DD877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vMerge w:val="continue"/>
                  <w:noWrap w:val="0"/>
                  <w:vAlign w:val="center"/>
                </w:tcPr>
                <w:p w14:paraId="317CB66F">
                  <w:pPr>
                    <w:spacing w:line="240" w:lineRule="auto"/>
                    <w:ind w:firstLine="0" w:firstLineChars="0"/>
                    <w:jc w:val="center"/>
                    <w:rPr>
                      <w:rFonts w:hint="eastAsia"/>
                      <w:color w:val="auto"/>
                      <w:sz w:val="21"/>
                      <w:szCs w:val="21"/>
                      <w:lang w:val="en-US" w:eastAsia="zh-CN"/>
                    </w:rPr>
                  </w:pPr>
                </w:p>
              </w:tc>
              <w:tc>
                <w:tcPr>
                  <w:tcW w:w="3215" w:type="dxa"/>
                  <w:vMerge w:val="continue"/>
                  <w:noWrap w:val="0"/>
                  <w:vAlign w:val="center"/>
                </w:tcPr>
                <w:p w14:paraId="1319C4A1">
                  <w:pPr>
                    <w:spacing w:line="240" w:lineRule="auto"/>
                    <w:ind w:firstLine="0" w:firstLineChars="0"/>
                    <w:jc w:val="center"/>
                    <w:rPr>
                      <w:rFonts w:hint="eastAsia" w:cs="Times New Roman"/>
                      <w:color w:val="auto"/>
                      <w:sz w:val="21"/>
                      <w:szCs w:val="21"/>
                      <w:highlight w:val="none"/>
                      <w:lang w:val="en-US" w:eastAsia="zh-CN"/>
                    </w:rPr>
                  </w:pPr>
                </w:p>
              </w:tc>
              <w:tc>
                <w:tcPr>
                  <w:tcW w:w="1285" w:type="dxa"/>
                  <w:noWrap w:val="0"/>
                  <w:vAlign w:val="center"/>
                </w:tcPr>
                <w:p w14:paraId="22F79D4B">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二氯甲烷</w:t>
                  </w:r>
                </w:p>
              </w:tc>
              <w:tc>
                <w:tcPr>
                  <w:tcW w:w="1930" w:type="dxa"/>
                  <w:noWrap w:val="0"/>
                  <w:vAlign w:val="center"/>
                </w:tcPr>
                <w:p w14:paraId="28199363">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50</w:t>
                  </w:r>
                </w:p>
              </w:tc>
              <w:tc>
                <w:tcPr>
                  <w:tcW w:w="1359" w:type="dxa"/>
                  <w:noWrap w:val="0"/>
                  <w:vAlign w:val="center"/>
                </w:tcPr>
                <w:p w14:paraId="4B9752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661" w:type="dxa"/>
                  <w:vMerge w:val="continue"/>
                  <w:noWrap w:val="0"/>
                  <w:vAlign w:val="center"/>
                </w:tcPr>
                <w:p w14:paraId="1A554EA2">
                  <w:pPr>
                    <w:spacing w:line="240" w:lineRule="auto"/>
                    <w:ind w:firstLine="0" w:firstLineChars="0"/>
                    <w:jc w:val="center"/>
                    <w:rPr>
                      <w:rFonts w:hint="eastAsia"/>
                      <w:color w:val="auto"/>
                      <w:sz w:val="21"/>
                      <w:szCs w:val="21"/>
                    </w:rPr>
                  </w:pPr>
                </w:p>
              </w:tc>
            </w:tr>
            <w:tr w14:paraId="2972D7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vMerge w:val="continue"/>
                  <w:noWrap w:val="0"/>
                  <w:vAlign w:val="center"/>
                </w:tcPr>
                <w:p w14:paraId="77C341C9">
                  <w:pPr>
                    <w:spacing w:line="240" w:lineRule="auto"/>
                    <w:ind w:firstLine="0" w:firstLineChars="0"/>
                    <w:jc w:val="center"/>
                    <w:rPr>
                      <w:rFonts w:hint="eastAsia"/>
                      <w:color w:val="auto"/>
                      <w:sz w:val="21"/>
                      <w:szCs w:val="21"/>
                      <w:lang w:val="en-US" w:eastAsia="zh-CN"/>
                    </w:rPr>
                  </w:pPr>
                </w:p>
              </w:tc>
              <w:tc>
                <w:tcPr>
                  <w:tcW w:w="3215" w:type="dxa"/>
                  <w:vMerge w:val="continue"/>
                  <w:noWrap w:val="0"/>
                  <w:vAlign w:val="center"/>
                </w:tcPr>
                <w:p w14:paraId="081A89CF">
                  <w:pPr>
                    <w:spacing w:line="240" w:lineRule="auto"/>
                    <w:ind w:firstLine="0" w:firstLineChars="0"/>
                    <w:jc w:val="center"/>
                    <w:rPr>
                      <w:rFonts w:hint="eastAsia" w:cs="Times New Roman"/>
                      <w:color w:val="auto"/>
                      <w:sz w:val="21"/>
                      <w:szCs w:val="21"/>
                      <w:highlight w:val="none"/>
                      <w:lang w:val="en-US" w:eastAsia="zh-CN"/>
                    </w:rPr>
                  </w:pPr>
                </w:p>
              </w:tc>
              <w:tc>
                <w:tcPr>
                  <w:tcW w:w="1285" w:type="dxa"/>
                  <w:noWrap w:val="0"/>
                  <w:vAlign w:val="center"/>
                </w:tcPr>
                <w:p w14:paraId="197F5389">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氨</w:t>
                  </w:r>
                </w:p>
              </w:tc>
              <w:tc>
                <w:tcPr>
                  <w:tcW w:w="1930" w:type="dxa"/>
                  <w:noWrap w:val="0"/>
                  <w:vAlign w:val="center"/>
                </w:tcPr>
                <w:p w14:paraId="4237DF7E">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20</w:t>
                  </w:r>
                </w:p>
              </w:tc>
              <w:tc>
                <w:tcPr>
                  <w:tcW w:w="1359" w:type="dxa"/>
                  <w:noWrap w:val="0"/>
                  <w:vAlign w:val="center"/>
                </w:tcPr>
                <w:p w14:paraId="6A3ADC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661" w:type="dxa"/>
                  <w:vMerge w:val="continue"/>
                  <w:noWrap w:val="0"/>
                  <w:vAlign w:val="center"/>
                </w:tcPr>
                <w:p w14:paraId="397F4479">
                  <w:pPr>
                    <w:spacing w:line="240" w:lineRule="auto"/>
                    <w:ind w:firstLine="0" w:firstLineChars="0"/>
                    <w:jc w:val="center"/>
                    <w:rPr>
                      <w:rFonts w:hint="eastAsia"/>
                      <w:color w:val="auto"/>
                      <w:sz w:val="21"/>
                      <w:szCs w:val="21"/>
                    </w:rPr>
                  </w:pPr>
                </w:p>
              </w:tc>
            </w:tr>
            <w:bookmarkEnd w:id="5"/>
          </w:tbl>
          <w:p w14:paraId="628F216E">
            <w:pPr>
              <w:wordWrap w:val="0"/>
              <w:spacing w:line="240" w:lineRule="auto"/>
              <w:ind w:firstLine="0" w:firstLineChars="0"/>
              <w:jc w:val="left"/>
              <w:rPr>
                <w:rFonts w:hint="eastAsia"/>
                <w:b/>
                <w:bCs/>
                <w:color w:val="auto"/>
                <w:sz w:val="21"/>
                <w:szCs w:val="21"/>
                <w:lang w:val="en-US" w:eastAsia="zh-CN"/>
              </w:rPr>
            </w:pPr>
            <w:r>
              <w:rPr>
                <w:rFonts w:hint="eastAsia"/>
                <w:b w:val="0"/>
                <w:bCs w:val="0"/>
                <w:color w:val="auto"/>
                <w:sz w:val="21"/>
                <w:szCs w:val="21"/>
                <w:lang w:val="en-US" w:eastAsia="zh-CN"/>
              </w:rPr>
              <w:t>注：</w:t>
            </w:r>
            <w:r>
              <w:rPr>
                <w:rFonts w:hint="eastAsia"/>
                <w:color w:val="auto"/>
              </w:rPr>
              <w:t>本项目注塑工序产生的非甲烷总烃有组织排放执行《合成树脂工业污染物排放标准》（GB31572-2015）（含2024年修改单）中表5标准限值；打印工序产生的非甲烷总烃有组织排放执行《印刷工业大气污染物排放标准》（DB32 4438-2022）表1标准限值。</w:t>
            </w:r>
            <w:r>
              <w:rPr>
                <w:rFonts w:hint="eastAsia" w:ascii="Times New Roman" w:hAnsi="Times New Roman" w:eastAsia="宋体" w:cs="Times New Roman"/>
                <w:color w:val="auto"/>
                <w:kern w:val="2"/>
                <w:sz w:val="21"/>
                <w:szCs w:val="21"/>
                <w:highlight w:val="none"/>
                <w:u w:val="none"/>
                <w:shd w:val="clear" w:color="auto" w:fill="auto"/>
                <w:lang w:val="en-US" w:eastAsia="zh-CN" w:bidi="ar-SA"/>
              </w:rPr>
              <w:t>注塑废气和打印</w:t>
            </w:r>
            <w:r>
              <w:rPr>
                <w:rFonts w:hint="default" w:ascii="Times New Roman" w:hAnsi="Times New Roman" w:eastAsia="宋体" w:cs="Times New Roman"/>
                <w:color w:val="auto"/>
                <w:kern w:val="2"/>
                <w:sz w:val="21"/>
                <w:szCs w:val="21"/>
                <w:highlight w:val="none"/>
                <w:u w:val="none"/>
                <w:shd w:val="clear" w:color="auto" w:fill="auto"/>
                <w:lang w:val="en-US" w:eastAsia="zh-CN" w:bidi="ar-SA"/>
              </w:rPr>
              <w:t>废气经过</w:t>
            </w:r>
            <w:r>
              <w:rPr>
                <w:rFonts w:hint="eastAsia" w:cs="Times New Roman"/>
                <w:color w:val="auto"/>
                <w:kern w:val="2"/>
                <w:sz w:val="21"/>
                <w:szCs w:val="21"/>
                <w:highlight w:val="none"/>
                <w:u w:val="none"/>
                <w:shd w:val="clear" w:color="auto" w:fill="auto"/>
                <w:lang w:val="en-US" w:eastAsia="zh-CN" w:bidi="ar-SA"/>
              </w:rPr>
              <w:t>同</w:t>
            </w:r>
            <w:r>
              <w:rPr>
                <w:rFonts w:hint="default" w:ascii="Times New Roman" w:hAnsi="Times New Roman" w:eastAsia="宋体" w:cs="Times New Roman"/>
                <w:color w:val="auto"/>
                <w:kern w:val="2"/>
                <w:sz w:val="21"/>
                <w:szCs w:val="21"/>
                <w:highlight w:val="none"/>
                <w:u w:val="none"/>
                <w:shd w:val="clear" w:color="auto" w:fill="auto"/>
                <w:lang w:val="en-US" w:eastAsia="zh-CN" w:bidi="ar-SA"/>
              </w:rPr>
              <w:t>1根排气筒排放，</w:t>
            </w:r>
            <w:r>
              <w:rPr>
                <w:rFonts w:hint="eastAsia" w:ascii="Times New Roman" w:hAnsi="Times New Roman" w:eastAsia="宋体" w:cs="Times New Roman"/>
                <w:color w:val="auto"/>
                <w:kern w:val="2"/>
                <w:sz w:val="21"/>
                <w:szCs w:val="21"/>
                <w:highlight w:val="none"/>
                <w:u w:val="none"/>
                <w:shd w:val="clear" w:color="auto" w:fill="auto"/>
                <w:lang w:val="en-US" w:eastAsia="zh-CN" w:bidi="ar-SA"/>
              </w:rPr>
              <w:t>因此</w:t>
            </w:r>
            <w:r>
              <w:rPr>
                <w:rFonts w:hint="default" w:ascii="Times New Roman" w:hAnsi="Times New Roman" w:eastAsia="宋体" w:cs="Times New Roman"/>
                <w:color w:val="auto"/>
                <w:kern w:val="2"/>
                <w:sz w:val="21"/>
                <w:szCs w:val="21"/>
                <w:highlight w:val="none"/>
                <w:u w:val="none"/>
                <w:shd w:val="clear" w:color="auto" w:fill="auto"/>
                <w:lang w:val="en-US" w:eastAsia="zh-CN" w:bidi="ar-SA"/>
              </w:rPr>
              <w:t>非甲烷总烃排放浓度从严执行</w:t>
            </w:r>
            <w:r>
              <w:rPr>
                <w:rFonts w:hint="eastAsia"/>
                <w:b w:val="0"/>
                <w:bCs w:val="0"/>
                <w:color w:val="auto"/>
                <w:sz w:val="21"/>
                <w:szCs w:val="21"/>
                <w:lang w:val="en-US" w:eastAsia="zh-CN"/>
              </w:rPr>
              <w:t>《印刷工业大气污染物排放标准》（DB32 4438-2022）表1排放限值要求。</w:t>
            </w:r>
          </w:p>
          <w:p w14:paraId="2AC16800">
            <w:pPr>
              <w:spacing w:line="240" w:lineRule="auto"/>
              <w:ind w:firstLine="0" w:firstLineChars="0"/>
              <w:jc w:val="center"/>
              <w:rPr>
                <w:b/>
                <w:bCs/>
                <w:color w:val="auto"/>
                <w:sz w:val="21"/>
                <w:szCs w:val="21"/>
              </w:rPr>
            </w:pPr>
            <w:r>
              <w:rPr>
                <w:b/>
                <w:bCs/>
                <w:color w:val="auto"/>
                <w:sz w:val="21"/>
                <w:szCs w:val="21"/>
              </w:rPr>
              <w:t>表3-</w:t>
            </w:r>
            <w:r>
              <w:rPr>
                <w:rFonts w:hint="eastAsia"/>
                <w:b/>
                <w:bCs/>
                <w:color w:val="auto"/>
                <w:sz w:val="21"/>
                <w:szCs w:val="21"/>
                <w:lang w:val="en-US" w:eastAsia="zh-CN"/>
              </w:rPr>
              <w:t>8</w:t>
            </w:r>
            <w:r>
              <w:rPr>
                <w:b/>
                <w:bCs/>
                <w:color w:val="auto"/>
                <w:sz w:val="21"/>
                <w:szCs w:val="21"/>
              </w:rPr>
              <w:t xml:space="preserve">  无组织废气排放标准</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2976"/>
              <w:gridCol w:w="1536"/>
              <w:gridCol w:w="925"/>
              <w:gridCol w:w="3042"/>
            </w:tblGrid>
            <w:tr w14:paraId="298D96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4" w:type="pct"/>
                  <w:vMerge w:val="restart"/>
                  <w:noWrap w:val="0"/>
                  <w:vAlign w:val="center"/>
                </w:tcPr>
                <w:p w14:paraId="67C1850E">
                  <w:pPr>
                    <w:spacing w:line="240" w:lineRule="auto"/>
                    <w:ind w:firstLine="0" w:firstLineChars="0"/>
                    <w:jc w:val="center"/>
                    <w:rPr>
                      <w:b/>
                      <w:bCs/>
                      <w:color w:val="auto"/>
                      <w:sz w:val="21"/>
                      <w:szCs w:val="21"/>
                    </w:rPr>
                  </w:pPr>
                  <w:bookmarkStart w:id="6" w:name="_Hlk130047936"/>
                  <w:r>
                    <w:rPr>
                      <w:rFonts w:hint="eastAsia"/>
                      <w:b/>
                      <w:bCs/>
                      <w:color w:val="auto"/>
                      <w:sz w:val="21"/>
                      <w:szCs w:val="21"/>
                    </w:rPr>
                    <w:t>污染源</w:t>
                  </w:r>
                </w:p>
              </w:tc>
              <w:tc>
                <w:tcPr>
                  <w:tcW w:w="1602" w:type="pct"/>
                  <w:vMerge w:val="restart"/>
                  <w:noWrap w:val="0"/>
                  <w:vAlign w:val="center"/>
                </w:tcPr>
                <w:p w14:paraId="167DC6B5">
                  <w:pPr>
                    <w:spacing w:line="240" w:lineRule="auto"/>
                    <w:ind w:firstLine="0" w:firstLineChars="0"/>
                    <w:jc w:val="center"/>
                    <w:rPr>
                      <w:b/>
                      <w:bCs/>
                      <w:color w:val="auto"/>
                      <w:sz w:val="21"/>
                      <w:szCs w:val="21"/>
                    </w:rPr>
                  </w:pPr>
                  <w:r>
                    <w:rPr>
                      <w:b/>
                      <w:bCs/>
                      <w:color w:val="auto"/>
                      <w:sz w:val="21"/>
                      <w:szCs w:val="21"/>
                    </w:rPr>
                    <w:t>执行标准</w:t>
                  </w:r>
                </w:p>
              </w:tc>
              <w:tc>
                <w:tcPr>
                  <w:tcW w:w="827" w:type="pct"/>
                  <w:vMerge w:val="restart"/>
                  <w:noWrap w:val="0"/>
                  <w:vAlign w:val="center"/>
                </w:tcPr>
                <w:p w14:paraId="1F1A272B">
                  <w:pPr>
                    <w:spacing w:line="240" w:lineRule="auto"/>
                    <w:ind w:firstLine="0" w:firstLineChars="0"/>
                    <w:jc w:val="center"/>
                    <w:rPr>
                      <w:b/>
                      <w:bCs/>
                      <w:color w:val="auto"/>
                      <w:sz w:val="21"/>
                      <w:szCs w:val="21"/>
                    </w:rPr>
                  </w:pPr>
                  <w:r>
                    <w:rPr>
                      <w:b/>
                      <w:bCs/>
                      <w:color w:val="auto"/>
                      <w:sz w:val="21"/>
                      <w:szCs w:val="21"/>
                    </w:rPr>
                    <w:t>污染物</w:t>
                  </w:r>
                </w:p>
              </w:tc>
              <w:tc>
                <w:tcPr>
                  <w:tcW w:w="2136" w:type="pct"/>
                  <w:gridSpan w:val="2"/>
                  <w:noWrap w:val="0"/>
                  <w:vAlign w:val="center"/>
                </w:tcPr>
                <w:p w14:paraId="7BD33190">
                  <w:pPr>
                    <w:spacing w:line="240" w:lineRule="auto"/>
                    <w:ind w:firstLine="0" w:firstLineChars="0"/>
                    <w:jc w:val="center"/>
                    <w:rPr>
                      <w:b/>
                      <w:bCs/>
                      <w:color w:val="auto"/>
                      <w:sz w:val="21"/>
                      <w:szCs w:val="21"/>
                    </w:rPr>
                  </w:pPr>
                  <w:r>
                    <w:rPr>
                      <w:b/>
                      <w:bCs/>
                      <w:color w:val="auto"/>
                      <w:sz w:val="21"/>
                      <w:szCs w:val="21"/>
                    </w:rPr>
                    <w:t>无组织排放监控浓度限值</w:t>
                  </w:r>
                </w:p>
              </w:tc>
            </w:tr>
            <w:tr w14:paraId="5F91B7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 w:type="pct"/>
                  <w:vMerge w:val="continue"/>
                  <w:noWrap w:val="0"/>
                  <w:vAlign w:val="center"/>
                </w:tcPr>
                <w:p w14:paraId="0FF63FF2">
                  <w:pPr>
                    <w:spacing w:line="240" w:lineRule="auto"/>
                    <w:ind w:firstLine="0" w:firstLineChars="0"/>
                    <w:jc w:val="center"/>
                    <w:rPr>
                      <w:b/>
                      <w:bCs/>
                      <w:color w:val="auto"/>
                      <w:sz w:val="21"/>
                      <w:szCs w:val="21"/>
                    </w:rPr>
                  </w:pPr>
                </w:p>
              </w:tc>
              <w:tc>
                <w:tcPr>
                  <w:tcW w:w="1602" w:type="pct"/>
                  <w:vMerge w:val="continue"/>
                  <w:noWrap w:val="0"/>
                  <w:vAlign w:val="center"/>
                </w:tcPr>
                <w:p w14:paraId="60E07236">
                  <w:pPr>
                    <w:spacing w:line="240" w:lineRule="auto"/>
                    <w:ind w:firstLine="0" w:firstLineChars="0"/>
                    <w:jc w:val="center"/>
                    <w:rPr>
                      <w:b/>
                      <w:bCs/>
                      <w:color w:val="auto"/>
                      <w:sz w:val="21"/>
                      <w:szCs w:val="21"/>
                    </w:rPr>
                  </w:pPr>
                </w:p>
              </w:tc>
              <w:tc>
                <w:tcPr>
                  <w:tcW w:w="827" w:type="pct"/>
                  <w:vMerge w:val="continue"/>
                  <w:noWrap w:val="0"/>
                  <w:vAlign w:val="center"/>
                </w:tcPr>
                <w:p w14:paraId="1E109413">
                  <w:pPr>
                    <w:spacing w:line="240" w:lineRule="auto"/>
                    <w:ind w:firstLine="0" w:firstLineChars="0"/>
                    <w:jc w:val="center"/>
                    <w:rPr>
                      <w:b/>
                      <w:bCs/>
                      <w:color w:val="auto"/>
                      <w:sz w:val="21"/>
                      <w:szCs w:val="21"/>
                    </w:rPr>
                  </w:pPr>
                </w:p>
              </w:tc>
              <w:tc>
                <w:tcPr>
                  <w:tcW w:w="498" w:type="pct"/>
                  <w:noWrap w:val="0"/>
                  <w:vAlign w:val="center"/>
                </w:tcPr>
                <w:p w14:paraId="266F981E">
                  <w:pPr>
                    <w:spacing w:line="240" w:lineRule="auto"/>
                    <w:ind w:firstLine="0" w:firstLineChars="0"/>
                    <w:jc w:val="center"/>
                    <w:rPr>
                      <w:b/>
                      <w:bCs/>
                      <w:color w:val="auto"/>
                      <w:sz w:val="21"/>
                      <w:szCs w:val="21"/>
                    </w:rPr>
                  </w:pPr>
                  <w:r>
                    <w:rPr>
                      <w:b/>
                      <w:bCs/>
                      <w:color w:val="auto"/>
                      <w:sz w:val="21"/>
                      <w:szCs w:val="21"/>
                    </w:rPr>
                    <w:t>监控点</w:t>
                  </w:r>
                </w:p>
              </w:tc>
              <w:tc>
                <w:tcPr>
                  <w:tcW w:w="1638" w:type="pct"/>
                  <w:noWrap w:val="0"/>
                  <w:vAlign w:val="center"/>
                </w:tcPr>
                <w:p w14:paraId="72CB54C1">
                  <w:pPr>
                    <w:spacing w:line="240" w:lineRule="auto"/>
                    <w:ind w:firstLine="0" w:firstLineChars="0"/>
                    <w:jc w:val="center"/>
                    <w:rPr>
                      <w:b/>
                      <w:bCs/>
                      <w:color w:val="auto"/>
                      <w:sz w:val="21"/>
                      <w:szCs w:val="21"/>
                    </w:rPr>
                  </w:pPr>
                  <w:r>
                    <w:rPr>
                      <w:b/>
                      <w:bCs/>
                      <w:color w:val="auto"/>
                      <w:sz w:val="21"/>
                      <w:szCs w:val="21"/>
                    </w:rPr>
                    <w:t>浓度mg/m</w:t>
                  </w:r>
                  <w:r>
                    <w:rPr>
                      <w:b/>
                      <w:bCs/>
                      <w:color w:val="auto"/>
                      <w:sz w:val="21"/>
                      <w:szCs w:val="21"/>
                      <w:vertAlign w:val="superscript"/>
                    </w:rPr>
                    <w:t>3</w:t>
                  </w:r>
                </w:p>
              </w:tc>
            </w:tr>
            <w:tr w14:paraId="69DDDF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4" w:type="pct"/>
                  <w:vMerge w:val="restart"/>
                  <w:noWrap w:val="0"/>
                  <w:vAlign w:val="center"/>
                </w:tcPr>
                <w:p w14:paraId="5244892C">
                  <w:pPr>
                    <w:spacing w:line="240" w:lineRule="auto"/>
                    <w:ind w:firstLine="0" w:firstLineChars="0"/>
                    <w:jc w:val="center"/>
                    <w:rPr>
                      <w:color w:val="auto"/>
                      <w:sz w:val="21"/>
                      <w:szCs w:val="21"/>
                    </w:rPr>
                  </w:pPr>
                  <w:r>
                    <w:rPr>
                      <w:color w:val="auto"/>
                      <w:sz w:val="21"/>
                      <w:szCs w:val="21"/>
                    </w:rPr>
                    <w:t>厂界无组织</w:t>
                  </w:r>
                </w:p>
              </w:tc>
              <w:tc>
                <w:tcPr>
                  <w:tcW w:w="1602" w:type="pct"/>
                  <w:vMerge w:val="restart"/>
                  <w:noWrap w:val="0"/>
                  <w:vAlign w:val="center"/>
                </w:tcPr>
                <w:p w14:paraId="058C776F">
                  <w:pPr>
                    <w:spacing w:line="240" w:lineRule="auto"/>
                    <w:ind w:firstLine="0" w:firstLineChars="0"/>
                    <w:jc w:val="center"/>
                    <w:rPr>
                      <w:color w:val="auto"/>
                      <w:sz w:val="21"/>
                      <w:szCs w:val="21"/>
                    </w:rPr>
                  </w:pPr>
                  <w:r>
                    <w:rPr>
                      <w:rFonts w:hint="eastAsia" w:cs="Times New Roman"/>
                      <w:color w:val="auto"/>
                      <w:sz w:val="21"/>
                      <w:szCs w:val="21"/>
                      <w:highlight w:val="none"/>
                      <w:lang w:val="en-US" w:eastAsia="zh-CN"/>
                    </w:rPr>
                    <w:t>《合成树脂工业污染物排放标准》（GB31572-2015）（含2024年修改单）表9</w:t>
                  </w:r>
                </w:p>
              </w:tc>
              <w:tc>
                <w:tcPr>
                  <w:tcW w:w="827" w:type="pct"/>
                  <w:noWrap w:val="0"/>
                  <w:vAlign w:val="center"/>
                </w:tcPr>
                <w:p w14:paraId="2D89F1A4">
                  <w:pPr>
                    <w:spacing w:line="240" w:lineRule="auto"/>
                    <w:ind w:firstLine="0" w:firstLineChars="0"/>
                    <w:jc w:val="center"/>
                    <w:rPr>
                      <w:rFonts w:hint="eastAsia" w:eastAsia="宋体"/>
                      <w:color w:val="auto"/>
                      <w:kern w:val="2"/>
                      <w:sz w:val="21"/>
                      <w:szCs w:val="21"/>
                      <w:lang w:val="en-US" w:eastAsia="zh-CN" w:bidi="ar-SA"/>
                    </w:rPr>
                  </w:pPr>
                  <w:r>
                    <w:rPr>
                      <w:rFonts w:hint="eastAsia"/>
                      <w:color w:val="auto"/>
                      <w:sz w:val="21"/>
                      <w:szCs w:val="21"/>
                      <w:lang w:val="en-US" w:eastAsia="zh-CN"/>
                    </w:rPr>
                    <w:t>甲苯</w:t>
                  </w:r>
                </w:p>
              </w:tc>
              <w:tc>
                <w:tcPr>
                  <w:tcW w:w="498" w:type="pct"/>
                  <w:vMerge w:val="restart"/>
                  <w:noWrap w:val="0"/>
                  <w:vAlign w:val="center"/>
                </w:tcPr>
                <w:p w14:paraId="5F34DCEB">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color w:val="auto"/>
                      <w:sz w:val="21"/>
                      <w:szCs w:val="21"/>
                    </w:rPr>
                    <w:t>周界外浓度最高点</w:t>
                  </w:r>
                </w:p>
                <w:p w14:paraId="471DBE57">
                  <w:pPr>
                    <w:spacing w:line="240" w:lineRule="auto"/>
                    <w:ind w:firstLine="0" w:firstLineChars="0"/>
                    <w:jc w:val="center"/>
                    <w:rPr>
                      <w:color w:val="auto"/>
                      <w:kern w:val="2"/>
                      <w:sz w:val="21"/>
                      <w:szCs w:val="21"/>
                      <w:lang w:val="en-US" w:eastAsia="zh-CN" w:bidi="ar-SA"/>
                    </w:rPr>
                  </w:pPr>
                </w:p>
              </w:tc>
              <w:tc>
                <w:tcPr>
                  <w:tcW w:w="1638" w:type="pct"/>
                  <w:noWrap w:val="0"/>
                  <w:vAlign w:val="center"/>
                </w:tcPr>
                <w:p w14:paraId="57CB81C3">
                  <w:pPr>
                    <w:spacing w:line="240" w:lineRule="auto"/>
                    <w:ind w:firstLine="0" w:firstLineChars="0"/>
                    <w:jc w:val="center"/>
                    <w:rPr>
                      <w:rFonts w:hint="default" w:eastAsia="宋体"/>
                      <w:color w:val="auto"/>
                      <w:kern w:val="2"/>
                      <w:sz w:val="21"/>
                      <w:szCs w:val="21"/>
                      <w:lang w:val="en-US" w:eastAsia="zh-CN" w:bidi="ar-SA"/>
                    </w:rPr>
                  </w:pPr>
                  <w:r>
                    <w:rPr>
                      <w:rFonts w:hint="eastAsia"/>
                      <w:color w:val="auto"/>
                      <w:sz w:val="21"/>
                      <w:szCs w:val="21"/>
                      <w:lang w:val="en-US" w:eastAsia="zh-CN"/>
                    </w:rPr>
                    <w:t>0.8</w:t>
                  </w:r>
                </w:p>
              </w:tc>
            </w:tr>
            <w:tr w14:paraId="5DB036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 w:type="pct"/>
                  <w:vMerge w:val="continue"/>
                  <w:noWrap w:val="0"/>
                  <w:vAlign w:val="center"/>
                </w:tcPr>
                <w:p w14:paraId="650807C0">
                  <w:pPr>
                    <w:spacing w:line="240" w:lineRule="auto"/>
                    <w:ind w:firstLine="0" w:firstLineChars="0"/>
                    <w:jc w:val="center"/>
                    <w:rPr>
                      <w:color w:val="auto"/>
                      <w:sz w:val="21"/>
                      <w:szCs w:val="21"/>
                    </w:rPr>
                  </w:pPr>
                </w:p>
              </w:tc>
              <w:tc>
                <w:tcPr>
                  <w:tcW w:w="1602" w:type="pct"/>
                  <w:vMerge w:val="continue"/>
                  <w:noWrap w:val="0"/>
                  <w:vAlign w:val="center"/>
                </w:tcPr>
                <w:p w14:paraId="270510EB">
                  <w:pPr>
                    <w:spacing w:line="240" w:lineRule="auto"/>
                    <w:ind w:firstLine="0" w:firstLineChars="0"/>
                    <w:jc w:val="center"/>
                    <w:rPr>
                      <w:color w:val="auto"/>
                      <w:sz w:val="21"/>
                      <w:szCs w:val="21"/>
                    </w:rPr>
                  </w:pPr>
                </w:p>
              </w:tc>
              <w:tc>
                <w:tcPr>
                  <w:tcW w:w="827" w:type="pct"/>
                  <w:noWrap w:val="0"/>
                  <w:vAlign w:val="center"/>
                </w:tcPr>
                <w:p w14:paraId="7CCB3902">
                  <w:pPr>
                    <w:spacing w:line="240" w:lineRule="auto"/>
                    <w:ind w:firstLine="0" w:firstLineChars="0"/>
                    <w:jc w:val="center"/>
                    <w:rPr>
                      <w:color w:val="auto"/>
                      <w:kern w:val="2"/>
                      <w:sz w:val="21"/>
                      <w:szCs w:val="21"/>
                      <w:lang w:val="en-US" w:eastAsia="zh-CN" w:bidi="ar-SA"/>
                    </w:rPr>
                  </w:pPr>
                  <w:r>
                    <w:rPr>
                      <w:color w:val="auto"/>
                      <w:sz w:val="21"/>
                      <w:szCs w:val="21"/>
                    </w:rPr>
                    <w:t>非甲烷总烃</w:t>
                  </w:r>
                </w:p>
              </w:tc>
              <w:tc>
                <w:tcPr>
                  <w:tcW w:w="498" w:type="pct"/>
                  <w:vMerge w:val="continue"/>
                  <w:noWrap w:val="0"/>
                  <w:vAlign w:val="center"/>
                </w:tcPr>
                <w:p w14:paraId="5C3B0C66">
                  <w:pPr>
                    <w:spacing w:line="240" w:lineRule="auto"/>
                    <w:ind w:firstLine="0" w:firstLineChars="0"/>
                    <w:jc w:val="center"/>
                    <w:rPr>
                      <w:color w:val="auto"/>
                      <w:kern w:val="2"/>
                      <w:sz w:val="21"/>
                      <w:szCs w:val="21"/>
                      <w:lang w:val="en-US" w:eastAsia="zh-CN" w:bidi="ar-SA"/>
                    </w:rPr>
                  </w:pPr>
                </w:p>
              </w:tc>
              <w:tc>
                <w:tcPr>
                  <w:tcW w:w="1638" w:type="pct"/>
                  <w:noWrap w:val="0"/>
                  <w:vAlign w:val="center"/>
                </w:tcPr>
                <w:p w14:paraId="7BC6EACF">
                  <w:pPr>
                    <w:spacing w:line="240" w:lineRule="auto"/>
                    <w:ind w:firstLine="0" w:firstLineChars="0"/>
                    <w:jc w:val="center"/>
                    <w:rPr>
                      <w:rFonts w:hint="default" w:eastAsia="宋体"/>
                      <w:color w:val="auto"/>
                      <w:kern w:val="2"/>
                      <w:sz w:val="21"/>
                      <w:szCs w:val="21"/>
                      <w:lang w:val="en-US" w:eastAsia="zh-CN" w:bidi="ar-SA"/>
                    </w:rPr>
                  </w:pPr>
                  <w:r>
                    <w:rPr>
                      <w:color w:val="auto"/>
                      <w:sz w:val="21"/>
                      <w:szCs w:val="21"/>
                    </w:rPr>
                    <w:t>4</w:t>
                  </w:r>
                  <w:r>
                    <w:rPr>
                      <w:rFonts w:hint="eastAsia"/>
                      <w:color w:val="auto"/>
                      <w:sz w:val="21"/>
                      <w:szCs w:val="21"/>
                      <w:lang w:val="en-US" w:eastAsia="zh-CN"/>
                    </w:rPr>
                    <w:t>.0</w:t>
                  </w:r>
                </w:p>
              </w:tc>
            </w:tr>
            <w:tr w14:paraId="072A8C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 w:type="pct"/>
                  <w:vMerge w:val="continue"/>
                  <w:noWrap w:val="0"/>
                  <w:vAlign w:val="center"/>
                </w:tcPr>
                <w:p w14:paraId="78EEF316">
                  <w:pPr>
                    <w:spacing w:line="240" w:lineRule="auto"/>
                    <w:ind w:firstLine="0" w:firstLineChars="0"/>
                    <w:jc w:val="center"/>
                    <w:rPr>
                      <w:color w:val="auto"/>
                      <w:sz w:val="21"/>
                      <w:szCs w:val="21"/>
                    </w:rPr>
                  </w:pPr>
                </w:p>
              </w:tc>
              <w:tc>
                <w:tcPr>
                  <w:tcW w:w="1602" w:type="pct"/>
                  <w:vMerge w:val="restart"/>
                  <w:noWrap w:val="0"/>
                  <w:vAlign w:val="center"/>
                </w:tcPr>
                <w:p w14:paraId="6B06017E">
                  <w:pPr>
                    <w:spacing w:line="240" w:lineRule="auto"/>
                    <w:ind w:firstLine="0" w:firstLineChars="0"/>
                    <w:jc w:val="center"/>
                    <w:rPr>
                      <w:rFonts w:hint="default"/>
                      <w:color w:val="auto"/>
                      <w:sz w:val="21"/>
                      <w:szCs w:val="21"/>
                      <w:lang w:val="en-US"/>
                    </w:rPr>
                  </w:pPr>
                  <w:r>
                    <w:rPr>
                      <w:rFonts w:hint="default" w:eastAsia="宋体"/>
                      <w:color w:val="auto"/>
                      <w:sz w:val="21"/>
                      <w:szCs w:val="21"/>
                      <w:lang w:val="en-US" w:eastAsia="zh-CN"/>
                    </w:rPr>
                    <w:t>《大气污染物综合排放标准》（DB32/4041-2021）表</w:t>
                  </w:r>
                  <w:r>
                    <w:rPr>
                      <w:rFonts w:hint="eastAsia" w:eastAsia="宋体"/>
                      <w:color w:val="auto"/>
                      <w:sz w:val="21"/>
                      <w:szCs w:val="21"/>
                      <w:lang w:val="en-US" w:eastAsia="zh-CN"/>
                    </w:rPr>
                    <w:t>3</w:t>
                  </w:r>
                </w:p>
              </w:tc>
              <w:tc>
                <w:tcPr>
                  <w:tcW w:w="827" w:type="pct"/>
                  <w:shd w:val="clear" w:color="auto" w:fill="auto"/>
                  <w:noWrap w:val="0"/>
                  <w:vAlign w:val="center"/>
                </w:tcPr>
                <w:p w14:paraId="69653CE9">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颗粒物</w:t>
                  </w:r>
                </w:p>
              </w:tc>
              <w:tc>
                <w:tcPr>
                  <w:tcW w:w="498" w:type="pct"/>
                  <w:vMerge w:val="continue"/>
                  <w:shd w:val="clear" w:color="auto" w:fill="auto"/>
                  <w:noWrap w:val="0"/>
                  <w:vAlign w:val="center"/>
                </w:tcPr>
                <w:p w14:paraId="771F6724">
                  <w:pPr>
                    <w:spacing w:line="240" w:lineRule="auto"/>
                    <w:ind w:firstLine="0" w:firstLineChars="0"/>
                    <w:jc w:val="center"/>
                    <w:rPr>
                      <w:color w:val="auto"/>
                      <w:kern w:val="2"/>
                      <w:sz w:val="21"/>
                      <w:szCs w:val="21"/>
                      <w:lang w:val="en-US" w:eastAsia="zh-CN" w:bidi="ar-SA"/>
                    </w:rPr>
                  </w:pPr>
                </w:p>
              </w:tc>
              <w:tc>
                <w:tcPr>
                  <w:tcW w:w="1638" w:type="pct"/>
                  <w:shd w:val="clear" w:color="auto" w:fill="auto"/>
                  <w:noWrap w:val="0"/>
                  <w:vAlign w:val="center"/>
                </w:tcPr>
                <w:p w14:paraId="633646B7">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0.5</w:t>
                  </w:r>
                </w:p>
              </w:tc>
            </w:tr>
            <w:tr w14:paraId="7B7E7E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 w:type="pct"/>
                  <w:vMerge w:val="continue"/>
                  <w:noWrap w:val="0"/>
                  <w:vAlign w:val="center"/>
                </w:tcPr>
                <w:p w14:paraId="0BE248A7">
                  <w:pPr>
                    <w:spacing w:line="240" w:lineRule="auto"/>
                    <w:ind w:firstLine="0" w:firstLineChars="0"/>
                    <w:jc w:val="center"/>
                    <w:rPr>
                      <w:color w:val="auto"/>
                      <w:sz w:val="21"/>
                      <w:szCs w:val="21"/>
                    </w:rPr>
                  </w:pPr>
                </w:p>
              </w:tc>
              <w:tc>
                <w:tcPr>
                  <w:tcW w:w="1602" w:type="pct"/>
                  <w:vMerge w:val="continue"/>
                  <w:noWrap w:val="0"/>
                  <w:vAlign w:val="center"/>
                </w:tcPr>
                <w:p w14:paraId="012706B6">
                  <w:pPr>
                    <w:spacing w:line="240" w:lineRule="auto"/>
                    <w:ind w:firstLine="0" w:firstLineChars="0"/>
                    <w:jc w:val="center"/>
                    <w:rPr>
                      <w:rFonts w:hint="default" w:eastAsia="宋体"/>
                      <w:color w:val="auto"/>
                      <w:sz w:val="21"/>
                      <w:szCs w:val="21"/>
                      <w:lang w:val="en-US" w:eastAsia="zh-CN"/>
                    </w:rPr>
                  </w:pPr>
                </w:p>
              </w:tc>
              <w:tc>
                <w:tcPr>
                  <w:tcW w:w="827" w:type="pct"/>
                  <w:shd w:val="clear" w:color="auto" w:fill="auto"/>
                  <w:noWrap w:val="0"/>
                  <w:vAlign w:val="center"/>
                </w:tcPr>
                <w:p w14:paraId="23FBF159">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丙烯腈</w:t>
                  </w:r>
                </w:p>
              </w:tc>
              <w:tc>
                <w:tcPr>
                  <w:tcW w:w="498" w:type="pct"/>
                  <w:vMerge w:val="continue"/>
                  <w:shd w:val="clear" w:color="auto" w:fill="auto"/>
                  <w:noWrap w:val="0"/>
                  <w:vAlign w:val="center"/>
                </w:tcPr>
                <w:p w14:paraId="5C26766E">
                  <w:pPr>
                    <w:spacing w:line="240" w:lineRule="auto"/>
                    <w:ind w:firstLine="0" w:firstLineChars="0"/>
                    <w:jc w:val="center"/>
                    <w:rPr>
                      <w:color w:val="auto"/>
                      <w:kern w:val="2"/>
                      <w:sz w:val="21"/>
                      <w:szCs w:val="21"/>
                      <w:lang w:val="en-US" w:eastAsia="zh-CN" w:bidi="ar-SA"/>
                    </w:rPr>
                  </w:pPr>
                </w:p>
              </w:tc>
              <w:tc>
                <w:tcPr>
                  <w:tcW w:w="1638" w:type="pct"/>
                  <w:shd w:val="clear" w:color="auto" w:fill="auto"/>
                  <w:noWrap w:val="0"/>
                  <w:vAlign w:val="center"/>
                </w:tcPr>
                <w:p w14:paraId="6BB39CA1">
                  <w:pPr>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0.15</w:t>
                  </w:r>
                </w:p>
              </w:tc>
            </w:tr>
            <w:tr w14:paraId="003FEB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 w:type="pct"/>
                  <w:vMerge w:val="continue"/>
                  <w:noWrap w:val="0"/>
                  <w:vAlign w:val="center"/>
                </w:tcPr>
                <w:p w14:paraId="58596BD7">
                  <w:pPr>
                    <w:spacing w:line="240" w:lineRule="auto"/>
                    <w:ind w:firstLine="0" w:firstLineChars="0"/>
                    <w:jc w:val="center"/>
                    <w:rPr>
                      <w:color w:val="auto"/>
                      <w:sz w:val="21"/>
                      <w:szCs w:val="21"/>
                    </w:rPr>
                  </w:pPr>
                </w:p>
              </w:tc>
              <w:tc>
                <w:tcPr>
                  <w:tcW w:w="1602" w:type="pct"/>
                  <w:vMerge w:val="continue"/>
                  <w:noWrap w:val="0"/>
                  <w:vAlign w:val="center"/>
                </w:tcPr>
                <w:p w14:paraId="2DE6D136">
                  <w:pPr>
                    <w:spacing w:line="240" w:lineRule="auto"/>
                    <w:ind w:firstLine="0" w:firstLineChars="0"/>
                    <w:jc w:val="center"/>
                    <w:rPr>
                      <w:color w:val="auto"/>
                      <w:sz w:val="21"/>
                      <w:szCs w:val="21"/>
                    </w:rPr>
                  </w:pPr>
                </w:p>
              </w:tc>
              <w:tc>
                <w:tcPr>
                  <w:tcW w:w="827" w:type="pct"/>
                  <w:shd w:val="clear" w:color="auto" w:fill="auto"/>
                  <w:noWrap w:val="0"/>
                  <w:vAlign w:val="center"/>
                </w:tcPr>
                <w:p w14:paraId="3D8EE72F">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氯苯类</w:t>
                  </w:r>
                </w:p>
              </w:tc>
              <w:tc>
                <w:tcPr>
                  <w:tcW w:w="498" w:type="pct"/>
                  <w:vMerge w:val="continue"/>
                  <w:noWrap w:val="0"/>
                  <w:vAlign w:val="center"/>
                </w:tcPr>
                <w:p w14:paraId="411E16C9">
                  <w:pPr>
                    <w:spacing w:line="240" w:lineRule="auto"/>
                    <w:ind w:firstLine="0" w:firstLineChars="0"/>
                    <w:jc w:val="center"/>
                    <w:rPr>
                      <w:color w:val="auto"/>
                      <w:kern w:val="2"/>
                      <w:sz w:val="21"/>
                      <w:szCs w:val="21"/>
                      <w:lang w:val="en-US" w:eastAsia="zh-CN" w:bidi="ar-SA"/>
                    </w:rPr>
                  </w:pPr>
                </w:p>
              </w:tc>
              <w:tc>
                <w:tcPr>
                  <w:tcW w:w="1638" w:type="pct"/>
                  <w:shd w:val="clear" w:color="auto" w:fill="auto"/>
                  <w:noWrap w:val="0"/>
                  <w:vAlign w:val="center"/>
                </w:tcPr>
                <w:p w14:paraId="6DD8C01F">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0.1</w:t>
                  </w:r>
                </w:p>
              </w:tc>
            </w:tr>
            <w:tr w14:paraId="06B51C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 w:type="pct"/>
                  <w:vMerge w:val="continue"/>
                  <w:noWrap w:val="0"/>
                  <w:vAlign w:val="center"/>
                </w:tcPr>
                <w:p w14:paraId="0734266E">
                  <w:pPr>
                    <w:spacing w:line="240" w:lineRule="auto"/>
                    <w:ind w:firstLine="0" w:firstLineChars="0"/>
                    <w:jc w:val="center"/>
                    <w:rPr>
                      <w:color w:val="auto"/>
                      <w:sz w:val="21"/>
                      <w:szCs w:val="21"/>
                    </w:rPr>
                  </w:pPr>
                </w:p>
              </w:tc>
              <w:tc>
                <w:tcPr>
                  <w:tcW w:w="1602" w:type="pct"/>
                  <w:vMerge w:val="continue"/>
                  <w:noWrap w:val="0"/>
                  <w:vAlign w:val="center"/>
                </w:tcPr>
                <w:p w14:paraId="3DADC625">
                  <w:pPr>
                    <w:spacing w:line="240" w:lineRule="auto"/>
                    <w:ind w:firstLine="0" w:firstLineChars="0"/>
                    <w:jc w:val="center"/>
                    <w:rPr>
                      <w:color w:val="auto"/>
                      <w:sz w:val="21"/>
                      <w:szCs w:val="21"/>
                    </w:rPr>
                  </w:pPr>
                </w:p>
              </w:tc>
              <w:tc>
                <w:tcPr>
                  <w:tcW w:w="827" w:type="pct"/>
                  <w:shd w:val="clear" w:color="auto" w:fill="auto"/>
                  <w:noWrap w:val="0"/>
                  <w:vAlign w:val="center"/>
                </w:tcPr>
                <w:p w14:paraId="5D097AC3">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酚类</w:t>
                  </w:r>
                </w:p>
              </w:tc>
              <w:tc>
                <w:tcPr>
                  <w:tcW w:w="498" w:type="pct"/>
                  <w:vMerge w:val="continue"/>
                  <w:noWrap w:val="0"/>
                  <w:vAlign w:val="center"/>
                </w:tcPr>
                <w:p w14:paraId="669D3379">
                  <w:pPr>
                    <w:spacing w:line="240" w:lineRule="auto"/>
                    <w:ind w:firstLine="0" w:firstLineChars="0"/>
                    <w:jc w:val="center"/>
                    <w:rPr>
                      <w:color w:val="auto"/>
                      <w:kern w:val="2"/>
                      <w:sz w:val="21"/>
                      <w:szCs w:val="21"/>
                      <w:lang w:val="en-US" w:eastAsia="zh-CN" w:bidi="ar-SA"/>
                    </w:rPr>
                  </w:pPr>
                </w:p>
              </w:tc>
              <w:tc>
                <w:tcPr>
                  <w:tcW w:w="1638" w:type="pct"/>
                  <w:shd w:val="clear" w:color="auto" w:fill="auto"/>
                  <w:noWrap w:val="0"/>
                  <w:vAlign w:val="center"/>
                </w:tcPr>
                <w:p w14:paraId="667DC807">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0.02</w:t>
                  </w:r>
                </w:p>
              </w:tc>
            </w:tr>
            <w:tr w14:paraId="7353C0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 w:type="pct"/>
                  <w:vMerge w:val="continue"/>
                  <w:noWrap w:val="0"/>
                  <w:vAlign w:val="center"/>
                </w:tcPr>
                <w:p w14:paraId="3948969C">
                  <w:pPr>
                    <w:spacing w:line="240" w:lineRule="auto"/>
                    <w:ind w:firstLine="0" w:firstLineChars="0"/>
                    <w:jc w:val="center"/>
                    <w:rPr>
                      <w:color w:val="auto"/>
                      <w:sz w:val="21"/>
                      <w:szCs w:val="21"/>
                    </w:rPr>
                  </w:pPr>
                </w:p>
              </w:tc>
              <w:tc>
                <w:tcPr>
                  <w:tcW w:w="1602" w:type="pct"/>
                  <w:vMerge w:val="continue"/>
                  <w:noWrap w:val="0"/>
                  <w:vAlign w:val="center"/>
                </w:tcPr>
                <w:p w14:paraId="04785F1D">
                  <w:pPr>
                    <w:spacing w:line="240" w:lineRule="auto"/>
                    <w:ind w:firstLine="0" w:firstLineChars="0"/>
                    <w:jc w:val="center"/>
                    <w:rPr>
                      <w:color w:val="auto"/>
                      <w:sz w:val="21"/>
                      <w:szCs w:val="21"/>
                    </w:rPr>
                  </w:pPr>
                </w:p>
              </w:tc>
              <w:tc>
                <w:tcPr>
                  <w:tcW w:w="827" w:type="pct"/>
                  <w:shd w:val="clear" w:color="auto" w:fill="auto"/>
                  <w:noWrap w:val="0"/>
                  <w:vAlign w:val="center"/>
                </w:tcPr>
                <w:p w14:paraId="522257EA">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lang w:val="en-US" w:eastAsia="zh-CN"/>
                    </w:rPr>
                    <w:t>二氯甲烷</w:t>
                  </w:r>
                </w:p>
              </w:tc>
              <w:tc>
                <w:tcPr>
                  <w:tcW w:w="498" w:type="pct"/>
                  <w:vMerge w:val="continue"/>
                  <w:shd w:val="clear" w:color="auto" w:fill="auto"/>
                  <w:noWrap w:val="0"/>
                  <w:vAlign w:val="center"/>
                </w:tcPr>
                <w:p w14:paraId="000EBA77">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1638" w:type="pct"/>
                  <w:shd w:val="clear" w:color="auto" w:fill="auto"/>
                  <w:noWrap w:val="0"/>
                  <w:vAlign w:val="center"/>
                </w:tcPr>
                <w:p w14:paraId="42BAD72A">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0.6</w:t>
                  </w:r>
                </w:p>
              </w:tc>
            </w:tr>
            <w:tr w14:paraId="44DF10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34" w:type="pct"/>
                  <w:vMerge w:val="continue"/>
                  <w:noWrap w:val="0"/>
                  <w:vAlign w:val="center"/>
                </w:tcPr>
                <w:p w14:paraId="3FAD07EE">
                  <w:pPr>
                    <w:spacing w:line="240" w:lineRule="auto"/>
                    <w:ind w:firstLine="0" w:firstLineChars="0"/>
                    <w:jc w:val="center"/>
                    <w:rPr>
                      <w:color w:val="auto"/>
                      <w:sz w:val="21"/>
                      <w:szCs w:val="21"/>
                    </w:rPr>
                  </w:pPr>
                </w:p>
              </w:tc>
              <w:tc>
                <w:tcPr>
                  <w:tcW w:w="1602" w:type="pct"/>
                  <w:vMerge w:val="restart"/>
                  <w:noWrap w:val="0"/>
                  <w:vAlign w:val="center"/>
                </w:tcPr>
                <w:p w14:paraId="551588AC">
                  <w:pPr>
                    <w:spacing w:line="240" w:lineRule="auto"/>
                    <w:ind w:firstLine="0" w:firstLineChars="0"/>
                    <w:jc w:val="center"/>
                    <w:rPr>
                      <w:color w:val="auto"/>
                      <w:sz w:val="21"/>
                      <w:szCs w:val="21"/>
                    </w:rPr>
                  </w:pPr>
                  <w:r>
                    <w:rPr>
                      <w:rFonts w:hint="eastAsia"/>
                      <w:color w:val="auto"/>
                    </w:rPr>
                    <w:t>《恶臭污染物排放标准》（GB14554-93）表</w:t>
                  </w:r>
                  <w:r>
                    <w:rPr>
                      <w:rFonts w:hint="eastAsia"/>
                      <w:color w:val="auto"/>
                      <w:lang w:eastAsia="zh-CN"/>
                    </w:rPr>
                    <w:t>1</w:t>
                  </w:r>
                </w:p>
              </w:tc>
              <w:tc>
                <w:tcPr>
                  <w:tcW w:w="827" w:type="pct"/>
                  <w:noWrap w:val="0"/>
                  <w:vAlign w:val="center"/>
                </w:tcPr>
                <w:p w14:paraId="5E70E5F3">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苯乙烯</w:t>
                  </w:r>
                </w:p>
              </w:tc>
              <w:tc>
                <w:tcPr>
                  <w:tcW w:w="498" w:type="pct"/>
                  <w:vMerge w:val="continue"/>
                  <w:noWrap w:val="0"/>
                  <w:vAlign w:val="center"/>
                </w:tcPr>
                <w:p w14:paraId="116775C4">
                  <w:pPr>
                    <w:spacing w:line="240" w:lineRule="auto"/>
                    <w:ind w:firstLine="0" w:firstLineChars="0"/>
                    <w:jc w:val="center"/>
                    <w:rPr>
                      <w:color w:val="auto"/>
                      <w:kern w:val="2"/>
                      <w:sz w:val="21"/>
                      <w:szCs w:val="21"/>
                      <w:lang w:val="en-US" w:eastAsia="zh-CN" w:bidi="ar-SA"/>
                    </w:rPr>
                  </w:pPr>
                </w:p>
              </w:tc>
              <w:tc>
                <w:tcPr>
                  <w:tcW w:w="1638" w:type="pct"/>
                  <w:noWrap w:val="0"/>
                  <w:vAlign w:val="center"/>
                </w:tcPr>
                <w:p w14:paraId="5BFC16F9">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5.0</w:t>
                  </w:r>
                </w:p>
              </w:tc>
            </w:tr>
            <w:tr w14:paraId="27134C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34" w:type="pct"/>
                  <w:vMerge w:val="continue"/>
                  <w:noWrap w:val="0"/>
                  <w:vAlign w:val="center"/>
                </w:tcPr>
                <w:p w14:paraId="1DB2AF7A">
                  <w:pPr>
                    <w:spacing w:line="240" w:lineRule="auto"/>
                    <w:ind w:firstLine="0" w:firstLineChars="0"/>
                    <w:jc w:val="center"/>
                    <w:rPr>
                      <w:color w:val="auto"/>
                    </w:rPr>
                  </w:pPr>
                </w:p>
              </w:tc>
              <w:tc>
                <w:tcPr>
                  <w:tcW w:w="1602" w:type="pct"/>
                  <w:vMerge w:val="continue"/>
                  <w:noWrap w:val="0"/>
                  <w:vAlign w:val="center"/>
                </w:tcPr>
                <w:p w14:paraId="190D04E8">
                  <w:pPr>
                    <w:spacing w:line="240" w:lineRule="auto"/>
                    <w:ind w:firstLine="0" w:firstLineChars="0"/>
                    <w:jc w:val="center"/>
                    <w:rPr>
                      <w:color w:val="auto"/>
                    </w:rPr>
                  </w:pPr>
                </w:p>
              </w:tc>
              <w:tc>
                <w:tcPr>
                  <w:tcW w:w="827" w:type="pct"/>
                  <w:noWrap w:val="0"/>
                  <w:vAlign w:val="center"/>
                </w:tcPr>
                <w:p w14:paraId="546FB93D">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氨</w:t>
                  </w:r>
                </w:p>
              </w:tc>
              <w:tc>
                <w:tcPr>
                  <w:tcW w:w="498" w:type="pct"/>
                  <w:vMerge w:val="continue"/>
                  <w:noWrap w:val="0"/>
                  <w:vAlign w:val="center"/>
                </w:tcPr>
                <w:p w14:paraId="2D0FDB4B">
                  <w:pPr>
                    <w:spacing w:line="240" w:lineRule="auto"/>
                    <w:ind w:firstLine="0" w:firstLineChars="0"/>
                    <w:jc w:val="center"/>
                    <w:rPr>
                      <w:rFonts w:hint="eastAsia" w:cs="Times New Roman"/>
                      <w:color w:val="auto"/>
                      <w:sz w:val="21"/>
                      <w:szCs w:val="21"/>
                      <w:highlight w:val="none"/>
                      <w:lang w:val="en-US" w:eastAsia="zh-CN"/>
                    </w:rPr>
                  </w:pPr>
                </w:p>
              </w:tc>
              <w:tc>
                <w:tcPr>
                  <w:tcW w:w="1638" w:type="pct"/>
                  <w:noWrap w:val="0"/>
                  <w:vAlign w:val="center"/>
                </w:tcPr>
                <w:p w14:paraId="5B4ADB2D">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r>
            <w:tr w14:paraId="33041B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 w:type="pct"/>
                  <w:vMerge w:val="restart"/>
                  <w:noWrap w:val="0"/>
                  <w:vAlign w:val="center"/>
                </w:tcPr>
                <w:p w14:paraId="5B2067BE">
                  <w:pPr>
                    <w:spacing w:line="240" w:lineRule="auto"/>
                    <w:ind w:firstLine="0" w:firstLineChars="0"/>
                    <w:jc w:val="center"/>
                    <w:rPr>
                      <w:color w:val="auto"/>
                      <w:sz w:val="21"/>
                      <w:szCs w:val="21"/>
                    </w:rPr>
                  </w:pPr>
                  <w:r>
                    <w:rPr>
                      <w:color w:val="auto"/>
                      <w:sz w:val="21"/>
                      <w:szCs w:val="21"/>
                    </w:rPr>
                    <w:t>厂区内厂房外无组织</w:t>
                  </w:r>
                </w:p>
              </w:tc>
              <w:tc>
                <w:tcPr>
                  <w:tcW w:w="1602" w:type="pct"/>
                  <w:vMerge w:val="restart"/>
                  <w:noWrap w:val="0"/>
                  <w:vAlign w:val="center"/>
                </w:tcPr>
                <w:p w14:paraId="7E7BB555">
                  <w:pPr>
                    <w:spacing w:line="240" w:lineRule="auto"/>
                    <w:ind w:firstLine="0" w:firstLineChars="0"/>
                    <w:jc w:val="center"/>
                    <w:rPr>
                      <w:rFonts w:hint="default" w:eastAsia="宋体"/>
                      <w:color w:val="auto"/>
                      <w:sz w:val="21"/>
                      <w:szCs w:val="21"/>
                      <w:lang w:val="en-US" w:eastAsia="zh-CN"/>
                    </w:rPr>
                  </w:pPr>
                  <w:r>
                    <w:rPr>
                      <w:rFonts w:hint="default" w:eastAsia="宋体"/>
                      <w:color w:val="auto"/>
                      <w:sz w:val="21"/>
                      <w:szCs w:val="21"/>
                      <w:lang w:val="en-US" w:eastAsia="zh-CN"/>
                    </w:rPr>
                    <w:t>《大气污染物综合排放标准》（DB32/4041-2021）表2</w:t>
                  </w:r>
                </w:p>
              </w:tc>
              <w:tc>
                <w:tcPr>
                  <w:tcW w:w="827" w:type="pct"/>
                  <w:vMerge w:val="restart"/>
                  <w:noWrap w:val="0"/>
                  <w:vAlign w:val="center"/>
                </w:tcPr>
                <w:p w14:paraId="1AE527A1">
                  <w:pPr>
                    <w:spacing w:line="240" w:lineRule="auto"/>
                    <w:ind w:firstLine="0" w:firstLineChars="0"/>
                    <w:jc w:val="center"/>
                    <w:rPr>
                      <w:color w:val="auto"/>
                      <w:sz w:val="21"/>
                      <w:szCs w:val="21"/>
                    </w:rPr>
                  </w:pPr>
                  <w:r>
                    <w:rPr>
                      <w:color w:val="auto"/>
                      <w:sz w:val="21"/>
                      <w:szCs w:val="21"/>
                    </w:rPr>
                    <w:t>非甲烷总烃</w:t>
                  </w:r>
                </w:p>
              </w:tc>
              <w:tc>
                <w:tcPr>
                  <w:tcW w:w="498" w:type="pct"/>
                  <w:vMerge w:val="restart"/>
                  <w:noWrap w:val="0"/>
                  <w:vAlign w:val="center"/>
                </w:tcPr>
                <w:p w14:paraId="69503423">
                  <w:pPr>
                    <w:spacing w:line="240" w:lineRule="auto"/>
                    <w:ind w:firstLine="0" w:firstLineChars="0"/>
                    <w:jc w:val="center"/>
                    <w:rPr>
                      <w:color w:val="auto"/>
                      <w:sz w:val="21"/>
                      <w:szCs w:val="21"/>
                    </w:rPr>
                  </w:pPr>
                  <w:r>
                    <w:rPr>
                      <w:color w:val="auto"/>
                      <w:sz w:val="21"/>
                      <w:szCs w:val="21"/>
                    </w:rPr>
                    <w:t>在厂房外设置监控点</w:t>
                  </w:r>
                </w:p>
              </w:tc>
              <w:tc>
                <w:tcPr>
                  <w:tcW w:w="1638" w:type="pct"/>
                  <w:noWrap w:val="0"/>
                  <w:vAlign w:val="center"/>
                </w:tcPr>
                <w:p w14:paraId="09275B1F">
                  <w:pPr>
                    <w:spacing w:line="240" w:lineRule="auto"/>
                    <w:ind w:firstLine="0" w:firstLineChars="0"/>
                    <w:jc w:val="center"/>
                    <w:rPr>
                      <w:color w:val="auto"/>
                      <w:sz w:val="21"/>
                      <w:szCs w:val="21"/>
                    </w:rPr>
                  </w:pPr>
                  <w:r>
                    <w:rPr>
                      <w:rFonts w:hint="eastAsia"/>
                      <w:color w:val="auto"/>
                      <w:sz w:val="21"/>
                      <w:szCs w:val="21"/>
                      <w:lang w:val="en-US" w:eastAsia="zh-CN"/>
                    </w:rPr>
                    <w:t>6</w:t>
                  </w:r>
                  <w:r>
                    <w:rPr>
                      <w:color w:val="auto"/>
                      <w:sz w:val="21"/>
                      <w:szCs w:val="21"/>
                    </w:rPr>
                    <w:t>（监控点处1h平均浓度值）</w:t>
                  </w:r>
                </w:p>
              </w:tc>
            </w:tr>
            <w:tr w14:paraId="326617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 w:type="pct"/>
                  <w:vMerge w:val="continue"/>
                  <w:noWrap w:val="0"/>
                  <w:vAlign w:val="center"/>
                </w:tcPr>
                <w:p w14:paraId="2DF05D6F">
                  <w:pPr>
                    <w:spacing w:line="240" w:lineRule="auto"/>
                    <w:ind w:firstLine="0" w:firstLineChars="0"/>
                    <w:jc w:val="center"/>
                    <w:rPr>
                      <w:color w:val="auto"/>
                      <w:sz w:val="21"/>
                      <w:szCs w:val="21"/>
                    </w:rPr>
                  </w:pPr>
                </w:p>
              </w:tc>
              <w:tc>
                <w:tcPr>
                  <w:tcW w:w="1602" w:type="pct"/>
                  <w:vMerge w:val="continue"/>
                  <w:noWrap w:val="0"/>
                  <w:vAlign w:val="center"/>
                </w:tcPr>
                <w:p w14:paraId="1923C989">
                  <w:pPr>
                    <w:spacing w:line="240" w:lineRule="auto"/>
                    <w:ind w:firstLine="0" w:firstLineChars="0"/>
                    <w:jc w:val="center"/>
                    <w:rPr>
                      <w:color w:val="auto"/>
                      <w:sz w:val="21"/>
                      <w:szCs w:val="21"/>
                    </w:rPr>
                  </w:pPr>
                </w:p>
              </w:tc>
              <w:tc>
                <w:tcPr>
                  <w:tcW w:w="827" w:type="pct"/>
                  <w:vMerge w:val="continue"/>
                  <w:noWrap w:val="0"/>
                  <w:vAlign w:val="center"/>
                </w:tcPr>
                <w:p w14:paraId="01EC94B5">
                  <w:pPr>
                    <w:spacing w:line="240" w:lineRule="auto"/>
                    <w:ind w:firstLine="0" w:firstLineChars="0"/>
                    <w:jc w:val="center"/>
                    <w:rPr>
                      <w:color w:val="auto"/>
                      <w:sz w:val="21"/>
                      <w:szCs w:val="21"/>
                    </w:rPr>
                  </w:pPr>
                </w:p>
              </w:tc>
              <w:tc>
                <w:tcPr>
                  <w:tcW w:w="498" w:type="pct"/>
                  <w:vMerge w:val="continue"/>
                  <w:noWrap w:val="0"/>
                  <w:vAlign w:val="center"/>
                </w:tcPr>
                <w:p w14:paraId="3EACE1C8">
                  <w:pPr>
                    <w:spacing w:line="240" w:lineRule="auto"/>
                    <w:ind w:firstLine="0" w:firstLineChars="0"/>
                    <w:jc w:val="center"/>
                    <w:rPr>
                      <w:color w:val="auto"/>
                      <w:sz w:val="21"/>
                      <w:szCs w:val="21"/>
                    </w:rPr>
                  </w:pPr>
                </w:p>
              </w:tc>
              <w:tc>
                <w:tcPr>
                  <w:tcW w:w="1638" w:type="pct"/>
                  <w:noWrap w:val="0"/>
                  <w:vAlign w:val="center"/>
                </w:tcPr>
                <w:p w14:paraId="13FFFDEC">
                  <w:pPr>
                    <w:spacing w:line="240" w:lineRule="auto"/>
                    <w:ind w:firstLine="0" w:firstLineChars="0"/>
                    <w:jc w:val="center"/>
                    <w:rPr>
                      <w:color w:val="auto"/>
                      <w:sz w:val="21"/>
                      <w:szCs w:val="21"/>
                    </w:rPr>
                  </w:pPr>
                  <w:r>
                    <w:rPr>
                      <w:rFonts w:hint="eastAsia"/>
                      <w:color w:val="auto"/>
                      <w:sz w:val="21"/>
                      <w:szCs w:val="21"/>
                      <w:lang w:val="en-US" w:eastAsia="zh-CN"/>
                    </w:rPr>
                    <w:t>2</w:t>
                  </w:r>
                  <w:r>
                    <w:rPr>
                      <w:color w:val="auto"/>
                      <w:sz w:val="21"/>
                      <w:szCs w:val="21"/>
                    </w:rPr>
                    <w:t>0（监控点处任意一次浓度值）</w:t>
                  </w:r>
                </w:p>
              </w:tc>
            </w:tr>
            <w:bookmarkEnd w:id="3"/>
            <w:bookmarkEnd w:id="6"/>
          </w:tbl>
          <w:p w14:paraId="740FBB7F">
            <w:pPr>
              <w:wordWrap w:val="0"/>
              <w:spacing w:line="240" w:lineRule="auto"/>
              <w:ind w:firstLine="0" w:firstLineChars="0"/>
              <w:jc w:val="left"/>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注：①由于</w:t>
            </w:r>
            <w:r>
              <w:rPr>
                <w:rFonts w:hint="eastAsia" w:ascii="Times New Roman" w:hAnsi="Times New Roman" w:eastAsia="宋体" w:cs="Times New Roman"/>
                <w:color w:val="auto"/>
              </w:rPr>
              <w:t>《印刷工业大气污染物排放标准》（DB32 4438-2022）</w:t>
            </w:r>
            <w:r>
              <w:rPr>
                <w:rFonts w:hint="eastAsia" w:ascii="Times New Roman" w:hAnsi="Times New Roman" w:eastAsia="宋体" w:cs="Times New Roman"/>
                <w:color w:val="auto"/>
                <w:lang w:val="en-US" w:eastAsia="zh-CN"/>
              </w:rPr>
              <w:t>未规定厂界无组织</w:t>
            </w:r>
            <w:r>
              <w:rPr>
                <w:rFonts w:hint="eastAsia" w:ascii="Times New Roman" w:hAnsi="Times New Roman" w:eastAsia="宋体" w:cs="Times New Roman"/>
                <w:b w:val="0"/>
                <w:bCs w:val="0"/>
                <w:color w:val="auto"/>
                <w:sz w:val="21"/>
                <w:szCs w:val="21"/>
                <w:lang w:val="en-US" w:eastAsia="zh-CN"/>
              </w:rPr>
              <w:t>非甲烷总烃排放限值，因此</w:t>
            </w:r>
            <w:r>
              <w:rPr>
                <w:rFonts w:hint="eastAsia" w:ascii="Times New Roman" w:hAnsi="Times New Roman" w:eastAsia="宋体" w:cs="Times New Roman"/>
                <w:color w:val="auto"/>
                <w:kern w:val="2"/>
                <w:sz w:val="21"/>
                <w:szCs w:val="21"/>
                <w:highlight w:val="none"/>
                <w:u w:val="none"/>
                <w:shd w:val="clear" w:color="auto" w:fill="auto"/>
                <w:lang w:val="en-US" w:eastAsia="zh-CN" w:bidi="ar-SA"/>
              </w:rPr>
              <w:t>厂界无组织非甲烷总烃</w:t>
            </w:r>
            <w:r>
              <w:rPr>
                <w:rFonts w:hint="default" w:ascii="Times New Roman" w:hAnsi="Times New Roman" w:eastAsia="宋体" w:cs="Times New Roman"/>
                <w:color w:val="auto"/>
                <w:kern w:val="2"/>
                <w:sz w:val="21"/>
                <w:szCs w:val="21"/>
                <w:highlight w:val="none"/>
                <w:u w:val="none"/>
                <w:shd w:val="clear" w:color="auto" w:fill="auto"/>
                <w:lang w:val="en-US" w:eastAsia="zh-CN" w:bidi="ar-SA"/>
              </w:rPr>
              <w:t>排放浓度执行</w:t>
            </w:r>
            <w:r>
              <w:rPr>
                <w:rFonts w:hint="eastAsia"/>
                <w:color w:val="auto"/>
              </w:rPr>
              <w:t>《合成树脂工业污染物排放标准》（GB31572-2015）（含2024年修改单）表9标准限值</w:t>
            </w:r>
            <w:r>
              <w:rPr>
                <w:rFonts w:hint="eastAsia"/>
                <w:b w:val="0"/>
                <w:bCs w:val="0"/>
                <w:color w:val="auto"/>
                <w:sz w:val="21"/>
                <w:szCs w:val="21"/>
                <w:lang w:val="en-US" w:eastAsia="zh-CN"/>
              </w:rPr>
              <w:t>。</w:t>
            </w:r>
          </w:p>
          <w:p w14:paraId="2656119C">
            <w:pPr>
              <w:wordWrap w:val="0"/>
              <w:spacing w:line="240" w:lineRule="auto"/>
              <w:ind w:firstLine="420" w:firstLineChars="200"/>
              <w:jc w:val="left"/>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②</w:t>
            </w:r>
            <w:r>
              <w:rPr>
                <w:rFonts w:hint="eastAsia"/>
                <w:color w:val="auto"/>
              </w:rPr>
              <w:t>本项目</w:t>
            </w:r>
            <w:r>
              <w:rPr>
                <w:rFonts w:hint="eastAsia"/>
                <w:color w:val="auto"/>
                <w:lang w:val="en-US" w:eastAsia="zh-CN"/>
              </w:rPr>
              <w:t>破碎</w:t>
            </w:r>
            <w:r>
              <w:rPr>
                <w:rFonts w:hint="eastAsia"/>
                <w:color w:val="auto"/>
              </w:rPr>
              <w:t>工序产生的</w:t>
            </w:r>
            <w:r>
              <w:rPr>
                <w:rFonts w:hint="eastAsia"/>
                <w:color w:val="auto"/>
                <w:lang w:val="en-US" w:eastAsia="zh-CN"/>
              </w:rPr>
              <w:t>颗粒物无组织</w:t>
            </w:r>
            <w:r>
              <w:rPr>
                <w:rFonts w:hint="eastAsia"/>
                <w:color w:val="auto"/>
              </w:rPr>
              <w:t>排放执行《合成树脂工业污染物排放标准》（GB31572-2015）（含2024年修改单）中表</w:t>
            </w:r>
            <w:r>
              <w:rPr>
                <w:rFonts w:hint="eastAsia"/>
                <w:color w:val="auto"/>
                <w:lang w:val="en-US" w:eastAsia="zh-CN"/>
              </w:rPr>
              <w:t>9</w:t>
            </w:r>
            <w:r>
              <w:rPr>
                <w:rFonts w:hint="eastAsia"/>
                <w:color w:val="auto"/>
              </w:rPr>
              <w:t>标准限值；</w:t>
            </w:r>
            <w:r>
              <w:rPr>
                <w:rFonts w:hint="eastAsia"/>
                <w:color w:val="auto"/>
                <w:lang w:val="en-US" w:eastAsia="zh-CN"/>
              </w:rPr>
              <w:t>打磨</w:t>
            </w:r>
            <w:r>
              <w:rPr>
                <w:rFonts w:hint="eastAsia"/>
                <w:color w:val="auto"/>
              </w:rPr>
              <w:t>工序产生的</w:t>
            </w:r>
            <w:r>
              <w:rPr>
                <w:rFonts w:hint="eastAsia"/>
                <w:color w:val="auto"/>
                <w:lang w:val="en-US" w:eastAsia="zh-CN"/>
              </w:rPr>
              <w:t>颗粒物无</w:t>
            </w:r>
            <w:r>
              <w:rPr>
                <w:rFonts w:hint="eastAsia"/>
                <w:color w:val="auto"/>
              </w:rPr>
              <w:t>组织排放执行《大气污染物综合排放标准》（DB32/4041-2021）表3标准限值。</w:t>
            </w:r>
            <w:r>
              <w:rPr>
                <w:rFonts w:hint="eastAsia" w:ascii="Times New Roman" w:hAnsi="Times New Roman" w:eastAsia="宋体" w:cs="Times New Roman"/>
                <w:color w:val="auto"/>
                <w:kern w:val="2"/>
                <w:sz w:val="21"/>
                <w:szCs w:val="21"/>
                <w:highlight w:val="none"/>
                <w:u w:val="none"/>
                <w:shd w:val="clear" w:color="auto" w:fill="auto"/>
                <w:lang w:val="en-US" w:eastAsia="zh-CN" w:bidi="ar-SA"/>
              </w:rPr>
              <w:t>因此厂界无组织颗粒物</w:t>
            </w:r>
            <w:r>
              <w:rPr>
                <w:rFonts w:hint="default" w:ascii="Times New Roman" w:hAnsi="Times New Roman" w:eastAsia="宋体" w:cs="Times New Roman"/>
                <w:color w:val="auto"/>
                <w:kern w:val="2"/>
                <w:sz w:val="21"/>
                <w:szCs w:val="21"/>
                <w:highlight w:val="none"/>
                <w:u w:val="none"/>
                <w:shd w:val="clear" w:color="auto" w:fill="auto"/>
                <w:lang w:val="en-US" w:eastAsia="zh-CN" w:bidi="ar-SA"/>
              </w:rPr>
              <w:t>排放浓度从严执行</w:t>
            </w:r>
            <w:r>
              <w:rPr>
                <w:rFonts w:hint="eastAsia"/>
                <w:color w:val="auto"/>
              </w:rPr>
              <w:t>《大气污染物综合排放标准》（DB32/4041-2021）表3标准限值</w:t>
            </w:r>
            <w:r>
              <w:rPr>
                <w:rFonts w:hint="eastAsia"/>
                <w:b w:val="0"/>
                <w:bCs w:val="0"/>
                <w:color w:val="auto"/>
                <w:sz w:val="21"/>
                <w:szCs w:val="21"/>
                <w:lang w:val="en-US" w:eastAsia="zh-CN"/>
              </w:rPr>
              <w:t>。</w:t>
            </w:r>
          </w:p>
          <w:p w14:paraId="00C568B2">
            <w:pPr>
              <w:ind w:firstLine="0" w:firstLineChars="0"/>
              <w:rPr>
                <w:b/>
                <w:bCs/>
                <w:color w:val="auto"/>
                <w:sz w:val="24"/>
                <w:szCs w:val="24"/>
              </w:rPr>
            </w:pPr>
            <w:r>
              <w:rPr>
                <w:b/>
                <w:bCs/>
                <w:color w:val="auto"/>
                <w:sz w:val="24"/>
                <w:szCs w:val="24"/>
              </w:rPr>
              <w:t>2.2废水排放标准</w:t>
            </w:r>
          </w:p>
          <w:p w14:paraId="686EF4A1">
            <w:pPr>
              <w:adjustRightInd w:val="0"/>
              <w:snapToGrid w:val="0"/>
              <w:ind w:firstLine="420"/>
              <w:rPr>
                <w:b/>
                <w:bCs/>
                <w:color w:val="auto"/>
                <w:sz w:val="24"/>
                <w:szCs w:val="24"/>
              </w:rPr>
            </w:pPr>
            <w:r>
              <w:rPr>
                <w:rFonts w:hint="eastAsia"/>
                <w:color w:val="auto"/>
                <w:sz w:val="24"/>
                <w:szCs w:val="24"/>
              </w:rPr>
              <w:t>本项目</w:t>
            </w:r>
            <w:r>
              <w:rPr>
                <w:rFonts w:hint="eastAsia"/>
                <w:color w:val="auto"/>
                <w:sz w:val="24"/>
                <w:szCs w:val="24"/>
                <w:lang w:val="en-US" w:eastAsia="zh-CN"/>
              </w:rPr>
              <w:t>无生产废水</w:t>
            </w:r>
            <w:r>
              <w:rPr>
                <w:rFonts w:hint="eastAsia"/>
                <w:color w:val="auto"/>
                <w:sz w:val="24"/>
                <w:szCs w:val="24"/>
              </w:rPr>
              <w:t>，外排废水主要为生活污水，经市政污水管网接至常州市金坛区第二污水处理厂，接管废水执行金坛区第二污水处理厂接管标准，常州市金坛区第二污水处理厂处理后尾水排入尧塘河，排放标准执行《城镇污水处理厂污染物排放标准》（GB18918-2002）中一级A标准以及《太湖地区城镇污水处理厂及重点行业主要水污染物排放限值》（DB32/T1072-2018）中表2城镇污水处理标准，标准值参见下表</w:t>
            </w:r>
            <w:r>
              <w:rPr>
                <w:color w:val="auto"/>
                <w:sz w:val="24"/>
                <w:szCs w:val="24"/>
              </w:rPr>
              <w:t>。</w:t>
            </w:r>
          </w:p>
          <w:p w14:paraId="1794C6B1">
            <w:pPr>
              <w:spacing w:line="240" w:lineRule="auto"/>
              <w:ind w:firstLine="0" w:firstLineChars="0"/>
              <w:jc w:val="center"/>
              <w:rPr>
                <w:b/>
                <w:bCs/>
                <w:color w:val="auto"/>
                <w:sz w:val="21"/>
                <w:szCs w:val="21"/>
              </w:rPr>
            </w:pPr>
            <w:r>
              <w:rPr>
                <w:b/>
                <w:bCs/>
                <w:color w:val="auto"/>
                <w:sz w:val="21"/>
                <w:szCs w:val="21"/>
              </w:rPr>
              <w:t>表3-</w:t>
            </w:r>
            <w:r>
              <w:rPr>
                <w:rFonts w:hint="eastAsia"/>
                <w:b/>
                <w:bCs/>
                <w:color w:val="auto"/>
                <w:sz w:val="21"/>
                <w:szCs w:val="21"/>
                <w:lang w:val="en-US" w:eastAsia="zh-CN"/>
              </w:rPr>
              <w:t>9</w:t>
            </w:r>
            <w:r>
              <w:rPr>
                <w:b/>
                <w:bCs/>
                <w:color w:val="auto"/>
                <w:sz w:val="21"/>
                <w:szCs w:val="21"/>
              </w:rPr>
              <w:t xml:space="preserve">  废水排放标准限值表</w:t>
            </w:r>
          </w:p>
          <w:tbl>
            <w:tblPr>
              <w:tblStyle w:val="1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25"/>
              <w:gridCol w:w="3937"/>
              <w:gridCol w:w="1118"/>
              <w:gridCol w:w="1326"/>
              <w:gridCol w:w="1579"/>
            </w:tblGrid>
            <w:tr w14:paraId="72ED79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tcBorders>
                    <w:tl2br w:val="nil"/>
                    <w:tr2bl w:val="nil"/>
                  </w:tcBorders>
                  <w:noWrap w:val="0"/>
                  <w:tcMar>
                    <w:top w:w="0" w:type="dxa"/>
                    <w:left w:w="108" w:type="dxa"/>
                    <w:bottom w:w="0" w:type="dxa"/>
                    <w:right w:w="108" w:type="dxa"/>
                  </w:tcMar>
                  <w:vAlign w:val="center"/>
                </w:tcPr>
                <w:p w14:paraId="026AF76C">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类别</w:t>
                  </w:r>
                </w:p>
              </w:tc>
              <w:tc>
                <w:tcPr>
                  <w:tcW w:w="2119" w:type="pct"/>
                  <w:tcBorders>
                    <w:tl2br w:val="nil"/>
                    <w:tr2bl w:val="nil"/>
                  </w:tcBorders>
                  <w:noWrap w:val="0"/>
                  <w:tcMar>
                    <w:top w:w="0" w:type="dxa"/>
                    <w:left w:w="108" w:type="dxa"/>
                    <w:bottom w:w="0" w:type="dxa"/>
                    <w:right w:w="108" w:type="dxa"/>
                  </w:tcMar>
                  <w:vAlign w:val="center"/>
                </w:tcPr>
                <w:p w14:paraId="7891A924">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执行标准</w:t>
                  </w:r>
                </w:p>
              </w:tc>
              <w:tc>
                <w:tcPr>
                  <w:tcW w:w="602" w:type="pct"/>
                  <w:tcBorders>
                    <w:tl2br w:val="nil"/>
                    <w:tr2bl w:val="nil"/>
                  </w:tcBorders>
                  <w:noWrap w:val="0"/>
                  <w:tcMar>
                    <w:top w:w="0" w:type="dxa"/>
                    <w:left w:w="108" w:type="dxa"/>
                    <w:bottom w:w="0" w:type="dxa"/>
                    <w:right w:w="108" w:type="dxa"/>
                  </w:tcMar>
                  <w:vAlign w:val="center"/>
                </w:tcPr>
                <w:p w14:paraId="6273AC29">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w:t>
                  </w:r>
                </w:p>
                <w:p w14:paraId="24CC51FC">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级别</w:t>
                  </w:r>
                </w:p>
              </w:tc>
              <w:tc>
                <w:tcPr>
                  <w:tcW w:w="714" w:type="pct"/>
                  <w:tcBorders>
                    <w:tl2br w:val="nil"/>
                    <w:tr2bl w:val="nil"/>
                  </w:tcBorders>
                  <w:noWrap w:val="0"/>
                  <w:tcMar>
                    <w:top w:w="0" w:type="dxa"/>
                    <w:left w:w="108" w:type="dxa"/>
                    <w:bottom w:w="0" w:type="dxa"/>
                    <w:right w:w="108" w:type="dxa"/>
                  </w:tcMar>
                  <w:vAlign w:val="center"/>
                </w:tcPr>
                <w:p w14:paraId="61CFC220">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指标</w:t>
                  </w:r>
                </w:p>
              </w:tc>
              <w:tc>
                <w:tcPr>
                  <w:tcW w:w="850" w:type="pct"/>
                  <w:tcBorders>
                    <w:tl2br w:val="nil"/>
                    <w:tr2bl w:val="nil"/>
                  </w:tcBorders>
                  <w:noWrap w:val="0"/>
                  <w:tcMar>
                    <w:top w:w="0" w:type="dxa"/>
                    <w:left w:w="108" w:type="dxa"/>
                    <w:bottom w:w="0" w:type="dxa"/>
                    <w:right w:w="108" w:type="dxa"/>
                  </w:tcMar>
                  <w:vAlign w:val="center"/>
                </w:tcPr>
                <w:p w14:paraId="54CD8D9E">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标准限值</w:t>
                  </w:r>
                </w:p>
              </w:tc>
            </w:tr>
            <w:tr w14:paraId="71E03C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restart"/>
                  <w:tcBorders>
                    <w:tl2br w:val="nil"/>
                    <w:tr2bl w:val="nil"/>
                  </w:tcBorders>
                  <w:noWrap w:val="0"/>
                  <w:tcMar>
                    <w:top w:w="0" w:type="dxa"/>
                    <w:left w:w="108" w:type="dxa"/>
                    <w:bottom w:w="0" w:type="dxa"/>
                    <w:right w:w="108" w:type="dxa"/>
                  </w:tcMar>
                  <w:vAlign w:val="center"/>
                </w:tcPr>
                <w:p w14:paraId="73C9EBDC">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接管标准</w:t>
                  </w:r>
                </w:p>
              </w:tc>
              <w:tc>
                <w:tcPr>
                  <w:tcW w:w="2119" w:type="pct"/>
                  <w:vMerge w:val="restart"/>
                  <w:tcBorders>
                    <w:tl2br w:val="nil"/>
                    <w:tr2bl w:val="nil"/>
                  </w:tcBorders>
                  <w:noWrap w:val="0"/>
                  <w:tcMar>
                    <w:top w:w="0" w:type="dxa"/>
                    <w:left w:w="108" w:type="dxa"/>
                    <w:bottom w:w="0" w:type="dxa"/>
                    <w:right w:w="108" w:type="dxa"/>
                  </w:tcMar>
                  <w:vAlign w:val="center"/>
                </w:tcPr>
                <w:p w14:paraId="721812B2">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金坛区第二污水处理厂</w:t>
                  </w:r>
                  <w:r>
                    <w:rPr>
                      <w:rFonts w:hint="default" w:ascii="Times New Roman" w:hAnsi="Times New Roman" w:eastAsia="宋体" w:cs="Times New Roman"/>
                      <w:color w:val="auto"/>
                      <w:sz w:val="21"/>
                      <w:szCs w:val="21"/>
                      <w:highlight w:val="none"/>
                      <w:lang w:val="en-US" w:eastAsia="zh-CN"/>
                    </w:rPr>
                    <w:t>接管标准</w:t>
                  </w:r>
                </w:p>
              </w:tc>
              <w:tc>
                <w:tcPr>
                  <w:tcW w:w="602" w:type="pct"/>
                  <w:vMerge w:val="restart"/>
                  <w:tcBorders>
                    <w:tl2br w:val="nil"/>
                    <w:tr2bl w:val="nil"/>
                  </w:tcBorders>
                  <w:noWrap w:val="0"/>
                  <w:tcMar>
                    <w:top w:w="0" w:type="dxa"/>
                    <w:left w:w="108" w:type="dxa"/>
                    <w:bottom w:w="0" w:type="dxa"/>
                    <w:right w:w="108" w:type="dxa"/>
                  </w:tcMar>
                  <w:vAlign w:val="center"/>
                </w:tcPr>
                <w:p w14:paraId="0F3D8A98">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714" w:type="pct"/>
                  <w:tcBorders>
                    <w:tl2br w:val="nil"/>
                    <w:tr2bl w:val="nil"/>
                  </w:tcBorders>
                  <w:noWrap w:val="0"/>
                  <w:tcMar>
                    <w:top w:w="0" w:type="dxa"/>
                    <w:left w:w="108" w:type="dxa"/>
                    <w:bottom w:w="0" w:type="dxa"/>
                    <w:right w:w="108" w:type="dxa"/>
                  </w:tcMar>
                  <w:vAlign w:val="center"/>
                </w:tcPr>
                <w:p w14:paraId="07EB3E05">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pH</w:t>
                  </w:r>
                </w:p>
              </w:tc>
              <w:tc>
                <w:tcPr>
                  <w:tcW w:w="850" w:type="pct"/>
                  <w:tcBorders>
                    <w:tl2br w:val="nil"/>
                    <w:tr2bl w:val="nil"/>
                  </w:tcBorders>
                  <w:noWrap w:val="0"/>
                  <w:tcMar>
                    <w:top w:w="0" w:type="dxa"/>
                    <w:left w:w="108" w:type="dxa"/>
                    <w:bottom w:w="0" w:type="dxa"/>
                    <w:right w:w="108" w:type="dxa"/>
                  </w:tcMar>
                  <w:vAlign w:val="center"/>
                </w:tcPr>
                <w:p w14:paraId="64398257">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6.5~9.5</w:t>
                  </w:r>
                </w:p>
              </w:tc>
            </w:tr>
            <w:tr w14:paraId="0FF1EB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noWrap w:val="0"/>
                  <w:tcMar>
                    <w:top w:w="0" w:type="dxa"/>
                    <w:left w:w="108" w:type="dxa"/>
                    <w:bottom w:w="0" w:type="dxa"/>
                    <w:right w:w="108" w:type="dxa"/>
                  </w:tcMar>
                  <w:vAlign w:val="center"/>
                </w:tcPr>
                <w:p w14:paraId="5B974FF2">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119" w:type="pct"/>
                  <w:vMerge w:val="continue"/>
                  <w:tcBorders>
                    <w:tl2br w:val="nil"/>
                    <w:tr2bl w:val="nil"/>
                  </w:tcBorders>
                  <w:noWrap w:val="0"/>
                  <w:tcMar>
                    <w:top w:w="0" w:type="dxa"/>
                    <w:left w:w="108" w:type="dxa"/>
                    <w:bottom w:w="0" w:type="dxa"/>
                    <w:right w:w="108" w:type="dxa"/>
                  </w:tcMar>
                  <w:vAlign w:val="center"/>
                </w:tcPr>
                <w:p w14:paraId="7A4F36A3">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602" w:type="pct"/>
                  <w:vMerge w:val="continue"/>
                  <w:tcBorders>
                    <w:tl2br w:val="nil"/>
                    <w:tr2bl w:val="nil"/>
                  </w:tcBorders>
                  <w:noWrap w:val="0"/>
                  <w:tcMar>
                    <w:top w:w="0" w:type="dxa"/>
                    <w:left w:w="108" w:type="dxa"/>
                    <w:bottom w:w="0" w:type="dxa"/>
                    <w:right w:w="108" w:type="dxa"/>
                  </w:tcMar>
                  <w:vAlign w:val="center"/>
                </w:tcPr>
                <w:p w14:paraId="6754862D">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14" w:type="pct"/>
                  <w:tcBorders>
                    <w:tl2br w:val="nil"/>
                    <w:tr2bl w:val="nil"/>
                  </w:tcBorders>
                  <w:noWrap w:val="0"/>
                  <w:tcMar>
                    <w:top w:w="0" w:type="dxa"/>
                    <w:left w:w="108" w:type="dxa"/>
                    <w:bottom w:w="0" w:type="dxa"/>
                    <w:right w:w="108" w:type="dxa"/>
                  </w:tcMar>
                  <w:vAlign w:val="center"/>
                </w:tcPr>
                <w:p w14:paraId="4FA72A8A">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850" w:type="pct"/>
                  <w:tcBorders>
                    <w:tl2br w:val="nil"/>
                    <w:tr2bl w:val="nil"/>
                  </w:tcBorders>
                  <w:noWrap w:val="0"/>
                  <w:tcMar>
                    <w:top w:w="0" w:type="dxa"/>
                    <w:left w:w="108" w:type="dxa"/>
                    <w:bottom w:w="0" w:type="dxa"/>
                    <w:right w:w="108" w:type="dxa"/>
                  </w:tcMar>
                  <w:vAlign w:val="center"/>
                </w:tcPr>
                <w:p w14:paraId="6F240CBA">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w:t>
                  </w:r>
                </w:p>
              </w:tc>
            </w:tr>
            <w:tr w14:paraId="6510DD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noWrap w:val="0"/>
                  <w:tcMar>
                    <w:top w:w="0" w:type="dxa"/>
                    <w:left w:w="108" w:type="dxa"/>
                    <w:bottom w:w="0" w:type="dxa"/>
                    <w:right w:w="108" w:type="dxa"/>
                  </w:tcMar>
                  <w:vAlign w:val="center"/>
                </w:tcPr>
                <w:p w14:paraId="771372E8">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119" w:type="pct"/>
                  <w:vMerge w:val="continue"/>
                  <w:tcBorders>
                    <w:tl2br w:val="nil"/>
                    <w:tr2bl w:val="nil"/>
                  </w:tcBorders>
                  <w:noWrap w:val="0"/>
                  <w:tcMar>
                    <w:top w:w="0" w:type="dxa"/>
                    <w:left w:w="108" w:type="dxa"/>
                    <w:bottom w:w="0" w:type="dxa"/>
                    <w:right w:w="108" w:type="dxa"/>
                  </w:tcMar>
                  <w:vAlign w:val="center"/>
                </w:tcPr>
                <w:p w14:paraId="5B10CB7C">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602" w:type="pct"/>
                  <w:vMerge w:val="continue"/>
                  <w:tcBorders>
                    <w:tl2br w:val="nil"/>
                    <w:tr2bl w:val="nil"/>
                  </w:tcBorders>
                  <w:noWrap w:val="0"/>
                  <w:tcMar>
                    <w:top w:w="0" w:type="dxa"/>
                    <w:left w:w="108" w:type="dxa"/>
                    <w:bottom w:w="0" w:type="dxa"/>
                    <w:right w:w="108" w:type="dxa"/>
                  </w:tcMar>
                  <w:vAlign w:val="center"/>
                </w:tcPr>
                <w:p w14:paraId="5DE34701">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14" w:type="pct"/>
                  <w:tcBorders>
                    <w:tl2br w:val="nil"/>
                    <w:tr2bl w:val="nil"/>
                  </w:tcBorders>
                  <w:noWrap w:val="0"/>
                  <w:tcMar>
                    <w:top w:w="0" w:type="dxa"/>
                    <w:left w:w="108" w:type="dxa"/>
                    <w:bottom w:w="0" w:type="dxa"/>
                    <w:right w:w="108" w:type="dxa"/>
                  </w:tcMar>
                  <w:vAlign w:val="center"/>
                </w:tcPr>
                <w:p w14:paraId="0C6AE520">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SS</w:t>
                  </w:r>
                </w:p>
              </w:tc>
              <w:tc>
                <w:tcPr>
                  <w:tcW w:w="850" w:type="pct"/>
                  <w:tcBorders>
                    <w:tl2br w:val="nil"/>
                    <w:tr2bl w:val="nil"/>
                  </w:tcBorders>
                  <w:noWrap w:val="0"/>
                  <w:tcMar>
                    <w:top w:w="0" w:type="dxa"/>
                    <w:left w:w="108" w:type="dxa"/>
                    <w:bottom w:w="0" w:type="dxa"/>
                    <w:right w:w="108" w:type="dxa"/>
                  </w:tcMar>
                  <w:vAlign w:val="center"/>
                </w:tcPr>
                <w:p w14:paraId="4008E236">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rPr>
                    <w:t>0</w:t>
                  </w:r>
                </w:p>
              </w:tc>
            </w:tr>
            <w:tr w14:paraId="2C5E0D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noWrap w:val="0"/>
                  <w:tcMar>
                    <w:top w:w="0" w:type="dxa"/>
                    <w:left w:w="108" w:type="dxa"/>
                    <w:bottom w:w="0" w:type="dxa"/>
                    <w:right w:w="108" w:type="dxa"/>
                  </w:tcMar>
                  <w:vAlign w:val="center"/>
                </w:tcPr>
                <w:p w14:paraId="70CCC584">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119" w:type="pct"/>
                  <w:vMerge w:val="continue"/>
                  <w:tcBorders>
                    <w:tl2br w:val="nil"/>
                    <w:tr2bl w:val="nil"/>
                  </w:tcBorders>
                  <w:noWrap w:val="0"/>
                  <w:tcMar>
                    <w:top w:w="0" w:type="dxa"/>
                    <w:left w:w="108" w:type="dxa"/>
                    <w:bottom w:w="0" w:type="dxa"/>
                    <w:right w:w="108" w:type="dxa"/>
                  </w:tcMar>
                  <w:vAlign w:val="center"/>
                </w:tcPr>
                <w:p w14:paraId="257D8429">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602" w:type="pct"/>
                  <w:vMerge w:val="continue"/>
                  <w:tcBorders>
                    <w:tl2br w:val="nil"/>
                    <w:tr2bl w:val="nil"/>
                  </w:tcBorders>
                  <w:noWrap w:val="0"/>
                  <w:tcMar>
                    <w:top w:w="0" w:type="dxa"/>
                    <w:left w:w="108" w:type="dxa"/>
                    <w:bottom w:w="0" w:type="dxa"/>
                    <w:right w:w="108" w:type="dxa"/>
                  </w:tcMar>
                  <w:vAlign w:val="center"/>
                </w:tcPr>
                <w:p w14:paraId="17C069C9">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14" w:type="pct"/>
                  <w:tcBorders>
                    <w:tl2br w:val="nil"/>
                    <w:tr2bl w:val="nil"/>
                  </w:tcBorders>
                  <w:noWrap w:val="0"/>
                  <w:tcMar>
                    <w:top w:w="0" w:type="dxa"/>
                    <w:left w:w="108" w:type="dxa"/>
                    <w:bottom w:w="0" w:type="dxa"/>
                    <w:right w:w="108" w:type="dxa"/>
                  </w:tcMar>
                  <w:vAlign w:val="center"/>
                </w:tcPr>
                <w:p w14:paraId="024F63E3">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850" w:type="pct"/>
                  <w:tcBorders>
                    <w:tl2br w:val="nil"/>
                    <w:tr2bl w:val="nil"/>
                  </w:tcBorders>
                  <w:noWrap w:val="0"/>
                  <w:tcMar>
                    <w:top w:w="0" w:type="dxa"/>
                    <w:left w:w="108" w:type="dxa"/>
                    <w:bottom w:w="0" w:type="dxa"/>
                    <w:right w:w="108" w:type="dxa"/>
                  </w:tcMar>
                  <w:vAlign w:val="center"/>
                </w:tcPr>
                <w:p w14:paraId="4F463827">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5</w:t>
                  </w:r>
                </w:p>
              </w:tc>
            </w:tr>
            <w:tr w14:paraId="599368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noWrap w:val="0"/>
                  <w:tcMar>
                    <w:top w:w="0" w:type="dxa"/>
                    <w:left w:w="108" w:type="dxa"/>
                    <w:bottom w:w="0" w:type="dxa"/>
                    <w:right w:w="108" w:type="dxa"/>
                  </w:tcMar>
                  <w:vAlign w:val="center"/>
                </w:tcPr>
                <w:p w14:paraId="0FA619D8">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119" w:type="pct"/>
                  <w:vMerge w:val="continue"/>
                  <w:tcBorders>
                    <w:tl2br w:val="nil"/>
                    <w:tr2bl w:val="nil"/>
                  </w:tcBorders>
                  <w:noWrap w:val="0"/>
                  <w:tcMar>
                    <w:top w:w="0" w:type="dxa"/>
                    <w:left w:w="108" w:type="dxa"/>
                    <w:bottom w:w="0" w:type="dxa"/>
                    <w:right w:w="108" w:type="dxa"/>
                  </w:tcMar>
                  <w:vAlign w:val="center"/>
                </w:tcPr>
                <w:p w14:paraId="2B3BD8F9">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602" w:type="pct"/>
                  <w:vMerge w:val="continue"/>
                  <w:tcBorders>
                    <w:tl2br w:val="nil"/>
                    <w:tr2bl w:val="nil"/>
                  </w:tcBorders>
                  <w:noWrap w:val="0"/>
                  <w:tcMar>
                    <w:top w:w="0" w:type="dxa"/>
                    <w:left w:w="108" w:type="dxa"/>
                    <w:bottom w:w="0" w:type="dxa"/>
                    <w:right w:w="108" w:type="dxa"/>
                  </w:tcMar>
                  <w:vAlign w:val="center"/>
                </w:tcPr>
                <w:p w14:paraId="111EAA11">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14" w:type="pct"/>
                  <w:tcBorders>
                    <w:tl2br w:val="nil"/>
                    <w:tr2bl w:val="nil"/>
                  </w:tcBorders>
                  <w:noWrap w:val="0"/>
                  <w:tcMar>
                    <w:top w:w="0" w:type="dxa"/>
                    <w:left w:w="108" w:type="dxa"/>
                    <w:bottom w:w="0" w:type="dxa"/>
                    <w:right w:w="108" w:type="dxa"/>
                  </w:tcMar>
                  <w:vAlign w:val="center"/>
                </w:tcPr>
                <w:p w14:paraId="337FD2A4">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TP</w:t>
                  </w:r>
                </w:p>
              </w:tc>
              <w:tc>
                <w:tcPr>
                  <w:tcW w:w="850" w:type="pct"/>
                  <w:tcBorders>
                    <w:tl2br w:val="nil"/>
                    <w:tr2bl w:val="nil"/>
                  </w:tcBorders>
                  <w:noWrap w:val="0"/>
                  <w:tcMar>
                    <w:top w:w="0" w:type="dxa"/>
                    <w:left w:w="108" w:type="dxa"/>
                    <w:bottom w:w="0" w:type="dxa"/>
                    <w:right w:w="108" w:type="dxa"/>
                  </w:tcMar>
                  <w:vAlign w:val="center"/>
                </w:tcPr>
                <w:p w14:paraId="7E0B8EB3">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3</w:t>
                  </w:r>
                </w:p>
              </w:tc>
            </w:tr>
            <w:tr w14:paraId="736EC3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noWrap w:val="0"/>
                  <w:tcMar>
                    <w:top w:w="0" w:type="dxa"/>
                    <w:left w:w="108" w:type="dxa"/>
                    <w:bottom w:w="0" w:type="dxa"/>
                    <w:right w:w="108" w:type="dxa"/>
                  </w:tcMar>
                  <w:vAlign w:val="center"/>
                </w:tcPr>
                <w:p w14:paraId="2A4D0B3C">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119" w:type="pct"/>
                  <w:vMerge w:val="continue"/>
                  <w:tcBorders>
                    <w:tl2br w:val="nil"/>
                    <w:tr2bl w:val="nil"/>
                  </w:tcBorders>
                  <w:noWrap w:val="0"/>
                  <w:tcMar>
                    <w:top w:w="0" w:type="dxa"/>
                    <w:left w:w="108" w:type="dxa"/>
                    <w:bottom w:w="0" w:type="dxa"/>
                    <w:right w:w="108" w:type="dxa"/>
                  </w:tcMar>
                  <w:vAlign w:val="center"/>
                </w:tcPr>
                <w:p w14:paraId="1AE4F471">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602" w:type="pct"/>
                  <w:vMerge w:val="continue"/>
                  <w:tcBorders>
                    <w:tl2br w:val="nil"/>
                    <w:tr2bl w:val="nil"/>
                  </w:tcBorders>
                  <w:noWrap w:val="0"/>
                  <w:tcMar>
                    <w:top w:w="0" w:type="dxa"/>
                    <w:left w:w="108" w:type="dxa"/>
                    <w:bottom w:w="0" w:type="dxa"/>
                    <w:right w:w="108" w:type="dxa"/>
                  </w:tcMar>
                  <w:vAlign w:val="center"/>
                </w:tcPr>
                <w:p w14:paraId="591D7EC1">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14" w:type="pct"/>
                  <w:tcBorders>
                    <w:tl2br w:val="nil"/>
                    <w:tr2bl w:val="nil"/>
                  </w:tcBorders>
                  <w:noWrap w:val="0"/>
                  <w:tcMar>
                    <w:top w:w="0" w:type="dxa"/>
                    <w:left w:w="108" w:type="dxa"/>
                    <w:bottom w:w="0" w:type="dxa"/>
                    <w:right w:w="108" w:type="dxa"/>
                  </w:tcMar>
                  <w:vAlign w:val="center"/>
                </w:tcPr>
                <w:p w14:paraId="48DBA399">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TN</w:t>
                  </w:r>
                </w:p>
              </w:tc>
              <w:tc>
                <w:tcPr>
                  <w:tcW w:w="850" w:type="pct"/>
                  <w:tcBorders>
                    <w:tl2br w:val="nil"/>
                    <w:tr2bl w:val="nil"/>
                  </w:tcBorders>
                  <w:noWrap w:val="0"/>
                  <w:tcMar>
                    <w:top w:w="0" w:type="dxa"/>
                    <w:left w:w="108" w:type="dxa"/>
                    <w:bottom w:w="0" w:type="dxa"/>
                    <w:right w:w="108" w:type="dxa"/>
                  </w:tcMar>
                  <w:vAlign w:val="center"/>
                </w:tcPr>
                <w:p w14:paraId="3358E9EC">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w:t>
                  </w:r>
                </w:p>
              </w:tc>
            </w:tr>
            <w:tr w14:paraId="564748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restart"/>
                  <w:tcBorders>
                    <w:tl2br w:val="nil"/>
                    <w:tr2bl w:val="nil"/>
                  </w:tcBorders>
                  <w:noWrap w:val="0"/>
                  <w:tcMar>
                    <w:top w:w="0" w:type="dxa"/>
                    <w:left w:w="108" w:type="dxa"/>
                    <w:bottom w:w="0" w:type="dxa"/>
                    <w:right w:w="108" w:type="dxa"/>
                  </w:tcMar>
                  <w:vAlign w:val="center"/>
                </w:tcPr>
                <w:p w14:paraId="52006B8E">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常州市金坛区第二污水处理厂排口</w:t>
                  </w:r>
                </w:p>
              </w:tc>
              <w:tc>
                <w:tcPr>
                  <w:tcW w:w="3937" w:type="dxa"/>
                  <w:vMerge w:val="restart"/>
                  <w:tcBorders>
                    <w:tl2br w:val="nil"/>
                    <w:tr2bl w:val="nil"/>
                  </w:tcBorders>
                  <w:noWrap w:val="0"/>
                  <w:tcMar>
                    <w:top w:w="0" w:type="dxa"/>
                    <w:left w:w="108" w:type="dxa"/>
                    <w:bottom w:w="0" w:type="dxa"/>
                    <w:right w:w="108" w:type="dxa"/>
                  </w:tcMar>
                  <w:vAlign w:val="center"/>
                </w:tcPr>
                <w:p w14:paraId="289A322C">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《城镇污水处理厂污染物排放标准》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 18918-2002</w:t>
                  </w:r>
                  <w:r>
                    <w:rPr>
                      <w:rFonts w:hint="default" w:ascii="Times New Roman" w:hAnsi="Times New Roman" w:eastAsia="宋体" w:cs="Times New Roman"/>
                      <w:color w:val="auto"/>
                      <w:sz w:val="21"/>
                      <w:szCs w:val="21"/>
                      <w:highlight w:val="none"/>
                      <w:lang w:eastAsia="zh-CN"/>
                    </w:rPr>
                    <w:t>）</w:t>
                  </w:r>
                </w:p>
              </w:tc>
              <w:tc>
                <w:tcPr>
                  <w:tcW w:w="1118" w:type="dxa"/>
                  <w:vMerge w:val="restart"/>
                  <w:tcBorders>
                    <w:tl2br w:val="nil"/>
                    <w:tr2bl w:val="nil"/>
                  </w:tcBorders>
                  <w:noWrap w:val="0"/>
                  <w:tcMar>
                    <w:top w:w="0" w:type="dxa"/>
                    <w:left w:w="108" w:type="dxa"/>
                    <w:bottom w:w="0" w:type="dxa"/>
                    <w:right w:w="108" w:type="dxa"/>
                  </w:tcMar>
                  <w:vAlign w:val="center"/>
                </w:tcPr>
                <w:p w14:paraId="3AAC8E9D">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一级A</w:t>
                  </w:r>
                </w:p>
              </w:tc>
              <w:tc>
                <w:tcPr>
                  <w:tcW w:w="1326" w:type="dxa"/>
                  <w:tcBorders>
                    <w:tl2br w:val="nil"/>
                    <w:tr2bl w:val="nil"/>
                  </w:tcBorders>
                  <w:noWrap w:val="0"/>
                  <w:tcMar>
                    <w:top w:w="0" w:type="dxa"/>
                    <w:left w:w="108" w:type="dxa"/>
                    <w:bottom w:w="0" w:type="dxa"/>
                    <w:right w:w="108" w:type="dxa"/>
                  </w:tcMar>
                  <w:vAlign w:val="center"/>
                </w:tcPr>
                <w:p w14:paraId="22E92CF3">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w:t>
                  </w:r>
                </w:p>
              </w:tc>
              <w:tc>
                <w:tcPr>
                  <w:tcW w:w="1579" w:type="dxa"/>
                  <w:tcBorders>
                    <w:tl2br w:val="nil"/>
                    <w:tr2bl w:val="nil"/>
                  </w:tcBorders>
                  <w:noWrap w:val="0"/>
                  <w:tcMar>
                    <w:top w:w="0" w:type="dxa"/>
                    <w:left w:w="108" w:type="dxa"/>
                    <w:bottom w:w="0" w:type="dxa"/>
                    <w:right w:w="108" w:type="dxa"/>
                  </w:tcMar>
                  <w:vAlign w:val="center"/>
                </w:tcPr>
                <w:p w14:paraId="0F9D7A7D">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w:t>
                  </w:r>
                </w:p>
              </w:tc>
            </w:tr>
            <w:tr w14:paraId="50784C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noWrap w:val="0"/>
                  <w:tcMar>
                    <w:top w:w="0" w:type="dxa"/>
                    <w:left w:w="108" w:type="dxa"/>
                    <w:bottom w:w="0" w:type="dxa"/>
                    <w:right w:w="108" w:type="dxa"/>
                  </w:tcMar>
                  <w:vAlign w:val="center"/>
                </w:tcPr>
                <w:p w14:paraId="4D9BC918">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937" w:type="dxa"/>
                  <w:vMerge w:val="continue"/>
                  <w:tcBorders>
                    <w:tl2br w:val="nil"/>
                    <w:tr2bl w:val="nil"/>
                  </w:tcBorders>
                  <w:noWrap w:val="0"/>
                  <w:tcMar>
                    <w:top w:w="0" w:type="dxa"/>
                    <w:left w:w="108" w:type="dxa"/>
                    <w:bottom w:w="0" w:type="dxa"/>
                    <w:right w:w="108" w:type="dxa"/>
                  </w:tcMar>
                  <w:vAlign w:val="center"/>
                </w:tcPr>
                <w:p w14:paraId="7617B00F">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118" w:type="dxa"/>
                  <w:vMerge w:val="continue"/>
                  <w:tcBorders>
                    <w:tl2br w:val="nil"/>
                    <w:tr2bl w:val="nil"/>
                  </w:tcBorders>
                  <w:noWrap w:val="0"/>
                  <w:tcMar>
                    <w:top w:w="0" w:type="dxa"/>
                    <w:left w:w="108" w:type="dxa"/>
                    <w:bottom w:w="0" w:type="dxa"/>
                    <w:right w:w="108" w:type="dxa"/>
                  </w:tcMar>
                  <w:vAlign w:val="center"/>
                </w:tcPr>
                <w:p w14:paraId="30E46F24">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26" w:type="dxa"/>
                  <w:tcBorders>
                    <w:tl2br w:val="nil"/>
                    <w:tr2bl w:val="nil"/>
                  </w:tcBorders>
                  <w:noWrap w:val="0"/>
                  <w:tcMar>
                    <w:top w:w="0" w:type="dxa"/>
                    <w:left w:w="108" w:type="dxa"/>
                    <w:bottom w:w="0" w:type="dxa"/>
                    <w:right w:w="108" w:type="dxa"/>
                  </w:tcMar>
                  <w:vAlign w:val="center"/>
                </w:tcPr>
                <w:p w14:paraId="4AFFD21C">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SS</w:t>
                  </w:r>
                </w:p>
              </w:tc>
              <w:tc>
                <w:tcPr>
                  <w:tcW w:w="1579" w:type="dxa"/>
                  <w:tcBorders>
                    <w:tl2br w:val="nil"/>
                    <w:tr2bl w:val="nil"/>
                  </w:tcBorders>
                  <w:noWrap w:val="0"/>
                  <w:tcMar>
                    <w:top w:w="0" w:type="dxa"/>
                    <w:left w:w="108" w:type="dxa"/>
                    <w:bottom w:w="0" w:type="dxa"/>
                    <w:right w:w="108" w:type="dxa"/>
                  </w:tcMar>
                  <w:vAlign w:val="center"/>
                </w:tcPr>
                <w:p w14:paraId="642B8A64">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r>
            <w:tr w14:paraId="290FF0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noWrap w:val="0"/>
                  <w:vAlign w:val="top"/>
                </w:tcPr>
                <w:p w14:paraId="0376A5F7">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937" w:type="dxa"/>
                  <w:vMerge w:val="restart"/>
                  <w:tcBorders>
                    <w:tl2br w:val="nil"/>
                    <w:tr2bl w:val="nil"/>
                  </w:tcBorders>
                  <w:noWrap w:val="0"/>
                  <w:vAlign w:val="center"/>
                </w:tcPr>
                <w:p w14:paraId="5C8117EE">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《太湖地区城镇污水处理厂及重点工业行业主要水污染物排放限值》（DB 32/1072-2018）</w:t>
                  </w:r>
                </w:p>
              </w:tc>
              <w:tc>
                <w:tcPr>
                  <w:tcW w:w="1118" w:type="dxa"/>
                  <w:vMerge w:val="restart"/>
                  <w:tcBorders>
                    <w:tl2br w:val="nil"/>
                    <w:tr2bl w:val="nil"/>
                  </w:tcBorders>
                  <w:noWrap w:val="0"/>
                  <w:vAlign w:val="center"/>
                </w:tcPr>
                <w:p w14:paraId="24F37B6A">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表2</w:t>
                  </w:r>
                </w:p>
              </w:tc>
              <w:tc>
                <w:tcPr>
                  <w:tcW w:w="1326" w:type="dxa"/>
                  <w:tcBorders>
                    <w:tl2br w:val="nil"/>
                    <w:tr2bl w:val="nil"/>
                  </w:tcBorders>
                  <w:noWrap w:val="0"/>
                  <w:vAlign w:val="center"/>
                </w:tcPr>
                <w:p w14:paraId="47C20686">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1579" w:type="dxa"/>
                  <w:tcBorders>
                    <w:tl2br w:val="nil"/>
                    <w:tr2bl w:val="nil"/>
                  </w:tcBorders>
                  <w:noWrap w:val="0"/>
                  <w:vAlign w:val="center"/>
                </w:tcPr>
                <w:p w14:paraId="1ECCE3BD">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r>
            <w:tr w14:paraId="0A1E4E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noWrap w:val="0"/>
                  <w:vAlign w:val="top"/>
                </w:tcPr>
                <w:p w14:paraId="796B55BF">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937" w:type="dxa"/>
                  <w:vMerge w:val="continue"/>
                  <w:tcBorders>
                    <w:tl2br w:val="nil"/>
                    <w:tr2bl w:val="nil"/>
                  </w:tcBorders>
                  <w:noWrap w:val="0"/>
                  <w:vAlign w:val="top"/>
                </w:tcPr>
                <w:p w14:paraId="416B6475">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118" w:type="dxa"/>
                  <w:vMerge w:val="continue"/>
                  <w:tcBorders>
                    <w:tl2br w:val="nil"/>
                    <w:tr2bl w:val="nil"/>
                  </w:tcBorders>
                  <w:noWrap w:val="0"/>
                  <w:vAlign w:val="top"/>
                </w:tcPr>
                <w:p w14:paraId="19393EC8">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26" w:type="dxa"/>
                  <w:tcBorders>
                    <w:tl2br w:val="nil"/>
                    <w:tr2bl w:val="nil"/>
                  </w:tcBorders>
                  <w:noWrap w:val="0"/>
                  <w:vAlign w:val="center"/>
                </w:tcPr>
                <w:p w14:paraId="1BD1B8A4">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氨氮</w:t>
                  </w:r>
                </w:p>
              </w:tc>
              <w:tc>
                <w:tcPr>
                  <w:tcW w:w="1579" w:type="dxa"/>
                  <w:tcBorders>
                    <w:tl2br w:val="nil"/>
                    <w:tr2bl w:val="nil"/>
                  </w:tcBorders>
                  <w:noWrap w:val="0"/>
                  <w:vAlign w:val="center"/>
                </w:tcPr>
                <w:p w14:paraId="7400892D">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w:t>
                  </w:r>
                  <w:r>
                    <w:rPr>
                      <w:rFonts w:hint="eastAsia" w:ascii="Times New Roman" w:hAnsi="Times New Roman" w:eastAsia="宋体" w:cs="Times New Roman"/>
                      <w:color w:val="auto"/>
                      <w:sz w:val="21"/>
                      <w:szCs w:val="21"/>
                      <w:highlight w:val="none"/>
                      <w:vertAlign w:val="superscript"/>
                      <w:lang w:val="en-US" w:eastAsia="zh-CN"/>
                    </w:rPr>
                    <w:t>①</w:t>
                  </w:r>
                </w:p>
              </w:tc>
            </w:tr>
            <w:tr w14:paraId="7DD4A3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noWrap w:val="0"/>
                  <w:vAlign w:val="top"/>
                </w:tcPr>
                <w:p w14:paraId="451F83D5">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937" w:type="dxa"/>
                  <w:vMerge w:val="continue"/>
                  <w:tcBorders>
                    <w:tl2br w:val="nil"/>
                    <w:tr2bl w:val="nil"/>
                  </w:tcBorders>
                  <w:noWrap w:val="0"/>
                  <w:vAlign w:val="top"/>
                </w:tcPr>
                <w:p w14:paraId="701EAE67">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118" w:type="dxa"/>
                  <w:vMerge w:val="continue"/>
                  <w:tcBorders>
                    <w:tl2br w:val="nil"/>
                    <w:tr2bl w:val="nil"/>
                  </w:tcBorders>
                  <w:noWrap w:val="0"/>
                  <w:vAlign w:val="top"/>
                </w:tcPr>
                <w:p w14:paraId="2B5731B5">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26" w:type="dxa"/>
                  <w:tcBorders>
                    <w:tl2br w:val="nil"/>
                    <w:tr2bl w:val="nil"/>
                  </w:tcBorders>
                  <w:noWrap w:val="0"/>
                  <w:vAlign w:val="center"/>
                </w:tcPr>
                <w:p w14:paraId="4B77FE00">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TP</w:t>
                  </w:r>
                </w:p>
              </w:tc>
              <w:tc>
                <w:tcPr>
                  <w:tcW w:w="1579" w:type="dxa"/>
                  <w:tcBorders>
                    <w:tl2br w:val="nil"/>
                    <w:tr2bl w:val="nil"/>
                  </w:tcBorders>
                  <w:noWrap w:val="0"/>
                  <w:vAlign w:val="center"/>
                </w:tcPr>
                <w:p w14:paraId="016B550A">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r>
            <w:tr w14:paraId="301074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noWrap w:val="0"/>
                  <w:vAlign w:val="top"/>
                </w:tcPr>
                <w:p w14:paraId="21048C72">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937" w:type="dxa"/>
                  <w:vMerge w:val="continue"/>
                  <w:tcBorders>
                    <w:tl2br w:val="nil"/>
                    <w:tr2bl w:val="nil"/>
                  </w:tcBorders>
                  <w:noWrap w:val="0"/>
                  <w:vAlign w:val="top"/>
                </w:tcPr>
                <w:p w14:paraId="5B628243">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118" w:type="dxa"/>
                  <w:vMerge w:val="continue"/>
                  <w:tcBorders>
                    <w:tl2br w:val="nil"/>
                    <w:tr2bl w:val="nil"/>
                  </w:tcBorders>
                  <w:noWrap w:val="0"/>
                  <w:vAlign w:val="top"/>
                </w:tcPr>
                <w:p w14:paraId="21575713">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26" w:type="dxa"/>
                  <w:tcBorders>
                    <w:tl2br w:val="nil"/>
                    <w:tr2bl w:val="nil"/>
                  </w:tcBorders>
                  <w:noWrap w:val="0"/>
                  <w:vAlign w:val="center"/>
                </w:tcPr>
                <w:p w14:paraId="42354853">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TN</w:t>
                  </w:r>
                </w:p>
              </w:tc>
              <w:tc>
                <w:tcPr>
                  <w:tcW w:w="1579" w:type="dxa"/>
                  <w:tcBorders>
                    <w:tl2br w:val="nil"/>
                    <w:tr2bl w:val="nil"/>
                  </w:tcBorders>
                  <w:noWrap w:val="0"/>
                  <w:vAlign w:val="center"/>
                </w:tcPr>
                <w:p w14:paraId="37F7EFA8">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12（15）</w:t>
                  </w:r>
                  <w:r>
                    <w:rPr>
                      <w:rFonts w:hint="eastAsia" w:ascii="Times New Roman" w:hAnsi="Times New Roman" w:eastAsia="宋体" w:cs="Times New Roman"/>
                      <w:color w:val="auto"/>
                      <w:sz w:val="21"/>
                      <w:szCs w:val="21"/>
                      <w:highlight w:val="none"/>
                      <w:vertAlign w:val="superscript"/>
                      <w:lang w:val="en-US" w:eastAsia="zh-CN"/>
                    </w:rPr>
                    <w:t>①</w:t>
                  </w:r>
                </w:p>
              </w:tc>
            </w:tr>
            <w:tr w14:paraId="2A1D0C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noWrap w:val="0"/>
                  <w:vAlign w:val="top"/>
                </w:tcPr>
                <w:p w14:paraId="2D52006C">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937" w:type="dxa"/>
                  <w:vMerge w:val="restart"/>
                  <w:tcBorders>
                    <w:tl2br w:val="nil"/>
                    <w:tr2bl w:val="nil"/>
                  </w:tcBorders>
                  <w:noWrap w:val="0"/>
                  <w:vAlign w:val="center"/>
                </w:tcPr>
                <w:p w14:paraId="1D5ED7E5">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《城镇污水处理厂污染物排放标准》（DB32/4440-2022）</w:t>
                  </w:r>
                </w:p>
                <w:p w14:paraId="43BB736C">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（2026年3月28日起施行）</w:t>
                  </w:r>
                </w:p>
              </w:tc>
              <w:tc>
                <w:tcPr>
                  <w:tcW w:w="1118" w:type="dxa"/>
                  <w:vMerge w:val="restart"/>
                  <w:tcBorders>
                    <w:tl2br w:val="nil"/>
                    <w:tr2bl w:val="nil"/>
                  </w:tcBorders>
                  <w:noWrap w:val="0"/>
                  <w:vAlign w:val="center"/>
                </w:tcPr>
                <w:p w14:paraId="70912F6E">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表1C标准</w:t>
                  </w:r>
                </w:p>
              </w:tc>
              <w:tc>
                <w:tcPr>
                  <w:tcW w:w="1326" w:type="dxa"/>
                  <w:tcBorders>
                    <w:tl2br w:val="nil"/>
                    <w:tr2bl w:val="nil"/>
                  </w:tcBorders>
                  <w:noWrap w:val="0"/>
                  <w:vAlign w:val="center"/>
                </w:tcPr>
                <w:p w14:paraId="3BF4B801">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pH</w:t>
                  </w:r>
                </w:p>
              </w:tc>
              <w:tc>
                <w:tcPr>
                  <w:tcW w:w="1579" w:type="dxa"/>
                  <w:tcBorders>
                    <w:tl2br w:val="nil"/>
                    <w:tr2bl w:val="nil"/>
                  </w:tcBorders>
                  <w:noWrap w:val="0"/>
                  <w:vAlign w:val="center"/>
                </w:tcPr>
                <w:p w14:paraId="54FE7017">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6～9</w:t>
                  </w:r>
                </w:p>
              </w:tc>
            </w:tr>
            <w:tr w14:paraId="1E90A9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noWrap w:val="0"/>
                  <w:vAlign w:val="top"/>
                </w:tcPr>
                <w:p w14:paraId="448535DA">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937" w:type="dxa"/>
                  <w:vMerge w:val="continue"/>
                  <w:noWrap w:val="0"/>
                  <w:vAlign w:val="top"/>
                </w:tcPr>
                <w:p w14:paraId="30D1D1EB">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118" w:type="dxa"/>
                  <w:vMerge w:val="continue"/>
                  <w:noWrap w:val="0"/>
                  <w:vAlign w:val="top"/>
                </w:tcPr>
                <w:p w14:paraId="52759712">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26" w:type="dxa"/>
                  <w:noWrap w:val="0"/>
                  <w:vAlign w:val="center"/>
                </w:tcPr>
                <w:p w14:paraId="6604D165">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COD</w:t>
                  </w:r>
                </w:p>
              </w:tc>
              <w:tc>
                <w:tcPr>
                  <w:tcW w:w="1579" w:type="dxa"/>
                  <w:noWrap w:val="0"/>
                  <w:vAlign w:val="center"/>
                </w:tcPr>
                <w:p w14:paraId="135F3C7B">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50</w:t>
                  </w:r>
                </w:p>
              </w:tc>
            </w:tr>
            <w:tr w14:paraId="7872AA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noWrap w:val="0"/>
                  <w:vAlign w:val="top"/>
                </w:tcPr>
                <w:p w14:paraId="05FDCFA2">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937" w:type="dxa"/>
                  <w:vMerge w:val="continue"/>
                  <w:noWrap w:val="0"/>
                  <w:vAlign w:val="top"/>
                </w:tcPr>
                <w:p w14:paraId="60E617D2">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118" w:type="dxa"/>
                  <w:vMerge w:val="continue"/>
                  <w:noWrap w:val="0"/>
                  <w:vAlign w:val="top"/>
                </w:tcPr>
                <w:p w14:paraId="21ACAD55">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26" w:type="dxa"/>
                  <w:noWrap w:val="0"/>
                  <w:vAlign w:val="center"/>
                </w:tcPr>
                <w:p w14:paraId="0434FB0F">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SS</w:t>
                  </w:r>
                </w:p>
              </w:tc>
              <w:tc>
                <w:tcPr>
                  <w:tcW w:w="1579" w:type="dxa"/>
                  <w:noWrap w:val="0"/>
                  <w:vAlign w:val="center"/>
                </w:tcPr>
                <w:p w14:paraId="600CF438">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10</w:t>
                  </w:r>
                </w:p>
              </w:tc>
            </w:tr>
            <w:tr w14:paraId="30F7B2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noWrap w:val="0"/>
                  <w:vAlign w:val="top"/>
                </w:tcPr>
                <w:p w14:paraId="0DFEAA64">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937" w:type="dxa"/>
                  <w:vMerge w:val="continue"/>
                  <w:noWrap w:val="0"/>
                  <w:vAlign w:val="top"/>
                </w:tcPr>
                <w:p w14:paraId="04453F4E">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118" w:type="dxa"/>
                  <w:vMerge w:val="continue"/>
                  <w:noWrap w:val="0"/>
                  <w:vAlign w:val="top"/>
                </w:tcPr>
                <w:p w14:paraId="396C5F75">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26" w:type="dxa"/>
                  <w:noWrap w:val="0"/>
                  <w:vAlign w:val="center"/>
                </w:tcPr>
                <w:p w14:paraId="7A3ED1E1">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氨氮</w:t>
                  </w:r>
                </w:p>
              </w:tc>
              <w:tc>
                <w:tcPr>
                  <w:tcW w:w="1579" w:type="dxa"/>
                  <w:noWrap w:val="0"/>
                  <w:vAlign w:val="center"/>
                </w:tcPr>
                <w:p w14:paraId="69069866">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4</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6</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vertAlign w:val="superscript"/>
                      <w:lang w:val="en-US" w:eastAsia="zh-CN"/>
                    </w:rPr>
                    <w:t>②</w:t>
                  </w:r>
                </w:p>
              </w:tc>
            </w:tr>
            <w:tr w14:paraId="420C0E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noWrap w:val="0"/>
                  <w:vAlign w:val="top"/>
                </w:tcPr>
                <w:p w14:paraId="09DEDE39">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937" w:type="dxa"/>
                  <w:vMerge w:val="continue"/>
                  <w:noWrap w:val="0"/>
                  <w:vAlign w:val="top"/>
                </w:tcPr>
                <w:p w14:paraId="786768C6">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118" w:type="dxa"/>
                  <w:vMerge w:val="continue"/>
                  <w:noWrap w:val="0"/>
                  <w:vAlign w:val="top"/>
                </w:tcPr>
                <w:p w14:paraId="72F07483">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26" w:type="dxa"/>
                  <w:noWrap w:val="0"/>
                  <w:vAlign w:val="center"/>
                </w:tcPr>
                <w:p w14:paraId="55F109C9">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TP</w:t>
                  </w:r>
                </w:p>
              </w:tc>
              <w:tc>
                <w:tcPr>
                  <w:tcW w:w="1579" w:type="dxa"/>
                  <w:noWrap w:val="0"/>
                  <w:vAlign w:val="center"/>
                </w:tcPr>
                <w:p w14:paraId="2782C9C1">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0.5</w:t>
                  </w:r>
                </w:p>
              </w:tc>
            </w:tr>
            <w:tr w14:paraId="3976C0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noWrap w:val="0"/>
                  <w:vAlign w:val="top"/>
                </w:tcPr>
                <w:p w14:paraId="33E573F0">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937" w:type="dxa"/>
                  <w:vMerge w:val="continue"/>
                  <w:noWrap w:val="0"/>
                  <w:vAlign w:val="top"/>
                </w:tcPr>
                <w:p w14:paraId="641DA3A5">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118" w:type="dxa"/>
                  <w:vMerge w:val="continue"/>
                  <w:noWrap w:val="0"/>
                  <w:vAlign w:val="top"/>
                </w:tcPr>
                <w:p w14:paraId="6A09922D">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26" w:type="dxa"/>
                  <w:noWrap w:val="0"/>
                  <w:vAlign w:val="center"/>
                </w:tcPr>
                <w:p w14:paraId="0D7633B3">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TN</w:t>
                  </w:r>
                </w:p>
              </w:tc>
              <w:tc>
                <w:tcPr>
                  <w:tcW w:w="1579" w:type="dxa"/>
                  <w:noWrap w:val="0"/>
                  <w:vAlign w:val="center"/>
                </w:tcPr>
                <w:p w14:paraId="256E6742">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12</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15</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vertAlign w:val="superscript"/>
                      <w:lang w:val="en-US" w:eastAsia="zh-CN"/>
                    </w:rPr>
                    <w:t>②</w:t>
                  </w:r>
                </w:p>
              </w:tc>
            </w:tr>
          </w:tbl>
          <w:p w14:paraId="06ED23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21"/>
                <w:szCs w:val="21"/>
              </w:rPr>
            </w:pPr>
            <w:r>
              <w:rPr>
                <w:color w:val="auto"/>
                <w:sz w:val="21"/>
                <w:szCs w:val="21"/>
              </w:rPr>
              <w:t>注：</w:t>
            </w:r>
            <w:r>
              <w:rPr>
                <w:rFonts w:hint="eastAsia"/>
                <w:color w:val="auto"/>
                <w:sz w:val="21"/>
                <w:szCs w:val="21"/>
              </w:rPr>
              <w:t>①括号外数值为水温＞12℃时的控制指标，括号内数值为水温≤12℃时的控制指标。</w:t>
            </w:r>
          </w:p>
          <w:p w14:paraId="37F9716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rPr>
            </w:pPr>
            <w:r>
              <w:rPr>
                <w:rFonts w:hint="eastAsia"/>
                <w:color w:val="auto"/>
                <w:sz w:val="21"/>
                <w:szCs w:val="21"/>
              </w:rPr>
              <w:t>②每年11月1日至次年3月31日执行括号内排放限值。</w:t>
            </w:r>
          </w:p>
          <w:p w14:paraId="7E4831A3">
            <w:pPr>
              <w:tabs>
                <w:tab w:val="left" w:pos="6697"/>
              </w:tabs>
              <w:ind w:firstLine="0" w:firstLineChars="0"/>
              <w:rPr>
                <w:b/>
                <w:bCs/>
                <w:color w:val="auto"/>
                <w:sz w:val="24"/>
                <w:szCs w:val="24"/>
              </w:rPr>
            </w:pPr>
            <w:r>
              <w:rPr>
                <w:b/>
                <w:bCs/>
                <w:color w:val="auto"/>
                <w:sz w:val="24"/>
                <w:szCs w:val="24"/>
              </w:rPr>
              <w:t>2.3噪声排放标准</w:t>
            </w:r>
          </w:p>
          <w:p w14:paraId="66195618">
            <w:pPr>
              <w:adjustRightInd w:val="0"/>
              <w:snapToGrid w:val="0"/>
              <w:ind w:firstLine="420"/>
              <w:rPr>
                <w:color w:val="auto"/>
                <w:sz w:val="24"/>
                <w:szCs w:val="24"/>
              </w:rPr>
            </w:pPr>
            <w:r>
              <w:rPr>
                <w:rFonts w:hint="eastAsia"/>
                <w:color w:val="auto"/>
                <w:sz w:val="24"/>
                <w:szCs w:val="24"/>
                <w:lang w:val="en-US" w:eastAsia="zh-CN"/>
              </w:rPr>
              <w:t>根据</w:t>
            </w:r>
            <w:r>
              <w:rPr>
                <w:rFonts w:hint="eastAsia"/>
                <w:color w:val="auto"/>
                <w:sz w:val="24"/>
                <w:szCs w:val="24"/>
              </w:rPr>
              <w:t>《常州市市区声环境功能区划(2017)》</w:t>
            </w:r>
            <w:r>
              <w:rPr>
                <w:rFonts w:hint="eastAsia"/>
                <w:color w:val="auto"/>
                <w:sz w:val="24"/>
                <w:szCs w:val="24"/>
                <w:lang w:eastAsia="zh-CN"/>
              </w:rPr>
              <w:t>，</w:t>
            </w:r>
            <w:r>
              <w:rPr>
                <w:rFonts w:hint="eastAsia"/>
                <w:color w:val="auto"/>
                <w:sz w:val="24"/>
                <w:szCs w:val="24"/>
                <w:lang w:val="en-US" w:eastAsia="zh-CN"/>
              </w:rPr>
              <w:t>本项目位于</w:t>
            </w:r>
            <w:r>
              <w:rPr>
                <w:rFonts w:hint="eastAsia"/>
                <w:color w:val="auto"/>
                <w:sz w:val="24"/>
                <w:szCs w:val="24"/>
              </w:rPr>
              <w:t>2类声环境功能区</w:t>
            </w:r>
            <w:r>
              <w:rPr>
                <w:rFonts w:hint="eastAsia"/>
                <w:color w:val="auto"/>
                <w:sz w:val="24"/>
                <w:szCs w:val="24"/>
                <w:lang w:val="en-US" w:eastAsia="zh-CN"/>
              </w:rPr>
              <w:t>，</w:t>
            </w:r>
            <w:r>
              <w:rPr>
                <w:color w:val="auto"/>
                <w:sz w:val="24"/>
                <w:szCs w:val="24"/>
              </w:rPr>
              <w:t>项目厂界噪声排放执行《工业企业厂界环境噪声排放标准》</w:t>
            </w:r>
            <w:r>
              <w:rPr>
                <w:rFonts w:hint="eastAsia"/>
                <w:color w:val="auto"/>
                <w:sz w:val="24"/>
                <w:szCs w:val="24"/>
                <w:lang w:eastAsia="zh-CN"/>
              </w:rPr>
              <w:t>（</w:t>
            </w:r>
            <w:r>
              <w:rPr>
                <w:color w:val="auto"/>
                <w:sz w:val="24"/>
                <w:szCs w:val="24"/>
              </w:rPr>
              <w:t>GB12348-2008</w:t>
            </w:r>
            <w:r>
              <w:rPr>
                <w:rFonts w:hint="eastAsia"/>
                <w:color w:val="auto"/>
                <w:sz w:val="24"/>
                <w:szCs w:val="24"/>
                <w:lang w:eastAsia="zh-CN"/>
              </w:rPr>
              <w:t>）</w:t>
            </w:r>
            <w:r>
              <w:rPr>
                <w:color w:val="auto"/>
                <w:sz w:val="24"/>
                <w:szCs w:val="24"/>
              </w:rPr>
              <w:t>表1中的</w:t>
            </w:r>
            <w:r>
              <w:rPr>
                <w:rFonts w:hint="eastAsia"/>
                <w:color w:val="auto"/>
                <w:sz w:val="24"/>
                <w:szCs w:val="24"/>
                <w:lang w:val="en-US" w:eastAsia="zh-CN"/>
              </w:rPr>
              <w:t>2</w:t>
            </w:r>
            <w:r>
              <w:rPr>
                <w:color w:val="auto"/>
                <w:sz w:val="24"/>
                <w:szCs w:val="24"/>
              </w:rPr>
              <w:t>类标准，具体限值见下表。</w:t>
            </w:r>
          </w:p>
          <w:p w14:paraId="126A15BB">
            <w:pPr>
              <w:spacing w:line="240" w:lineRule="auto"/>
              <w:ind w:firstLine="0" w:firstLineChars="0"/>
              <w:jc w:val="center"/>
              <w:rPr>
                <w:b/>
                <w:bCs/>
                <w:color w:val="auto"/>
                <w:sz w:val="21"/>
                <w:szCs w:val="21"/>
              </w:rPr>
            </w:pPr>
            <w:r>
              <w:rPr>
                <w:b/>
                <w:bCs/>
                <w:color w:val="auto"/>
                <w:sz w:val="21"/>
                <w:szCs w:val="21"/>
              </w:rPr>
              <w:t>表3-</w:t>
            </w:r>
            <w:r>
              <w:rPr>
                <w:rFonts w:hint="eastAsia"/>
                <w:b/>
                <w:bCs/>
                <w:color w:val="auto"/>
                <w:sz w:val="21"/>
                <w:szCs w:val="21"/>
                <w:lang w:val="en-US" w:eastAsia="zh-CN"/>
              </w:rPr>
              <w:t>10</w:t>
            </w:r>
            <w:r>
              <w:rPr>
                <w:b/>
                <w:bCs/>
                <w:color w:val="auto"/>
                <w:sz w:val="21"/>
                <w:szCs w:val="21"/>
              </w:rPr>
              <w:t xml:space="preserve"> 噪声排放标准限值</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2954"/>
              <w:gridCol w:w="1473"/>
              <w:gridCol w:w="879"/>
              <w:gridCol w:w="1404"/>
              <w:gridCol w:w="1295"/>
            </w:tblGrid>
            <w:tr w14:paraId="5FB094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89" w:type="pct"/>
                  <w:vMerge w:val="restart"/>
                  <w:tcBorders>
                    <w:tl2br w:val="nil"/>
                    <w:tr2bl w:val="nil"/>
                  </w:tcBorders>
                  <w:noWrap w:val="0"/>
                  <w:vAlign w:val="center"/>
                </w:tcPr>
                <w:p w14:paraId="6AAE2C78">
                  <w:pPr>
                    <w:spacing w:line="240" w:lineRule="auto"/>
                    <w:ind w:firstLine="0" w:firstLineChars="0"/>
                    <w:jc w:val="center"/>
                    <w:rPr>
                      <w:b/>
                      <w:bCs/>
                      <w:color w:val="auto"/>
                      <w:sz w:val="21"/>
                      <w:szCs w:val="21"/>
                    </w:rPr>
                  </w:pPr>
                  <w:r>
                    <w:rPr>
                      <w:b/>
                      <w:bCs/>
                      <w:color w:val="auto"/>
                      <w:sz w:val="21"/>
                      <w:szCs w:val="21"/>
                    </w:rPr>
                    <w:t>厂界名</w:t>
                  </w:r>
                </w:p>
              </w:tc>
              <w:tc>
                <w:tcPr>
                  <w:tcW w:w="1590" w:type="pct"/>
                  <w:vMerge w:val="restart"/>
                  <w:tcBorders>
                    <w:tl2br w:val="nil"/>
                    <w:tr2bl w:val="nil"/>
                  </w:tcBorders>
                  <w:noWrap w:val="0"/>
                  <w:vAlign w:val="center"/>
                </w:tcPr>
                <w:p w14:paraId="2A6F609F">
                  <w:pPr>
                    <w:spacing w:line="240" w:lineRule="auto"/>
                    <w:ind w:firstLine="0" w:firstLineChars="0"/>
                    <w:jc w:val="center"/>
                    <w:rPr>
                      <w:b/>
                      <w:bCs/>
                      <w:color w:val="auto"/>
                      <w:sz w:val="21"/>
                      <w:szCs w:val="21"/>
                    </w:rPr>
                  </w:pPr>
                  <w:r>
                    <w:rPr>
                      <w:b/>
                      <w:bCs/>
                      <w:color w:val="auto"/>
                      <w:sz w:val="21"/>
                      <w:szCs w:val="21"/>
                    </w:rPr>
                    <w:t>执行标准</w:t>
                  </w:r>
                </w:p>
              </w:tc>
              <w:tc>
                <w:tcPr>
                  <w:tcW w:w="793" w:type="pct"/>
                  <w:vMerge w:val="restart"/>
                  <w:tcBorders>
                    <w:tl2br w:val="nil"/>
                    <w:tr2bl w:val="nil"/>
                  </w:tcBorders>
                  <w:noWrap w:val="0"/>
                  <w:vAlign w:val="center"/>
                </w:tcPr>
                <w:p w14:paraId="675968D0">
                  <w:pPr>
                    <w:spacing w:line="240" w:lineRule="auto"/>
                    <w:ind w:firstLine="0" w:firstLineChars="0"/>
                    <w:jc w:val="center"/>
                    <w:rPr>
                      <w:b/>
                      <w:bCs/>
                      <w:color w:val="auto"/>
                      <w:sz w:val="21"/>
                      <w:szCs w:val="21"/>
                    </w:rPr>
                  </w:pPr>
                  <w:r>
                    <w:rPr>
                      <w:b/>
                      <w:bCs/>
                      <w:color w:val="auto"/>
                      <w:sz w:val="21"/>
                      <w:szCs w:val="21"/>
                    </w:rPr>
                    <w:t>级别</w:t>
                  </w:r>
                </w:p>
              </w:tc>
              <w:tc>
                <w:tcPr>
                  <w:tcW w:w="473" w:type="pct"/>
                  <w:vMerge w:val="restart"/>
                  <w:tcBorders>
                    <w:tl2br w:val="nil"/>
                    <w:tr2bl w:val="nil"/>
                  </w:tcBorders>
                  <w:noWrap w:val="0"/>
                  <w:vAlign w:val="center"/>
                </w:tcPr>
                <w:p w14:paraId="4925F196">
                  <w:pPr>
                    <w:spacing w:line="240" w:lineRule="auto"/>
                    <w:ind w:firstLine="0" w:firstLineChars="0"/>
                    <w:jc w:val="center"/>
                    <w:rPr>
                      <w:b/>
                      <w:bCs/>
                      <w:color w:val="auto"/>
                      <w:sz w:val="21"/>
                      <w:szCs w:val="21"/>
                    </w:rPr>
                  </w:pPr>
                  <w:r>
                    <w:rPr>
                      <w:b/>
                      <w:bCs/>
                      <w:color w:val="auto"/>
                      <w:sz w:val="21"/>
                      <w:szCs w:val="21"/>
                    </w:rPr>
                    <w:t>单位</w:t>
                  </w:r>
                </w:p>
              </w:tc>
              <w:tc>
                <w:tcPr>
                  <w:tcW w:w="1453" w:type="pct"/>
                  <w:gridSpan w:val="2"/>
                  <w:tcBorders>
                    <w:tl2br w:val="nil"/>
                    <w:tr2bl w:val="nil"/>
                  </w:tcBorders>
                  <w:noWrap w:val="0"/>
                  <w:vAlign w:val="center"/>
                </w:tcPr>
                <w:p w14:paraId="226FBD82">
                  <w:pPr>
                    <w:spacing w:line="240" w:lineRule="auto"/>
                    <w:ind w:firstLine="0" w:firstLineChars="0"/>
                    <w:jc w:val="center"/>
                    <w:rPr>
                      <w:b/>
                      <w:bCs/>
                      <w:color w:val="auto"/>
                      <w:sz w:val="21"/>
                      <w:szCs w:val="21"/>
                    </w:rPr>
                  </w:pPr>
                  <w:r>
                    <w:rPr>
                      <w:b/>
                      <w:bCs/>
                      <w:color w:val="auto"/>
                      <w:sz w:val="21"/>
                      <w:szCs w:val="21"/>
                    </w:rPr>
                    <w:t>标准限值</w:t>
                  </w:r>
                </w:p>
              </w:tc>
            </w:tr>
            <w:tr w14:paraId="67BA42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89" w:type="pct"/>
                  <w:vMerge w:val="continue"/>
                  <w:tcBorders>
                    <w:tl2br w:val="nil"/>
                    <w:tr2bl w:val="nil"/>
                  </w:tcBorders>
                  <w:noWrap w:val="0"/>
                  <w:vAlign w:val="center"/>
                </w:tcPr>
                <w:p w14:paraId="0F96C676">
                  <w:pPr>
                    <w:spacing w:line="240" w:lineRule="auto"/>
                    <w:ind w:firstLine="0" w:firstLineChars="0"/>
                    <w:jc w:val="center"/>
                    <w:rPr>
                      <w:b/>
                      <w:bCs/>
                      <w:color w:val="auto"/>
                      <w:sz w:val="21"/>
                      <w:szCs w:val="21"/>
                    </w:rPr>
                  </w:pPr>
                </w:p>
              </w:tc>
              <w:tc>
                <w:tcPr>
                  <w:tcW w:w="1590" w:type="pct"/>
                  <w:vMerge w:val="continue"/>
                  <w:tcBorders>
                    <w:tl2br w:val="nil"/>
                    <w:tr2bl w:val="nil"/>
                  </w:tcBorders>
                  <w:noWrap w:val="0"/>
                  <w:vAlign w:val="center"/>
                </w:tcPr>
                <w:p w14:paraId="5710529E">
                  <w:pPr>
                    <w:spacing w:line="240" w:lineRule="auto"/>
                    <w:ind w:firstLine="0" w:firstLineChars="0"/>
                    <w:jc w:val="center"/>
                    <w:rPr>
                      <w:b/>
                      <w:bCs/>
                      <w:color w:val="auto"/>
                      <w:sz w:val="21"/>
                      <w:szCs w:val="21"/>
                    </w:rPr>
                  </w:pPr>
                </w:p>
              </w:tc>
              <w:tc>
                <w:tcPr>
                  <w:tcW w:w="793" w:type="pct"/>
                  <w:vMerge w:val="continue"/>
                  <w:tcBorders>
                    <w:tl2br w:val="nil"/>
                    <w:tr2bl w:val="nil"/>
                  </w:tcBorders>
                  <w:noWrap w:val="0"/>
                  <w:vAlign w:val="center"/>
                </w:tcPr>
                <w:p w14:paraId="73B666F2">
                  <w:pPr>
                    <w:spacing w:line="240" w:lineRule="auto"/>
                    <w:ind w:firstLine="0" w:firstLineChars="0"/>
                    <w:jc w:val="center"/>
                    <w:rPr>
                      <w:b/>
                      <w:bCs/>
                      <w:color w:val="auto"/>
                      <w:sz w:val="21"/>
                      <w:szCs w:val="21"/>
                    </w:rPr>
                  </w:pPr>
                </w:p>
              </w:tc>
              <w:tc>
                <w:tcPr>
                  <w:tcW w:w="473" w:type="pct"/>
                  <w:vMerge w:val="continue"/>
                  <w:tcBorders>
                    <w:tl2br w:val="nil"/>
                    <w:tr2bl w:val="nil"/>
                  </w:tcBorders>
                  <w:noWrap w:val="0"/>
                  <w:vAlign w:val="center"/>
                </w:tcPr>
                <w:p w14:paraId="33178E1A">
                  <w:pPr>
                    <w:spacing w:line="240" w:lineRule="auto"/>
                    <w:ind w:firstLine="0" w:firstLineChars="0"/>
                    <w:jc w:val="center"/>
                    <w:rPr>
                      <w:b/>
                      <w:bCs/>
                      <w:color w:val="auto"/>
                      <w:sz w:val="21"/>
                      <w:szCs w:val="21"/>
                    </w:rPr>
                  </w:pPr>
                </w:p>
              </w:tc>
              <w:tc>
                <w:tcPr>
                  <w:tcW w:w="756" w:type="pct"/>
                  <w:tcBorders>
                    <w:tl2br w:val="nil"/>
                    <w:tr2bl w:val="nil"/>
                  </w:tcBorders>
                  <w:noWrap w:val="0"/>
                  <w:vAlign w:val="center"/>
                </w:tcPr>
                <w:p w14:paraId="08F95539">
                  <w:pPr>
                    <w:spacing w:line="240" w:lineRule="auto"/>
                    <w:ind w:firstLine="0" w:firstLineChars="0"/>
                    <w:jc w:val="center"/>
                    <w:rPr>
                      <w:b/>
                      <w:bCs/>
                      <w:color w:val="auto"/>
                      <w:sz w:val="21"/>
                      <w:szCs w:val="21"/>
                    </w:rPr>
                  </w:pPr>
                  <w:r>
                    <w:rPr>
                      <w:b/>
                      <w:bCs/>
                      <w:color w:val="auto"/>
                      <w:sz w:val="21"/>
                      <w:szCs w:val="21"/>
                    </w:rPr>
                    <w:t>昼间</w:t>
                  </w:r>
                </w:p>
              </w:tc>
              <w:tc>
                <w:tcPr>
                  <w:tcW w:w="697" w:type="pct"/>
                  <w:tcBorders>
                    <w:tl2br w:val="nil"/>
                    <w:tr2bl w:val="nil"/>
                  </w:tcBorders>
                  <w:noWrap w:val="0"/>
                  <w:vAlign w:val="center"/>
                </w:tcPr>
                <w:p w14:paraId="690F3122">
                  <w:pPr>
                    <w:spacing w:line="240" w:lineRule="auto"/>
                    <w:ind w:firstLine="0" w:firstLineChars="0"/>
                    <w:jc w:val="center"/>
                    <w:rPr>
                      <w:b/>
                      <w:bCs/>
                      <w:color w:val="auto"/>
                      <w:sz w:val="21"/>
                      <w:szCs w:val="21"/>
                    </w:rPr>
                  </w:pPr>
                  <w:r>
                    <w:rPr>
                      <w:b/>
                      <w:bCs/>
                      <w:color w:val="auto"/>
                      <w:sz w:val="21"/>
                      <w:szCs w:val="21"/>
                    </w:rPr>
                    <w:t>夜间</w:t>
                  </w:r>
                </w:p>
              </w:tc>
            </w:tr>
            <w:tr w14:paraId="47F4DB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89" w:type="pct"/>
                  <w:tcBorders>
                    <w:tl2br w:val="nil"/>
                    <w:tr2bl w:val="nil"/>
                  </w:tcBorders>
                  <w:noWrap w:val="0"/>
                  <w:vAlign w:val="center"/>
                </w:tcPr>
                <w:p w14:paraId="071C2BE9">
                  <w:pPr>
                    <w:spacing w:line="240" w:lineRule="auto"/>
                    <w:ind w:firstLine="0" w:firstLineChars="0"/>
                    <w:jc w:val="center"/>
                    <w:rPr>
                      <w:color w:val="auto"/>
                      <w:sz w:val="21"/>
                      <w:szCs w:val="21"/>
                    </w:rPr>
                  </w:pPr>
                  <w:r>
                    <w:rPr>
                      <w:color w:val="auto"/>
                      <w:sz w:val="21"/>
                      <w:szCs w:val="21"/>
                    </w:rPr>
                    <w:t>项目各厂界</w:t>
                  </w:r>
                </w:p>
              </w:tc>
              <w:tc>
                <w:tcPr>
                  <w:tcW w:w="1590" w:type="pct"/>
                  <w:tcBorders>
                    <w:tl2br w:val="nil"/>
                    <w:tr2bl w:val="nil"/>
                  </w:tcBorders>
                  <w:noWrap w:val="0"/>
                  <w:vAlign w:val="center"/>
                </w:tcPr>
                <w:p w14:paraId="64A52D4F">
                  <w:pPr>
                    <w:spacing w:line="240" w:lineRule="auto"/>
                    <w:ind w:firstLine="0" w:firstLineChars="0"/>
                    <w:jc w:val="center"/>
                    <w:rPr>
                      <w:color w:val="auto"/>
                      <w:sz w:val="21"/>
                      <w:szCs w:val="21"/>
                    </w:rPr>
                  </w:pPr>
                  <w:r>
                    <w:rPr>
                      <w:color w:val="auto"/>
                      <w:sz w:val="21"/>
                      <w:szCs w:val="21"/>
                    </w:rPr>
                    <w:t>《工业企业厂界环境噪声排放标准》</w:t>
                  </w:r>
                  <w:r>
                    <w:rPr>
                      <w:rFonts w:hint="eastAsia"/>
                      <w:color w:val="auto"/>
                      <w:sz w:val="21"/>
                      <w:szCs w:val="21"/>
                      <w:lang w:eastAsia="zh-CN"/>
                    </w:rPr>
                    <w:t>（</w:t>
                  </w:r>
                  <w:r>
                    <w:rPr>
                      <w:color w:val="auto"/>
                      <w:sz w:val="21"/>
                      <w:szCs w:val="21"/>
                    </w:rPr>
                    <w:t>GB12348－2008)</w:t>
                  </w:r>
                </w:p>
              </w:tc>
              <w:tc>
                <w:tcPr>
                  <w:tcW w:w="793" w:type="pct"/>
                  <w:tcBorders>
                    <w:tl2br w:val="nil"/>
                    <w:tr2bl w:val="nil"/>
                  </w:tcBorders>
                  <w:noWrap w:val="0"/>
                  <w:vAlign w:val="center"/>
                </w:tcPr>
                <w:p w14:paraId="08E9A9A0">
                  <w:pPr>
                    <w:spacing w:line="240" w:lineRule="auto"/>
                    <w:ind w:firstLine="0" w:firstLineChars="0"/>
                    <w:jc w:val="center"/>
                    <w:rPr>
                      <w:color w:val="auto"/>
                      <w:sz w:val="21"/>
                      <w:szCs w:val="21"/>
                    </w:rPr>
                  </w:pPr>
                  <w:r>
                    <w:rPr>
                      <w:color w:val="auto"/>
                      <w:sz w:val="21"/>
                      <w:szCs w:val="21"/>
                    </w:rPr>
                    <w:t>表1中</w:t>
                  </w:r>
                  <w:r>
                    <w:rPr>
                      <w:rFonts w:hint="eastAsia"/>
                      <w:color w:val="auto"/>
                      <w:sz w:val="21"/>
                      <w:szCs w:val="21"/>
                      <w:lang w:val="en-US" w:eastAsia="zh-CN"/>
                    </w:rPr>
                    <w:t>2</w:t>
                  </w:r>
                  <w:r>
                    <w:rPr>
                      <w:color w:val="auto"/>
                      <w:sz w:val="21"/>
                      <w:szCs w:val="21"/>
                    </w:rPr>
                    <w:t>类</w:t>
                  </w:r>
                </w:p>
              </w:tc>
              <w:tc>
                <w:tcPr>
                  <w:tcW w:w="473" w:type="pct"/>
                  <w:tcBorders>
                    <w:tl2br w:val="nil"/>
                    <w:tr2bl w:val="nil"/>
                  </w:tcBorders>
                  <w:noWrap w:val="0"/>
                  <w:vAlign w:val="center"/>
                </w:tcPr>
                <w:p w14:paraId="0A262915">
                  <w:pPr>
                    <w:spacing w:line="240" w:lineRule="auto"/>
                    <w:ind w:firstLine="0" w:firstLineChars="0"/>
                    <w:jc w:val="center"/>
                    <w:rPr>
                      <w:color w:val="auto"/>
                      <w:sz w:val="21"/>
                      <w:szCs w:val="21"/>
                    </w:rPr>
                  </w:pPr>
                  <w:r>
                    <w:rPr>
                      <w:color w:val="auto"/>
                      <w:sz w:val="21"/>
                      <w:szCs w:val="21"/>
                    </w:rPr>
                    <w:t>dB(A)</w:t>
                  </w:r>
                </w:p>
              </w:tc>
              <w:tc>
                <w:tcPr>
                  <w:tcW w:w="756" w:type="pct"/>
                  <w:tcBorders>
                    <w:tl2br w:val="nil"/>
                    <w:tr2bl w:val="nil"/>
                  </w:tcBorders>
                  <w:noWrap w:val="0"/>
                  <w:vAlign w:val="center"/>
                </w:tcPr>
                <w:p w14:paraId="0D4E40D8">
                  <w:pPr>
                    <w:spacing w:line="240" w:lineRule="auto"/>
                    <w:ind w:firstLine="0" w:firstLineChars="0"/>
                    <w:jc w:val="center"/>
                    <w:rPr>
                      <w:rFonts w:hint="eastAsia" w:eastAsia="宋体"/>
                      <w:color w:val="auto"/>
                      <w:sz w:val="21"/>
                      <w:szCs w:val="21"/>
                      <w:lang w:eastAsia="zh-CN"/>
                    </w:rPr>
                  </w:pPr>
                  <w:r>
                    <w:rPr>
                      <w:color w:val="auto"/>
                      <w:sz w:val="21"/>
                      <w:szCs w:val="21"/>
                    </w:rPr>
                    <w:t>6</w:t>
                  </w:r>
                  <w:r>
                    <w:rPr>
                      <w:rFonts w:hint="eastAsia"/>
                      <w:color w:val="auto"/>
                      <w:sz w:val="21"/>
                      <w:szCs w:val="21"/>
                      <w:lang w:val="en-US" w:eastAsia="zh-CN"/>
                    </w:rPr>
                    <w:t>0</w:t>
                  </w:r>
                </w:p>
              </w:tc>
              <w:tc>
                <w:tcPr>
                  <w:tcW w:w="697" w:type="pct"/>
                  <w:tcBorders>
                    <w:tl2br w:val="nil"/>
                    <w:tr2bl w:val="nil"/>
                  </w:tcBorders>
                  <w:noWrap w:val="0"/>
                  <w:vAlign w:val="center"/>
                </w:tcPr>
                <w:p w14:paraId="4F03D72D">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w:t>
                  </w:r>
                </w:p>
              </w:tc>
            </w:tr>
          </w:tbl>
          <w:p w14:paraId="0C6DF1DA">
            <w:pPr>
              <w:adjustRightInd w:val="0"/>
              <w:snapToGrid w:val="0"/>
              <w:ind w:firstLine="0" w:firstLineChars="0"/>
              <w:rPr>
                <w:b/>
                <w:bCs/>
                <w:color w:val="auto"/>
                <w:sz w:val="24"/>
                <w:szCs w:val="24"/>
              </w:rPr>
            </w:pPr>
            <w:r>
              <w:rPr>
                <w:b/>
                <w:bCs/>
                <w:color w:val="auto"/>
                <w:sz w:val="24"/>
                <w:szCs w:val="24"/>
              </w:rPr>
              <w:t>2.4固废污染控制标准</w:t>
            </w:r>
          </w:p>
          <w:p w14:paraId="12E9454D">
            <w:pPr>
              <w:adjustRightInd w:val="0"/>
              <w:snapToGrid w:val="0"/>
              <w:ind w:firstLine="420"/>
              <w:rPr>
                <w:rFonts w:hint="eastAsia"/>
                <w:color w:val="auto"/>
                <w:sz w:val="24"/>
                <w:szCs w:val="24"/>
              </w:rPr>
            </w:pPr>
            <w:r>
              <w:rPr>
                <w:rFonts w:hint="eastAsia"/>
                <w:color w:val="auto"/>
                <w:sz w:val="24"/>
                <w:szCs w:val="24"/>
              </w:rPr>
              <w:t>本项目运营期产生的一般工业固废暂存场所的设置参照《一般工业固体废物贮存和填埋污染控制标准》（GB18599-2020）中相关规定执行。项目产生的危险废物在收集、贮存、运输过程中执行《危险废物贮存污染控制标准》（GB18597-2023）、《危险废物收集贮存运输技术规范》（HJ2025-2012）</w:t>
            </w:r>
            <w:r>
              <w:rPr>
                <w:rFonts w:hint="eastAsia"/>
                <w:color w:val="auto"/>
                <w:sz w:val="24"/>
                <w:szCs w:val="24"/>
                <w:lang w:eastAsia="zh-CN"/>
              </w:rPr>
              <w:t>、</w:t>
            </w:r>
            <w:r>
              <w:rPr>
                <w:rFonts w:hint="eastAsia"/>
                <w:color w:val="auto"/>
                <w:sz w:val="24"/>
                <w:szCs w:val="24"/>
              </w:rPr>
              <w:t>《危险废物识别标志设置技术规范》（HJ1276-2022）、《省生态环境厅关于做好</w:t>
            </w:r>
            <w:r>
              <w:rPr>
                <w:rFonts w:hint="eastAsia"/>
                <w:color w:val="auto"/>
                <w:sz w:val="24"/>
                <w:szCs w:val="24"/>
                <w:lang w:eastAsia="zh-CN"/>
              </w:rPr>
              <w:t>〈</w:t>
            </w:r>
            <w:r>
              <w:rPr>
                <w:rFonts w:hint="eastAsia"/>
                <w:color w:val="auto"/>
                <w:sz w:val="24"/>
                <w:szCs w:val="24"/>
              </w:rPr>
              <w:t>危险废物贮存污染控制标准</w:t>
            </w:r>
            <w:r>
              <w:rPr>
                <w:rFonts w:hint="eastAsia"/>
                <w:color w:val="auto"/>
                <w:sz w:val="24"/>
                <w:szCs w:val="24"/>
                <w:lang w:eastAsia="zh-CN"/>
              </w:rPr>
              <w:t>〉</w:t>
            </w:r>
            <w:r>
              <w:rPr>
                <w:rFonts w:hint="eastAsia"/>
                <w:color w:val="auto"/>
                <w:sz w:val="24"/>
                <w:szCs w:val="24"/>
              </w:rPr>
              <w:t>等标准规范实施后危险废物环境管理衔接工作的通知》（苏环办</w:t>
            </w:r>
            <w:r>
              <w:rPr>
                <w:rFonts w:hint="eastAsia"/>
                <w:color w:val="auto"/>
                <w:sz w:val="24"/>
                <w:szCs w:val="24"/>
                <w:lang w:eastAsia="zh-CN"/>
              </w:rPr>
              <w:t>〔2023〕154号</w:t>
            </w:r>
            <w:r>
              <w:rPr>
                <w:rFonts w:hint="eastAsia"/>
                <w:color w:val="auto"/>
                <w:sz w:val="24"/>
                <w:szCs w:val="24"/>
              </w:rPr>
              <w:t>）、《江苏省固体废物全过程环境监管工作意见》（苏环办〔2024〕16号）中相关规定要求，进行危险废物的包装、贮存设施的选址、设计、运行、安全防护、监测和关闭等要求进行合理的贮存。</w:t>
            </w:r>
          </w:p>
          <w:p w14:paraId="4664CB13">
            <w:pPr>
              <w:adjustRightInd w:val="0"/>
              <w:snapToGrid w:val="0"/>
              <w:ind w:left="0" w:leftChars="0" w:firstLine="0" w:firstLineChars="0"/>
              <w:rPr>
                <w:rFonts w:hint="eastAsia"/>
                <w:color w:val="auto"/>
                <w:sz w:val="24"/>
                <w:szCs w:val="24"/>
              </w:rPr>
            </w:pPr>
          </w:p>
        </w:tc>
      </w:tr>
      <w:tr w14:paraId="667F15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527" w:hRule="atLeast"/>
          <w:jc w:val="center"/>
        </w:trPr>
        <w:tc>
          <w:tcPr>
            <w:tcW w:w="468" w:type="dxa"/>
            <w:noWrap w:val="0"/>
            <w:vAlign w:val="center"/>
          </w:tcPr>
          <w:p w14:paraId="59D3C9F6">
            <w:pPr>
              <w:spacing w:line="240" w:lineRule="auto"/>
              <w:ind w:firstLine="0" w:firstLineChars="0"/>
              <w:jc w:val="center"/>
              <w:rPr>
                <w:b/>
                <w:bCs/>
                <w:color w:val="auto"/>
                <w:sz w:val="24"/>
                <w:szCs w:val="24"/>
              </w:rPr>
            </w:pPr>
            <w:r>
              <w:rPr>
                <w:b/>
                <w:bCs/>
                <w:color w:val="auto"/>
                <w:sz w:val="24"/>
                <w:szCs w:val="24"/>
              </w:rPr>
              <w:t>总量控制指标</w:t>
            </w:r>
          </w:p>
        </w:tc>
        <w:tc>
          <w:tcPr>
            <w:tcW w:w="9501" w:type="dxa"/>
            <w:noWrap w:val="0"/>
            <w:vAlign w:val="center"/>
          </w:tcPr>
          <w:p w14:paraId="2AE88C2A">
            <w:pPr>
              <w:ind w:firstLine="0" w:firstLineChars="0"/>
              <w:rPr>
                <w:color w:val="auto"/>
                <w:sz w:val="24"/>
                <w:szCs w:val="24"/>
              </w:rPr>
            </w:pPr>
            <w:r>
              <w:rPr>
                <w:b/>
                <w:bCs/>
                <w:color w:val="auto"/>
                <w:sz w:val="24"/>
                <w:szCs w:val="24"/>
              </w:rPr>
              <w:t>1、总量控制因子</w:t>
            </w:r>
          </w:p>
          <w:p w14:paraId="7D277007">
            <w:pPr>
              <w:ind w:firstLine="420"/>
              <w:rPr>
                <w:color w:val="auto"/>
                <w:sz w:val="24"/>
                <w:szCs w:val="24"/>
              </w:rPr>
            </w:pPr>
            <w:r>
              <w:rPr>
                <w:color w:val="auto"/>
                <w:sz w:val="24"/>
                <w:szCs w:val="24"/>
              </w:rPr>
              <w:t>大气污染物总量控制因子：</w:t>
            </w:r>
            <w:r>
              <w:rPr>
                <w:rFonts w:hint="eastAsia"/>
                <w:color w:val="auto"/>
                <w:sz w:val="24"/>
                <w:szCs w:val="24"/>
                <w:lang w:val="en-US" w:eastAsia="zh-CN"/>
              </w:rPr>
              <w:t>非甲烷总烃</w:t>
            </w:r>
            <w:r>
              <w:rPr>
                <w:color w:val="auto"/>
                <w:sz w:val="24"/>
                <w:szCs w:val="24"/>
              </w:rPr>
              <w:t>。</w:t>
            </w:r>
          </w:p>
          <w:p w14:paraId="59360ACA">
            <w:pPr>
              <w:ind w:firstLine="420"/>
              <w:rPr>
                <w:color w:val="auto"/>
                <w:sz w:val="24"/>
                <w:szCs w:val="24"/>
              </w:rPr>
            </w:pPr>
            <w:r>
              <w:rPr>
                <w:color w:val="auto"/>
                <w:sz w:val="24"/>
                <w:szCs w:val="24"/>
              </w:rPr>
              <w:t>水污染物总量控制因子：COD、氨氮、TN、TP；考核因子：SS。</w:t>
            </w:r>
          </w:p>
          <w:p w14:paraId="7D8E1695">
            <w:pPr>
              <w:ind w:firstLine="0" w:firstLineChars="0"/>
              <w:rPr>
                <w:b/>
                <w:bCs/>
                <w:color w:val="auto"/>
                <w:sz w:val="24"/>
                <w:szCs w:val="24"/>
              </w:rPr>
            </w:pPr>
            <w:r>
              <w:rPr>
                <w:b/>
                <w:bCs/>
                <w:color w:val="auto"/>
                <w:sz w:val="24"/>
                <w:szCs w:val="24"/>
              </w:rPr>
              <w:t>2、总量控制指标</w:t>
            </w:r>
          </w:p>
          <w:p w14:paraId="782BD029">
            <w:pPr>
              <w:spacing w:line="240" w:lineRule="auto"/>
              <w:ind w:firstLine="0" w:firstLineChars="0"/>
              <w:jc w:val="center"/>
              <w:rPr>
                <w:b/>
                <w:bCs/>
                <w:color w:val="auto"/>
                <w:sz w:val="21"/>
                <w:szCs w:val="21"/>
              </w:rPr>
            </w:pPr>
            <w:r>
              <w:rPr>
                <w:b/>
                <w:bCs/>
                <w:color w:val="auto"/>
                <w:sz w:val="21"/>
                <w:szCs w:val="21"/>
              </w:rPr>
              <w:t>表3-</w:t>
            </w:r>
            <w:r>
              <w:rPr>
                <w:rFonts w:hint="eastAsia"/>
                <w:b/>
                <w:bCs/>
                <w:color w:val="auto"/>
                <w:sz w:val="21"/>
                <w:szCs w:val="21"/>
                <w:lang w:val="en-US" w:eastAsia="zh-CN"/>
              </w:rPr>
              <w:t>11</w:t>
            </w:r>
            <w:r>
              <w:rPr>
                <w:b/>
                <w:bCs/>
                <w:color w:val="auto"/>
                <w:sz w:val="21"/>
                <w:szCs w:val="21"/>
              </w:rPr>
              <w:t xml:space="preserve">  本项目污染物排放总量控制指标表（</w:t>
            </w:r>
            <w:r>
              <w:rPr>
                <w:rFonts w:hint="eastAsia"/>
                <w:b/>
                <w:bCs/>
                <w:color w:val="auto"/>
                <w:sz w:val="21"/>
                <w:szCs w:val="21"/>
              </w:rPr>
              <w:t>单位：</w:t>
            </w:r>
            <w:r>
              <w:rPr>
                <w:b/>
                <w:bCs/>
                <w:color w:val="auto"/>
                <w:sz w:val="21"/>
                <w:szCs w:val="21"/>
              </w:rPr>
              <w:t>t/a）</w:t>
            </w:r>
          </w:p>
          <w:tbl>
            <w:tblPr>
              <w:tblStyle w:val="1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743"/>
              <w:gridCol w:w="1168"/>
              <w:gridCol w:w="1229"/>
              <w:gridCol w:w="1236"/>
              <w:gridCol w:w="1236"/>
              <w:gridCol w:w="978"/>
              <w:gridCol w:w="947"/>
              <w:gridCol w:w="1105"/>
            </w:tblGrid>
            <w:tr w14:paraId="0042E0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72" w:type="pct"/>
                  <w:gridSpan w:val="3"/>
                  <w:vMerge w:val="restart"/>
                  <w:tcBorders>
                    <w:tl2br w:val="nil"/>
                    <w:tr2bl w:val="nil"/>
                  </w:tcBorders>
                  <w:noWrap w:val="0"/>
                  <w:vAlign w:val="center"/>
                </w:tcPr>
                <w:p w14:paraId="5256A235">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污染物名称</w:t>
                  </w:r>
                </w:p>
              </w:tc>
              <w:tc>
                <w:tcPr>
                  <w:tcW w:w="662" w:type="pct"/>
                  <w:vMerge w:val="restart"/>
                  <w:tcBorders>
                    <w:tl2br w:val="nil"/>
                    <w:tr2bl w:val="nil"/>
                  </w:tcBorders>
                  <w:noWrap w:val="0"/>
                  <w:vAlign w:val="center"/>
                </w:tcPr>
                <w:p w14:paraId="015DFD1D">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本项目</w:t>
                  </w:r>
                </w:p>
                <w:p w14:paraId="0ADDB3A4">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产生量</w:t>
                  </w:r>
                </w:p>
              </w:tc>
              <w:tc>
                <w:tcPr>
                  <w:tcW w:w="666" w:type="pct"/>
                  <w:vMerge w:val="restart"/>
                  <w:tcBorders>
                    <w:tl2br w:val="nil"/>
                    <w:tr2bl w:val="nil"/>
                  </w:tcBorders>
                  <w:noWrap w:val="0"/>
                  <w:vAlign w:val="center"/>
                </w:tcPr>
                <w:p w14:paraId="738CB442">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lang w:val="en-US" w:eastAsia="zh-CN"/>
                    </w:rPr>
                  </w:pPr>
                  <w:r>
                    <w:rPr>
                      <w:rFonts w:hint="eastAsia" w:cs="Times New Roman"/>
                      <w:b/>
                      <w:color w:val="auto"/>
                      <w:kern w:val="0"/>
                      <w:sz w:val="21"/>
                      <w:szCs w:val="21"/>
                      <w:lang w:val="en-US" w:eastAsia="zh-CN"/>
                    </w:rPr>
                    <w:t>本项目削减量</w:t>
                  </w:r>
                </w:p>
              </w:tc>
              <w:tc>
                <w:tcPr>
                  <w:tcW w:w="666" w:type="pct"/>
                  <w:vMerge w:val="restart"/>
                  <w:tcBorders>
                    <w:tl2br w:val="nil"/>
                    <w:tr2bl w:val="nil"/>
                  </w:tcBorders>
                  <w:noWrap w:val="0"/>
                  <w:vAlign w:val="center"/>
                </w:tcPr>
                <w:p w14:paraId="14F46714">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本项目</w:t>
                  </w:r>
                </w:p>
                <w:p w14:paraId="6040C6E9">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排放量</w:t>
                  </w:r>
                </w:p>
              </w:tc>
              <w:tc>
                <w:tcPr>
                  <w:tcW w:w="1037" w:type="pct"/>
                  <w:gridSpan w:val="2"/>
                  <w:tcBorders>
                    <w:tl2br w:val="nil"/>
                    <w:tr2bl w:val="nil"/>
                  </w:tcBorders>
                  <w:noWrap w:val="0"/>
                  <w:vAlign w:val="center"/>
                </w:tcPr>
                <w:p w14:paraId="19F8A71B">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接管申请量</w:t>
                  </w:r>
                </w:p>
              </w:tc>
              <w:tc>
                <w:tcPr>
                  <w:tcW w:w="595" w:type="pct"/>
                  <w:vMerge w:val="restart"/>
                  <w:tcBorders>
                    <w:tl2br w:val="nil"/>
                    <w:tr2bl w:val="nil"/>
                  </w:tcBorders>
                  <w:noWrap w:val="0"/>
                  <w:vAlign w:val="center"/>
                </w:tcPr>
                <w:p w14:paraId="22390510">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最终排入外环境量</w:t>
                  </w:r>
                </w:p>
              </w:tc>
            </w:tr>
            <w:tr w14:paraId="74E857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72" w:type="pct"/>
                  <w:gridSpan w:val="3"/>
                  <w:vMerge w:val="continue"/>
                  <w:tcBorders>
                    <w:tl2br w:val="nil"/>
                    <w:tr2bl w:val="nil"/>
                  </w:tcBorders>
                  <w:noWrap w:val="0"/>
                  <w:vAlign w:val="center"/>
                </w:tcPr>
                <w:p w14:paraId="719E55A6">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rPr>
                  </w:pPr>
                </w:p>
              </w:tc>
              <w:tc>
                <w:tcPr>
                  <w:tcW w:w="662" w:type="pct"/>
                  <w:vMerge w:val="continue"/>
                  <w:tcBorders>
                    <w:tl2br w:val="nil"/>
                    <w:tr2bl w:val="nil"/>
                  </w:tcBorders>
                  <w:noWrap w:val="0"/>
                  <w:vAlign w:val="center"/>
                </w:tcPr>
                <w:p w14:paraId="01AB5C73">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rPr>
                  </w:pPr>
                </w:p>
              </w:tc>
              <w:tc>
                <w:tcPr>
                  <w:tcW w:w="666" w:type="pct"/>
                  <w:vMerge w:val="continue"/>
                  <w:tcBorders>
                    <w:tl2br w:val="nil"/>
                    <w:tr2bl w:val="nil"/>
                  </w:tcBorders>
                  <w:noWrap w:val="0"/>
                  <w:vAlign w:val="center"/>
                </w:tcPr>
                <w:p w14:paraId="7FEFED84">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rPr>
                  </w:pPr>
                </w:p>
              </w:tc>
              <w:tc>
                <w:tcPr>
                  <w:tcW w:w="666" w:type="pct"/>
                  <w:vMerge w:val="continue"/>
                  <w:tcBorders>
                    <w:tl2br w:val="nil"/>
                    <w:tr2bl w:val="nil"/>
                  </w:tcBorders>
                  <w:noWrap w:val="0"/>
                  <w:vAlign w:val="center"/>
                </w:tcPr>
                <w:p w14:paraId="033D5E4B">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rPr>
                  </w:pPr>
                </w:p>
              </w:tc>
              <w:tc>
                <w:tcPr>
                  <w:tcW w:w="527" w:type="pct"/>
                  <w:tcBorders>
                    <w:tl2br w:val="nil"/>
                    <w:tr2bl w:val="nil"/>
                  </w:tcBorders>
                  <w:noWrap w:val="0"/>
                  <w:vAlign w:val="center"/>
                </w:tcPr>
                <w:p w14:paraId="3B20F209">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控制因子</w:t>
                  </w:r>
                </w:p>
              </w:tc>
              <w:tc>
                <w:tcPr>
                  <w:tcW w:w="509" w:type="pct"/>
                  <w:tcBorders>
                    <w:tl2br w:val="nil"/>
                    <w:tr2bl w:val="nil"/>
                  </w:tcBorders>
                  <w:noWrap w:val="0"/>
                  <w:vAlign w:val="center"/>
                </w:tcPr>
                <w:p w14:paraId="47098DBD">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考核因子</w:t>
                  </w:r>
                </w:p>
              </w:tc>
              <w:tc>
                <w:tcPr>
                  <w:tcW w:w="595" w:type="pct"/>
                  <w:vMerge w:val="continue"/>
                  <w:tcBorders>
                    <w:tl2br w:val="nil"/>
                    <w:tr2bl w:val="nil"/>
                  </w:tcBorders>
                  <w:noWrap w:val="0"/>
                  <w:vAlign w:val="center"/>
                </w:tcPr>
                <w:p w14:paraId="2A7AF9EE">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rPr>
                  </w:pPr>
                </w:p>
              </w:tc>
            </w:tr>
            <w:tr w14:paraId="306D01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3" w:type="pct"/>
                  <w:gridSpan w:val="2"/>
                  <w:vMerge w:val="restart"/>
                  <w:tcBorders>
                    <w:tl2br w:val="nil"/>
                    <w:tr2bl w:val="nil"/>
                  </w:tcBorders>
                  <w:noWrap w:val="0"/>
                  <w:vAlign w:val="center"/>
                </w:tcPr>
                <w:p w14:paraId="546BADEA">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生活污水</w:t>
                  </w:r>
                </w:p>
              </w:tc>
              <w:tc>
                <w:tcPr>
                  <w:tcW w:w="628" w:type="pct"/>
                  <w:tcBorders>
                    <w:tl2br w:val="nil"/>
                    <w:tr2bl w:val="nil"/>
                  </w:tcBorders>
                  <w:noWrap w:val="0"/>
                  <w:vAlign w:val="center"/>
                </w:tcPr>
                <w:p w14:paraId="1B7C3FBA">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水量</w:t>
                  </w:r>
                </w:p>
              </w:tc>
              <w:tc>
                <w:tcPr>
                  <w:tcW w:w="662" w:type="pct"/>
                  <w:tcBorders>
                    <w:tl2br w:val="nil"/>
                    <w:tr2bl w:val="nil"/>
                  </w:tcBorders>
                  <w:noWrap w:val="0"/>
                  <w:vAlign w:val="center"/>
                </w:tcPr>
                <w:p w14:paraId="37B0F516">
                  <w:pPr>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olor w:val="auto"/>
                      <w:sz w:val="21"/>
                      <w:szCs w:val="21"/>
                      <w:lang w:val="en-US" w:eastAsia="zh-CN"/>
                    </w:rPr>
                    <w:t>1200</w:t>
                  </w:r>
                </w:p>
              </w:tc>
              <w:tc>
                <w:tcPr>
                  <w:tcW w:w="666" w:type="pct"/>
                  <w:tcBorders>
                    <w:tl2br w:val="nil"/>
                    <w:tr2bl w:val="nil"/>
                  </w:tcBorders>
                  <w:noWrap w:val="0"/>
                  <w:vAlign w:val="center"/>
                </w:tcPr>
                <w:p w14:paraId="0B266AC0">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w:t>
                  </w:r>
                </w:p>
              </w:tc>
              <w:tc>
                <w:tcPr>
                  <w:tcW w:w="666" w:type="pct"/>
                  <w:tcBorders>
                    <w:tl2br w:val="nil"/>
                    <w:tr2bl w:val="nil"/>
                  </w:tcBorders>
                  <w:noWrap w:val="0"/>
                  <w:vAlign w:val="center"/>
                </w:tcPr>
                <w:p w14:paraId="27EECAAB">
                  <w:pPr>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olor w:val="auto"/>
                      <w:sz w:val="21"/>
                      <w:szCs w:val="21"/>
                      <w:lang w:val="en-US" w:eastAsia="zh-CN"/>
                    </w:rPr>
                    <w:t>1200</w:t>
                  </w:r>
                </w:p>
              </w:tc>
              <w:tc>
                <w:tcPr>
                  <w:tcW w:w="527" w:type="pct"/>
                  <w:tcBorders>
                    <w:tl2br w:val="nil"/>
                    <w:tr2bl w:val="nil"/>
                  </w:tcBorders>
                  <w:noWrap w:val="0"/>
                  <w:vAlign w:val="center"/>
                </w:tcPr>
                <w:p w14:paraId="4ADAAFAB">
                  <w:pPr>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olor w:val="auto"/>
                      <w:sz w:val="21"/>
                      <w:szCs w:val="21"/>
                      <w:lang w:val="en-US" w:eastAsia="zh-CN"/>
                    </w:rPr>
                    <w:t>1200</w:t>
                  </w:r>
                </w:p>
              </w:tc>
              <w:tc>
                <w:tcPr>
                  <w:tcW w:w="509" w:type="pct"/>
                  <w:tcBorders>
                    <w:tl2br w:val="nil"/>
                    <w:tr2bl w:val="nil"/>
                  </w:tcBorders>
                  <w:noWrap w:val="0"/>
                  <w:vAlign w:val="center"/>
                </w:tcPr>
                <w:p w14:paraId="448A44DC">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595" w:type="pct"/>
                  <w:tcBorders>
                    <w:tl2br w:val="nil"/>
                    <w:tr2bl w:val="nil"/>
                  </w:tcBorders>
                  <w:noWrap w:val="0"/>
                  <w:vAlign w:val="center"/>
                </w:tcPr>
                <w:p w14:paraId="16B1BE8A">
                  <w:pPr>
                    <w:pStyle w:val="23"/>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olor w:val="auto"/>
                      <w:sz w:val="21"/>
                      <w:szCs w:val="21"/>
                      <w:lang w:val="en-US" w:eastAsia="zh-CN"/>
                    </w:rPr>
                    <w:t>1200</w:t>
                  </w:r>
                </w:p>
              </w:tc>
            </w:tr>
            <w:tr w14:paraId="49444C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3" w:type="pct"/>
                  <w:gridSpan w:val="2"/>
                  <w:vMerge w:val="continue"/>
                  <w:tcBorders>
                    <w:tl2br w:val="nil"/>
                    <w:tr2bl w:val="nil"/>
                  </w:tcBorders>
                  <w:noWrap w:val="0"/>
                  <w:vAlign w:val="center"/>
                </w:tcPr>
                <w:p w14:paraId="71BDC492">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rPr>
                  </w:pPr>
                </w:p>
              </w:tc>
              <w:tc>
                <w:tcPr>
                  <w:tcW w:w="628" w:type="pct"/>
                  <w:tcBorders>
                    <w:tl2br w:val="nil"/>
                    <w:tr2bl w:val="nil"/>
                  </w:tcBorders>
                  <w:noWrap w:val="0"/>
                  <w:vAlign w:val="center"/>
                </w:tcPr>
                <w:p w14:paraId="43C9A7FF">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COD</w:t>
                  </w:r>
                </w:p>
              </w:tc>
              <w:tc>
                <w:tcPr>
                  <w:tcW w:w="662" w:type="pct"/>
                  <w:tcBorders>
                    <w:tl2br w:val="nil"/>
                    <w:tr2bl w:val="nil"/>
                  </w:tcBorders>
                  <w:noWrap w:val="0"/>
                  <w:vAlign w:val="center"/>
                </w:tcPr>
                <w:p w14:paraId="38DF44F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0.48</w:t>
                  </w:r>
                </w:p>
              </w:tc>
              <w:tc>
                <w:tcPr>
                  <w:tcW w:w="666" w:type="pct"/>
                  <w:tcBorders>
                    <w:tl2br w:val="nil"/>
                    <w:tr2bl w:val="nil"/>
                  </w:tcBorders>
                  <w:noWrap w:val="0"/>
                  <w:vAlign w:val="center"/>
                </w:tcPr>
                <w:p w14:paraId="0959960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666" w:type="pct"/>
                  <w:tcBorders>
                    <w:tl2br w:val="nil"/>
                    <w:tr2bl w:val="nil"/>
                  </w:tcBorders>
                  <w:noWrap w:val="0"/>
                  <w:vAlign w:val="center"/>
                </w:tcPr>
                <w:p w14:paraId="3C3FE1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0.48</w:t>
                  </w:r>
                </w:p>
              </w:tc>
              <w:tc>
                <w:tcPr>
                  <w:tcW w:w="527" w:type="pct"/>
                  <w:tcBorders>
                    <w:tl2br w:val="nil"/>
                    <w:tr2bl w:val="nil"/>
                  </w:tcBorders>
                  <w:noWrap w:val="0"/>
                  <w:vAlign w:val="center"/>
                </w:tcPr>
                <w:p w14:paraId="4118836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0.48</w:t>
                  </w:r>
                </w:p>
              </w:tc>
              <w:tc>
                <w:tcPr>
                  <w:tcW w:w="509" w:type="pct"/>
                  <w:tcBorders>
                    <w:tl2br w:val="nil"/>
                    <w:tr2bl w:val="nil"/>
                  </w:tcBorders>
                  <w:noWrap w:val="0"/>
                  <w:vAlign w:val="center"/>
                </w:tcPr>
                <w:p w14:paraId="33DBD0D7">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595" w:type="pct"/>
                  <w:tcBorders>
                    <w:tl2br w:val="nil"/>
                    <w:tr2bl w:val="nil"/>
                  </w:tcBorders>
                  <w:noWrap w:val="0"/>
                  <w:vAlign w:val="center"/>
                </w:tcPr>
                <w:p w14:paraId="154E1D3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0.06</w:t>
                  </w:r>
                </w:p>
              </w:tc>
            </w:tr>
            <w:tr w14:paraId="28AB90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3" w:type="pct"/>
                  <w:gridSpan w:val="2"/>
                  <w:vMerge w:val="continue"/>
                  <w:tcBorders>
                    <w:tl2br w:val="nil"/>
                    <w:tr2bl w:val="nil"/>
                  </w:tcBorders>
                  <w:noWrap w:val="0"/>
                  <w:vAlign w:val="center"/>
                </w:tcPr>
                <w:p w14:paraId="13973D24">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rPr>
                  </w:pPr>
                </w:p>
              </w:tc>
              <w:tc>
                <w:tcPr>
                  <w:tcW w:w="628" w:type="pct"/>
                  <w:tcBorders>
                    <w:tl2br w:val="nil"/>
                    <w:tr2bl w:val="nil"/>
                  </w:tcBorders>
                  <w:noWrap w:val="0"/>
                  <w:vAlign w:val="center"/>
                </w:tcPr>
                <w:p w14:paraId="44C5F653">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SS</w:t>
                  </w:r>
                </w:p>
              </w:tc>
              <w:tc>
                <w:tcPr>
                  <w:tcW w:w="662" w:type="pct"/>
                  <w:tcBorders>
                    <w:tl2br w:val="nil"/>
                    <w:tr2bl w:val="nil"/>
                  </w:tcBorders>
                  <w:noWrap w:val="0"/>
                  <w:vAlign w:val="center"/>
                </w:tcPr>
                <w:p w14:paraId="46F5215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0.24</w:t>
                  </w:r>
                </w:p>
              </w:tc>
              <w:tc>
                <w:tcPr>
                  <w:tcW w:w="666" w:type="pct"/>
                  <w:tcBorders>
                    <w:tl2br w:val="nil"/>
                    <w:tr2bl w:val="nil"/>
                  </w:tcBorders>
                  <w:noWrap w:val="0"/>
                  <w:vAlign w:val="center"/>
                </w:tcPr>
                <w:p w14:paraId="01D10B4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666" w:type="pct"/>
                  <w:tcBorders>
                    <w:tl2br w:val="nil"/>
                    <w:tr2bl w:val="nil"/>
                  </w:tcBorders>
                  <w:noWrap w:val="0"/>
                  <w:vAlign w:val="center"/>
                </w:tcPr>
                <w:p w14:paraId="7A5E458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0.24</w:t>
                  </w:r>
                </w:p>
              </w:tc>
              <w:tc>
                <w:tcPr>
                  <w:tcW w:w="527" w:type="pct"/>
                  <w:tcBorders>
                    <w:tl2br w:val="nil"/>
                    <w:tr2bl w:val="nil"/>
                  </w:tcBorders>
                  <w:noWrap w:val="0"/>
                  <w:vAlign w:val="center"/>
                </w:tcPr>
                <w:p w14:paraId="6E8D2D4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w:t>
                  </w:r>
                </w:p>
              </w:tc>
              <w:tc>
                <w:tcPr>
                  <w:tcW w:w="509" w:type="pct"/>
                  <w:tcBorders>
                    <w:tl2br w:val="nil"/>
                    <w:tr2bl w:val="nil"/>
                  </w:tcBorders>
                  <w:noWrap w:val="0"/>
                  <w:vAlign w:val="center"/>
                </w:tcPr>
                <w:p w14:paraId="19E57098">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0.24</w:t>
                  </w:r>
                </w:p>
              </w:tc>
              <w:tc>
                <w:tcPr>
                  <w:tcW w:w="595" w:type="pct"/>
                  <w:tcBorders>
                    <w:tl2br w:val="nil"/>
                    <w:tr2bl w:val="nil"/>
                  </w:tcBorders>
                  <w:noWrap w:val="0"/>
                  <w:vAlign w:val="center"/>
                </w:tcPr>
                <w:p w14:paraId="33C2561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0.012</w:t>
                  </w:r>
                </w:p>
              </w:tc>
            </w:tr>
            <w:tr w14:paraId="384672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3" w:type="pct"/>
                  <w:gridSpan w:val="2"/>
                  <w:vMerge w:val="continue"/>
                  <w:tcBorders>
                    <w:tl2br w:val="nil"/>
                    <w:tr2bl w:val="nil"/>
                  </w:tcBorders>
                  <w:noWrap w:val="0"/>
                  <w:vAlign w:val="center"/>
                </w:tcPr>
                <w:p w14:paraId="5207BE9C">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rPr>
                  </w:pPr>
                </w:p>
              </w:tc>
              <w:tc>
                <w:tcPr>
                  <w:tcW w:w="628" w:type="pct"/>
                  <w:tcBorders>
                    <w:tl2br w:val="nil"/>
                    <w:tr2bl w:val="nil"/>
                  </w:tcBorders>
                  <w:noWrap w:val="0"/>
                  <w:vAlign w:val="center"/>
                </w:tcPr>
                <w:p w14:paraId="74D1A68E">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-N</w:t>
                  </w:r>
                </w:p>
              </w:tc>
              <w:tc>
                <w:tcPr>
                  <w:tcW w:w="662" w:type="pct"/>
                  <w:tcBorders>
                    <w:tl2br w:val="nil"/>
                    <w:tr2bl w:val="nil"/>
                  </w:tcBorders>
                  <w:noWrap w:val="0"/>
                  <w:vAlign w:val="center"/>
                </w:tcPr>
                <w:p w14:paraId="16997B0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0.03</w:t>
                  </w:r>
                </w:p>
              </w:tc>
              <w:tc>
                <w:tcPr>
                  <w:tcW w:w="666" w:type="pct"/>
                  <w:tcBorders>
                    <w:tl2br w:val="nil"/>
                    <w:tr2bl w:val="nil"/>
                  </w:tcBorders>
                  <w:noWrap w:val="0"/>
                  <w:vAlign w:val="center"/>
                </w:tcPr>
                <w:p w14:paraId="74AD415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666" w:type="pct"/>
                  <w:tcBorders>
                    <w:tl2br w:val="nil"/>
                    <w:tr2bl w:val="nil"/>
                  </w:tcBorders>
                  <w:noWrap w:val="0"/>
                  <w:vAlign w:val="center"/>
                </w:tcPr>
                <w:p w14:paraId="5876E2C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0.03</w:t>
                  </w:r>
                </w:p>
              </w:tc>
              <w:tc>
                <w:tcPr>
                  <w:tcW w:w="527" w:type="pct"/>
                  <w:tcBorders>
                    <w:tl2br w:val="nil"/>
                    <w:tr2bl w:val="nil"/>
                  </w:tcBorders>
                  <w:noWrap w:val="0"/>
                  <w:vAlign w:val="center"/>
                </w:tcPr>
                <w:p w14:paraId="6A08CC1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0.03</w:t>
                  </w:r>
                </w:p>
              </w:tc>
              <w:tc>
                <w:tcPr>
                  <w:tcW w:w="509" w:type="pct"/>
                  <w:tcBorders>
                    <w:tl2br w:val="nil"/>
                    <w:tr2bl w:val="nil"/>
                  </w:tcBorders>
                  <w:noWrap w:val="0"/>
                  <w:vAlign w:val="center"/>
                </w:tcPr>
                <w:p w14:paraId="2CDB92CF">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595" w:type="pct"/>
                  <w:tcBorders>
                    <w:tl2br w:val="nil"/>
                    <w:tr2bl w:val="nil"/>
                  </w:tcBorders>
                  <w:noWrap w:val="0"/>
                  <w:vAlign w:val="center"/>
                </w:tcPr>
                <w:p w14:paraId="2E9A28B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w:t>
                  </w:r>
                  <w:r>
                    <w:rPr>
                      <w:rFonts w:hint="eastAsia" w:eastAsia="宋体" w:cs="Times New Roman"/>
                      <w:i w:val="0"/>
                      <w:iCs w:val="0"/>
                      <w:color w:val="auto"/>
                      <w:kern w:val="0"/>
                      <w:sz w:val="21"/>
                      <w:szCs w:val="21"/>
                      <w:u w:val="none"/>
                      <w:lang w:val="en-US" w:eastAsia="zh-CN" w:bidi="ar"/>
                    </w:rPr>
                    <w:t>5</w:t>
                  </w:r>
                </w:p>
              </w:tc>
            </w:tr>
            <w:tr w14:paraId="0788B2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3" w:type="pct"/>
                  <w:gridSpan w:val="2"/>
                  <w:vMerge w:val="continue"/>
                  <w:tcBorders>
                    <w:tl2br w:val="nil"/>
                    <w:tr2bl w:val="nil"/>
                  </w:tcBorders>
                  <w:noWrap w:val="0"/>
                  <w:vAlign w:val="center"/>
                </w:tcPr>
                <w:p w14:paraId="7FE920E6">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rPr>
                  </w:pPr>
                </w:p>
              </w:tc>
              <w:tc>
                <w:tcPr>
                  <w:tcW w:w="628" w:type="pct"/>
                  <w:tcBorders>
                    <w:tl2br w:val="nil"/>
                    <w:tr2bl w:val="nil"/>
                  </w:tcBorders>
                  <w:noWrap w:val="0"/>
                  <w:vAlign w:val="center"/>
                </w:tcPr>
                <w:p w14:paraId="11E7FD68">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TN</w:t>
                  </w:r>
                </w:p>
              </w:tc>
              <w:tc>
                <w:tcPr>
                  <w:tcW w:w="662" w:type="pct"/>
                  <w:tcBorders>
                    <w:tl2br w:val="nil"/>
                    <w:tr2bl w:val="nil"/>
                  </w:tcBorders>
                  <w:noWrap w:val="0"/>
                  <w:vAlign w:val="center"/>
                </w:tcPr>
                <w:p w14:paraId="26CC078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0.042</w:t>
                  </w:r>
                </w:p>
              </w:tc>
              <w:tc>
                <w:tcPr>
                  <w:tcW w:w="666" w:type="pct"/>
                  <w:tcBorders>
                    <w:tl2br w:val="nil"/>
                    <w:tr2bl w:val="nil"/>
                  </w:tcBorders>
                  <w:noWrap w:val="0"/>
                  <w:vAlign w:val="center"/>
                </w:tcPr>
                <w:p w14:paraId="37F9185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666" w:type="pct"/>
                  <w:tcBorders>
                    <w:tl2br w:val="nil"/>
                    <w:tr2bl w:val="nil"/>
                  </w:tcBorders>
                  <w:noWrap w:val="0"/>
                  <w:vAlign w:val="center"/>
                </w:tcPr>
                <w:p w14:paraId="1296AB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0.042</w:t>
                  </w:r>
                </w:p>
              </w:tc>
              <w:tc>
                <w:tcPr>
                  <w:tcW w:w="527" w:type="pct"/>
                  <w:tcBorders>
                    <w:tl2br w:val="nil"/>
                    <w:tr2bl w:val="nil"/>
                  </w:tcBorders>
                  <w:noWrap w:val="0"/>
                  <w:vAlign w:val="center"/>
                </w:tcPr>
                <w:p w14:paraId="249FEA9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0.042</w:t>
                  </w:r>
                </w:p>
              </w:tc>
              <w:tc>
                <w:tcPr>
                  <w:tcW w:w="509" w:type="pct"/>
                  <w:tcBorders>
                    <w:tl2br w:val="nil"/>
                    <w:tr2bl w:val="nil"/>
                  </w:tcBorders>
                  <w:noWrap w:val="0"/>
                  <w:vAlign w:val="center"/>
                </w:tcPr>
                <w:p w14:paraId="29148235">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595" w:type="pct"/>
                  <w:tcBorders>
                    <w:tl2br w:val="nil"/>
                    <w:tr2bl w:val="nil"/>
                  </w:tcBorders>
                  <w:noWrap w:val="0"/>
                  <w:vAlign w:val="center"/>
                </w:tcPr>
                <w:p w14:paraId="629E6F9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0.014</w:t>
                  </w:r>
                </w:p>
              </w:tc>
            </w:tr>
            <w:tr w14:paraId="1A5A6D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3" w:type="pct"/>
                  <w:gridSpan w:val="2"/>
                  <w:vMerge w:val="continue"/>
                  <w:tcBorders>
                    <w:tl2br w:val="nil"/>
                    <w:tr2bl w:val="nil"/>
                  </w:tcBorders>
                  <w:noWrap w:val="0"/>
                  <w:vAlign w:val="center"/>
                </w:tcPr>
                <w:p w14:paraId="4C6AA6DF">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rPr>
                  </w:pPr>
                </w:p>
              </w:tc>
              <w:tc>
                <w:tcPr>
                  <w:tcW w:w="628" w:type="pct"/>
                  <w:tcBorders>
                    <w:tl2br w:val="nil"/>
                    <w:tr2bl w:val="nil"/>
                  </w:tcBorders>
                  <w:noWrap w:val="0"/>
                  <w:vAlign w:val="center"/>
                </w:tcPr>
                <w:p w14:paraId="344F2388">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TP</w:t>
                  </w:r>
                </w:p>
              </w:tc>
              <w:tc>
                <w:tcPr>
                  <w:tcW w:w="662" w:type="pct"/>
                  <w:tcBorders>
                    <w:tl2br w:val="nil"/>
                    <w:tr2bl w:val="nil"/>
                  </w:tcBorders>
                  <w:noWrap w:val="0"/>
                  <w:vAlign w:val="center"/>
                </w:tcPr>
                <w:p w14:paraId="71E0E92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666" w:type="pct"/>
                  <w:tcBorders>
                    <w:tl2br w:val="nil"/>
                    <w:tr2bl w:val="nil"/>
                  </w:tcBorders>
                  <w:noWrap w:val="0"/>
                  <w:vAlign w:val="center"/>
                </w:tcPr>
                <w:p w14:paraId="0064C8F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666" w:type="pct"/>
                  <w:tcBorders>
                    <w:tl2br w:val="nil"/>
                    <w:tr2bl w:val="nil"/>
                  </w:tcBorders>
                  <w:noWrap w:val="0"/>
                  <w:vAlign w:val="center"/>
                </w:tcPr>
                <w:p w14:paraId="550DDC3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527" w:type="pct"/>
                  <w:tcBorders>
                    <w:tl2br w:val="nil"/>
                    <w:tr2bl w:val="nil"/>
                  </w:tcBorders>
                  <w:noWrap w:val="0"/>
                  <w:vAlign w:val="center"/>
                </w:tcPr>
                <w:p w14:paraId="4C90BEF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509" w:type="pct"/>
                  <w:tcBorders>
                    <w:tl2br w:val="nil"/>
                    <w:tr2bl w:val="nil"/>
                  </w:tcBorders>
                  <w:noWrap w:val="0"/>
                  <w:vAlign w:val="center"/>
                </w:tcPr>
                <w:p w14:paraId="6FCE3E6A">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595" w:type="pct"/>
                  <w:tcBorders>
                    <w:tl2br w:val="nil"/>
                    <w:tr2bl w:val="nil"/>
                  </w:tcBorders>
                  <w:noWrap w:val="0"/>
                  <w:vAlign w:val="center"/>
                </w:tcPr>
                <w:p w14:paraId="7670299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w:t>
                  </w:r>
                  <w:r>
                    <w:rPr>
                      <w:rFonts w:hint="eastAsia" w:eastAsia="宋体" w:cs="Times New Roman"/>
                      <w:i w:val="0"/>
                      <w:iCs w:val="0"/>
                      <w:color w:val="auto"/>
                      <w:kern w:val="0"/>
                      <w:sz w:val="21"/>
                      <w:szCs w:val="21"/>
                      <w:u w:val="none"/>
                      <w:lang w:val="en-US" w:eastAsia="zh-CN" w:bidi="ar"/>
                    </w:rPr>
                    <w:t>1</w:t>
                  </w:r>
                </w:p>
              </w:tc>
            </w:tr>
            <w:tr w14:paraId="0F5D59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3" w:type="pct"/>
                  <w:vMerge w:val="restart"/>
                  <w:tcBorders>
                    <w:tl2br w:val="nil"/>
                    <w:tr2bl w:val="nil"/>
                  </w:tcBorders>
                  <w:noWrap w:val="0"/>
                  <w:vAlign w:val="center"/>
                </w:tcPr>
                <w:p w14:paraId="62BFE091">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大气污染物</w:t>
                  </w:r>
                </w:p>
              </w:tc>
              <w:tc>
                <w:tcPr>
                  <w:tcW w:w="400" w:type="pct"/>
                  <w:tcBorders>
                    <w:tl2br w:val="nil"/>
                    <w:tr2bl w:val="nil"/>
                  </w:tcBorders>
                  <w:noWrap w:val="0"/>
                  <w:vAlign w:val="center"/>
                </w:tcPr>
                <w:p w14:paraId="77B9EBF4">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有组织</w:t>
                  </w:r>
                </w:p>
              </w:tc>
              <w:tc>
                <w:tcPr>
                  <w:tcW w:w="628" w:type="pct"/>
                  <w:tcBorders>
                    <w:tl2br w:val="nil"/>
                    <w:tr2bl w:val="nil"/>
                  </w:tcBorders>
                  <w:noWrap w:val="0"/>
                  <w:vAlign w:val="center"/>
                </w:tcPr>
                <w:p w14:paraId="19EA4F80">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非甲烷总烃</w:t>
                  </w:r>
                </w:p>
              </w:tc>
              <w:tc>
                <w:tcPr>
                  <w:tcW w:w="662" w:type="pct"/>
                  <w:tcBorders>
                    <w:tl2br w:val="nil"/>
                    <w:tr2bl w:val="nil"/>
                  </w:tcBorders>
                  <w:noWrap w:val="0"/>
                  <w:vAlign w:val="center"/>
                </w:tcPr>
                <w:p w14:paraId="693EA9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0.3549</w:t>
                  </w:r>
                </w:p>
              </w:tc>
              <w:tc>
                <w:tcPr>
                  <w:tcW w:w="666" w:type="pct"/>
                  <w:tcBorders>
                    <w:tl2br w:val="nil"/>
                    <w:tr2bl w:val="nil"/>
                  </w:tcBorders>
                  <w:noWrap w:val="0"/>
                  <w:vAlign w:val="center"/>
                </w:tcPr>
                <w:p w14:paraId="34977D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0.3194</w:t>
                  </w:r>
                </w:p>
              </w:tc>
              <w:tc>
                <w:tcPr>
                  <w:tcW w:w="666" w:type="pct"/>
                  <w:tcBorders>
                    <w:tl2br w:val="nil"/>
                    <w:tr2bl w:val="nil"/>
                  </w:tcBorders>
                  <w:noWrap w:val="0"/>
                  <w:vAlign w:val="center"/>
                </w:tcPr>
                <w:p w14:paraId="4020C5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b w:val="0"/>
                      <w:bCs w:val="0"/>
                      <w:color w:val="auto"/>
                      <w:sz w:val="21"/>
                      <w:szCs w:val="21"/>
                      <w:highlight w:val="none"/>
                      <w:vertAlign w:val="baseline"/>
                      <w:lang w:val="en-US" w:eastAsia="zh-CN"/>
                    </w:rPr>
                    <w:t>0.0355</w:t>
                  </w:r>
                </w:p>
              </w:tc>
              <w:tc>
                <w:tcPr>
                  <w:tcW w:w="527" w:type="pct"/>
                  <w:tcBorders>
                    <w:tl2br w:val="nil"/>
                    <w:tr2bl w:val="nil"/>
                  </w:tcBorders>
                  <w:noWrap w:val="0"/>
                  <w:vAlign w:val="center"/>
                </w:tcPr>
                <w:p w14:paraId="02DBCA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b w:val="0"/>
                      <w:bCs w:val="0"/>
                      <w:color w:val="auto"/>
                      <w:sz w:val="21"/>
                      <w:szCs w:val="21"/>
                      <w:highlight w:val="none"/>
                      <w:vertAlign w:val="baseline"/>
                      <w:lang w:val="en-US" w:eastAsia="zh-CN"/>
                    </w:rPr>
                    <w:t>0.0355</w:t>
                  </w:r>
                </w:p>
              </w:tc>
              <w:tc>
                <w:tcPr>
                  <w:tcW w:w="509" w:type="pct"/>
                  <w:tcBorders>
                    <w:tl2br w:val="nil"/>
                    <w:tr2bl w:val="nil"/>
                  </w:tcBorders>
                  <w:noWrap w:val="0"/>
                  <w:vAlign w:val="center"/>
                </w:tcPr>
                <w:p w14:paraId="6048DF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595" w:type="pct"/>
                  <w:tcBorders>
                    <w:tl2br w:val="nil"/>
                    <w:tr2bl w:val="nil"/>
                  </w:tcBorders>
                  <w:noWrap w:val="0"/>
                  <w:vAlign w:val="center"/>
                </w:tcPr>
                <w:p w14:paraId="5B54AD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b w:val="0"/>
                      <w:bCs w:val="0"/>
                      <w:color w:val="auto"/>
                      <w:sz w:val="21"/>
                      <w:szCs w:val="21"/>
                      <w:highlight w:val="none"/>
                      <w:vertAlign w:val="baseline"/>
                      <w:lang w:val="en-US" w:eastAsia="zh-CN"/>
                    </w:rPr>
                    <w:t>0.0355</w:t>
                  </w:r>
                </w:p>
              </w:tc>
            </w:tr>
            <w:tr w14:paraId="6CED19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343" w:type="pct"/>
                  <w:vMerge w:val="continue"/>
                  <w:tcBorders>
                    <w:tl2br w:val="nil"/>
                    <w:tr2bl w:val="nil"/>
                  </w:tcBorders>
                  <w:noWrap w:val="0"/>
                  <w:vAlign w:val="center"/>
                </w:tcPr>
                <w:p w14:paraId="54D719AF">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rPr>
                  </w:pPr>
                </w:p>
              </w:tc>
              <w:tc>
                <w:tcPr>
                  <w:tcW w:w="400" w:type="pct"/>
                  <w:tcBorders>
                    <w:tl2br w:val="nil"/>
                    <w:tr2bl w:val="nil"/>
                  </w:tcBorders>
                  <w:noWrap w:val="0"/>
                  <w:vAlign w:val="center"/>
                </w:tcPr>
                <w:p w14:paraId="127EFEAA">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无组织</w:t>
                  </w:r>
                </w:p>
              </w:tc>
              <w:tc>
                <w:tcPr>
                  <w:tcW w:w="628" w:type="pct"/>
                  <w:tcBorders>
                    <w:tl2br w:val="nil"/>
                    <w:tr2bl w:val="nil"/>
                  </w:tcBorders>
                  <w:noWrap w:val="0"/>
                  <w:vAlign w:val="center"/>
                </w:tcPr>
                <w:p w14:paraId="19126FC9">
                  <w:pPr>
                    <w:keepNext w:val="0"/>
                    <w:keepLines w:val="0"/>
                    <w:pageBreakBefore w:val="0"/>
                    <w:kinsoku/>
                    <w:wordWrap/>
                    <w:overflowPunct/>
                    <w:topLinePunct w:val="0"/>
                    <w:autoSpaceDE/>
                    <w:autoSpaceDN/>
                    <w:bidi w:val="0"/>
                    <w:spacing w:line="240" w:lineRule="auto"/>
                    <w:ind w:left="0" w:leftChars="0" w:right="0" w:rightChars="0" w:firstLine="0" w:firstLineChars="0"/>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非甲烷总烃</w:t>
                  </w:r>
                </w:p>
              </w:tc>
              <w:tc>
                <w:tcPr>
                  <w:tcW w:w="662" w:type="pct"/>
                  <w:tcBorders>
                    <w:tl2br w:val="nil"/>
                    <w:tr2bl w:val="nil"/>
                  </w:tcBorders>
                  <w:noWrap w:val="0"/>
                  <w:vAlign w:val="center"/>
                </w:tcPr>
                <w:p w14:paraId="64D1BE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b w:val="0"/>
                      <w:bCs w:val="0"/>
                      <w:color w:val="auto"/>
                      <w:sz w:val="21"/>
                      <w:szCs w:val="21"/>
                      <w:highlight w:val="none"/>
                      <w:vertAlign w:val="baseline"/>
                      <w:lang w:val="en-US" w:eastAsia="zh-CN"/>
                    </w:rPr>
                    <w:t>0.0394</w:t>
                  </w:r>
                </w:p>
              </w:tc>
              <w:tc>
                <w:tcPr>
                  <w:tcW w:w="666" w:type="pct"/>
                  <w:tcBorders>
                    <w:tl2br w:val="nil"/>
                    <w:tr2bl w:val="nil"/>
                  </w:tcBorders>
                  <w:noWrap w:val="0"/>
                  <w:vAlign w:val="center"/>
                </w:tcPr>
                <w:p w14:paraId="54B53F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p>
              </w:tc>
              <w:tc>
                <w:tcPr>
                  <w:tcW w:w="666" w:type="pct"/>
                  <w:tcBorders>
                    <w:tl2br w:val="nil"/>
                    <w:tr2bl w:val="nil"/>
                  </w:tcBorders>
                  <w:noWrap w:val="0"/>
                  <w:vAlign w:val="center"/>
                </w:tcPr>
                <w:p w14:paraId="599332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0.0394</w:t>
                  </w:r>
                </w:p>
              </w:tc>
              <w:tc>
                <w:tcPr>
                  <w:tcW w:w="527" w:type="pct"/>
                  <w:tcBorders>
                    <w:tl2br w:val="nil"/>
                    <w:tr2bl w:val="nil"/>
                  </w:tcBorders>
                  <w:noWrap w:val="0"/>
                  <w:vAlign w:val="center"/>
                </w:tcPr>
                <w:p w14:paraId="2A491C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0.0394</w:t>
                  </w:r>
                </w:p>
              </w:tc>
              <w:tc>
                <w:tcPr>
                  <w:tcW w:w="509" w:type="pct"/>
                  <w:tcBorders>
                    <w:tl2br w:val="nil"/>
                    <w:tr2bl w:val="nil"/>
                  </w:tcBorders>
                  <w:noWrap w:val="0"/>
                  <w:vAlign w:val="center"/>
                </w:tcPr>
                <w:p w14:paraId="7FC10D74">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595" w:type="pct"/>
                  <w:tcBorders>
                    <w:tl2br w:val="nil"/>
                    <w:tr2bl w:val="nil"/>
                  </w:tcBorders>
                  <w:noWrap w:val="0"/>
                  <w:vAlign w:val="center"/>
                </w:tcPr>
                <w:p w14:paraId="20925E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b w:val="0"/>
                      <w:bCs w:val="0"/>
                      <w:color w:val="auto"/>
                      <w:sz w:val="21"/>
                      <w:szCs w:val="21"/>
                      <w:highlight w:val="none"/>
                      <w:vertAlign w:val="baseline"/>
                      <w:lang w:val="en-US" w:eastAsia="zh-CN"/>
                    </w:rPr>
                    <w:t>0.0394</w:t>
                  </w:r>
                </w:p>
              </w:tc>
            </w:tr>
            <w:tr w14:paraId="2B4477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3" w:type="pct"/>
                  <w:gridSpan w:val="2"/>
                  <w:vMerge w:val="restart"/>
                  <w:tcBorders>
                    <w:tl2br w:val="nil"/>
                    <w:tr2bl w:val="nil"/>
                  </w:tcBorders>
                  <w:noWrap w:val="0"/>
                  <w:vAlign w:val="center"/>
                </w:tcPr>
                <w:p w14:paraId="6AE05E39">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固废</w:t>
                  </w:r>
                </w:p>
              </w:tc>
              <w:tc>
                <w:tcPr>
                  <w:tcW w:w="628" w:type="pct"/>
                  <w:tcBorders>
                    <w:tl2br w:val="nil"/>
                    <w:tr2bl w:val="nil"/>
                  </w:tcBorders>
                  <w:noWrap w:val="0"/>
                  <w:vAlign w:val="center"/>
                </w:tcPr>
                <w:p w14:paraId="72AAA26E">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危险固废</w:t>
                  </w:r>
                </w:p>
              </w:tc>
              <w:tc>
                <w:tcPr>
                  <w:tcW w:w="662" w:type="pct"/>
                  <w:tcBorders>
                    <w:tl2br w:val="nil"/>
                    <w:tr2bl w:val="nil"/>
                  </w:tcBorders>
                  <w:noWrap w:val="0"/>
                  <w:vAlign w:val="center"/>
                </w:tcPr>
                <w:p w14:paraId="0F5204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11.131</w:t>
                  </w:r>
                </w:p>
              </w:tc>
              <w:tc>
                <w:tcPr>
                  <w:tcW w:w="1236" w:type="dxa"/>
                  <w:tcBorders>
                    <w:tl2br w:val="nil"/>
                    <w:tr2bl w:val="nil"/>
                  </w:tcBorders>
                  <w:noWrap w:val="0"/>
                  <w:vAlign w:val="center"/>
                </w:tcPr>
                <w:p w14:paraId="338B20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11.131</w:t>
                  </w:r>
                </w:p>
              </w:tc>
              <w:tc>
                <w:tcPr>
                  <w:tcW w:w="666" w:type="pct"/>
                  <w:tcBorders>
                    <w:tl2br w:val="nil"/>
                    <w:tr2bl w:val="nil"/>
                  </w:tcBorders>
                  <w:noWrap w:val="0"/>
                  <w:vAlign w:val="center"/>
                </w:tcPr>
                <w:p w14:paraId="436C20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rPr>
                    <w:t>0</w:t>
                  </w:r>
                </w:p>
              </w:tc>
              <w:tc>
                <w:tcPr>
                  <w:tcW w:w="527" w:type="pct"/>
                  <w:tcBorders>
                    <w:tl2br w:val="nil"/>
                    <w:tr2bl w:val="nil"/>
                  </w:tcBorders>
                  <w:noWrap w:val="0"/>
                  <w:vAlign w:val="center"/>
                </w:tcPr>
                <w:p w14:paraId="7FD337F7">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509" w:type="pct"/>
                  <w:tcBorders>
                    <w:tl2br w:val="nil"/>
                    <w:tr2bl w:val="nil"/>
                  </w:tcBorders>
                  <w:noWrap w:val="0"/>
                  <w:vAlign w:val="center"/>
                </w:tcPr>
                <w:p w14:paraId="70AE3FBA">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595" w:type="pct"/>
                  <w:tcBorders>
                    <w:tl2br w:val="nil"/>
                    <w:tr2bl w:val="nil"/>
                  </w:tcBorders>
                  <w:noWrap w:val="0"/>
                  <w:vAlign w:val="center"/>
                </w:tcPr>
                <w:p w14:paraId="304715C3">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r>
            <w:tr w14:paraId="1EF90E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3" w:type="pct"/>
                  <w:gridSpan w:val="2"/>
                  <w:vMerge w:val="continue"/>
                  <w:tcBorders>
                    <w:tl2br w:val="nil"/>
                    <w:tr2bl w:val="nil"/>
                  </w:tcBorders>
                  <w:noWrap w:val="0"/>
                  <w:vAlign w:val="center"/>
                </w:tcPr>
                <w:p w14:paraId="189974A8">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rPr>
                  </w:pPr>
                </w:p>
              </w:tc>
              <w:tc>
                <w:tcPr>
                  <w:tcW w:w="628" w:type="pct"/>
                  <w:tcBorders>
                    <w:tl2br w:val="nil"/>
                    <w:tr2bl w:val="nil"/>
                  </w:tcBorders>
                  <w:noWrap w:val="0"/>
                  <w:vAlign w:val="center"/>
                </w:tcPr>
                <w:p w14:paraId="11737948">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一般固废</w:t>
                  </w:r>
                </w:p>
              </w:tc>
              <w:tc>
                <w:tcPr>
                  <w:tcW w:w="662" w:type="pct"/>
                  <w:tcBorders>
                    <w:tl2br w:val="nil"/>
                    <w:tr2bl w:val="nil"/>
                  </w:tcBorders>
                  <w:noWrap w:val="0"/>
                  <w:vAlign w:val="center"/>
                </w:tcPr>
                <w:p w14:paraId="138DFD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7.93</w:t>
                  </w:r>
                </w:p>
              </w:tc>
              <w:tc>
                <w:tcPr>
                  <w:tcW w:w="1236" w:type="dxa"/>
                  <w:tcBorders>
                    <w:tl2br w:val="nil"/>
                    <w:tr2bl w:val="nil"/>
                  </w:tcBorders>
                  <w:noWrap w:val="0"/>
                  <w:vAlign w:val="center"/>
                </w:tcPr>
                <w:p w14:paraId="6A760F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7.93</w:t>
                  </w:r>
                </w:p>
              </w:tc>
              <w:tc>
                <w:tcPr>
                  <w:tcW w:w="666" w:type="pct"/>
                  <w:tcBorders>
                    <w:tl2br w:val="nil"/>
                    <w:tr2bl w:val="nil"/>
                  </w:tcBorders>
                  <w:noWrap w:val="0"/>
                  <w:vAlign w:val="center"/>
                </w:tcPr>
                <w:p w14:paraId="17F5DA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rPr>
                    <w:t>0</w:t>
                  </w:r>
                </w:p>
              </w:tc>
              <w:tc>
                <w:tcPr>
                  <w:tcW w:w="527" w:type="pct"/>
                  <w:tcBorders>
                    <w:tl2br w:val="nil"/>
                    <w:tr2bl w:val="nil"/>
                  </w:tcBorders>
                  <w:noWrap w:val="0"/>
                  <w:vAlign w:val="center"/>
                </w:tcPr>
                <w:p w14:paraId="7EE16256">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509" w:type="pct"/>
                  <w:tcBorders>
                    <w:tl2br w:val="nil"/>
                    <w:tr2bl w:val="nil"/>
                  </w:tcBorders>
                  <w:noWrap w:val="0"/>
                  <w:vAlign w:val="center"/>
                </w:tcPr>
                <w:p w14:paraId="1117F180">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595" w:type="pct"/>
                  <w:tcBorders>
                    <w:tl2br w:val="nil"/>
                    <w:tr2bl w:val="nil"/>
                  </w:tcBorders>
                  <w:noWrap w:val="0"/>
                  <w:vAlign w:val="center"/>
                </w:tcPr>
                <w:p w14:paraId="55D7EACB">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r>
            <w:tr w14:paraId="31C8A3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3" w:type="pct"/>
                  <w:gridSpan w:val="2"/>
                  <w:vMerge w:val="continue"/>
                  <w:tcBorders>
                    <w:tl2br w:val="nil"/>
                    <w:tr2bl w:val="nil"/>
                  </w:tcBorders>
                  <w:noWrap w:val="0"/>
                  <w:vAlign w:val="center"/>
                </w:tcPr>
                <w:p w14:paraId="20042CA4">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rPr>
                  </w:pPr>
                </w:p>
              </w:tc>
              <w:tc>
                <w:tcPr>
                  <w:tcW w:w="628" w:type="pct"/>
                  <w:tcBorders>
                    <w:tl2br w:val="nil"/>
                    <w:tr2bl w:val="nil"/>
                  </w:tcBorders>
                  <w:noWrap w:val="0"/>
                  <w:vAlign w:val="center"/>
                </w:tcPr>
                <w:p w14:paraId="6C261CCB">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生活垃圾</w:t>
                  </w:r>
                </w:p>
              </w:tc>
              <w:tc>
                <w:tcPr>
                  <w:tcW w:w="662" w:type="pct"/>
                  <w:tcBorders>
                    <w:tl2br w:val="nil"/>
                    <w:tr2bl w:val="nil"/>
                  </w:tcBorders>
                  <w:noWrap w:val="0"/>
                  <w:vAlign w:val="center"/>
                </w:tcPr>
                <w:p w14:paraId="4D5D4B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7.5</w:t>
                  </w:r>
                </w:p>
              </w:tc>
              <w:tc>
                <w:tcPr>
                  <w:tcW w:w="1236" w:type="dxa"/>
                  <w:tcBorders>
                    <w:tl2br w:val="nil"/>
                    <w:tr2bl w:val="nil"/>
                  </w:tcBorders>
                  <w:noWrap w:val="0"/>
                  <w:vAlign w:val="center"/>
                </w:tcPr>
                <w:p w14:paraId="6F1161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7.5</w:t>
                  </w:r>
                </w:p>
              </w:tc>
              <w:tc>
                <w:tcPr>
                  <w:tcW w:w="666" w:type="pct"/>
                  <w:tcBorders>
                    <w:tl2br w:val="nil"/>
                    <w:tr2bl w:val="nil"/>
                  </w:tcBorders>
                  <w:noWrap w:val="0"/>
                  <w:vAlign w:val="center"/>
                </w:tcPr>
                <w:p w14:paraId="41AEE8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rPr>
                    <w:t>0</w:t>
                  </w:r>
                </w:p>
              </w:tc>
              <w:tc>
                <w:tcPr>
                  <w:tcW w:w="527" w:type="pct"/>
                  <w:tcBorders>
                    <w:tl2br w:val="nil"/>
                    <w:tr2bl w:val="nil"/>
                  </w:tcBorders>
                  <w:noWrap w:val="0"/>
                  <w:vAlign w:val="center"/>
                </w:tcPr>
                <w:p w14:paraId="600AFFA1">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509" w:type="pct"/>
                  <w:tcBorders>
                    <w:tl2br w:val="nil"/>
                    <w:tr2bl w:val="nil"/>
                  </w:tcBorders>
                  <w:noWrap w:val="0"/>
                  <w:vAlign w:val="center"/>
                </w:tcPr>
                <w:p w14:paraId="3ABB02EA">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595" w:type="pct"/>
                  <w:tcBorders>
                    <w:tl2br w:val="nil"/>
                    <w:tr2bl w:val="nil"/>
                  </w:tcBorders>
                  <w:noWrap w:val="0"/>
                  <w:vAlign w:val="center"/>
                </w:tcPr>
                <w:p w14:paraId="3B25AEF1">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r>
          </w:tbl>
          <w:p w14:paraId="77A8A32E">
            <w:pPr>
              <w:ind w:firstLine="422"/>
              <w:rPr>
                <w:b/>
                <w:bCs/>
                <w:color w:val="auto"/>
                <w:sz w:val="24"/>
                <w:szCs w:val="24"/>
              </w:rPr>
            </w:pPr>
            <w:r>
              <w:rPr>
                <w:b/>
                <w:bCs/>
                <w:color w:val="auto"/>
                <w:sz w:val="24"/>
                <w:szCs w:val="24"/>
              </w:rPr>
              <w:t>3、总量平衡方案</w:t>
            </w:r>
          </w:p>
          <w:p w14:paraId="55A0C1BB">
            <w:pPr>
              <w:adjustRightInd w:val="0"/>
              <w:snapToGrid w:val="0"/>
              <w:ind w:firstLine="420"/>
              <w:rPr>
                <w:rFonts w:hint="eastAsia"/>
                <w:color w:val="auto"/>
                <w:sz w:val="24"/>
                <w:szCs w:val="24"/>
              </w:rPr>
            </w:pPr>
            <w:r>
              <w:rPr>
                <w:rFonts w:hint="eastAsia"/>
                <w:color w:val="auto"/>
                <w:sz w:val="24"/>
                <w:szCs w:val="24"/>
              </w:rPr>
              <w:t>（1）大气污染物</w:t>
            </w:r>
          </w:p>
          <w:p w14:paraId="4B531452">
            <w:pPr>
              <w:adjustRightInd w:val="0"/>
              <w:snapToGrid w:val="0"/>
              <w:ind w:firstLine="420"/>
              <w:rPr>
                <w:rFonts w:hint="eastAsia"/>
                <w:color w:val="auto"/>
                <w:sz w:val="24"/>
                <w:szCs w:val="24"/>
              </w:rPr>
            </w:pPr>
            <w:r>
              <w:rPr>
                <w:rFonts w:hint="eastAsia"/>
                <w:color w:val="auto"/>
                <w:sz w:val="24"/>
                <w:szCs w:val="24"/>
              </w:rPr>
              <w:t>废气：根据《常州市建设项目主要污染物排放总量指标审核及管理实施细则》（常政办发</w:t>
            </w:r>
            <w:r>
              <w:rPr>
                <w:rFonts w:hint="eastAsia"/>
                <w:color w:val="auto"/>
                <w:sz w:val="24"/>
                <w:szCs w:val="24"/>
                <w:lang w:eastAsia="zh-CN"/>
              </w:rPr>
              <w:t>〔2015〕104号）</w:t>
            </w:r>
            <w:r>
              <w:rPr>
                <w:rFonts w:hint="eastAsia"/>
                <w:color w:val="auto"/>
                <w:sz w:val="24"/>
                <w:szCs w:val="24"/>
              </w:rPr>
              <w:t>规定：“新、改、扩建排放烟粉尘、挥发性有机物的项目，实行现役源2倍削减量替代或关闭类项目1.5倍削减量替代”。</w:t>
            </w:r>
          </w:p>
          <w:p w14:paraId="7B99B788">
            <w:pPr>
              <w:adjustRightInd w:val="0"/>
              <w:snapToGrid w:val="0"/>
              <w:ind w:firstLine="420"/>
              <w:rPr>
                <w:rFonts w:hint="eastAsia"/>
                <w:color w:val="auto"/>
                <w:sz w:val="24"/>
                <w:szCs w:val="24"/>
              </w:rPr>
            </w:pPr>
            <w:r>
              <w:rPr>
                <w:rFonts w:hint="eastAsia"/>
                <w:color w:val="auto"/>
                <w:sz w:val="24"/>
                <w:szCs w:val="24"/>
              </w:rPr>
              <w:t>大气污染物排放总量控制指标为：非甲烷总烃：</w:t>
            </w:r>
            <w:r>
              <w:rPr>
                <w:rFonts w:hint="eastAsia"/>
                <w:color w:val="auto"/>
                <w:sz w:val="24"/>
                <w:szCs w:val="24"/>
                <w:highlight w:val="none"/>
                <w:lang w:val="en-US" w:eastAsia="zh-CN"/>
              </w:rPr>
              <w:t>0.0749t</w:t>
            </w:r>
            <w:r>
              <w:rPr>
                <w:rFonts w:hint="eastAsia"/>
                <w:color w:val="auto"/>
                <w:sz w:val="24"/>
                <w:szCs w:val="24"/>
                <w:highlight w:val="none"/>
              </w:rPr>
              <w:t>/a（其中有组织排放</w:t>
            </w:r>
            <w:r>
              <w:rPr>
                <w:rFonts w:hint="eastAsia" w:cs="Times New Roman"/>
                <w:i w:val="0"/>
                <w:iCs w:val="0"/>
                <w:color w:val="auto"/>
                <w:kern w:val="0"/>
                <w:sz w:val="24"/>
                <w:szCs w:val="24"/>
                <w:highlight w:val="none"/>
                <w:u w:val="none"/>
                <w:lang w:val="en-US" w:eastAsia="zh-CN" w:bidi="ar"/>
              </w:rPr>
              <w:t>0.0355</w:t>
            </w:r>
            <w:r>
              <w:rPr>
                <w:rFonts w:hint="eastAsia"/>
                <w:color w:val="auto"/>
                <w:sz w:val="24"/>
                <w:szCs w:val="24"/>
                <w:highlight w:val="none"/>
              </w:rPr>
              <w:t>t/a、无组织排放</w:t>
            </w:r>
            <w:r>
              <w:rPr>
                <w:rFonts w:hint="eastAsia" w:cs="Times New Roman"/>
                <w:i w:val="0"/>
                <w:iCs w:val="0"/>
                <w:color w:val="auto"/>
                <w:kern w:val="0"/>
                <w:sz w:val="24"/>
                <w:szCs w:val="24"/>
                <w:highlight w:val="none"/>
                <w:u w:val="none"/>
                <w:lang w:val="en-US" w:eastAsia="zh-CN" w:bidi="ar"/>
              </w:rPr>
              <w:t>0.0394</w:t>
            </w:r>
            <w:r>
              <w:rPr>
                <w:rFonts w:hint="eastAsia"/>
                <w:color w:val="auto"/>
                <w:sz w:val="24"/>
                <w:szCs w:val="24"/>
                <w:highlight w:val="none"/>
              </w:rPr>
              <w:t>t/a）</w:t>
            </w:r>
            <w:r>
              <w:rPr>
                <w:rFonts w:hint="eastAsia"/>
                <w:color w:val="auto"/>
                <w:sz w:val="24"/>
                <w:szCs w:val="24"/>
              </w:rPr>
              <w:t>，拟在金坛区内进行平衡。</w:t>
            </w:r>
          </w:p>
          <w:p w14:paraId="012447BF">
            <w:pPr>
              <w:adjustRightInd w:val="0"/>
              <w:snapToGrid w:val="0"/>
              <w:ind w:firstLine="420"/>
              <w:rPr>
                <w:rFonts w:hint="eastAsia"/>
                <w:color w:val="auto"/>
                <w:sz w:val="24"/>
                <w:szCs w:val="24"/>
              </w:rPr>
            </w:pPr>
            <w:r>
              <w:rPr>
                <w:rFonts w:hint="eastAsia"/>
                <w:color w:val="auto"/>
                <w:sz w:val="24"/>
                <w:szCs w:val="24"/>
              </w:rPr>
              <w:t>（2）水污染物</w:t>
            </w:r>
          </w:p>
          <w:p w14:paraId="2C9E7CE1">
            <w:pPr>
              <w:adjustRightInd w:val="0"/>
              <w:snapToGrid w:val="0"/>
              <w:ind w:firstLine="420"/>
              <w:rPr>
                <w:rFonts w:hint="eastAsia"/>
                <w:color w:val="auto"/>
                <w:sz w:val="24"/>
                <w:szCs w:val="24"/>
              </w:rPr>
            </w:pPr>
            <w:r>
              <w:rPr>
                <w:rFonts w:hint="eastAsia"/>
                <w:color w:val="auto"/>
                <w:sz w:val="24"/>
                <w:szCs w:val="24"/>
              </w:rPr>
              <w:t>本项目生活污水经市政污水管网接至常州市金坛区第二污水厂集中处理。项目建成后废水排放总量为</w:t>
            </w:r>
            <w:r>
              <w:rPr>
                <w:rFonts w:hint="eastAsia"/>
                <w:color w:val="auto"/>
                <w:sz w:val="24"/>
                <w:szCs w:val="24"/>
                <w:lang w:val="en-US" w:eastAsia="zh-CN"/>
              </w:rPr>
              <w:t>1200</w:t>
            </w:r>
            <w:r>
              <w:rPr>
                <w:rFonts w:hint="eastAsia"/>
                <w:color w:val="auto"/>
                <w:sz w:val="24"/>
                <w:szCs w:val="24"/>
              </w:rPr>
              <w:t>t/a，水污染物排放总量在常州市金坛区第二污水厂内平衡。</w:t>
            </w:r>
          </w:p>
          <w:p w14:paraId="64861243">
            <w:pPr>
              <w:adjustRightInd w:val="0"/>
              <w:snapToGrid w:val="0"/>
              <w:ind w:firstLine="420"/>
              <w:rPr>
                <w:rFonts w:hint="eastAsia"/>
                <w:color w:val="auto"/>
                <w:sz w:val="24"/>
                <w:szCs w:val="24"/>
              </w:rPr>
            </w:pPr>
            <w:r>
              <w:rPr>
                <w:rFonts w:hint="eastAsia"/>
                <w:color w:val="auto"/>
                <w:sz w:val="24"/>
                <w:szCs w:val="24"/>
              </w:rPr>
              <w:t>（3）固体废弃物</w:t>
            </w:r>
          </w:p>
          <w:p w14:paraId="4665A117">
            <w:pPr>
              <w:adjustRightInd w:val="0"/>
              <w:snapToGrid w:val="0"/>
              <w:ind w:firstLine="420"/>
              <w:rPr>
                <w:color w:val="auto"/>
                <w:sz w:val="24"/>
                <w:szCs w:val="24"/>
              </w:rPr>
            </w:pPr>
            <w:r>
              <w:rPr>
                <w:rFonts w:hint="eastAsia"/>
                <w:color w:val="auto"/>
                <w:sz w:val="24"/>
                <w:szCs w:val="24"/>
              </w:rPr>
              <w:t>本项目固体废弃物全部“零”排放，不会产生二次污染，故不申请总量。</w:t>
            </w:r>
          </w:p>
        </w:tc>
      </w:tr>
    </w:tbl>
    <w:p w14:paraId="12319451">
      <w:pPr>
        <w:pStyle w:val="4"/>
        <w:rPr>
          <w:rFonts w:eastAsia="宋体"/>
          <w:color w:val="auto"/>
        </w:rPr>
        <w:sectPr>
          <w:pgSz w:w="11907" w:h="16840"/>
          <w:pgMar w:top="1440" w:right="1080" w:bottom="1440" w:left="1080" w:header="964" w:footer="964" w:gutter="0"/>
          <w:pgBorders w:offsetFrom="page">
            <w:top w:val="none" w:sz="0" w:space="0"/>
            <w:left w:val="none" w:sz="0" w:space="0"/>
            <w:bottom w:val="none" w:sz="0" w:space="0"/>
            <w:right w:val="none" w:sz="0" w:space="0"/>
          </w:pgBorders>
          <w:cols w:space="720" w:num="1"/>
          <w:docGrid w:type="linesAndChars" w:linePitch="312" w:charSpace="0"/>
        </w:sectPr>
      </w:pPr>
    </w:p>
    <w:p w14:paraId="1B82D6D7">
      <w:pPr>
        <w:pStyle w:val="4"/>
        <w:spacing w:before="0" w:after="0"/>
        <w:rPr>
          <w:rFonts w:eastAsia="宋体"/>
          <w:color w:val="auto"/>
        </w:rPr>
      </w:pPr>
      <w:r>
        <w:rPr>
          <w:rFonts w:eastAsia="宋体"/>
          <w:color w:val="auto"/>
        </w:rPr>
        <w:t>四、主要环境影响和保护措施</w:t>
      </w:r>
    </w:p>
    <w:tbl>
      <w:tblPr>
        <w:tblStyle w:val="17"/>
        <w:tblW w:w="992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9466"/>
      </w:tblGrid>
      <w:tr w14:paraId="1BF4CC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7" w:type="pct"/>
            <w:noWrap w:val="0"/>
            <w:vAlign w:val="center"/>
          </w:tcPr>
          <w:p w14:paraId="2BD90DC7">
            <w:pPr>
              <w:spacing w:line="240" w:lineRule="auto"/>
              <w:ind w:firstLine="0" w:firstLineChars="0"/>
              <w:jc w:val="center"/>
              <w:rPr>
                <w:color w:val="auto"/>
                <w:sz w:val="24"/>
                <w:szCs w:val="24"/>
              </w:rPr>
            </w:pPr>
            <w:r>
              <w:rPr>
                <w:b/>
                <w:bCs/>
                <w:color w:val="auto"/>
                <w:sz w:val="24"/>
                <w:szCs w:val="24"/>
              </w:rPr>
              <w:t>施工期环境保护措施</w:t>
            </w:r>
          </w:p>
        </w:tc>
        <w:tc>
          <w:tcPr>
            <w:tcW w:w="4802" w:type="pct"/>
            <w:noWrap w:val="0"/>
            <w:vAlign w:val="center"/>
          </w:tcPr>
          <w:p w14:paraId="6EE86BB9">
            <w:pPr>
              <w:ind w:firstLine="420"/>
              <w:rPr>
                <w:rFonts w:hint="eastAsia"/>
                <w:b w:val="0"/>
                <w:bCs w:val="0"/>
                <w:color w:val="auto"/>
                <w:sz w:val="24"/>
                <w:szCs w:val="24"/>
              </w:rPr>
            </w:pPr>
            <w:r>
              <w:rPr>
                <w:rFonts w:hint="default"/>
                <w:color w:val="auto"/>
                <w:kern w:val="0"/>
                <w:sz w:val="24"/>
                <w:szCs w:val="24"/>
                <w:highlight w:val="none"/>
              </w:rPr>
              <w:t>本项目</w:t>
            </w:r>
            <w:r>
              <w:rPr>
                <w:rFonts w:hint="eastAsia"/>
                <w:color w:val="auto"/>
                <w:kern w:val="0"/>
                <w:sz w:val="24"/>
                <w:szCs w:val="24"/>
                <w:highlight w:val="none"/>
                <w:lang w:val="en-US" w:eastAsia="zh-CN"/>
              </w:rPr>
              <w:t>购置</w:t>
            </w:r>
            <w:r>
              <w:rPr>
                <w:rFonts w:hint="default"/>
                <w:color w:val="auto"/>
                <w:kern w:val="0"/>
                <w:sz w:val="24"/>
                <w:szCs w:val="24"/>
                <w:highlight w:val="none"/>
              </w:rPr>
              <w:t>闲置厂房建设，包括后期设备安装等，不涉及土建，对周围环境影响较小，故本次环评不再对施工期环境影响进行分析。</w:t>
            </w:r>
          </w:p>
        </w:tc>
      </w:tr>
      <w:tr w14:paraId="5B865F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80" w:hRule="atLeast"/>
          <w:jc w:val="center"/>
        </w:trPr>
        <w:tc>
          <w:tcPr>
            <w:tcW w:w="197" w:type="pct"/>
            <w:noWrap w:val="0"/>
            <w:vAlign w:val="center"/>
          </w:tcPr>
          <w:p w14:paraId="71DA6772">
            <w:pPr>
              <w:spacing w:line="240" w:lineRule="auto"/>
              <w:ind w:firstLine="0" w:firstLineChars="0"/>
              <w:jc w:val="center"/>
              <w:rPr>
                <w:b/>
                <w:bCs/>
                <w:color w:val="auto"/>
                <w:sz w:val="24"/>
                <w:szCs w:val="24"/>
              </w:rPr>
            </w:pPr>
            <w:r>
              <w:rPr>
                <w:b/>
                <w:bCs/>
                <w:color w:val="auto"/>
                <w:sz w:val="24"/>
                <w:szCs w:val="24"/>
              </w:rPr>
              <w:t>运营期环境影响和保护措施</w:t>
            </w:r>
          </w:p>
        </w:tc>
        <w:tc>
          <w:tcPr>
            <w:tcW w:w="4802" w:type="pct"/>
            <w:noWrap w:val="0"/>
            <w:vAlign w:val="center"/>
          </w:tcPr>
          <w:p w14:paraId="587C83A5">
            <w:pPr>
              <w:ind w:firstLine="0" w:firstLineChars="0"/>
              <w:rPr>
                <w:b/>
                <w:bCs/>
                <w:color w:val="auto"/>
                <w:sz w:val="24"/>
                <w:szCs w:val="24"/>
              </w:rPr>
            </w:pPr>
            <w:r>
              <w:rPr>
                <w:b/>
                <w:bCs/>
                <w:color w:val="auto"/>
                <w:sz w:val="24"/>
                <w:szCs w:val="24"/>
              </w:rPr>
              <w:t>1、废污水</w:t>
            </w:r>
          </w:p>
          <w:p w14:paraId="1F65B61E">
            <w:pPr>
              <w:ind w:firstLine="0" w:firstLineChars="0"/>
              <w:rPr>
                <w:b/>
                <w:bCs/>
                <w:color w:val="auto"/>
                <w:sz w:val="24"/>
                <w:szCs w:val="24"/>
              </w:rPr>
            </w:pPr>
            <w:r>
              <w:rPr>
                <w:b/>
                <w:bCs/>
                <w:color w:val="auto"/>
                <w:sz w:val="24"/>
                <w:szCs w:val="24"/>
              </w:rPr>
              <w:t>1.1废污水源强核算</w:t>
            </w:r>
          </w:p>
          <w:p w14:paraId="7F07EE43">
            <w:pPr>
              <w:ind w:firstLine="0" w:firstLineChars="0"/>
              <w:rPr>
                <w:b/>
                <w:bCs/>
                <w:color w:val="auto"/>
                <w:sz w:val="24"/>
                <w:szCs w:val="24"/>
              </w:rPr>
            </w:pPr>
            <w:r>
              <w:rPr>
                <w:b/>
                <w:bCs/>
                <w:color w:val="auto"/>
                <w:sz w:val="24"/>
                <w:szCs w:val="24"/>
              </w:rPr>
              <w:t>1.1.1源强核算过程</w:t>
            </w:r>
          </w:p>
          <w:p w14:paraId="516FA9AD">
            <w:pPr>
              <w:keepNext w:val="0"/>
              <w:keepLines w:val="0"/>
              <w:pageBreakBefore w:val="0"/>
              <w:widowControl w:val="0"/>
              <w:kinsoku/>
              <w:wordWrap/>
              <w:overflowPunct/>
              <w:topLinePunct w:val="0"/>
              <w:autoSpaceDE/>
              <w:autoSpaceDN/>
              <w:bidi w:val="0"/>
              <w:adjustRightInd/>
              <w:snapToGrid/>
              <w:ind w:firstLine="420"/>
              <w:textAlignment w:val="auto"/>
              <w:rPr>
                <w:rFonts w:hint="default" w:eastAsia="宋体"/>
                <w:color w:val="auto"/>
                <w:sz w:val="24"/>
                <w:szCs w:val="24"/>
                <w:lang w:val="en-US" w:eastAsia="zh-CN"/>
              </w:rPr>
            </w:pPr>
            <w:r>
              <w:rPr>
                <w:rFonts w:hint="eastAsia"/>
                <w:color w:val="auto"/>
                <w:sz w:val="24"/>
                <w:szCs w:val="24"/>
                <w:lang w:eastAsia="zh-CN"/>
              </w:rPr>
              <w:t>（</w:t>
            </w:r>
            <w:r>
              <w:rPr>
                <w:rFonts w:hint="eastAsia"/>
                <w:color w:val="auto"/>
                <w:sz w:val="24"/>
                <w:szCs w:val="24"/>
                <w:lang w:val="en-US" w:eastAsia="zh-CN"/>
              </w:rPr>
              <w:t>1</w:t>
            </w:r>
            <w:r>
              <w:rPr>
                <w:rFonts w:hint="eastAsia"/>
                <w:color w:val="auto"/>
                <w:sz w:val="24"/>
                <w:szCs w:val="24"/>
                <w:lang w:eastAsia="zh-CN"/>
              </w:rPr>
              <w:t>）</w:t>
            </w:r>
            <w:r>
              <w:rPr>
                <w:rFonts w:hint="eastAsia"/>
                <w:color w:val="auto"/>
                <w:sz w:val="24"/>
                <w:szCs w:val="24"/>
                <w:lang w:val="en-US" w:eastAsia="zh-CN"/>
              </w:rPr>
              <w:t>生活用水及排水</w:t>
            </w:r>
          </w:p>
          <w:p w14:paraId="0E1FF499">
            <w:pPr>
              <w:keepNext w:val="0"/>
              <w:keepLines w:val="0"/>
              <w:pageBreakBefore w:val="0"/>
              <w:widowControl w:val="0"/>
              <w:numPr>
                <w:ilvl w:val="-1"/>
                <w:numId w:val="0"/>
              </w:numPr>
              <w:kinsoku/>
              <w:wordWrap/>
              <w:overflowPunct/>
              <w:topLinePunct w:val="0"/>
              <w:autoSpaceDE/>
              <w:autoSpaceDN/>
              <w:bidi w:val="0"/>
              <w:adjustRightInd/>
              <w:snapToGrid/>
              <w:ind w:firstLine="420" w:firstLineChars="0"/>
              <w:textAlignment w:val="auto"/>
              <w:rPr>
                <w:rFonts w:hint="default"/>
                <w:color w:val="auto"/>
                <w:sz w:val="24"/>
                <w:szCs w:val="24"/>
                <w:lang w:val="en-US" w:eastAsia="zh-CN"/>
              </w:rPr>
            </w:pPr>
            <w:r>
              <w:rPr>
                <w:color w:val="auto"/>
                <w:sz w:val="24"/>
                <w:szCs w:val="24"/>
              </w:rPr>
              <w:t>本项目劳动定员</w:t>
            </w:r>
            <w:r>
              <w:rPr>
                <w:rFonts w:hint="eastAsia"/>
                <w:color w:val="auto"/>
                <w:sz w:val="24"/>
                <w:szCs w:val="24"/>
                <w:lang w:val="en-US" w:eastAsia="zh-CN"/>
              </w:rPr>
              <w:t>50</w:t>
            </w:r>
            <w:r>
              <w:rPr>
                <w:color w:val="auto"/>
                <w:sz w:val="24"/>
                <w:szCs w:val="24"/>
              </w:rPr>
              <w:t>人，年工作</w:t>
            </w:r>
            <w:r>
              <w:rPr>
                <w:rFonts w:hint="eastAsia"/>
                <w:color w:val="auto"/>
                <w:sz w:val="24"/>
                <w:szCs w:val="24"/>
                <w:lang w:val="en-US" w:eastAsia="zh-CN"/>
              </w:rPr>
              <w:t>30</w:t>
            </w:r>
            <w:r>
              <w:rPr>
                <w:color w:val="auto"/>
                <w:sz w:val="24"/>
                <w:szCs w:val="24"/>
              </w:rPr>
              <w:t>0天，根据《建筑给水排水设计标准》（GB50015-2019），生活用水定额按1</w:t>
            </w:r>
            <w:r>
              <w:rPr>
                <w:rFonts w:hint="eastAsia"/>
                <w:color w:val="auto"/>
                <w:sz w:val="24"/>
                <w:szCs w:val="24"/>
                <w:lang w:val="en-US" w:eastAsia="zh-CN"/>
              </w:rPr>
              <w:t>0</w:t>
            </w:r>
            <w:r>
              <w:rPr>
                <w:color w:val="auto"/>
                <w:sz w:val="24"/>
                <w:szCs w:val="24"/>
              </w:rPr>
              <w:t>0L/（人·日），日常生活用水量为</w:t>
            </w:r>
            <w:r>
              <w:rPr>
                <w:rFonts w:hint="eastAsia"/>
                <w:color w:val="auto"/>
                <w:sz w:val="24"/>
                <w:szCs w:val="24"/>
                <w:lang w:val="en-US" w:eastAsia="zh-CN"/>
              </w:rPr>
              <w:t>1500</w:t>
            </w:r>
            <w:r>
              <w:rPr>
                <w:color w:val="auto"/>
                <w:sz w:val="24"/>
                <w:szCs w:val="24"/>
              </w:rPr>
              <w:t>m</w:t>
            </w:r>
            <w:r>
              <w:rPr>
                <w:color w:val="auto"/>
                <w:sz w:val="24"/>
                <w:szCs w:val="24"/>
                <w:vertAlign w:val="superscript"/>
              </w:rPr>
              <w:t>3</w:t>
            </w:r>
            <w:r>
              <w:rPr>
                <w:color w:val="auto"/>
                <w:sz w:val="24"/>
                <w:szCs w:val="24"/>
              </w:rPr>
              <w:t>/a</w:t>
            </w:r>
            <w:r>
              <w:rPr>
                <w:rFonts w:hint="eastAsia"/>
                <w:color w:val="auto"/>
                <w:sz w:val="24"/>
                <w:szCs w:val="24"/>
                <w:lang w:eastAsia="zh-CN"/>
              </w:rPr>
              <w:t>（</w:t>
            </w:r>
            <w:r>
              <w:rPr>
                <w:rFonts w:hint="eastAsia"/>
                <w:color w:val="auto"/>
                <w:sz w:val="24"/>
                <w:szCs w:val="24"/>
                <w:lang w:val="en-US" w:eastAsia="zh-CN"/>
              </w:rPr>
              <w:t>含制纯水产生的浓水2.1m</w:t>
            </w:r>
            <w:r>
              <w:rPr>
                <w:color w:val="auto"/>
                <w:sz w:val="24"/>
                <w:szCs w:val="24"/>
                <w:vertAlign w:val="superscript"/>
              </w:rPr>
              <w:t>3</w:t>
            </w:r>
            <w:r>
              <w:rPr>
                <w:rFonts w:hint="eastAsia"/>
                <w:color w:val="auto"/>
                <w:sz w:val="24"/>
                <w:szCs w:val="24"/>
                <w:vertAlign w:val="baseline"/>
                <w:lang w:val="en-US" w:eastAsia="zh-CN"/>
              </w:rPr>
              <w:t>，用于冲厕</w:t>
            </w:r>
            <w:r>
              <w:rPr>
                <w:rFonts w:hint="eastAsia"/>
                <w:color w:val="auto"/>
                <w:sz w:val="24"/>
                <w:szCs w:val="24"/>
                <w:lang w:eastAsia="zh-CN"/>
              </w:rPr>
              <w:t>）</w:t>
            </w:r>
            <w:r>
              <w:rPr>
                <w:color w:val="auto"/>
                <w:sz w:val="24"/>
                <w:szCs w:val="24"/>
              </w:rPr>
              <w:t>。生活污水产生量按用水量的80%计，生活污水量为</w:t>
            </w:r>
            <w:r>
              <w:rPr>
                <w:rFonts w:hint="eastAsia"/>
                <w:color w:val="auto"/>
                <w:sz w:val="24"/>
                <w:szCs w:val="24"/>
                <w:lang w:val="en-US" w:eastAsia="zh-CN"/>
              </w:rPr>
              <w:t>120</w:t>
            </w:r>
            <w:r>
              <w:rPr>
                <w:color w:val="auto"/>
                <w:sz w:val="24"/>
                <w:szCs w:val="24"/>
              </w:rPr>
              <w:t>0m</w:t>
            </w:r>
            <w:r>
              <w:rPr>
                <w:color w:val="auto"/>
                <w:sz w:val="24"/>
                <w:szCs w:val="24"/>
                <w:vertAlign w:val="superscript"/>
              </w:rPr>
              <w:t>3</w:t>
            </w:r>
            <w:r>
              <w:rPr>
                <w:color w:val="auto"/>
                <w:sz w:val="24"/>
                <w:szCs w:val="24"/>
              </w:rPr>
              <w:t>/a。</w:t>
            </w:r>
            <w:r>
              <w:rPr>
                <w:rFonts w:hint="default" w:ascii="Times New Roman" w:hAnsi="Times New Roman" w:eastAsia="宋体" w:cs="Times New Roman"/>
                <w:color w:val="auto"/>
                <w:sz w:val="24"/>
                <w:szCs w:val="24"/>
              </w:rPr>
              <w:t>主要污染物为COD、SS、氨氮、TN、TP</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产生浓度分别为400mg/L、2</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0mg/L、</w:t>
            </w:r>
            <w:r>
              <w:rPr>
                <w:rFonts w:hint="eastAsia"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rPr>
              <w:t>mg/L、</w:t>
            </w:r>
            <w:r>
              <w:rPr>
                <w:rFonts w:hint="eastAsia" w:ascii="Times New Roman" w:hAnsi="Times New Roman" w:eastAsia="宋体" w:cs="Times New Roman"/>
                <w:color w:val="auto"/>
                <w:sz w:val="24"/>
                <w:szCs w:val="24"/>
                <w:lang w:val="en-US" w:eastAsia="zh-CN"/>
              </w:rPr>
              <w:t>35</w:t>
            </w:r>
            <w:r>
              <w:rPr>
                <w:rFonts w:hint="default" w:ascii="Times New Roman" w:hAnsi="Times New Roman" w:eastAsia="宋体" w:cs="Times New Roman"/>
                <w:color w:val="auto"/>
                <w:sz w:val="24"/>
                <w:szCs w:val="24"/>
              </w:rPr>
              <w:t>mg/L、</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mg/L。</w:t>
            </w:r>
          </w:p>
          <w:p w14:paraId="46759E9A">
            <w:pPr>
              <w:keepNext w:val="0"/>
              <w:keepLines w:val="0"/>
              <w:pageBreakBefore w:val="0"/>
              <w:widowControl w:val="0"/>
              <w:numPr>
                <w:ilvl w:val="0"/>
                <w:numId w:val="3"/>
              </w:numPr>
              <w:kinsoku/>
              <w:wordWrap/>
              <w:overflowPunct/>
              <w:topLinePunct w:val="0"/>
              <w:autoSpaceDE/>
              <w:autoSpaceDN/>
              <w:bidi w:val="0"/>
              <w:adjustRightInd/>
              <w:snapToGrid/>
              <w:ind w:left="0" w:leftChars="0" w:firstLine="480" w:firstLineChars="200"/>
              <w:textAlignment w:val="auto"/>
              <w:rPr>
                <w:rFonts w:hint="eastAsia"/>
                <w:color w:val="auto"/>
                <w:sz w:val="24"/>
                <w:szCs w:val="24"/>
                <w:lang w:val="en-US" w:eastAsia="zh-CN"/>
              </w:rPr>
            </w:pPr>
            <w:r>
              <w:rPr>
                <w:rFonts w:hint="eastAsia"/>
                <w:color w:val="auto"/>
                <w:sz w:val="24"/>
                <w:szCs w:val="24"/>
                <w:lang w:val="en-US" w:eastAsia="zh-CN"/>
              </w:rPr>
              <w:t>制纯水用水</w:t>
            </w:r>
          </w:p>
          <w:p w14:paraId="16A3DAA5">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color w:val="auto"/>
                <w:sz w:val="24"/>
                <w:szCs w:val="24"/>
                <w:lang w:val="en-US" w:eastAsia="zh-CN"/>
              </w:rPr>
            </w:pPr>
            <w:r>
              <w:rPr>
                <w:rFonts w:hint="eastAsia"/>
                <w:color w:val="auto"/>
                <w:sz w:val="24"/>
                <w:szCs w:val="24"/>
                <w:lang w:val="en-US" w:eastAsia="zh-CN"/>
              </w:rPr>
              <w:t>本项目清洗使用纯水，纯水需求量为5.5t/a。根据企业提供资料，纯水机制备效率以70%计，则自来水用量约7.86t/a，浓水产生量为2.36t/a，</w:t>
            </w:r>
            <w:r>
              <w:rPr>
                <w:rFonts w:hint="default" w:ascii="Times New Roman" w:hAnsi="Times New Roman" w:eastAsia="宋体" w:cs="Times New Roman"/>
                <w:color w:val="auto"/>
                <w:sz w:val="24"/>
                <w:szCs w:val="24"/>
              </w:rPr>
              <w:t>主要污染物为COD、SS</w:t>
            </w:r>
            <w:r>
              <w:rPr>
                <w:rFonts w:hint="eastAsia"/>
                <w:color w:val="auto"/>
                <w:sz w:val="24"/>
                <w:szCs w:val="24"/>
                <w:lang w:val="en-US" w:eastAsia="zh-CN"/>
              </w:rPr>
              <w:t>，可用于冲厕，计入生活用水。</w:t>
            </w:r>
          </w:p>
          <w:p w14:paraId="04A68D3E">
            <w:pPr>
              <w:keepNext w:val="0"/>
              <w:keepLines w:val="0"/>
              <w:pageBreakBefore w:val="0"/>
              <w:widowControl w:val="0"/>
              <w:kinsoku/>
              <w:wordWrap/>
              <w:overflowPunct/>
              <w:topLinePunct w:val="0"/>
              <w:autoSpaceDE/>
              <w:autoSpaceDN/>
              <w:bidi w:val="0"/>
              <w:adjustRightInd/>
              <w:snapToGrid/>
              <w:ind w:firstLine="420"/>
              <w:textAlignment w:val="auto"/>
              <w:rPr>
                <w:rFonts w:hint="default" w:eastAsia="宋体"/>
                <w:color w:val="auto"/>
                <w:sz w:val="24"/>
                <w:szCs w:val="24"/>
                <w:lang w:val="en-US" w:eastAsia="zh-CN"/>
              </w:rPr>
            </w:pPr>
            <w:bookmarkStart w:id="7" w:name="_Hlk128086824"/>
            <w:r>
              <w:rPr>
                <w:rFonts w:hint="eastAsia"/>
                <w:color w:val="auto"/>
                <w:sz w:val="24"/>
                <w:szCs w:val="24"/>
              </w:rPr>
              <w:t>生产过程中，地面基本保持清洁，仅进行定期的扫地，不需地面清洗，不产生清洗废水。</w:t>
            </w:r>
          </w:p>
          <w:bookmarkEnd w:id="7"/>
          <w:p w14:paraId="504AC719">
            <w:pPr>
              <w:ind w:firstLine="0" w:firstLineChars="0"/>
              <w:rPr>
                <w:b/>
                <w:bCs/>
                <w:color w:val="auto"/>
                <w:sz w:val="24"/>
                <w:szCs w:val="24"/>
              </w:rPr>
            </w:pPr>
            <w:r>
              <w:rPr>
                <w:b/>
                <w:bCs/>
                <w:color w:val="auto"/>
                <w:sz w:val="24"/>
                <w:szCs w:val="24"/>
              </w:rPr>
              <w:t>1.1.2废水产生情况汇总</w:t>
            </w:r>
          </w:p>
          <w:p w14:paraId="551177AC">
            <w:pPr>
              <w:widowControl/>
              <w:spacing w:line="240" w:lineRule="auto"/>
              <w:ind w:firstLine="0" w:firstLineChars="0"/>
              <w:jc w:val="center"/>
              <w:rPr>
                <w:b/>
                <w:bCs/>
                <w:color w:val="auto"/>
                <w:sz w:val="21"/>
                <w:szCs w:val="21"/>
              </w:rPr>
            </w:pPr>
            <w:r>
              <w:rPr>
                <w:b/>
                <w:bCs/>
                <w:color w:val="auto"/>
                <w:sz w:val="21"/>
                <w:szCs w:val="21"/>
              </w:rPr>
              <w:t>表4</w:t>
            </w:r>
            <w:r>
              <w:rPr>
                <w:rFonts w:hint="eastAsia"/>
                <w:b/>
                <w:bCs/>
                <w:color w:val="auto"/>
                <w:sz w:val="21"/>
                <w:szCs w:val="21"/>
                <w:lang w:val="en-US" w:eastAsia="zh-CN"/>
              </w:rPr>
              <w:t>.1</w:t>
            </w:r>
            <w:r>
              <w:rPr>
                <w:b/>
                <w:bCs/>
                <w:color w:val="auto"/>
                <w:sz w:val="21"/>
                <w:szCs w:val="21"/>
              </w:rPr>
              <w:t>-</w:t>
            </w:r>
            <w:r>
              <w:rPr>
                <w:rFonts w:hint="eastAsia"/>
                <w:b/>
                <w:bCs/>
                <w:color w:val="auto"/>
                <w:sz w:val="21"/>
                <w:szCs w:val="21"/>
                <w:lang w:val="en-US" w:eastAsia="zh-CN"/>
              </w:rPr>
              <w:t>1</w:t>
            </w:r>
            <w:r>
              <w:rPr>
                <w:b/>
                <w:bCs/>
                <w:color w:val="auto"/>
                <w:sz w:val="21"/>
                <w:szCs w:val="21"/>
              </w:rPr>
              <w:t xml:space="preserve">  本项目废水产生及治理情况一览表</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52"/>
              <w:gridCol w:w="1195"/>
              <w:gridCol w:w="660"/>
              <w:gridCol w:w="835"/>
              <w:gridCol w:w="852"/>
              <w:gridCol w:w="577"/>
              <w:gridCol w:w="835"/>
              <w:gridCol w:w="898"/>
              <w:gridCol w:w="1719"/>
              <w:gridCol w:w="1027"/>
            </w:tblGrid>
            <w:tr w14:paraId="70954AA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0" w:type="auto"/>
                  <w:vMerge w:val="restart"/>
                  <w:noWrap w:val="0"/>
                  <w:vAlign w:val="center"/>
                </w:tcPr>
                <w:p w14:paraId="2CC5B28B">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来源</w:t>
                  </w:r>
                </w:p>
              </w:tc>
              <w:tc>
                <w:tcPr>
                  <w:tcW w:w="0" w:type="auto"/>
                  <w:vMerge w:val="restart"/>
                  <w:noWrap w:val="0"/>
                  <w:vAlign w:val="center"/>
                </w:tcPr>
                <w:p w14:paraId="74CA3C5D">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水量</w:t>
                  </w:r>
                  <w:r>
                    <w:rPr>
                      <w:rFonts w:hint="eastAsia"/>
                      <w:b/>
                      <w:bCs/>
                      <w:color w:val="auto"/>
                      <w:sz w:val="21"/>
                      <w:szCs w:val="21"/>
                      <w:lang w:eastAsia="zh-CN"/>
                    </w:rPr>
                    <w:t>（</w:t>
                  </w:r>
                  <w:r>
                    <w:rPr>
                      <w:b/>
                      <w:bCs/>
                      <w:color w:val="auto"/>
                      <w:sz w:val="21"/>
                      <w:szCs w:val="21"/>
                    </w:rPr>
                    <w:t>m</w:t>
                  </w:r>
                  <w:r>
                    <w:rPr>
                      <w:b/>
                      <w:bCs/>
                      <w:color w:val="auto"/>
                      <w:sz w:val="21"/>
                      <w:szCs w:val="21"/>
                      <w:vertAlign w:val="superscript"/>
                    </w:rPr>
                    <w:t>3</w:t>
                  </w:r>
                  <w:r>
                    <w:rPr>
                      <w:b/>
                      <w:bCs/>
                      <w:color w:val="auto"/>
                      <w:sz w:val="21"/>
                      <w:szCs w:val="21"/>
                    </w:rPr>
                    <w:t>/a</w:t>
                  </w:r>
                  <w:r>
                    <w:rPr>
                      <w:rFonts w:hint="eastAsia"/>
                      <w:b/>
                      <w:bCs/>
                      <w:color w:val="auto"/>
                      <w:sz w:val="21"/>
                      <w:szCs w:val="21"/>
                      <w:lang w:eastAsia="zh-CN"/>
                    </w:rPr>
                    <w:t>）</w:t>
                  </w:r>
                </w:p>
              </w:tc>
              <w:tc>
                <w:tcPr>
                  <w:tcW w:w="0" w:type="auto"/>
                  <w:vMerge w:val="restart"/>
                  <w:noWrap w:val="0"/>
                  <w:vAlign w:val="center"/>
                </w:tcPr>
                <w:p w14:paraId="4575F3CF">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污染</w:t>
                  </w:r>
                </w:p>
                <w:p w14:paraId="736191AE">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因子</w:t>
                  </w:r>
                </w:p>
              </w:tc>
              <w:tc>
                <w:tcPr>
                  <w:tcW w:w="0" w:type="auto"/>
                  <w:gridSpan w:val="2"/>
                  <w:noWrap w:val="0"/>
                  <w:vAlign w:val="center"/>
                </w:tcPr>
                <w:p w14:paraId="01ADCF11">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污染物产生量</w:t>
                  </w:r>
                </w:p>
              </w:tc>
              <w:tc>
                <w:tcPr>
                  <w:tcW w:w="0" w:type="auto"/>
                  <w:vMerge w:val="restart"/>
                  <w:noWrap w:val="0"/>
                  <w:vAlign w:val="center"/>
                </w:tcPr>
                <w:p w14:paraId="54CB2FAD">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治理</w:t>
                  </w:r>
                </w:p>
                <w:p w14:paraId="54F8AFA0">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措施</w:t>
                  </w:r>
                </w:p>
              </w:tc>
              <w:tc>
                <w:tcPr>
                  <w:tcW w:w="0" w:type="auto"/>
                  <w:gridSpan w:val="2"/>
                  <w:noWrap w:val="0"/>
                  <w:vAlign w:val="center"/>
                </w:tcPr>
                <w:p w14:paraId="13C20565">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污染物排放量</w:t>
                  </w:r>
                </w:p>
              </w:tc>
              <w:tc>
                <w:tcPr>
                  <w:tcW w:w="0" w:type="auto"/>
                  <w:vMerge w:val="restart"/>
                  <w:noWrap w:val="0"/>
                  <w:vAlign w:val="center"/>
                </w:tcPr>
                <w:p w14:paraId="13E31ED5">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接管标准浓度限值</w:t>
                  </w:r>
                  <w:r>
                    <w:rPr>
                      <w:rFonts w:hint="eastAsia"/>
                      <w:b/>
                      <w:bCs/>
                      <w:color w:val="auto"/>
                      <w:sz w:val="21"/>
                      <w:szCs w:val="21"/>
                      <w:lang w:eastAsia="zh-CN"/>
                    </w:rPr>
                    <w:t>（</w:t>
                  </w:r>
                  <w:r>
                    <w:rPr>
                      <w:b/>
                      <w:bCs/>
                      <w:color w:val="auto"/>
                      <w:sz w:val="21"/>
                      <w:szCs w:val="21"/>
                    </w:rPr>
                    <w:t>mg/L</w:t>
                  </w:r>
                  <w:r>
                    <w:rPr>
                      <w:rFonts w:hint="eastAsia"/>
                      <w:b/>
                      <w:bCs/>
                      <w:color w:val="auto"/>
                      <w:sz w:val="21"/>
                      <w:szCs w:val="21"/>
                      <w:lang w:eastAsia="zh-CN"/>
                    </w:rPr>
                    <w:t>）</w:t>
                  </w:r>
                </w:p>
              </w:tc>
              <w:tc>
                <w:tcPr>
                  <w:tcW w:w="0" w:type="auto"/>
                  <w:vMerge w:val="restart"/>
                  <w:noWrap w:val="0"/>
                  <w:vAlign w:val="center"/>
                </w:tcPr>
                <w:p w14:paraId="7000CD66">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排放</w:t>
                  </w:r>
                </w:p>
                <w:p w14:paraId="5A0623FE">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去向</w:t>
                  </w:r>
                </w:p>
              </w:tc>
            </w:tr>
            <w:tr w14:paraId="1AFB410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0" w:type="auto"/>
                  <w:vMerge w:val="continue"/>
                  <w:noWrap w:val="0"/>
                  <w:vAlign w:val="center"/>
                </w:tcPr>
                <w:p w14:paraId="5DD29042">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0" w:type="auto"/>
                  <w:vMerge w:val="continue"/>
                  <w:noWrap w:val="0"/>
                  <w:vAlign w:val="center"/>
                </w:tcPr>
                <w:p w14:paraId="5A1F367C">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0" w:type="auto"/>
                  <w:vMerge w:val="continue"/>
                  <w:noWrap w:val="0"/>
                  <w:vAlign w:val="center"/>
                </w:tcPr>
                <w:p w14:paraId="466CFC7C">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0" w:type="auto"/>
                  <w:noWrap w:val="0"/>
                  <w:vAlign w:val="center"/>
                </w:tcPr>
                <w:p w14:paraId="5A94494F">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浓度</w:t>
                  </w:r>
                </w:p>
                <w:p w14:paraId="173687C5">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(mg/L)</w:t>
                  </w:r>
                </w:p>
              </w:tc>
              <w:tc>
                <w:tcPr>
                  <w:tcW w:w="0" w:type="auto"/>
                  <w:tcBorders>
                    <w:bottom w:val="single" w:color="auto" w:sz="2" w:space="0"/>
                  </w:tcBorders>
                  <w:noWrap w:val="0"/>
                  <w:vAlign w:val="center"/>
                </w:tcPr>
                <w:p w14:paraId="7372DAA2">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产生量</w:t>
                  </w:r>
                  <w:r>
                    <w:rPr>
                      <w:rFonts w:hint="eastAsia"/>
                      <w:b/>
                      <w:bCs/>
                      <w:color w:val="auto"/>
                      <w:sz w:val="21"/>
                      <w:szCs w:val="21"/>
                      <w:lang w:eastAsia="zh-CN"/>
                    </w:rPr>
                    <w:t>(</w:t>
                  </w:r>
                  <w:r>
                    <w:rPr>
                      <w:b/>
                      <w:bCs/>
                      <w:color w:val="auto"/>
                      <w:sz w:val="21"/>
                      <w:szCs w:val="21"/>
                    </w:rPr>
                    <w:t>t/a</w:t>
                  </w:r>
                  <w:r>
                    <w:rPr>
                      <w:rFonts w:hint="eastAsia"/>
                      <w:b/>
                      <w:bCs/>
                      <w:color w:val="auto"/>
                      <w:sz w:val="21"/>
                      <w:szCs w:val="21"/>
                      <w:lang w:eastAsia="zh-CN"/>
                    </w:rPr>
                    <w:t>)</w:t>
                  </w:r>
                </w:p>
              </w:tc>
              <w:tc>
                <w:tcPr>
                  <w:tcW w:w="0" w:type="auto"/>
                  <w:vMerge w:val="continue"/>
                  <w:noWrap w:val="0"/>
                  <w:vAlign w:val="center"/>
                </w:tcPr>
                <w:p w14:paraId="4CD8D2D3">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p>
              </w:tc>
              <w:tc>
                <w:tcPr>
                  <w:tcW w:w="0" w:type="auto"/>
                  <w:noWrap w:val="0"/>
                  <w:vAlign w:val="center"/>
                </w:tcPr>
                <w:p w14:paraId="3DD525B8">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浓度</w:t>
                  </w:r>
                </w:p>
                <w:p w14:paraId="40241518">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(mg/L)</w:t>
                  </w:r>
                </w:p>
              </w:tc>
              <w:tc>
                <w:tcPr>
                  <w:tcW w:w="0" w:type="auto"/>
                  <w:noWrap w:val="0"/>
                  <w:vAlign w:val="center"/>
                </w:tcPr>
                <w:p w14:paraId="3A3D1154">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排放量</w:t>
                  </w:r>
                </w:p>
                <w:p w14:paraId="617A0A58">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rFonts w:hint="eastAsia"/>
                      <w:b/>
                      <w:bCs/>
                      <w:color w:val="auto"/>
                      <w:sz w:val="21"/>
                      <w:szCs w:val="21"/>
                      <w:lang w:eastAsia="zh-CN"/>
                    </w:rPr>
                    <w:t>(</w:t>
                  </w:r>
                  <w:r>
                    <w:rPr>
                      <w:b/>
                      <w:bCs/>
                      <w:color w:val="auto"/>
                      <w:sz w:val="21"/>
                      <w:szCs w:val="21"/>
                    </w:rPr>
                    <w:t>t/a</w:t>
                  </w:r>
                  <w:r>
                    <w:rPr>
                      <w:rFonts w:hint="eastAsia"/>
                      <w:b/>
                      <w:bCs/>
                      <w:color w:val="auto"/>
                      <w:sz w:val="21"/>
                      <w:szCs w:val="21"/>
                      <w:lang w:eastAsia="zh-CN"/>
                    </w:rPr>
                    <w:t>)</w:t>
                  </w:r>
                </w:p>
              </w:tc>
              <w:tc>
                <w:tcPr>
                  <w:tcW w:w="0" w:type="auto"/>
                  <w:vMerge w:val="continue"/>
                  <w:noWrap w:val="0"/>
                  <w:vAlign w:val="center"/>
                </w:tcPr>
                <w:p w14:paraId="3A3D682D">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0" w:type="auto"/>
                  <w:vMerge w:val="continue"/>
                  <w:noWrap w:val="0"/>
                  <w:vAlign w:val="center"/>
                </w:tcPr>
                <w:p w14:paraId="617F8030">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r>
            <w:tr w14:paraId="5089FEA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0" w:type="auto"/>
                  <w:vMerge w:val="restart"/>
                  <w:noWrap w:val="0"/>
                  <w:vAlign w:val="center"/>
                </w:tcPr>
                <w:p w14:paraId="21DFE4F5">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生活污水</w:t>
                  </w:r>
                </w:p>
              </w:tc>
              <w:tc>
                <w:tcPr>
                  <w:tcW w:w="0" w:type="auto"/>
                  <w:vMerge w:val="restart"/>
                  <w:noWrap w:val="0"/>
                  <w:vAlign w:val="center"/>
                </w:tcPr>
                <w:p w14:paraId="28286AD9">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1200</w:t>
                  </w:r>
                </w:p>
              </w:tc>
              <w:tc>
                <w:tcPr>
                  <w:tcW w:w="0" w:type="auto"/>
                  <w:noWrap w:val="0"/>
                  <w:vAlign w:val="center"/>
                </w:tcPr>
                <w:p w14:paraId="43E2D448">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COD</w:t>
                  </w:r>
                </w:p>
              </w:tc>
              <w:tc>
                <w:tcPr>
                  <w:tcW w:w="835" w:type="dxa"/>
                  <w:noWrap w:val="0"/>
                  <w:vAlign w:val="center"/>
                </w:tcPr>
                <w:p w14:paraId="7C68CAB5">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400</w:t>
                  </w:r>
                </w:p>
              </w:tc>
              <w:tc>
                <w:tcPr>
                  <w:tcW w:w="852" w:type="dxa"/>
                  <w:tcBorders>
                    <w:top w:val="single" w:color="auto" w:sz="2" w:space="0"/>
                  </w:tcBorders>
                  <w:noWrap w:val="0"/>
                  <w:vAlign w:val="center"/>
                </w:tcPr>
                <w:p w14:paraId="44BD75D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0.48</w:t>
                  </w:r>
                </w:p>
              </w:tc>
              <w:tc>
                <w:tcPr>
                  <w:tcW w:w="0" w:type="auto"/>
                  <w:vMerge w:val="restart"/>
                  <w:noWrap w:val="0"/>
                  <w:vAlign w:val="center"/>
                </w:tcPr>
                <w:p w14:paraId="6F1FB5A6">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化粪池</w:t>
                  </w:r>
                </w:p>
              </w:tc>
              <w:tc>
                <w:tcPr>
                  <w:tcW w:w="835" w:type="dxa"/>
                  <w:noWrap w:val="0"/>
                  <w:vAlign w:val="center"/>
                </w:tcPr>
                <w:p w14:paraId="3B039A54">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400</w:t>
                  </w:r>
                </w:p>
              </w:tc>
              <w:tc>
                <w:tcPr>
                  <w:tcW w:w="898" w:type="dxa"/>
                  <w:shd w:val="clear" w:color="auto" w:fill="auto"/>
                  <w:noWrap w:val="0"/>
                  <w:vAlign w:val="center"/>
                </w:tcPr>
                <w:p w14:paraId="2D805B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0.48</w:t>
                  </w:r>
                </w:p>
              </w:tc>
              <w:tc>
                <w:tcPr>
                  <w:tcW w:w="0" w:type="auto"/>
                  <w:noWrap w:val="0"/>
                  <w:vAlign w:val="center"/>
                </w:tcPr>
                <w:p w14:paraId="51E47EFD">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500</w:t>
                  </w:r>
                </w:p>
              </w:tc>
              <w:tc>
                <w:tcPr>
                  <w:tcW w:w="0" w:type="auto"/>
                  <w:vMerge w:val="restart"/>
                  <w:noWrap w:val="0"/>
                  <w:vAlign w:val="center"/>
                </w:tcPr>
                <w:p w14:paraId="4708D84E">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lang w:eastAsia="zh-CN"/>
                    </w:rPr>
                    <w:t>金坛第二污水处理厂</w:t>
                  </w:r>
                </w:p>
              </w:tc>
            </w:tr>
            <w:tr w14:paraId="02D995B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0" w:type="auto"/>
                  <w:vMerge w:val="continue"/>
                  <w:noWrap w:val="0"/>
                  <w:vAlign w:val="center"/>
                </w:tcPr>
                <w:p w14:paraId="1D757CD1">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0" w:type="auto"/>
                  <w:vMerge w:val="continue"/>
                  <w:noWrap w:val="0"/>
                  <w:vAlign w:val="center"/>
                </w:tcPr>
                <w:p w14:paraId="7D6F6B76">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0" w:type="auto"/>
                  <w:noWrap w:val="0"/>
                  <w:vAlign w:val="center"/>
                </w:tcPr>
                <w:p w14:paraId="37593AA5">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SS</w:t>
                  </w:r>
                </w:p>
              </w:tc>
              <w:tc>
                <w:tcPr>
                  <w:tcW w:w="835" w:type="dxa"/>
                  <w:noWrap w:val="0"/>
                  <w:vAlign w:val="center"/>
                </w:tcPr>
                <w:p w14:paraId="4BD97837">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0</w:t>
                  </w:r>
                </w:p>
              </w:tc>
              <w:tc>
                <w:tcPr>
                  <w:tcW w:w="852" w:type="dxa"/>
                  <w:noWrap w:val="0"/>
                  <w:vAlign w:val="center"/>
                </w:tcPr>
                <w:p w14:paraId="3ADAC37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0.24</w:t>
                  </w:r>
                </w:p>
              </w:tc>
              <w:tc>
                <w:tcPr>
                  <w:tcW w:w="0" w:type="auto"/>
                  <w:vMerge w:val="continue"/>
                  <w:noWrap w:val="0"/>
                  <w:vAlign w:val="center"/>
                </w:tcPr>
                <w:p w14:paraId="35887925">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835" w:type="dxa"/>
                  <w:noWrap w:val="0"/>
                  <w:vAlign w:val="center"/>
                </w:tcPr>
                <w:p w14:paraId="38204D1D">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0</w:t>
                  </w:r>
                </w:p>
              </w:tc>
              <w:tc>
                <w:tcPr>
                  <w:tcW w:w="898" w:type="dxa"/>
                  <w:shd w:val="clear" w:color="auto" w:fill="auto"/>
                  <w:noWrap w:val="0"/>
                  <w:vAlign w:val="center"/>
                </w:tcPr>
                <w:p w14:paraId="13F62BE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0.24</w:t>
                  </w:r>
                </w:p>
              </w:tc>
              <w:tc>
                <w:tcPr>
                  <w:tcW w:w="0" w:type="auto"/>
                  <w:noWrap w:val="0"/>
                  <w:vAlign w:val="center"/>
                </w:tcPr>
                <w:p w14:paraId="79772884">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250</w:t>
                  </w:r>
                </w:p>
              </w:tc>
              <w:tc>
                <w:tcPr>
                  <w:tcW w:w="0" w:type="auto"/>
                  <w:vMerge w:val="continue"/>
                  <w:noWrap w:val="0"/>
                  <w:vAlign w:val="center"/>
                </w:tcPr>
                <w:p w14:paraId="1B2F24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r>
            <w:tr w14:paraId="1B07B77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0" w:type="auto"/>
                  <w:vMerge w:val="continue"/>
                  <w:noWrap w:val="0"/>
                  <w:vAlign w:val="center"/>
                </w:tcPr>
                <w:p w14:paraId="211EDBFC">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0" w:type="auto"/>
                  <w:vMerge w:val="continue"/>
                  <w:noWrap w:val="0"/>
                  <w:vAlign w:val="center"/>
                </w:tcPr>
                <w:p w14:paraId="47FF1B13">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0" w:type="auto"/>
                  <w:noWrap w:val="0"/>
                  <w:vAlign w:val="center"/>
                </w:tcPr>
                <w:p w14:paraId="35F4DA73">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氨氮</w:t>
                  </w:r>
                </w:p>
              </w:tc>
              <w:tc>
                <w:tcPr>
                  <w:tcW w:w="835" w:type="dxa"/>
                  <w:noWrap w:val="0"/>
                  <w:vAlign w:val="center"/>
                </w:tcPr>
                <w:p w14:paraId="218F1099">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25</w:t>
                  </w:r>
                </w:p>
              </w:tc>
              <w:tc>
                <w:tcPr>
                  <w:tcW w:w="852" w:type="dxa"/>
                  <w:noWrap w:val="0"/>
                  <w:vAlign w:val="center"/>
                </w:tcPr>
                <w:p w14:paraId="7C0CF16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0.03</w:t>
                  </w:r>
                </w:p>
              </w:tc>
              <w:tc>
                <w:tcPr>
                  <w:tcW w:w="0" w:type="auto"/>
                  <w:vMerge w:val="continue"/>
                  <w:noWrap w:val="0"/>
                  <w:vAlign w:val="center"/>
                </w:tcPr>
                <w:p w14:paraId="4BFA45A8">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835" w:type="dxa"/>
                  <w:noWrap w:val="0"/>
                  <w:vAlign w:val="center"/>
                </w:tcPr>
                <w:p w14:paraId="333C1E53">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898" w:type="dxa"/>
                  <w:shd w:val="clear" w:color="auto" w:fill="auto"/>
                  <w:noWrap w:val="0"/>
                  <w:vAlign w:val="center"/>
                </w:tcPr>
                <w:p w14:paraId="2FE9CD8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0.03</w:t>
                  </w:r>
                </w:p>
              </w:tc>
              <w:tc>
                <w:tcPr>
                  <w:tcW w:w="0" w:type="auto"/>
                  <w:noWrap w:val="0"/>
                  <w:vAlign w:val="center"/>
                </w:tcPr>
                <w:p w14:paraId="3C238FEC">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w:t>
                  </w:r>
                  <w:r>
                    <w:rPr>
                      <w:rFonts w:ascii="Times New Roman" w:hAnsi="Times New Roman" w:eastAsia="宋体" w:cs="Times New Roman"/>
                      <w:color w:val="auto"/>
                      <w:sz w:val="21"/>
                      <w:szCs w:val="21"/>
                    </w:rPr>
                    <w:t>5</w:t>
                  </w:r>
                </w:p>
              </w:tc>
              <w:tc>
                <w:tcPr>
                  <w:tcW w:w="0" w:type="auto"/>
                  <w:vMerge w:val="continue"/>
                  <w:noWrap w:val="0"/>
                  <w:vAlign w:val="center"/>
                </w:tcPr>
                <w:p w14:paraId="2442E3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r>
            <w:tr w14:paraId="32AC64B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0" w:type="auto"/>
                  <w:vMerge w:val="continue"/>
                  <w:noWrap w:val="0"/>
                  <w:vAlign w:val="center"/>
                </w:tcPr>
                <w:p w14:paraId="65A1A6A8">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0" w:type="auto"/>
                  <w:vMerge w:val="continue"/>
                  <w:noWrap w:val="0"/>
                  <w:vAlign w:val="center"/>
                </w:tcPr>
                <w:p w14:paraId="31A0C62E">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0" w:type="auto"/>
                  <w:noWrap w:val="0"/>
                  <w:vAlign w:val="center"/>
                </w:tcPr>
                <w:p w14:paraId="7647FC60">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TN</w:t>
                  </w:r>
                </w:p>
              </w:tc>
              <w:tc>
                <w:tcPr>
                  <w:tcW w:w="835" w:type="dxa"/>
                  <w:noWrap w:val="0"/>
                  <w:vAlign w:val="center"/>
                </w:tcPr>
                <w:p w14:paraId="486AAB7E">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35</w:t>
                  </w:r>
                </w:p>
              </w:tc>
              <w:tc>
                <w:tcPr>
                  <w:tcW w:w="852" w:type="dxa"/>
                  <w:noWrap w:val="0"/>
                  <w:vAlign w:val="center"/>
                </w:tcPr>
                <w:p w14:paraId="48954AD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0.042</w:t>
                  </w:r>
                </w:p>
              </w:tc>
              <w:tc>
                <w:tcPr>
                  <w:tcW w:w="0" w:type="auto"/>
                  <w:vMerge w:val="continue"/>
                  <w:noWrap w:val="0"/>
                  <w:vAlign w:val="center"/>
                </w:tcPr>
                <w:p w14:paraId="2FB8FCD1">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835" w:type="dxa"/>
                  <w:noWrap w:val="0"/>
                  <w:vAlign w:val="center"/>
                </w:tcPr>
                <w:p w14:paraId="63A0D075">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c>
                <w:tcPr>
                  <w:tcW w:w="898" w:type="dxa"/>
                  <w:shd w:val="clear" w:color="auto" w:fill="auto"/>
                  <w:noWrap w:val="0"/>
                  <w:vAlign w:val="center"/>
                </w:tcPr>
                <w:p w14:paraId="2AA4BC3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0.042</w:t>
                  </w:r>
                </w:p>
              </w:tc>
              <w:tc>
                <w:tcPr>
                  <w:tcW w:w="0" w:type="auto"/>
                  <w:noWrap w:val="0"/>
                  <w:vAlign w:val="center"/>
                </w:tcPr>
                <w:p w14:paraId="79337B42">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50</w:t>
                  </w:r>
                </w:p>
              </w:tc>
              <w:tc>
                <w:tcPr>
                  <w:tcW w:w="0" w:type="auto"/>
                  <w:vMerge w:val="continue"/>
                  <w:noWrap w:val="0"/>
                  <w:vAlign w:val="center"/>
                </w:tcPr>
                <w:p w14:paraId="4C0B1B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r>
            <w:tr w14:paraId="72F1782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0" w:type="auto"/>
                  <w:vMerge w:val="continue"/>
                  <w:noWrap w:val="0"/>
                  <w:vAlign w:val="center"/>
                </w:tcPr>
                <w:p w14:paraId="2C87CF5F">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0" w:type="auto"/>
                  <w:vMerge w:val="continue"/>
                  <w:noWrap w:val="0"/>
                  <w:vAlign w:val="center"/>
                </w:tcPr>
                <w:p w14:paraId="2009392C">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0" w:type="auto"/>
                  <w:noWrap w:val="0"/>
                  <w:vAlign w:val="center"/>
                </w:tcPr>
                <w:p w14:paraId="3E5CEC0D">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TP</w:t>
                  </w:r>
                </w:p>
              </w:tc>
              <w:tc>
                <w:tcPr>
                  <w:tcW w:w="835" w:type="dxa"/>
                  <w:noWrap w:val="0"/>
                  <w:vAlign w:val="center"/>
                </w:tcPr>
                <w:p w14:paraId="4486DCAD">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.5</w:t>
                  </w:r>
                </w:p>
              </w:tc>
              <w:tc>
                <w:tcPr>
                  <w:tcW w:w="852" w:type="dxa"/>
                  <w:noWrap w:val="0"/>
                  <w:vAlign w:val="center"/>
                </w:tcPr>
                <w:p w14:paraId="3116203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0" w:type="auto"/>
                  <w:vMerge w:val="continue"/>
                  <w:noWrap w:val="0"/>
                  <w:vAlign w:val="center"/>
                </w:tcPr>
                <w:p w14:paraId="23C18459">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835" w:type="dxa"/>
                  <w:noWrap w:val="0"/>
                  <w:vAlign w:val="center"/>
                </w:tcPr>
                <w:p w14:paraId="7A564324">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.5</w:t>
                  </w:r>
                </w:p>
              </w:tc>
              <w:tc>
                <w:tcPr>
                  <w:tcW w:w="898" w:type="dxa"/>
                  <w:shd w:val="clear" w:color="auto" w:fill="auto"/>
                  <w:noWrap w:val="0"/>
                  <w:vAlign w:val="center"/>
                </w:tcPr>
                <w:p w14:paraId="77952AE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0" w:type="auto"/>
                  <w:noWrap w:val="0"/>
                  <w:vAlign w:val="center"/>
                </w:tcPr>
                <w:p w14:paraId="7BB9BA13">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3</w:t>
                  </w:r>
                </w:p>
              </w:tc>
              <w:tc>
                <w:tcPr>
                  <w:tcW w:w="0" w:type="auto"/>
                  <w:vMerge w:val="continue"/>
                  <w:noWrap w:val="0"/>
                  <w:vAlign w:val="center"/>
                </w:tcPr>
                <w:p w14:paraId="239CDD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r>
          </w:tbl>
          <w:p w14:paraId="2F220E46">
            <w:pPr>
              <w:ind w:firstLine="0" w:firstLineChars="0"/>
              <w:rPr>
                <w:b/>
                <w:bCs/>
                <w:color w:val="auto"/>
                <w:sz w:val="24"/>
                <w:szCs w:val="24"/>
              </w:rPr>
            </w:pPr>
            <w:r>
              <w:rPr>
                <w:b/>
                <w:bCs/>
                <w:color w:val="auto"/>
                <w:sz w:val="24"/>
                <w:szCs w:val="24"/>
              </w:rPr>
              <w:t>1.2废水排放情况</w:t>
            </w:r>
          </w:p>
          <w:p w14:paraId="17A88CE1">
            <w:pPr>
              <w:spacing w:line="240" w:lineRule="auto"/>
              <w:ind w:firstLine="0" w:firstLineChars="0"/>
              <w:jc w:val="center"/>
              <w:rPr>
                <w:b/>
                <w:bCs/>
                <w:color w:val="auto"/>
                <w:sz w:val="21"/>
                <w:szCs w:val="21"/>
              </w:rPr>
            </w:pPr>
            <w:r>
              <w:rPr>
                <w:b/>
                <w:bCs/>
                <w:color w:val="auto"/>
                <w:sz w:val="21"/>
                <w:szCs w:val="21"/>
              </w:rPr>
              <w:t>表4</w:t>
            </w:r>
            <w:r>
              <w:rPr>
                <w:rFonts w:hint="eastAsia"/>
                <w:b/>
                <w:bCs/>
                <w:color w:val="auto"/>
                <w:sz w:val="21"/>
                <w:szCs w:val="21"/>
                <w:lang w:val="en-US" w:eastAsia="zh-CN"/>
              </w:rPr>
              <w:t>.1</w:t>
            </w:r>
            <w:r>
              <w:rPr>
                <w:b/>
                <w:bCs/>
                <w:color w:val="auto"/>
                <w:sz w:val="21"/>
                <w:szCs w:val="21"/>
              </w:rPr>
              <w:t>-</w:t>
            </w:r>
            <w:r>
              <w:rPr>
                <w:rFonts w:hint="eastAsia"/>
                <w:b/>
                <w:bCs/>
                <w:color w:val="auto"/>
                <w:sz w:val="21"/>
                <w:szCs w:val="21"/>
                <w:lang w:val="en-US" w:eastAsia="zh-CN"/>
              </w:rPr>
              <w:t>2</w:t>
            </w:r>
            <w:r>
              <w:rPr>
                <w:b/>
                <w:bCs/>
                <w:color w:val="auto"/>
                <w:sz w:val="21"/>
                <w:szCs w:val="21"/>
              </w:rPr>
              <w:t xml:space="preserve">  废水排放及排放口基本情况一览表</w:t>
            </w:r>
          </w:p>
          <w:tbl>
            <w:tblPr>
              <w:tblStyle w:val="17"/>
              <w:tblW w:w="498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79"/>
              <w:gridCol w:w="485"/>
              <w:gridCol w:w="1600"/>
              <w:gridCol w:w="1924"/>
              <w:gridCol w:w="572"/>
              <w:gridCol w:w="432"/>
              <w:gridCol w:w="594"/>
              <w:gridCol w:w="603"/>
              <w:gridCol w:w="806"/>
              <w:gridCol w:w="655"/>
              <w:gridCol w:w="769"/>
            </w:tblGrid>
            <w:tr w14:paraId="34AD89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95" w:type="pct"/>
                  <w:gridSpan w:val="4"/>
                  <w:tcBorders>
                    <w:tl2br w:val="nil"/>
                    <w:tr2bl w:val="nil"/>
                  </w:tcBorders>
                  <w:noWrap w:val="0"/>
                  <w:vAlign w:val="center"/>
                </w:tcPr>
                <w:p w14:paraId="5F0C674D">
                  <w:pPr>
                    <w:spacing w:line="240" w:lineRule="auto"/>
                    <w:ind w:firstLine="0" w:firstLineChars="0"/>
                    <w:jc w:val="center"/>
                    <w:rPr>
                      <w:b/>
                      <w:bCs/>
                      <w:color w:val="auto"/>
                      <w:sz w:val="21"/>
                      <w:szCs w:val="21"/>
                    </w:rPr>
                  </w:pPr>
                  <w:r>
                    <w:rPr>
                      <w:b/>
                      <w:bCs/>
                      <w:color w:val="auto"/>
                      <w:sz w:val="21"/>
                      <w:szCs w:val="21"/>
                    </w:rPr>
                    <w:t>排放口基本情况</w:t>
                  </w:r>
                </w:p>
              </w:tc>
              <w:tc>
                <w:tcPr>
                  <w:tcW w:w="310" w:type="pct"/>
                  <w:vMerge w:val="restart"/>
                  <w:tcBorders>
                    <w:tl2br w:val="nil"/>
                    <w:tr2bl w:val="nil"/>
                  </w:tcBorders>
                  <w:noWrap w:val="0"/>
                  <w:vAlign w:val="center"/>
                </w:tcPr>
                <w:p w14:paraId="1B8CDE28">
                  <w:pPr>
                    <w:spacing w:line="240" w:lineRule="auto"/>
                    <w:ind w:firstLine="0" w:firstLineChars="0"/>
                    <w:jc w:val="center"/>
                    <w:rPr>
                      <w:b/>
                      <w:bCs/>
                      <w:color w:val="auto"/>
                      <w:sz w:val="21"/>
                      <w:szCs w:val="21"/>
                    </w:rPr>
                  </w:pPr>
                  <w:r>
                    <w:rPr>
                      <w:b/>
                      <w:bCs/>
                      <w:color w:val="auto"/>
                      <w:sz w:val="21"/>
                      <w:szCs w:val="21"/>
                    </w:rPr>
                    <w:t>排放去向</w:t>
                  </w:r>
                </w:p>
              </w:tc>
              <w:tc>
                <w:tcPr>
                  <w:tcW w:w="234" w:type="pct"/>
                  <w:vMerge w:val="restart"/>
                  <w:tcBorders>
                    <w:tl2br w:val="nil"/>
                    <w:tr2bl w:val="nil"/>
                  </w:tcBorders>
                  <w:noWrap w:val="0"/>
                  <w:vAlign w:val="center"/>
                </w:tcPr>
                <w:p w14:paraId="696D1355">
                  <w:pPr>
                    <w:spacing w:line="240" w:lineRule="auto"/>
                    <w:ind w:firstLine="0" w:firstLineChars="0"/>
                    <w:jc w:val="center"/>
                    <w:rPr>
                      <w:b/>
                      <w:bCs/>
                      <w:color w:val="auto"/>
                      <w:sz w:val="21"/>
                      <w:szCs w:val="21"/>
                    </w:rPr>
                  </w:pPr>
                  <w:r>
                    <w:rPr>
                      <w:b/>
                      <w:bCs/>
                      <w:color w:val="auto"/>
                      <w:sz w:val="21"/>
                      <w:szCs w:val="21"/>
                    </w:rPr>
                    <w:t>排放规律</w:t>
                  </w:r>
                </w:p>
              </w:tc>
              <w:tc>
                <w:tcPr>
                  <w:tcW w:w="1086" w:type="pct"/>
                  <w:gridSpan w:val="3"/>
                  <w:tcBorders>
                    <w:tl2br w:val="nil"/>
                    <w:tr2bl w:val="nil"/>
                  </w:tcBorders>
                  <w:noWrap w:val="0"/>
                  <w:vAlign w:val="center"/>
                </w:tcPr>
                <w:p w14:paraId="412791AA">
                  <w:pPr>
                    <w:spacing w:line="240" w:lineRule="auto"/>
                    <w:ind w:firstLine="0" w:firstLineChars="0"/>
                    <w:jc w:val="center"/>
                    <w:rPr>
                      <w:b/>
                      <w:bCs/>
                      <w:color w:val="auto"/>
                      <w:sz w:val="21"/>
                      <w:szCs w:val="21"/>
                    </w:rPr>
                  </w:pPr>
                  <w:r>
                    <w:rPr>
                      <w:b/>
                      <w:bCs/>
                      <w:color w:val="auto"/>
                      <w:sz w:val="21"/>
                      <w:szCs w:val="21"/>
                    </w:rPr>
                    <w:t>污染物排放</w:t>
                  </w:r>
                </w:p>
              </w:tc>
              <w:tc>
                <w:tcPr>
                  <w:tcW w:w="772" w:type="pct"/>
                  <w:gridSpan w:val="2"/>
                  <w:tcBorders>
                    <w:tl2br w:val="nil"/>
                    <w:tr2bl w:val="nil"/>
                  </w:tcBorders>
                  <w:noWrap w:val="0"/>
                  <w:vAlign w:val="center"/>
                </w:tcPr>
                <w:p w14:paraId="435B69B3">
                  <w:pPr>
                    <w:spacing w:line="240" w:lineRule="auto"/>
                    <w:ind w:firstLine="0" w:firstLineChars="0"/>
                    <w:jc w:val="center"/>
                    <w:rPr>
                      <w:b/>
                      <w:bCs/>
                      <w:color w:val="auto"/>
                      <w:sz w:val="21"/>
                      <w:szCs w:val="21"/>
                    </w:rPr>
                  </w:pPr>
                  <w:r>
                    <w:rPr>
                      <w:b/>
                      <w:bCs/>
                      <w:color w:val="auto"/>
                      <w:sz w:val="21"/>
                      <w:szCs w:val="21"/>
                    </w:rPr>
                    <w:t>接管标准</w:t>
                  </w:r>
                </w:p>
              </w:tc>
            </w:tr>
            <w:tr w14:paraId="2FC26D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2" w:type="pct"/>
                  <w:tcBorders>
                    <w:tl2br w:val="nil"/>
                    <w:tr2bl w:val="nil"/>
                  </w:tcBorders>
                  <w:noWrap w:val="0"/>
                  <w:vAlign w:val="center"/>
                </w:tcPr>
                <w:p w14:paraId="059ECFA2">
                  <w:pPr>
                    <w:spacing w:line="240" w:lineRule="auto"/>
                    <w:ind w:firstLine="0" w:firstLineChars="0"/>
                    <w:jc w:val="center"/>
                    <w:rPr>
                      <w:b/>
                      <w:bCs/>
                      <w:color w:val="auto"/>
                      <w:sz w:val="21"/>
                      <w:szCs w:val="21"/>
                    </w:rPr>
                  </w:pPr>
                  <w:r>
                    <w:rPr>
                      <w:b/>
                      <w:bCs/>
                      <w:color w:val="auto"/>
                      <w:sz w:val="21"/>
                      <w:szCs w:val="21"/>
                    </w:rPr>
                    <w:t>编号</w:t>
                  </w:r>
                </w:p>
              </w:tc>
              <w:tc>
                <w:tcPr>
                  <w:tcW w:w="263" w:type="pct"/>
                  <w:tcBorders>
                    <w:tl2br w:val="nil"/>
                    <w:tr2bl w:val="nil"/>
                  </w:tcBorders>
                  <w:noWrap w:val="0"/>
                  <w:vAlign w:val="center"/>
                </w:tcPr>
                <w:p w14:paraId="7F1B2324">
                  <w:pPr>
                    <w:spacing w:line="240" w:lineRule="auto"/>
                    <w:ind w:firstLine="0" w:firstLineChars="0"/>
                    <w:jc w:val="center"/>
                    <w:rPr>
                      <w:b/>
                      <w:bCs/>
                      <w:color w:val="auto"/>
                      <w:sz w:val="21"/>
                      <w:szCs w:val="21"/>
                    </w:rPr>
                  </w:pPr>
                  <w:r>
                    <w:rPr>
                      <w:b/>
                      <w:bCs/>
                      <w:color w:val="auto"/>
                      <w:sz w:val="21"/>
                      <w:szCs w:val="21"/>
                    </w:rPr>
                    <w:t>名称</w:t>
                  </w:r>
                </w:p>
              </w:tc>
              <w:tc>
                <w:tcPr>
                  <w:tcW w:w="867" w:type="pct"/>
                  <w:tcBorders>
                    <w:tl2br w:val="nil"/>
                    <w:tr2bl w:val="nil"/>
                  </w:tcBorders>
                  <w:noWrap w:val="0"/>
                  <w:vAlign w:val="center"/>
                </w:tcPr>
                <w:p w14:paraId="28E0A7A6">
                  <w:pPr>
                    <w:spacing w:line="240" w:lineRule="auto"/>
                    <w:ind w:firstLine="0" w:firstLineChars="0"/>
                    <w:jc w:val="center"/>
                    <w:rPr>
                      <w:b/>
                      <w:bCs/>
                      <w:color w:val="auto"/>
                      <w:sz w:val="21"/>
                      <w:szCs w:val="21"/>
                    </w:rPr>
                  </w:pPr>
                  <w:r>
                    <w:rPr>
                      <w:b/>
                      <w:bCs/>
                      <w:color w:val="auto"/>
                      <w:sz w:val="21"/>
                      <w:szCs w:val="21"/>
                    </w:rPr>
                    <w:t>排放口类型</w:t>
                  </w:r>
                </w:p>
              </w:tc>
              <w:tc>
                <w:tcPr>
                  <w:tcW w:w="1042" w:type="pct"/>
                  <w:tcBorders>
                    <w:tl2br w:val="nil"/>
                    <w:tr2bl w:val="nil"/>
                  </w:tcBorders>
                  <w:noWrap w:val="0"/>
                  <w:vAlign w:val="center"/>
                </w:tcPr>
                <w:p w14:paraId="7FCA7396">
                  <w:pPr>
                    <w:spacing w:line="240" w:lineRule="auto"/>
                    <w:ind w:firstLine="0" w:firstLineChars="0"/>
                    <w:jc w:val="center"/>
                    <w:rPr>
                      <w:b/>
                      <w:bCs/>
                      <w:color w:val="auto"/>
                      <w:sz w:val="21"/>
                      <w:szCs w:val="21"/>
                    </w:rPr>
                  </w:pPr>
                  <w:r>
                    <w:rPr>
                      <w:b/>
                      <w:bCs/>
                      <w:color w:val="auto"/>
                      <w:sz w:val="21"/>
                      <w:szCs w:val="21"/>
                    </w:rPr>
                    <w:t>地理坐标</w:t>
                  </w:r>
                </w:p>
              </w:tc>
              <w:tc>
                <w:tcPr>
                  <w:tcW w:w="310" w:type="pct"/>
                  <w:vMerge w:val="continue"/>
                  <w:tcBorders>
                    <w:tl2br w:val="nil"/>
                    <w:tr2bl w:val="nil"/>
                  </w:tcBorders>
                  <w:noWrap w:val="0"/>
                  <w:vAlign w:val="center"/>
                </w:tcPr>
                <w:p w14:paraId="04859BBB">
                  <w:pPr>
                    <w:spacing w:line="240" w:lineRule="auto"/>
                    <w:ind w:firstLine="0" w:firstLineChars="0"/>
                    <w:jc w:val="center"/>
                    <w:rPr>
                      <w:b/>
                      <w:bCs/>
                      <w:color w:val="auto"/>
                      <w:sz w:val="21"/>
                      <w:szCs w:val="21"/>
                    </w:rPr>
                  </w:pPr>
                </w:p>
              </w:tc>
              <w:tc>
                <w:tcPr>
                  <w:tcW w:w="234" w:type="pct"/>
                  <w:vMerge w:val="continue"/>
                  <w:tcBorders>
                    <w:tl2br w:val="nil"/>
                    <w:tr2bl w:val="nil"/>
                  </w:tcBorders>
                  <w:noWrap w:val="0"/>
                  <w:vAlign w:val="center"/>
                </w:tcPr>
                <w:p w14:paraId="1264DBB3">
                  <w:pPr>
                    <w:spacing w:line="240" w:lineRule="auto"/>
                    <w:ind w:firstLine="0" w:firstLineChars="0"/>
                    <w:jc w:val="center"/>
                    <w:rPr>
                      <w:b/>
                      <w:bCs/>
                      <w:color w:val="auto"/>
                      <w:sz w:val="21"/>
                      <w:szCs w:val="21"/>
                    </w:rPr>
                  </w:pPr>
                </w:p>
              </w:tc>
              <w:tc>
                <w:tcPr>
                  <w:tcW w:w="322" w:type="pct"/>
                  <w:tcBorders>
                    <w:tl2br w:val="nil"/>
                    <w:tr2bl w:val="nil"/>
                  </w:tcBorders>
                  <w:noWrap w:val="0"/>
                  <w:vAlign w:val="center"/>
                </w:tcPr>
                <w:p w14:paraId="510A2F93">
                  <w:pPr>
                    <w:spacing w:line="240" w:lineRule="auto"/>
                    <w:ind w:firstLine="0" w:firstLineChars="0"/>
                    <w:jc w:val="center"/>
                    <w:rPr>
                      <w:b/>
                      <w:bCs/>
                      <w:color w:val="auto"/>
                      <w:sz w:val="21"/>
                      <w:szCs w:val="21"/>
                    </w:rPr>
                  </w:pPr>
                  <w:r>
                    <w:rPr>
                      <w:b/>
                      <w:bCs/>
                      <w:color w:val="auto"/>
                      <w:sz w:val="21"/>
                      <w:szCs w:val="21"/>
                    </w:rPr>
                    <w:t>污染物种类</w:t>
                  </w:r>
                </w:p>
              </w:tc>
              <w:tc>
                <w:tcPr>
                  <w:tcW w:w="327" w:type="pct"/>
                  <w:tcBorders>
                    <w:tl2br w:val="nil"/>
                    <w:tr2bl w:val="nil"/>
                  </w:tcBorders>
                  <w:noWrap w:val="0"/>
                  <w:vAlign w:val="center"/>
                </w:tcPr>
                <w:p w14:paraId="2CC49F85">
                  <w:pPr>
                    <w:spacing w:line="240" w:lineRule="auto"/>
                    <w:ind w:firstLine="0" w:firstLineChars="0"/>
                    <w:jc w:val="center"/>
                    <w:rPr>
                      <w:b/>
                      <w:bCs/>
                      <w:color w:val="auto"/>
                      <w:sz w:val="21"/>
                      <w:szCs w:val="21"/>
                    </w:rPr>
                  </w:pPr>
                  <w:r>
                    <w:rPr>
                      <w:b/>
                      <w:bCs/>
                      <w:color w:val="auto"/>
                      <w:sz w:val="21"/>
                      <w:szCs w:val="21"/>
                    </w:rPr>
                    <w:t>浓度mg/L</w:t>
                  </w:r>
                </w:p>
              </w:tc>
              <w:tc>
                <w:tcPr>
                  <w:tcW w:w="437" w:type="pct"/>
                  <w:tcBorders>
                    <w:tl2br w:val="nil"/>
                    <w:tr2bl w:val="nil"/>
                  </w:tcBorders>
                  <w:noWrap w:val="0"/>
                  <w:vAlign w:val="center"/>
                </w:tcPr>
                <w:p w14:paraId="052D1622">
                  <w:pPr>
                    <w:spacing w:line="240" w:lineRule="auto"/>
                    <w:ind w:firstLine="0" w:firstLineChars="0"/>
                    <w:jc w:val="center"/>
                    <w:rPr>
                      <w:b/>
                      <w:bCs/>
                      <w:color w:val="auto"/>
                      <w:sz w:val="21"/>
                      <w:szCs w:val="21"/>
                    </w:rPr>
                  </w:pPr>
                  <w:r>
                    <w:rPr>
                      <w:b/>
                      <w:bCs/>
                      <w:color w:val="auto"/>
                      <w:sz w:val="21"/>
                      <w:szCs w:val="21"/>
                    </w:rPr>
                    <w:t>排放量t/a</w:t>
                  </w:r>
                </w:p>
              </w:tc>
              <w:tc>
                <w:tcPr>
                  <w:tcW w:w="355" w:type="pct"/>
                  <w:tcBorders>
                    <w:tl2br w:val="nil"/>
                    <w:tr2bl w:val="nil"/>
                  </w:tcBorders>
                  <w:noWrap w:val="0"/>
                  <w:vAlign w:val="center"/>
                </w:tcPr>
                <w:p w14:paraId="344F6601">
                  <w:pPr>
                    <w:spacing w:line="240" w:lineRule="auto"/>
                    <w:ind w:firstLine="0" w:firstLineChars="0"/>
                    <w:jc w:val="center"/>
                    <w:rPr>
                      <w:b/>
                      <w:bCs/>
                      <w:color w:val="auto"/>
                      <w:sz w:val="21"/>
                      <w:szCs w:val="21"/>
                    </w:rPr>
                  </w:pPr>
                  <w:r>
                    <w:rPr>
                      <w:b/>
                      <w:bCs/>
                      <w:color w:val="auto"/>
                      <w:sz w:val="21"/>
                      <w:szCs w:val="21"/>
                    </w:rPr>
                    <w:t>名称</w:t>
                  </w:r>
                </w:p>
              </w:tc>
              <w:tc>
                <w:tcPr>
                  <w:tcW w:w="417" w:type="pct"/>
                  <w:tcBorders>
                    <w:tl2br w:val="nil"/>
                    <w:tr2bl w:val="nil"/>
                  </w:tcBorders>
                  <w:noWrap w:val="0"/>
                  <w:vAlign w:val="center"/>
                </w:tcPr>
                <w:p w14:paraId="161746BF">
                  <w:pPr>
                    <w:spacing w:line="240" w:lineRule="auto"/>
                    <w:ind w:firstLine="0" w:firstLineChars="0"/>
                    <w:jc w:val="center"/>
                    <w:rPr>
                      <w:b/>
                      <w:bCs/>
                      <w:color w:val="auto"/>
                      <w:sz w:val="21"/>
                      <w:szCs w:val="21"/>
                    </w:rPr>
                  </w:pPr>
                  <w:r>
                    <w:rPr>
                      <w:b/>
                      <w:bCs/>
                      <w:color w:val="auto"/>
                      <w:sz w:val="21"/>
                      <w:szCs w:val="21"/>
                    </w:rPr>
                    <w:t>浓度mg/L</w:t>
                  </w:r>
                </w:p>
              </w:tc>
            </w:tr>
            <w:tr w14:paraId="1E7A90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2" w:type="pct"/>
                  <w:vMerge w:val="restart"/>
                  <w:tcBorders>
                    <w:tl2br w:val="nil"/>
                    <w:tr2bl w:val="nil"/>
                  </w:tcBorders>
                  <w:noWrap w:val="0"/>
                  <w:vAlign w:val="center"/>
                </w:tcPr>
                <w:p w14:paraId="259028C7">
                  <w:pPr>
                    <w:spacing w:line="240" w:lineRule="auto"/>
                    <w:ind w:firstLine="0" w:firstLineChars="0"/>
                    <w:jc w:val="center"/>
                    <w:rPr>
                      <w:color w:val="auto"/>
                      <w:sz w:val="21"/>
                      <w:szCs w:val="21"/>
                    </w:rPr>
                  </w:pPr>
                  <w:r>
                    <w:rPr>
                      <w:color w:val="auto"/>
                      <w:sz w:val="21"/>
                      <w:szCs w:val="21"/>
                    </w:rPr>
                    <w:t>DW001</w:t>
                  </w:r>
                </w:p>
              </w:tc>
              <w:tc>
                <w:tcPr>
                  <w:tcW w:w="263" w:type="pct"/>
                  <w:vMerge w:val="restart"/>
                  <w:tcBorders>
                    <w:tl2br w:val="nil"/>
                    <w:tr2bl w:val="nil"/>
                  </w:tcBorders>
                  <w:noWrap w:val="0"/>
                  <w:vAlign w:val="center"/>
                </w:tcPr>
                <w:p w14:paraId="5B95358F">
                  <w:pPr>
                    <w:spacing w:line="240" w:lineRule="auto"/>
                    <w:ind w:firstLine="0" w:firstLineChars="0"/>
                    <w:jc w:val="center"/>
                    <w:rPr>
                      <w:color w:val="auto"/>
                      <w:sz w:val="21"/>
                      <w:szCs w:val="21"/>
                    </w:rPr>
                  </w:pPr>
                  <w:r>
                    <w:rPr>
                      <w:rFonts w:hint="eastAsia"/>
                      <w:color w:val="auto"/>
                      <w:sz w:val="21"/>
                      <w:szCs w:val="21"/>
                      <w:lang w:val="en-US" w:eastAsia="zh-CN"/>
                    </w:rPr>
                    <w:t>污水</w:t>
                  </w:r>
                  <w:r>
                    <w:rPr>
                      <w:color w:val="auto"/>
                      <w:sz w:val="21"/>
                      <w:szCs w:val="21"/>
                    </w:rPr>
                    <w:t>排放口</w:t>
                  </w:r>
                </w:p>
              </w:tc>
              <w:tc>
                <w:tcPr>
                  <w:tcW w:w="867" w:type="pct"/>
                  <w:vMerge w:val="restart"/>
                  <w:tcBorders>
                    <w:tl2br w:val="nil"/>
                    <w:tr2bl w:val="nil"/>
                  </w:tcBorders>
                  <w:noWrap w:val="0"/>
                  <w:vAlign w:val="center"/>
                </w:tcPr>
                <w:p w14:paraId="3C8E7645">
                  <w:pPr>
                    <w:spacing w:line="240" w:lineRule="auto"/>
                    <w:ind w:firstLine="0" w:firstLineChars="0"/>
                    <w:jc w:val="center"/>
                    <w:rPr>
                      <w:color w:val="auto"/>
                      <w:sz w:val="21"/>
                      <w:szCs w:val="21"/>
                    </w:rPr>
                  </w:pPr>
                  <w:r>
                    <w:rPr>
                      <w:color w:val="auto"/>
                      <w:sz w:val="21"/>
                      <w:szCs w:val="21"/>
                    </w:rPr>
                    <w:t>■企业总排口</w:t>
                  </w:r>
                </w:p>
                <w:p w14:paraId="7FB5672A">
                  <w:pPr>
                    <w:spacing w:line="240" w:lineRule="auto"/>
                    <w:ind w:firstLine="0" w:firstLineChars="0"/>
                    <w:jc w:val="center"/>
                    <w:rPr>
                      <w:color w:val="auto"/>
                      <w:sz w:val="21"/>
                      <w:szCs w:val="21"/>
                    </w:rPr>
                  </w:pPr>
                  <w:r>
                    <w:rPr>
                      <w:color w:val="auto"/>
                      <w:sz w:val="21"/>
                      <w:szCs w:val="21"/>
                    </w:rPr>
                    <w:t>雨水排放口</w:t>
                  </w:r>
                </w:p>
                <w:p w14:paraId="1B6EE819">
                  <w:pPr>
                    <w:spacing w:line="240" w:lineRule="auto"/>
                    <w:ind w:firstLine="0" w:firstLineChars="0"/>
                    <w:jc w:val="center"/>
                    <w:rPr>
                      <w:color w:val="auto"/>
                      <w:sz w:val="21"/>
                      <w:szCs w:val="21"/>
                    </w:rPr>
                  </w:pPr>
                  <w:r>
                    <w:rPr>
                      <w:color w:val="auto"/>
                      <w:sz w:val="21"/>
                      <w:szCs w:val="21"/>
                    </w:rPr>
                    <w:t>清静下水排放口温排水排放口</w:t>
                  </w:r>
                </w:p>
                <w:p w14:paraId="3CA85D56">
                  <w:pPr>
                    <w:spacing w:line="240" w:lineRule="auto"/>
                    <w:ind w:firstLine="0" w:firstLineChars="0"/>
                    <w:jc w:val="center"/>
                    <w:rPr>
                      <w:color w:val="auto"/>
                      <w:sz w:val="21"/>
                      <w:szCs w:val="21"/>
                    </w:rPr>
                  </w:pPr>
                  <w:r>
                    <w:rPr>
                      <w:color w:val="auto"/>
                      <w:sz w:val="21"/>
                      <w:szCs w:val="21"/>
                    </w:rPr>
                    <w:t>车间或车间</w:t>
                  </w:r>
                </w:p>
                <w:p w14:paraId="5E72BB57">
                  <w:pPr>
                    <w:spacing w:line="240" w:lineRule="auto"/>
                    <w:ind w:firstLine="0" w:firstLineChars="0"/>
                    <w:jc w:val="center"/>
                    <w:rPr>
                      <w:color w:val="auto"/>
                      <w:sz w:val="21"/>
                      <w:szCs w:val="21"/>
                    </w:rPr>
                  </w:pPr>
                  <w:r>
                    <w:rPr>
                      <w:color w:val="auto"/>
                      <w:sz w:val="21"/>
                      <w:szCs w:val="21"/>
                    </w:rPr>
                    <w:t>处理设施排放口</w:t>
                  </w:r>
                </w:p>
              </w:tc>
              <w:tc>
                <w:tcPr>
                  <w:tcW w:w="1042" w:type="pct"/>
                  <w:vMerge w:val="restart"/>
                  <w:tcBorders>
                    <w:tl2br w:val="nil"/>
                    <w:tr2bl w:val="nil"/>
                  </w:tcBorders>
                  <w:noWrap w:val="0"/>
                  <w:vAlign w:val="center"/>
                </w:tcPr>
                <w:p w14:paraId="20B3DB69">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rPr>
                    <w:t>119.635097</w:t>
                  </w:r>
                  <w:r>
                    <w:rPr>
                      <w:rFonts w:hint="eastAsia"/>
                      <w:color w:val="auto"/>
                      <w:sz w:val="21"/>
                      <w:szCs w:val="21"/>
                      <w:lang w:eastAsia="zh-CN"/>
                    </w:rPr>
                    <w:t>，</w:t>
                  </w:r>
                  <w:r>
                    <w:rPr>
                      <w:rFonts w:hint="eastAsia"/>
                      <w:color w:val="auto"/>
                      <w:sz w:val="21"/>
                      <w:szCs w:val="21"/>
                    </w:rPr>
                    <w:t>31.76307</w:t>
                  </w:r>
                  <w:r>
                    <w:rPr>
                      <w:rFonts w:hint="eastAsia"/>
                      <w:color w:val="auto"/>
                      <w:sz w:val="21"/>
                      <w:szCs w:val="21"/>
                      <w:lang w:val="en-US" w:eastAsia="zh-CN"/>
                    </w:rPr>
                    <w:t>5</w:t>
                  </w:r>
                </w:p>
              </w:tc>
              <w:tc>
                <w:tcPr>
                  <w:tcW w:w="310" w:type="pct"/>
                  <w:vMerge w:val="restart"/>
                  <w:tcBorders>
                    <w:tl2br w:val="nil"/>
                    <w:tr2bl w:val="nil"/>
                  </w:tcBorders>
                  <w:noWrap w:val="0"/>
                  <w:vAlign w:val="center"/>
                </w:tcPr>
                <w:p w14:paraId="0C3949BB">
                  <w:pPr>
                    <w:spacing w:line="240" w:lineRule="auto"/>
                    <w:ind w:firstLine="0" w:firstLineChars="0"/>
                    <w:jc w:val="center"/>
                    <w:rPr>
                      <w:rFonts w:hint="eastAsia" w:eastAsia="宋体"/>
                      <w:color w:val="auto"/>
                      <w:sz w:val="21"/>
                      <w:szCs w:val="21"/>
                      <w:lang w:eastAsia="zh-CN"/>
                    </w:rPr>
                  </w:pPr>
                  <w:r>
                    <w:rPr>
                      <w:rFonts w:hint="eastAsia"/>
                      <w:color w:val="auto"/>
                      <w:sz w:val="21"/>
                      <w:szCs w:val="21"/>
                      <w:lang w:eastAsia="zh-CN"/>
                    </w:rPr>
                    <w:t>金坛第二污水处理厂</w:t>
                  </w:r>
                </w:p>
              </w:tc>
              <w:tc>
                <w:tcPr>
                  <w:tcW w:w="234" w:type="pct"/>
                  <w:vMerge w:val="restart"/>
                  <w:tcBorders>
                    <w:tl2br w:val="nil"/>
                    <w:tr2bl w:val="nil"/>
                  </w:tcBorders>
                  <w:noWrap w:val="0"/>
                  <w:vAlign w:val="center"/>
                </w:tcPr>
                <w:p w14:paraId="6200F9D0">
                  <w:pPr>
                    <w:spacing w:line="240" w:lineRule="auto"/>
                    <w:ind w:firstLine="0" w:firstLineChars="0"/>
                    <w:jc w:val="center"/>
                    <w:rPr>
                      <w:color w:val="auto"/>
                      <w:sz w:val="21"/>
                      <w:szCs w:val="21"/>
                    </w:rPr>
                  </w:pPr>
                  <w:r>
                    <w:rPr>
                      <w:color w:val="auto"/>
                      <w:sz w:val="21"/>
                      <w:szCs w:val="21"/>
                    </w:rPr>
                    <w:t>间接排放</w:t>
                  </w:r>
                </w:p>
              </w:tc>
              <w:tc>
                <w:tcPr>
                  <w:tcW w:w="322" w:type="pct"/>
                  <w:tcBorders>
                    <w:tl2br w:val="nil"/>
                    <w:tr2bl w:val="nil"/>
                  </w:tcBorders>
                  <w:noWrap w:val="0"/>
                  <w:vAlign w:val="center"/>
                </w:tcPr>
                <w:p w14:paraId="719B3621">
                  <w:pPr>
                    <w:spacing w:line="240" w:lineRule="auto"/>
                    <w:ind w:firstLine="0" w:firstLineChars="0"/>
                    <w:jc w:val="center"/>
                    <w:rPr>
                      <w:color w:val="auto"/>
                      <w:sz w:val="21"/>
                      <w:szCs w:val="21"/>
                    </w:rPr>
                  </w:pPr>
                  <w:r>
                    <w:rPr>
                      <w:color w:val="auto"/>
                      <w:sz w:val="21"/>
                      <w:szCs w:val="21"/>
                    </w:rPr>
                    <w:t>水量</w:t>
                  </w:r>
                </w:p>
              </w:tc>
              <w:tc>
                <w:tcPr>
                  <w:tcW w:w="327" w:type="pct"/>
                  <w:tcBorders>
                    <w:tl2br w:val="nil"/>
                    <w:tr2bl w:val="nil"/>
                  </w:tcBorders>
                  <w:noWrap w:val="0"/>
                  <w:vAlign w:val="center"/>
                </w:tcPr>
                <w:p w14:paraId="05245037">
                  <w:pPr>
                    <w:spacing w:line="240" w:lineRule="auto"/>
                    <w:ind w:firstLine="0" w:firstLineChars="0"/>
                    <w:jc w:val="center"/>
                    <w:rPr>
                      <w:color w:val="auto"/>
                      <w:sz w:val="21"/>
                      <w:szCs w:val="21"/>
                    </w:rPr>
                  </w:pPr>
                  <w:r>
                    <w:rPr>
                      <w:color w:val="auto"/>
                      <w:sz w:val="21"/>
                      <w:szCs w:val="21"/>
                    </w:rPr>
                    <w:t>/</w:t>
                  </w:r>
                </w:p>
              </w:tc>
              <w:tc>
                <w:tcPr>
                  <w:tcW w:w="437" w:type="pct"/>
                  <w:tcBorders>
                    <w:tl2br w:val="nil"/>
                    <w:tr2bl w:val="nil"/>
                  </w:tcBorders>
                  <w:noWrap w:val="0"/>
                  <w:vAlign w:val="center"/>
                </w:tcPr>
                <w:p w14:paraId="7811EDD3">
                  <w:pPr>
                    <w:spacing w:line="240" w:lineRule="auto"/>
                    <w:ind w:firstLine="0" w:firstLineChars="0"/>
                    <w:jc w:val="center"/>
                    <w:rPr>
                      <w:rFonts w:hint="default"/>
                      <w:color w:val="auto"/>
                      <w:sz w:val="21"/>
                      <w:szCs w:val="21"/>
                      <w:lang w:val="en-US"/>
                    </w:rPr>
                  </w:pPr>
                  <w:r>
                    <w:rPr>
                      <w:rFonts w:hint="eastAsia"/>
                      <w:color w:val="auto"/>
                      <w:sz w:val="21"/>
                      <w:szCs w:val="21"/>
                      <w:lang w:val="en-US" w:eastAsia="zh-CN"/>
                    </w:rPr>
                    <w:t>1200</w:t>
                  </w:r>
                </w:p>
              </w:tc>
              <w:tc>
                <w:tcPr>
                  <w:tcW w:w="355" w:type="pct"/>
                  <w:vMerge w:val="restart"/>
                  <w:tcBorders>
                    <w:tl2br w:val="nil"/>
                    <w:tr2bl w:val="nil"/>
                  </w:tcBorders>
                  <w:noWrap w:val="0"/>
                  <w:vAlign w:val="center"/>
                </w:tcPr>
                <w:p w14:paraId="05FAA491">
                  <w:pPr>
                    <w:spacing w:line="240" w:lineRule="auto"/>
                    <w:ind w:firstLine="0" w:firstLineChars="0"/>
                    <w:jc w:val="center"/>
                    <w:rPr>
                      <w:color w:val="auto"/>
                      <w:sz w:val="21"/>
                      <w:szCs w:val="21"/>
                    </w:rPr>
                  </w:pPr>
                  <w:r>
                    <w:rPr>
                      <w:rFonts w:hint="eastAsia"/>
                      <w:color w:val="auto"/>
                      <w:sz w:val="21"/>
                      <w:szCs w:val="21"/>
                      <w:lang w:eastAsia="zh-CN"/>
                    </w:rPr>
                    <w:t>金坛第二污水处理厂</w:t>
                  </w:r>
                  <w:r>
                    <w:rPr>
                      <w:color w:val="auto"/>
                      <w:sz w:val="21"/>
                      <w:szCs w:val="21"/>
                    </w:rPr>
                    <w:t>接管标准</w:t>
                  </w:r>
                </w:p>
              </w:tc>
              <w:tc>
                <w:tcPr>
                  <w:tcW w:w="417" w:type="pct"/>
                  <w:tcBorders>
                    <w:tl2br w:val="nil"/>
                    <w:tr2bl w:val="nil"/>
                  </w:tcBorders>
                  <w:noWrap w:val="0"/>
                  <w:vAlign w:val="center"/>
                </w:tcPr>
                <w:p w14:paraId="3748BB3F">
                  <w:pPr>
                    <w:spacing w:line="240" w:lineRule="auto"/>
                    <w:ind w:firstLine="0" w:firstLineChars="0"/>
                    <w:jc w:val="center"/>
                    <w:rPr>
                      <w:color w:val="auto"/>
                      <w:sz w:val="21"/>
                      <w:szCs w:val="21"/>
                    </w:rPr>
                  </w:pPr>
                  <w:r>
                    <w:rPr>
                      <w:color w:val="auto"/>
                      <w:sz w:val="21"/>
                      <w:szCs w:val="21"/>
                    </w:rPr>
                    <w:t>/</w:t>
                  </w:r>
                </w:p>
              </w:tc>
            </w:tr>
            <w:tr w14:paraId="00A65B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2" w:type="pct"/>
                  <w:vMerge w:val="continue"/>
                  <w:tcBorders>
                    <w:tl2br w:val="nil"/>
                    <w:tr2bl w:val="nil"/>
                  </w:tcBorders>
                  <w:noWrap w:val="0"/>
                  <w:vAlign w:val="center"/>
                </w:tcPr>
                <w:p w14:paraId="5417B6B8">
                  <w:pPr>
                    <w:spacing w:line="240" w:lineRule="auto"/>
                    <w:ind w:firstLine="0" w:firstLineChars="0"/>
                    <w:jc w:val="center"/>
                    <w:rPr>
                      <w:color w:val="auto"/>
                      <w:sz w:val="21"/>
                      <w:szCs w:val="21"/>
                    </w:rPr>
                  </w:pPr>
                </w:p>
              </w:tc>
              <w:tc>
                <w:tcPr>
                  <w:tcW w:w="263" w:type="pct"/>
                  <w:vMerge w:val="continue"/>
                  <w:tcBorders>
                    <w:tl2br w:val="nil"/>
                    <w:tr2bl w:val="nil"/>
                  </w:tcBorders>
                  <w:noWrap w:val="0"/>
                  <w:vAlign w:val="center"/>
                </w:tcPr>
                <w:p w14:paraId="32C243B9">
                  <w:pPr>
                    <w:spacing w:line="240" w:lineRule="auto"/>
                    <w:ind w:firstLine="0" w:firstLineChars="0"/>
                    <w:jc w:val="center"/>
                    <w:rPr>
                      <w:color w:val="auto"/>
                      <w:sz w:val="21"/>
                      <w:szCs w:val="21"/>
                    </w:rPr>
                  </w:pPr>
                </w:p>
              </w:tc>
              <w:tc>
                <w:tcPr>
                  <w:tcW w:w="867" w:type="pct"/>
                  <w:vMerge w:val="continue"/>
                  <w:tcBorders>
                    <w:tl2br w:val="nil"/>
                    <w:tr2bl w:val="nil"/>
                  </w:tcBorders>
                  <w:noWrap w:val="0"/>
                  <w:vAlign w:val="center"/>
                </w:tcPr>
                <w:p w14:paraId="4971DE80">
                  <w:pPr>
                    <w:spacing w:line="240" w:lineRule="auto"/>
                    <w:ind w:firstLine="0" w:firstLineChars="0"/>
                    <w:jc w:val="center"/>
                    <w:rPr>
                      <w:color w:val="auto"/>
                      <w:sz w:val="21"/>
                      <w:szCs w:val="21"/>
                    </w:rPr>
                  </w:pPr>
                </w:p>
              </w:tc>
              <w:tc>
                <w:tcPr>
                  <w:tcW w:w="1042" w:type="pct"/>
                  <w:vMerge w:val="continue"/>
                  <w:tcBorders>
                    <w:tl2br w:val="nil"/>
                    <w:tr2bl w:val="nil"/>
                  </w:tcBorders>
                  <w:noWrap w:val="0"/>
                  <w:vAlign w:val="center"/>
                </w:tcPr>
                <w:p w14:paraId="0EE02227">
                  <w:pPr>
                    <w:spacing w:line="240" w:lineRule="auto"/>
                    <w:ind w:firstLine="0" w:firstLineChars="0"/>
                    <w:jc w:val="center"/>
                    <w:rPr>
                      <w:color w:val="auto"/>
                      <w:sz w:val="21"/>
                      <w:szCs w:val="21"/>
                    </w:rPr>
                  </w:pPr>
                </w:p>
              </w:tc>
              <w:tc>
                <w:tcPr>
                  <w:tcW w:w="310" w:type="pct"/>
                  <w:vMerge w:val="continue"/>
                  <w:tcBorders>
                    <w:tl2br w:val="nil"/>
                    <w:tr2bl w:val="nil"/>
                  </w:tcBorders>
                  <w:noWrap w:val="0"/>
                  <w:vAlign w:val="center"/>
                </w:tcPr>
                <w:p w14:paraId="10C611DE">
                  <w:pPr>
                    <w:spacing w:line="240" w:lineRule="auto"/>
                    <w:ind w:firstLine="0" w:firstLineChars="0"/>
                    <w:jc w:val="center"/>
                    <w:rPr>
                      <w:color w:val="auto"/>
                      <w:sz w:val="21"/>
                      <w:szCs w:val="21"/>
                    </w:rPr>
                  </w:pPr>
                </w:p>
              </w:tc>
              <w:tc>
                <w:tcPr>
                  <w:tcW w:w="234" w:type="pct"/>
                  <w:vMerge w:val="continue"/>
                  <w:tcBorders>
                    <w:tl2br w:val="nil"/>
                    <w:tr2bl w:val="nil"/>
                  </w:tcBorders>
                  <w:noWrap w:val="0"/>
                  <w:vAlign w:val="center"/>
                </w:tcPr>
                <w:p w14:paraId="2648BD97">
                  <w:pPr>
                    <w:spacing w:line="240" w:lineRule="auto"/>
                    <w:ind w:firstLine="0" w:firstLineChars="0"/>
                    <w:jc w:val="center"/>
                    <w:rPr>
                      <w:color w:val="auto"/>
                      <w:sz w:val="21"/>
                      <w:szCs w:val="21"/>
                    </w:rPr>
                  </w:pPr>
                </w:p>
              </w:tc>
              <w:tc>
                <w:tcPr>
                  <w:tcW w:w="322" w:type="pct"/>
                  <w:tcBorders>
                    <w:tl2br w:val="nil"/>
                    <w:tr2bl w:val="nil"/>
                  </w:tcBorders>
                  <w:noWrap w:val="0"/>
                  <w:vAlign w:val="center"/>
                </w:tcPr>
                <w:p w14:paraId="4633EEDA">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2"/>
                      <w:sz w:val="21"/>
                      <w:szCs w:val="21"/>
                      <w:lang w:val="en-US" w:eastAsia="zh-CN" w:bidi="ar-SA"/>
                    </w:rPr>
                  </w:pPr>
                  <w:r>
                    <w:rPr>
                      <w:color w:val="auto"/>
                      <w:sz w:val="21"/>
                      <w:szCs w:val="21"/>
                    </w:rPr>
                    <w:t>COD</w:t>
                  </w:r>
                </w:p>
              </w:tc>
              <w:tc>
                <w:tcPr>
                  <w:tcW w:w="327" w:type="pct"/>
                  <w:tcBorders>
                    <w:tl2br w:val="nil"/>
                    <w:tr2bl w:val="nil"/>
                  </w:tcBorders>
                  <w:noWrap w:val="0"/>
                  <w:vAlign w:val="center"/>
                </w:tcPr>
                <w:p w14:paraId="534A17BA">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kern w:val="2"/>
                      <w:sz w:val="21"/>
                      <w:szCs w:val="21"/>
                      <w:lang w:val="en-US" w:eastAsia="zh-CN" w:bidi="ar-SA"/>
                    </w:rPr>
                  </w:pPr>
                  <w:r>
                    <w:rPr>
                      <w:rFonts w:hint="eastAsia"/>
                      <w:color w:val="auto"/>
                      <w:sz w:val="21"/>
                      <w:szCs w:val="21"/>
                      <w:lang w:val="en-US" w:eastAsia="zh-CN"/>
                    </w:rPr>
                    <w:t>400</w:t>
                  </w:r>
                </w:p>
              </w:tc>
              <w:tc>
                <w:tcPr>
                  <w:tcW w:w="806" w:type="dxa"/>
                  <w:tcBorders>
                    <w:tl2br w:val="nil"/>
                    <w:tr2bl w:val="nil"/>
                  </w:tcBorders>
                  <w:noWrap w:val="0"/>
                  <w:vAlign w:val="center"/>
                </w:tcPr>
                <w:p w14:paraId="69D6164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0.48</w:t>
                  </w:r>
                </w:p>
              </w:tc>
              <w:tc>
                <w:tcPr>
                  <w:tcW w:w="355" w:type="pct"/>
                  <w:vMerge w:val="continue"/>
                  <w:tcBorders>
                    <w:tl2br w:val="nil"/>
                    <w:tr2bl w:val="nil"/>
                  </w:tcBorders>
                  <w:noWrap w:val="0"/>
                  <w:vAlign w:val="center"/>
                </w:tcPr>
                <w:p w14:paraId="4C6B957A">
                  <w:pPr>
                    <w:spacing w:line="240" w:lineRule="auto"/>
                    <w:ind w:firstLine="0" w:firstLineChars="0"/>
                    <w:jc w:val="center"/>
                    <w:rPr>
                      <w:color w:val="auto"/>
                      <w:sz w:val="21"/>
                      <w:szCs w:val="21"/>
                    </w:rPr>
                  </w:pPr>
                </w:p>
              </w:tc>
              <w:tc>
                <w:tcPr>
                  <w:tcW w:w="417" w:type="pct"/>
                  <w:tcBorders>
                    <w:tl2br w:val="nil"/>
                    <w:tr2bl w:val="nil"/>
                  </w:tcBorders>
                  <w:noWrap w:val="0"/>
                  <w:vAlign w:val="center"/>
                </w:tcPr>
                <w:p w14:paraId="4B62E757">
                  <w:pPr>
                    <w:spacing w:line="240" w:lineRule="auto"/>
                    <w:ind w:firstLine="0" w:firstLineChars="0"/>
                    <w:jc w:val="center"/>
                    <w:rPr>
                      <w:color w:val="auto"/>
                      <w:sz w:val="21"/>
                      <w:szCs w:val="21"/>
                    </w:rPr>
                  </w:pPr>
                  <w:r>
                    <w:rPr>
                      <w:color w:val="auto"/>
                      <w:sz w:val="21"/>
                      <w:szCs w:val="21"/>
                    </w:rPr>
                    <w:t>500</w:t>
                  </w:r>
                </w:p>
              </w:tc>
            </w:tr>
            <w:tr w14:paraId="36CC82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2" w:type="pct"/>
                  <w:vMerge w:val="continue"/>
                  <w:tcBorders>
                    <w:tl2br w:val="nil"/>
                    <w:tr2bl w:val="nil"/>
                  </w:tcBorders>
                  <w:noWrap w:val="0"/>
                  <w:vAlign w:val="center"/>
                </w:tcPr>
                <w:p w14:paraId="51FED5C3">
                  <w:pPr>
                    <w:spacing w:line="240" w:lineRule="auto"/>
                    <w:ind w:firstLine="0" w:firstLineChars="0"/>
                    <w:jc w:val="center"/>
                    <w:rPr>
                      <w:color w:val="auto"/>
                      <w:sz w:val="21"/>
                      <w:szCs w:val="21"/>
                    </w:rPr>
                  </w:pPr>
                </w:p>
              </w:tc>
              <w:tc>
                <w:tcPr>
                  <w:tcW w:w="263" w:type="pct"/>
                  <w:vMerge w:val="continue"/>
                  <w:tcBorders>
                    <w:tl2br w:val="nil"/>
                    <w:tr2bl w:val="nil"/>
                  </w:tcBorders>
                  <w:noWrap w:val="0"/>
                  <w:vAlign w:val="center"/>
                </w:tcPr>
                <w:p w14:paraId="297E1B40">
                  <w:pPr>
                    <w:spacing w:line="240" w:lineRule="auto"/>
                    <w:ind w:firstLine="0" w:firstLineChars="0"/>
                    <w:jc w:val="center"/>
                    <w:rPr>
                      <w:color w:val="auto"/>
                      <w:sz w:val="21"/>
                      <w:szCs w:val="21"/>
                    </w:rPr>
                  </w:pPr>
                </w:p>
              </w:tc>
              <w:tc>
                <w:tcPr>
                  <w:tcW w:w="867" w:type="pct"/>
                  <w:vMerge w:val="continue"/>
                  <w:tcBorders>
                    <w:tl2br w:val="nil"/>
                    <w:tr2bl w:val="nil"/>
                  </w:tcBorders>
                  <w:noWrap w:val="0"/>
                  <w:vAlign w:val="center"/>
                </w:tcPr>
                <w:p w14:paraId="3CA685B5">
                  <w:pPr>
                    <w:spacing w:line="240" w:lineRule="auto"/>
                    <w:ind w:firstLine="0" w:firstLineChars="0"/>
                    <w:jc w:val="center"/>
                    <w:rPr>
                      <w:color w:val="auto"/>
                      <w:sz w:val="21"/>
                      <w:szCs w:val="21"/>
                    </w:rPr>
                  </w:pPr>
                </w:p>
              </w:tc>
              <w:tc>
                <w:tcPr>
                  <w:tcW w:w="1042" w:type="pct"/>
                  <w:vMerge w:val="continue"/>
                  <w:tcBorders>
                    <w:tl2br w:val="nil"/>
                    <w:tr2bl w:val="nil"/>
                  </w:tcBorders>
                  <w:noWrap w:val="0"/>
                  <w:vAlign w:val="center"/>
                </w:tcPr>
                <w:p w14:paraId="3798DE8F">
                  <w:pPr>
                    <w:spacing w:line="240" w:lineRule="auto"/>
                    <w:ind w:firstLine="0" w:firstLineChars="0"/>
                    <w:jc w:val="center"/>
                    <w:rPr>
                      <w:color w:val="auto"/>
                      <w:sz w:val="21"/>
                      <w:szCs w:val="21"/>
                    </w:rPr>
                  </w:pPr>
                </w:p>
              </w:tc>
              <w:tc>
                <w:tcPr>
                  <w:tcW w:w="310" w:type="pct"/>
                  <w:vMerge w:val="continue"/>
                  <w:tcBorders>
                    <w:tl2br w:val="nil"/>
                    <w:tr2bl w:val="nil"/>
                  </w:tcBorders>
                  <w:noWrap w:val="0"/>
                  <w:vAlign w:val="center"/>
                </w:tcPr>
                <w:p w14:paraId="55FFEE79">
                  <w:pPr>
                    <w:spacing w:line="240" w:lineRule="auto"/>
                    <w:ind w:firstLine="0" w:firstLineChars="0"/>
                    <w:jc w:val="center"/>
                    <w:rPr>
                      <w:color w:val="auto"/>
                      <w:sz w:val="21"/>
                      <w:szCs w:val="21"/>
                    </w:rPr>
                  </w:pPr>
                </w:p>
              </w:tc>
              <w:tc>
                <w:tcPr>
                  <w:tcW w:w="234" w:type="pct"/>
                  <w:vMerge w:val="continue"/>
                  <w:tcBorders>
                    <w:tl2br w:val="nil"/>
                    <w:tr2bl w:val="nil"/>
                  </w:tcBorders>
                  <w:noWrap w:val="0"/>
                  <w:vAlign w:val="center"/>
                </w:tcPr>
                <w:p w14:paraId="0B08E6F8">
                  <w:pPr>
                    <w:spacing w:line="240" w:lineRule="auto"/>
                    <w:ind w:firstLine="0" w:firstLineChars="0"/>
                    <w:jc w:val="center"/>
                    <w:rPr>
                      <w:color w:val="auto"/>
                      <w:sz w:val="21"/>
                      <w:szCs w:val="21"/>
                    </w:rPr>
                  </w:pPr>
                </w:p>
              </w:tc>
              <w:tc>
                <w:tcPr>
                  <w:tcW w:w="322" w:type="pct"/>
                  <w:tcBorders>
                    <w:tl2br w:val="nil"/>
                    <w:tr2bl w:val="nil"/>
                  </w:tcBorders>
                  <w:noWrap w:val="0"/>
                  <w:vAlign w:val="center"/>
                </w:tcPr>
                <w:p w14:paraId="12000618">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2"/>
                      <w:sz w:val="21"/>
                      <w:szCs w:val="21"/>
                      <w:lang w:val="en-US" w:eastAsia="zh-CN" w:bidi="ar-SA"/>
                    </w:rPr>
                  </w:pPr>
                  <w:r>
                    <w:rPr>
                      <w:color w:val="auto"/>
                      <w:sz w:val="21"/>
                      <w:szCs w:val="21"/>
                    </w:rPr>
                    <w:t>SS</w:t>
                  </w:r>
                </w:p>
              </w:tc>
              <w:tc>
                <w:tcPr>
                  <w:tcW w:w="327" w:type="pct"/>
                  <w:tcBorders>
                    <w:tl2br w:val="nil"/>
                    <w:tr2bl w:val="nil"/>
                  </w:tcBorders>
                  <w:noWrap w:val="0"/>
                  <w:vAlign w:val="center"/>
                </w:tcPr>
                <w:p w14:paraId="44D15981">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ascii="Times New Roman" w:hAnsi="Times New Roman" w:eastAsia="宋体" w:cs="Times New Roman"/>
                      <w:color w:val="auto"/>
                      <w:sz w:val="21"/>
                      <w:szCs w:val="21"/>
                    </w:rPr>
                    <w:t>00</w:t>
                  </w:r>
                </w:p>
              </w:tc>
              <w:tc>
                <w:tcPr>
                  <w:tcW w:w="806" w:type="dxa"/>
                  <w:tcBorders>
                    <w:tl2br w:val="nil"/>
                    <w:tr2bl w:val="nil"/>
                  </w:tcBorders>
                  <w:noWrap w:val="0"/>
                  <w:vAlign w:val="center"/>
                </w:tcPr>
                <w:p w14:paraId="3809769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0.24</w:t>
                  </w:r>
                </w:p>
              </w:tc>
              <w:tc>
                <w:tcPr>
                  <w:tcW w:w="355" w:type="pct"/>
                  <w:vMerge w:val="continue"/>
                  <w:tcBorders>
                    <w:tl2br w:val="nil"/>
                    <w:tr2bl w:val="nil"/>
                  </w:tcBorders>
                  <w:noWrap w:val="0"/>
                  <w:vAlign w:val="center"/>
                </w:tcPr>
                <w:p w14:paraId="408A2AC7">
                  <w:pPr>
                    <w:spacing w:line="240" w:lineRule="auto"/>
                    <w:ind w:firstLine="0" w:firstLineChars="0"/>
                    <w:jc w:val="center"/>
                    <w:rPr>
                      <w:color w:val="auto"/>
                      <w:sz w:val="21"/>
                      <w:szCs w:val="21"/>
                    </w:rPr>
                  </w:pPr>
                </w:p>
              </w:tc>
              <w:tc>
                <w:tcPr>
                  <w:tcW w:w="417" w:type="pct"/>
                  <w:tcBorders>
                    <w:tl2br w:val="nil"/>
                    <w:tr2bl w:val="nil"/>
                  </w:tcBorders>
                  <w:noWrap w:val="0"/>
                  <w:vAlign w:val="center"/>
                </w:tcPr>
                <w:p w14:paraId="043140C8">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250</w:t>
                  </w:r>
                </w:p>
              </w:tc>
            </w:tr>
            <w:tr w14:paraId="305D0C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2" w:type="pct"/>
                  <w:vMerge w:val="continue"/>
                  <w:tcBorders>
                    <w:tl2br w:val="nil"/>
                    <w:tr2bl w:val="nil"/>
                  </w:tcBorders>
                  <w:noWrap w:val="0"/>
                  <w:vAlign w:val="center"/>
                </w:tcPr>
                <w:p w14:paraId="4B267912">
                  <w:pPr>
                    <w:spacing w:line="240" w:lineRule="auto"/>
                    <w:ind w:firstLine="0" w:firstLineChars="0"/>
                    <w:jc w:val="center"/>
                    <w:rPr>
                      <w:color w:val="auto"/>
                      <w:sz w:val="21"/>
                      <w:szCs w:val="21"/>
                    </w:rPr>
                  </w:pPr>
                </w:p>
              </w:tc>
              <w:tc>
                <w:tcPr>
                  <w:tcW w:w="263" w:type="pct"/>
                  <w:vMerge w:val="continue"/>
                  <w:tcBorders>
                    <w:tl2br w:val="nil"/>
                    <w:tr2bl w:val="nil"/>
                  </w:tcBorders>
                  <w:noWrap w:val="0"/>
                  <w:vAlign w:val="center"/>
                </w:tcPr>
                <w:p w14:paraId="235C6F7D">
                  <w:pPr>
                    <w:spacing w:line="240" w:lineRule="auto"/>
                    <w:ind w:firstLine="0" w:firstLineChars="0"/>
                    <w:jc w:val="center"/>
                    <w:rPr>
                      <w:color w:val="auto"/>
                      <w:sz w:val="21"/>
                      <w:szCs w:val="21"/>
                    </w:rPr>
                  </w:pPr>
                </w:p>
              </w:tc>
              <w:tc>
                <w:tcPr>
                  <w:tcW w:w="867" w:type="pct"/>
                  <w:vMerge w:val="continue"/>
                  <w:tcBorders>
                    <w:tl2br w:val="nil"/>
                    <w:tr2bl w:val="nil"/>
                  </w:tcBorders>
                  <w:noWrap w:val="0"/>
                  <w:vAlign w:val="center"/>
                </w:tcPr>
                <w:p w14:paraId="10B7E1A0">
                  <w:pPr>
                    <w:spacing w:line="240" w:lineRule="auto"/>
                    <w:ind w:firstLine="0" w:firstLineChars="0"/>
                    <w:jc w:val="center"/>
                    <w:rPr>
                      <w:color w:val="auto"/>
                      <w:sz w:val="21"/>
                      <w:szCs w:val="21"/>
                    </w:rPr>
                  </w:pPr>
                </w:p>
              </w:tc>
              <w:tc>
                <w:tcPr>
                  <w:tcW w:w="1042" w:type="pct"/>
                  <w:vMerge w:val="continue"/>
                  <w:tcBorders>
                    <w:tl2br w:val="nil"/>
                    <w:tr2bl w:val="nil"/>
                  </w:tcBorders>
                  <w:noWrap w:val="0"/>
                  <w:vAlign w:val="center"/>
                </w:tcPr>
                <w:p w14:paraId="070DF261">
                  <w:pPr>
                    <w:spacing w:line="240" w:lineRule="auto"/>
                    <w:ind w:firstLine="0" w:firstLineChars="0"/>
                    <w:jc w:val="center"/>
                    <w:rPr>
                      <w:color w:val="auto"/>
                      <w:sz w:val="21"/>
                      <w:szCs w:val="21"/>
                    </w:rPr>
                  </w:pPr>
                </w:p>
              </w:tc>
              <w:tc>
                <w:tcPr>
                  <w:tcW w:w="310" w:type="pct"/>
                  <w:vMerge w:val="continue"/>
                  <w:tcBorders>
                    <w:tl2br w:val="nil"/>
                    <w:tr2bl w:val="nil"/>
                  </w:tcBorders>
                  <w:noWrap w:val="0"/>
                  <w:vAlign w:val="center"/>
                </w:tcPr>
                <w:p w14:paraId="749914F4">
                  <w:pPr>
                    <w:spacing w:line="240" w:lineRule="auto"/>
                    <w:ind w:firstLine="0" w:firstLineChars="0"/>
                    <w:jc w:val="center"/>
                    <w:rPr>
                      <w:color w:val="auto"/>
                      <w:sz w:val="21"/>
                      <w:szCs w:val="21"/>
                    </w:rPr>
                  </w:pPr>
                </w:p>
              </w:tc>
              <w:tc>
                <w:tcPr>
                  <w:tcW w:w="234" w:type="pct"/>
                  <w:vMerge w:val="continue"/>
                  <w:tcBorders>
                    <w:tl2br w:val="nil"/>
                    <w:tr2bl w:val="nil"/>
                  </w:tcBorders>
                  <w:noWrap w:val="0"/>
                  <w:vAlign w:val="center"/>
                </w:tcPr>
                <w:p w14:paraId="7B18406E">
                  <w:pPr>
                    <w:spacing w:line="240" w:lineRule="auto"/>
                    <w:ind w:firstLine="0" w:firstLineChars="0"/>
                    <w:jc w:val="center"/>
                    <w:rPr>
                      <w:color w:val="auto"/>
                      <w:sz w:val="21"/>
                      <w:szCs w:val="21"/>
                    </w:rPr>
                  </w:pPr>
                </w:p>
              </w:tc>
              <w:tc>
                <w:tcPr>
                  <w:tcW w:w="322" w:type="pct"/>
                  <w:tcBorders>
                    <w:tl2br w:val="nil"/>
                    <w:tr2bl w:val="nil"/>
                  </w:tcBorders>
                  <w:noWrap w:val="0"/>
                  <w:vAlign w:val="center"/>
                </w:tcPr>
                <w:p w14:paraId="657581C6">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2"/>
                      <w:sz w:val="21"/>
                      <w:szCs w:val="21"/>
                      <w:lang w:val="en-US" w:eastAsia="zh-CN" w:bidi="ar-SA"/>
                    </w:rPr>
                  </w:pPr>
                  <w:r>
                    <w:rPr>
                      <w:color w:val="auto"/>
                      <w:sz w:val="21"/>
                      <w:szCs w:val="21"/>
                    </w:rPr>
                    <w:t>氨氮</w:t>
                  </w:r>
                </w:p>
              </w:tc>
              <w:tc>
                <w:tcPr>
                  <w:tcW w:w="603" w:type="dxa"/>
                  <w:tcBorders>
                    <w:tl2br w:val="nil"/>
                    <w:tr2bl w:val="nil"/>
                  </w:tcBorders>
                  <w:noWrap w:val="0"/>
                  <w:vAlign w:val="center"/>
                </w:tcPr>
                <w:p w14:paraId="1AB38507">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806" w:type="dxa"/>
                  <w:tcBorders>
                    <w:tl2br w:val="nil"/>
                    <w:tr2bl w:val="nil"/>
                  </w:tcBorders>
                  <w:noWrap w:val="0"/>
                  <w:vAlign w:val="center"/>
                </w:tcPr>
                <w:p w14:paraId="4CAF938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0.03</w:t>
                  </w:r>
                </w:p>
              </w:tc>
              <w:tc>
                <w:tcPr>
                  <w:tcW w:w="355" w:type="pct"/>
                  <w:vMerge w:val="continue"/>
                  <w:tcBorders>
                    <w:tl2br w:val="nil"/>
                    <w:tr2bl w:val="nil"/>
                  </w:tcBorders>
                  <w:noWrap w:val="0"/>
                  <w:vAlign w:val="center"/>
                </w:tcPr>
                <w:p w14:paraId="7AB618D6">
                  <w:pPr>
                    <w:spacing w:line="240" w:lineRule="auto"/>
                    <w:ind w:firstLine="0" w:firstLineChars="0"/>
                    <w:jc w:val="center"/>
                    <w:rPr>
                      <w:color w:val="auto"/>
                      <w:sz w:val="21"/>
                      <w:szCs w:val="21"/>
                    </w:rPr>
                  </w:pPr>
                </w:p>
              </w:tc>
              <w:tc>
                <w:tcPr>
                  <w:tcW w:w="417" w:type="pct"/>
                  <w:tcBorders>
                    <w:tl2br w:val="nil"/>
                    <w:tr2bl w:val="nil"/>
                  </w:tcBorders>
                  <w:noWrap w:val="0"/>
                  <w:vAlign w:val="center"/>
                </w:tcPr>
                <w:p w14:paraId="6E9D520C">
                  <w:pPr>
                    <w:spacing w:line="240" w:lineRule="auto"/>
                    <w:ind w:firstLine="0" w:firstLineChars="0"/>
                    <w:jc w:val="center"/>
                    <w:rPr>
                      <w:color w:val="auto"/>
                      <w:sz w:val="21"/>
                      <w:szCs w:val="21"/>
                    </w:rPr>
                  </w:pPr>
                  <w:r>
                    <w:rPr>
                      <w:rFonts w:hint="eastAsia"/>
                      <w:color w:val="auto"/>
                      <w:sz w:val="21"/>
                      <w:szCs w:val="21"/>
                      <w:lang w:val="en-US" w:eastAsia="zh-CN"/>
                    </w:rPr>
                    <w:t>3</w:t>
                  </w:r>
                  <w:r>
                    <w:rPr>
                      <w:color w:val="auto"/>
                      <w:sz w:val="21"/>
                      <w:szCs w:val="21"/>
                    </w:rPr>
                    <w:t>5</w:t>
                  </w:r>
                </w:p>
              </w:tc>
            </w:tr>
            <w:tr w14:paraId="51F311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2" w:type="pct"/>
                  <w:vMerge w:val="continue"/>
                  <w:tcBorders>
                    <w:tl2br w:val="nil"/>
                    <w:tr2bl w:val="nil"/>
                  </w:tcBorders>
                  <w:noWrap w:val="0"/>
                  <w:vAlign w:val="center"/>
                </w:tcPr>
                <w:p w14:paraId="6AC5C32B">
                  <w:pPr>
                    <w:spacing w:line="240" w:lineRule="auto"/>
                    <w:ind w:firstLine="0" w:firstLineChars="0"/>
                    <w:jc w:val="center"/>
                    <w:rPr>
                      <w:color w:val="auto"/>
                      <w:sz w:val="21"/>
                      <w:szCs w:val="21"/>
                    </w:rPr>
                  </w:pPr>
                </w:p>
              </w:tc>
              <w:tc>
                <w:tcPr>
                  <w:tcW w:w="263" w:type="pct"/>
                  <w:vMerge w:val="continue"/>
                  <w:tcBorders>
                    <w:tl2br w:val="nil"/>
                    <w:tr2bl w:val="nil"/>
                  </w:tcBorders>
                  <w:noWrap w:val="0"/>
                  <w:vAlign w:val="center"/>
                </w:tcPr>
                <w:p w14:paraId="1EB4DB82">
                  <w:pPr>
                    <w:spacing w:line="240" w:lineRule="auto"/>
                    <w:ind w:firstLine="0" w:firstLineChars="0"/>
                    <w:jc w:val="center"/>
                    <w:rPr>
                      <w:color w:val="auto"/>
                      <w:sz w:val="21"/>
                      <w:szCs w:val="21"/>
                    </w:rPr>
                  </w:pPr>
                </w:p>
              </w:tc>
              <w:tc>
                <w:tcPr>
                  <w:tcW w:w="867" w:type="pct"/>
                  <w:vMerge w:val="continue"/>
                  <w:tcBorders>
                    <w:tl2br w:val="nil"/>
                    <w:tr2bl w:val="nil"/>
                  </w:tcBorders>
                  <w:noWrap w:val="0"/>
                  <w:vAlign w:val="center"/>
                </w:tcPr>
                <w:p w14:paraId="23DC8893">
                  <w:pPr>
                    <w:spacing w:line="240" w:lineRule="auto"/>
                    <w:ind w:firstLine="0" w:firstLineChars="0"/>
                    <w:jc w:val="center"/>
                    <w:rPr>
                      <w:color w:val="auto"/>
                      <w:sz w:val="21"/>
                      <w:szCs w:val="21"/>
                    </w:rPr>
                  </w:pPr>
                </w:p>
              </w:tc>
              <w:tc>
                <w:tcPr>
                  <w:tcW w:w="1042" w:type="pct"/>
                  <w:vMerge w:val="continue"/>
                  <w:tcBorders>
                    <w:tl2br w:val="nil"/>
                    <w:tr2bl w:val="nil"/>
                  </w:tcBorders>
                  <w:noWrap w:val="0"/>
                  <w:vAlign w:val="center"/>
                </w:tcPr>
                <w:p w14:paraId="734F7636">
                  <w:pPr>
                    <w:spacing w:line="240" w:lineRule="auto"/>
                    <w:ind w:firstLine="0" w:firstLineChars="0"/>
                    <w:jc w:val="center"/>
                    <w:rPr>
                      <w:color w:val="auto"/>
                      <w:sz w:val="21"/>
                      <w:szCs w:val="21"/>
                    </w:rPr>
                  </w:pPr>
                </w:p>
              </w:tc>
              <w:tc>
                <w:tcPr>
                  <w:tcW w:w="310" w:type="pct"/>
                  <w:vMerge w:val="continue"/>
                  <w:tcBorders>
                    <w:tl2br w:val="nil"/>
                    <w:tr2bl w:val="nil"/>
                  </w:tcBorders>
                  <w:noWrap w:val="0"/>
                  <w:vAlign w:val="center"/>
                </w:tcPr>
                <w:p w14:paraId="7EB4BEE8">
                  <w:pPr>
                    <w:spacing w:line="240" w:lineRule="auto"/>
                    <w:ind w:firstLine="0" w:firstLineChars="0"/>
                    <w:jc w:val="center"/>
                    <w:rPr>
                      <w:color w:val="auto"/>
                      <w:sz w:val="21"/>
                      <w:szCs w:val="21"/>
                    </w:rPr>
                  </w:pPr>
                </w:p>
              </w:tc>
              <w:tc>
                <w:tcPr>
                  <w:tcW w:w="234" w:type="pct"/>
                  <w:vMerge w:val="continue"/>
                  <w:tcBorders>
                    <w:tl2br w:val="nil"/>
                    <w:tr2bl w:val="nil"/>
                  </w:tcBorders>
                  <w:noWrap w:val="0"/>
                  <w:vAlign w:val="center"/>
                </w:tcPr>
                <w:p w14:paraId="14E00C63">
                  <w:pPr>
                    <w:spacing w:line="240" w:lineRule="auto"/>
                    <w:ind w:firstLine="0" w:firstLineChars="0"/>
                    <w:jc w:val="center"/>
                    <w:rPr>
                      <w:color w:val="auto"/>
                      <w:sz w:val="21"/>
                      <w:szCs w:val="21"/>
                    </w:rPr>
                  </w:pPr>
                </w:p>
              </w:tc>
              <w:tc>
                <w:tcPr>
                  <w:tcW w:w="322" w:type="pct"/>
                  <w:tcBorders>
                    <w:tl2br w:val="nil"/>
                    <w:tr2bl w:val="nil"/>
                  </w:tcBorders>
                  <w:noWrap w:val="0"/>
                  <w:vAlign w:val="center"/>
                </w:tcPr>
                <w:p w14:paraId="385ED027">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2"/>
                      <w:sz w:val="21"/>
                      <w:szCs w:val="21"/>
                      <w:lang w:val="en-US" w:eastAsia="zh-CN" w:bidi="ar-SA"/>
                    </w:rPr>
                  </w:pPr>
                  <w:r>
                    <w:rPr>
                      <w:color w:val="auto"/>
                      <w:sz w:val="21"/>
                      <w:szCs w:val="21"/>
                    </w:rPr>
                    <w:t>TN</w:t>
                  </w:r>
                </w:p>
              </w:tc>
              <w:tc>
                <w:tcPr>
                  <w:tcW w:w="603" w:type="dxa"/>
                  <w:tcBorders>
                    <w:tl2br w:val="nil"/>
                    <w:tr2bl w:val="nil"/>
                  </w:tcBorders>
                  <w:noWrap w:val="0"/>
                  <w:vAlign w:val="center"/>
                </w:tcPr>
                <w:p w14:paraId="115B1FFF">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c>
                <w:tcPr>
                  <w:tcW w:w="806" w:type="dxa"/>
                  <w:tcBorders>
                    <w:tl2br w:val="nil"/>
                    <w:tr2bl w:val="nil"/>
                  </w:tcBorders>
                  <w:noWrap w:val="0"/>
                  <w:vAlign w:val="center"/>
                </w:tcPr>
                <w:p w14:paraId="3A1A7FC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0.042</w:t>
                  </w:r>
                </w:p>
              </w:tc>
              <w:tc>
                <w:tcPr>
                  <w:tcW w:w="355" w:type="pct"/>
                  <w:vMerge w:val="continue"/>
                  <w:tcBorders>
                    <w:tl2br w:val="nil"/>
                    <w:tr2bl w:val="nil"/>
                  </w:tcBorders>
                  <w:noWrap w:val="0"/>
                  <w:vAlign w:val="center"/>
                </w:tcPr>
                <w:p w14:paraId="16165723">
                  <w:pPr>
                    <w:spacing w:line="240" w:lineRule="auto"/>
                    <w:ind w:firstLine="0" w:firstLineChars="0"/>
                    <w:jc w:val="center"/>
                    <w:rPr>
                      <w:color w:val="auto"/>
                      <w:sz w:val="21"/>
                      <w:szCs w:val="21"/>
                    </w:rPr>
                  </w:pPr>
                </w:p>
              </w:tc>
              <w:tc>
                <w:tcPr>
                  <w:tcW w:w="417" w:type="pct"/>
                  <w:tcBorders>
                    <w:tl2br w:val="nil"/>
                    <w:tr2bl w:val="nil"/>
                  </w:tcBorders>
                  <w:noWrap w:val="0"/>
                  <w:vAlign w:val="center"/>
                </w:tcPr>
                <w:p w14:paraId="4AD41F00">
                  <w:pPr>
                    <w:spacing w:line="240" w:lineRule="auto"/>
                    <w:ind w:firstLine="0" w:firstLineChars="0"/>
                    <w:jc w:val="center"/>
                    <w:rPr>
                      <w:color w:val="auto"/>
                      <w:sz w:val="21"/>
                      <w:szCs w:val="21"/>
                    </w:rPr>
                  </w:pPr>
                  <w:r>
                    <w:rPr>
                      <w:color w:val="auto"/>
                      <w:sz w:val="21"/>
                      <w:szCs w:val="21"/>
                    </w:rPr>
                    <w:t>50</w:t>
                  </w:r>
                </w:p>
              </w:tc>
            </w:tr>
            <w:tr w14:paraId="7FDB98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2" w:type="pct"/>
                  <w:vMerge w:val="continue"/>
                  <w:tcBorders>
                    <w:tl2br w:val="nil"/>
                    <w:tr2bl w:val="nil"/>
                  </w:tcBorders>
                  <w:noWrap w:val="0"/>
                  <w:vAlign w:val="center"/>
                </w:tcPr>
                <w:p w14:paraId="3FA79E7D">
                  <w:pPr>
                    <w:spacing w:line="240" w:lineRule="auto"/>
                    <w:ind w:firstLine="0" w:firstLineChars="0"/>
                    <w:jc w:val="center"/>
                    <w:rPr>
                      <w:color w:val="auto"/>
                      <w:sz w:val="21"/>
                      <w:szCs w:val="21"/>
                    </w:rPr>
                  </w:pPr>
                </w:p>
              </w:tc>
              <w:tc>
                <w:tcPr>
                  <w:tcW w:w="263" w:type="pct"/>
                  <w:vMerge w:val="continue"/>
                  <w:tcBorders>
                    <w:tl2br w:val="nil"/>
                    <w:tr2bl w:val="nil"/>
                  </w:tcBorders>
                  <w:noWrap w:val="0"/>
                  <w:vAlign w:val="center"/>
                </w:tcPr>
                <w:p w14:paraId="45713375">
                  <w:pPr>
                    <w:spacing w:line="240" w:lineRule="auto"/>
                    <w:ind w:firstLine="0" w:firstLineChars="0"/>
                    <w:jc w:val="center"/>
                    <w:rPr>
                      <w:color w:val="auto"/>
                      <w:sz w:val="21"/>
                      <w:szCs w:val="21"/>
                    </w:rPr>
                  </w:pPr>
                </w:p>
              </w:tc>
              <w:tc>
                <w:tcPr>
                  <w:tcW w:w="867" w:type="pct"/>
                  <w:vMerge w:val="continue"/>
                  <w:tcBorders>
                    <w:tl2br w:val="nil"/>
                    <w:tr2bl w:val="nil"/>
                  </w:tcBorders>
                  <w:noWrap w:val="0"/>
                  <w:vAlign w:val="center"/>
                </w:tcPr>
                <w:p w14:paraId="38F3C105">
                  <w:pPr>
                    <w:spacing w:line="240" w:lineRule="auto"/>
                    <w:ind w:firstLine="0" w:firstLineChars="0"/>
                    <w:jc w:val="center"/>
                    <w:rPr>
                      <w:color w:val="auto"/>
                      <w:sz w:val="21"/>
                      <w:szCs w:val="21"/>
                    </w:rPr>
                  </w:pPr>
                </w:p>
              </w:tc>
              <w:tc>
                <w:tcPr>
                  <w:tcW w:w="1042" w:type="pct"/>
                  <w:vMerge w:val="continue"/>
                  <w:tcBorders>
                    <w:tl2br w:val="nil"/>
                    <w:tr2bl w:val="nil"/>
                  </w:tcBorders>
                  <w:noWrap w:val="0"/>
                  <w:vAlign w:val="center"/>
                </w:tcPr>
                <w:p w14:paraId="4C292319">
                  <w:pPr>
                    <w:spacing w:line="240" w:lineRule="auto"/>
                    <w:ind w:firstLine="0" w:firstLineChars="0"/>
                    <w:jc w:val="center"/>
                    <w:rPr>
                      <w:color w:val="auto"/>
                      <w:sz w:val="21"/>
                      <w:szCs w:val="21"/>
                    </w:rPr>
                  </w:pPr>
                </w:p>
              </w:tc>
              <w:tc>
                <w:tcPr>
                  <w:tcW w:w="310" w:type="pct"/>
                  <w:vMerge w:val="continue"/>
                  <w:tcBorders>
                    <w:tl2br w:val="nil"/>
                    <w:tr2bl w:val="nil"/>
                  </w:tcBorders>
                  <w:noWrap w:val="0"/>
                  <w:vAlign w:val="center"/>
                </w:tcPr>
                <w:p w14:paraId="70A175A3">
                  <w:pPr>
                    <w:spacing w:line="240" w:lineRule="auto"/>
                    <w:ind w:firstLine="0" w:firstLineChars="0"/>
                    <w:jc w:val="center"/>
                    <w:rPr>
                      <w:color w:val="auto"/>
                      <w:sz w:val="21"/>
                      <w:szCs w:val="21"/>
                    </w:rPr>
                  </w:pPr>
                </w:p>
              </w:tc>
              <w:tc>
                <w:tcPr>
                  <w:tcW w:w="234" w:type="pct"/>
                  <w:vMerge w:val="continue"/>
                  <w:tcBorders>
                    <w:tl2br w:val="nil"/>
                    <w:tr2bl w:val="nil"/>
                  </w:tcBorders>
                  <w:noWrap w:val="0"/>
                  <w:vAlign w:val="center"/>
                </w:tcPr>
                <w:p w14:paraId="75135D51">
                  <w:pPr>
                    <w:spacing w:line="240" w:lineRule="auto"/>
                    <w:ind w:firstLine="0" w:firstLineChars="0"/>
                    <w:jc w:val="center"/>
                    <w:rPr>
                      <w:color w:val="auto"/>
                      <w:sz w:val="21"/>
                      <w:szCs w:val="21"/>
                    </w:rPr>
                  </w:pPr>
                </w:p>
              </w:tc>
              <w:tc>
                <w:tcPr>
                  <w:tcW w:w="322" w:type="pct"/>
                  <w:tcBorders>
                    <w:tl2br w:val="nil"/>
                    <w:tr2bl w:val="nil"/>
                  </w:tcBorders>
                  <w:noWrap w:val="0"/>
                  <w:vAlign w:val="center"/>
                </w:tcPr>
                <w:p w14:paraId="4C5789CB">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2"/>
                      <w:sz w:val="21"/>
                      <w:szCs w:val="21"/>
                      <w:lang w:val="en-US" w:eastAsia="zh-CN" w:bidi="ar-SA"/>
                    </w:rPr>
                  </w:pPr>
                  <w:r>
                    <w:rPr>
                      <w:color w:val="auto"/>
                      <w:sz w:val="21"/>
                      <w:szCs w:val="21"/>
                    </w:rPr>
                    <w:t>TP</w:t>
                  </w:r>
                </w:p>
              </w:tc>
              <w:tc>
                <w:tcPr>
                  <w:tcW w:w="603" w:type="dxa"/>
                  <w:tcBorders>
                    <w:tl2br w:val="nil"/>
                    <w:tr2bl w:val="nil"/>
                  </w:tcBorders>
                  <w:noWrap w:val="0"/>
                  <w:vAlign w:val="center"/>
                </w:tcPr>
                <w:p w14:paraId="3EA1BD65">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.5</w:t>
                  </w:r>
                </w:p>
              </w:tc>
              <w:tc>
                <w:tcPr>
                  <w:tcW w:w="806" w:type="dxa"/>
                  <w:tcBorders>
                    <w:tl2br w:val="nil"/>
                    <w:tr2bl w:val="nil"/>
                  </w:tcBorders>
                  <w:noWrap w:val="0"/>
                  <w:vAlign w:val="center"/>
                </w:tcPr>
                <w:p w14:paraId="4DEB3CA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355" w:type="pct"/>
                  <w:vMerge w:val="continue"/>
                  <w:tcBorders>
                    <w:tl2br w:val="nil"/>
                    <w:tr2bl w:val="nil"/>
                  </w:tcBorders>
                  <w:noWrap w:val="0"/>
                  <w:vAlign w:val="center"/>
                </w:tcPr>
                <w:p w14:paraId="5DAC270C">
                  <w:pPr>
                    <w:spacing w:line="240" w:lineRule="auto"/>
                    <w:ind w:firstLine="0" w:firstLineChars="0"/>
                    <w:jc w:val="center"/>
                    <w:rPr>
                      <w:color w:val="auto"/>
                      <w:sz w:val="21"/>
                      <w:szCs w:val="21"/>
                    </w:rPr>
                  </w:pPr>
                </w:p>
              </w:tc>
              <w:tc>
                <w:tcPr>
                  <w:tcW w:w="417" w:type="pct"/>
                  <w:tcBorders>
                    <w:tl2br w:val="nil"/>
                    <w:tr2bl w:val="nil"/>
                  </w:tcBorders>
                  <w:noWrap w:val="0"/>
                  <w:vAlign w:val="center"/>
                </w:tcPr>
                <w:p w14:paraId="0319B16D">
                  <w:pPr>
                    <w:spacing w:line="240" w:lineRule="auto"/>
                    <w:ind w:firstLine="0" w:firstLineChars="0"/>
                    <w:jc w:val="center"/>
                    <w:rPr>
                      <w:rFonts w:hint="eastAsia" w:eastAsia="宋体"/>
                      <w:color w:val="auto"/>
                      <w:sz w:val="21"/>
                      <w:szCs w:val="21"/>
                      <w:lang w:eastAsia="zh-CN"/>
                    </w:rPr>
                  </w:pPr>
                  <w:r>
                    <w:rPr>
                      <w:rFonts w:hint="eastAsia"/>
                      <w:color w:val="auto"/>
                      <w:sz w:val="21"/>
                      <w:szCs w:val="21"/>
                      <w:lang w:val="en-US" w:eastAsia="zh-CN"/>
                    </w:rPr>
                    <w:t>3</w:t>
                  </w:r>
                </w:p>
              </w:tc>
            </w:tr>
          </w:tbl>
          <w:p w14:paraId="765914CF">
            <w:pPr>
              <w:spacing w:line="240" w:lineRule="auto"/>
              <w:ind w:firstLine="0" w:firstLineChars="0"/>
              <w:jc w:val="center"/>
              <w:rPr>
                <w:b/>
                <w:bCs/>
                <w:color w:val="auto"/>
                <w:sz w:val="21"/>
                <w:szCs w:val="21"/>
              </w:rPr>
            </w:pPr>
            <w:r>
              <w:rPr>
                <w:b/>
                <w:bCs/>
                <w:color w:val="auto"/>
                <w:sz w:val="21"/>
                <w:szCs w:val="21"/>
              </w:rPr>
              <w:t>表4</w:t>
            </w:r>
            <w:r>
              <w:rPr>
                <w:rFonts w:hint="eastAsia"/>
                <w:b/>
                <w:bCs/>
                <w:color w:val="auto"/>
                <w:sz w:val="21"/>
                <w:szCs w:val="21"/>
                <w:lang w:val="en-US" w:eastAsia="zh-CN"/>
              </w:rPr>
              <w:t>.1</w:t>
            </w:r>
            <w:r>
              <w:rPr>
                <w:b/>
                <w:bCs/>
                <w:color w:val="auto"/>
                <w:sz w:val="21"/>
                <w:szCs w:val="21"/>
              </w:rPr>
              <w:t>-</w:t>
            </w:r>
            <w:r>
              <w:rPr>
                <w:rFonts w:hint="eastAsia"/>
                <w:b/>
                <w:bCs/>
                <w:color w:val="auto"/>
                <w:sz w:val="21"/>
                <w:szCs w:val="21"/>
                <w:lang w:val="en-US" w:eastAsia="zh-CN"/>
              </w:rPr>
              <w:t>3</w:t>
            </w:r>
            <w:r>
              <w:rPr>
                <w:b/>
                <w:bCs/>
                <w:color w:val="auto"/>
                <w:sz w:val="21"/>
                <w:szCs w:val="21"/>
              </w:rPr>
              <w:t xml:space="preserve">  废水</w:t>
            </w:r>
            <w:r>
              <w:rPr>
                <w:rFonts w:hint="eastAsia"/>
                <w:b/>
                <w:bCs/>
                <w:color w:val="auto"/>
                <w:sz w:val="21"/>
                <w:szCs w:val="21"/>
                <w:lang w:val="en-US" w:eastAsia="zh-CN"/>
              </w:rPr>
              <w:t>产生</w:t>
            </w:r>
            <w:r>
              <w:rPr>
                <w:b/>
                <w:bCs/>
                <w:color w:val="auto"/>
                <w:sz w:val="21"/>
                <w:szCs w:val="21"/>
              </w:rPr>
              <w:t>及排放</w:t>
            </w:r>
            <w:r>
              <w:rPr>
                <w:rFonts w:hint="eastAsia"/>
                <w:b/>
                <w:bCs/>
                <w:color w:val="auto"/>
                <w:sz w:val="21"/>
                <w:szCs w:val="21"/>
                <w:lang w:val="en-US" w:eastAsia="zh-CN"/>
              </w:rPr>
              <w:t>情况</w:t>
            </w:r>
            <w:r>
              <w:rPr>
                <w:b/>
                <w:bCs/>
                <w:color w:val="auto"/>
                <w:sz w:val="21"/>
                <w:szCs w:val="21"/>
              </w:rPr>
              <w:t>一览表</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52"/>
              <w:gridCol w:w="1195"/>
              <w:gridCol w:w="660"/>
              <w:gridCol w:w="835"/>
              <w:gridCol w:w="852"/>
              <w:gridCol w:w="577"/>
              <w:gridCol w:w="835"/>
              <w:gridCol w:w="898"/>
              <w:gridCol w:w="1719"/>
              <w:gridCol w:w="1027"/>
            </w:tblGrid>
            <w:tr w14:paraId="08A61BF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0" w:type="auto"/>
                  <w:vMerge w:val="restart"/>
                  <w:noWrap w:val="0"/>
                  <w:vAlign w:val="center"/>
                </w:tcPr>
                <w:p w14:paraId="5B80E207">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来源</w:t>
                  </w:r>
                </w:p>
              </w:tc>
              <w:tc>
                <w:tcPr>
                  <w:tcW w:w="0" w:type="auto"/>
                  <w:vMerge w:val="restart"/>
                  <w:noWrap w:val="0"/>
                  <w:vAlign w:val="center"/>
                </w:tcPr>
                <w:p w14:paraId="45A5C254">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水量</w:t>
                  </w:r>
                  <w:r>
                    <w:rPr>
                      <w:rFonts w:hint="eastAsia"/>
                      <w:b/>
                      <w:bCs/>
                      <w:color w:val="auto"/>
                      <w:sz w:val="21"/>
                      <w:szCs w:val="21"/>
                      <w:lang w:eastAsia="zh-CN"/>
                    </w:rPr>
                    <w:t>（</w:t>
                  </w:r>
                  <w:r>
                    <w:rPr>
                      <w:b/>
                      <w:bCs/>
                      <w:color w:val="auto"/>
                      <w:sz w:val="21"/>
                      <w:szCs w:val="21"/>
                    </w:rPr>
                    <w:t>m</w:t>
                  </w:r>
                  <w:r>
                    <w:rPr>
                      <w:b/>
                      <w:bCs/>
                      <w:color w:val="auto"/>
                      <w:sz w:val="21"/>
                      <w:szCs w:val="21"/>
                      <w:vertAlign w:val="superscript"/>
                    </w:rPr>
                    <w:t>3</w:t>
                  </w:r>
                  <w:r>
                    <w:rPr>
                      <w:b/>
                      <w:bCs/>
                      <w:color w:val="auto"/>
                      <w:sz w:val="21"/>
                      <w:szCs w:val="21"/>
                    </w:rPr>
                    <w:t>/a</w:t>
                  </w:r>
                  <w:r>
                    <w:rPr>
                      <w:rFonts w:hint="eastAsia"/>
                      <w:b/>
                      <w:bCs/>
                      <w:color w:val="auto"/>
                      <w:sz w:val="21"/>
                      <w:szCs w:val="21"/>
                      <w:lang w:eastAsia="zh-CN"/>
                    </w:rPr>
                    <w:t>）</w:t>
                  </w:r>
                </w:p>
              </w:tc>
              <w:tc>
                <w:tcPr>
                  <w:tcW w:w="0" w:type="auto"/>
                  <w:vMerge w:val="restart"/>
                  <w:noWrap w:val="0"/>
                  <w:vAlign w:val="center"/>
                </w:tcPr>
                <w:p w14:paraId="7BAC568F">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污染</w:t>
                  </w:r>
                </w:p>
                <w:p w14:paraId="4EDACED3">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因子</w:t>
                  </w:r>
                </w:p>
              </w:tc>
              <w:tc>
                <w:tcPr>
                  <w:tcW w:w="0" w:type="auto"/>
                  <w:gridSpan w:val="2"/>
                  <w:noWrap w:val="0"/>
                  <w:vAlign w:val="center"/>
                </w:tcPr>
                <w:p w14:paraId="3FB6464A">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污染物产生量</w:t>
                  </w:r>
                </w:p>
              </w:tc>
              <w:tc>
                <w:tcPr>
                  <w:tcW w:w="0" w:type="auto"/>
                  <w:vMerge w:val="restart"/>
                  <w:noWrap w:val="0"/>
                  <w:vAlign w:val="center"/>
                </w:tcPr>
                <w:p w14:paraId="433D8966">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治理</w:t>
                  </w:r>
                </w:p>
                <w:p w14:paraId="176A1D74">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措施</w:t>
                  </w:r>
                </w:p>
              </w:tc>
              <w:tc>
                <w:tcPr>
                  <w:tcW w:w="0" w:type="auto"/>
                  <w:gridSpan w:val="2"/>
                  <w:noWrap w:val="0"/>
                  <w:vAlign w:val="center"/>
                </w:tcPr>
                <w:p w14:paraId="46F62AF3">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污染物排放量</w:t>
                  </w:r>
                </w:p>
              </w:tc>
              <w:tc>
                <w:tcPr>
                  <w:tcW w:w="0" w:type="auto"/>
                  <w:vMerge w:val="restart"/>
                  <w:noWrap w:val="0"/>
                  <w:vAlign w:val="center"/>
                </w:tcPr>
                <w:p w14:paraId="24786030">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接管标准浓度限值</w:t>
                  </w:r>
                  <w:r>
                    <w:rPr>
                      <w:rFonts w:hint="eastAsia"/>
                      <w:b/>
                      <w:bCs/>
                      <w:color w:val="auto"/>
                      <w:sz w:val="21"/>
                      <w:szCs w:val="21"/>
                      <w:lang w:eastAsia="zh-CN"/>
                    </w:rPr>
                    <w:t>（</w:t>
                  </w:r>
                  <w:r>
                    <w:rPr>
                      <w:b/>
                      <w:bCs/>
                      <w:color w:val="auto"/>
                      <w:sz w:val="21"/>
                      <w:szCs w:val="21"/>
                    </w:rPr>
                    <w:t>mg/L</w:t>
                  </w:r>
                  <w:r>
                    <w:rPr>
                      <w:rFonts w:hint="eastAsia"/>
                      <w:b/>
                      <w:bCs/>
                      <w:color w:val="auto"/>
                      <w:sz w:val="21"/>
                      <w:szCs w:val="21"/>
                      <w:lang w:eastAsia="zh-CN"/>
                    </w:rPr>
                    <w:t>）</w:t>
                  </w:r>
                </w:p>
              </w:tc>
              <w:tc>
                <w:tcPr>
                  <w:tcW w:w="0" w:type="auto"/>
                  <w:vMerge w:val="restart"/>
                  <w:noWrap w:val="0"/>
                  <w:vAlign w:val="center"/>
                </w:tcPr>
                <w:p w14:paraId="02B94DFD">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排放</w:t>
                  </w:r>
                </w:p>
                <w:p w14:paraId="73927C6A">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去向</w:t>
                  </w:r>
                </w:p>
              </w:tc>
            </w:tr>
            <w:tr w14:paraId="2AB88BF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0" w:type="auto"/>
                  <w:vMerge w:val="continue"/>
                  <w:noWrap w:val="0"/>
                  <w:vAlign w:val="center"/>
                </w:tcPr>
                <w:p w14:paraId="3861A82F">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0" w:type="auto"/>
                  <w:vMerge w:val="continue"/>
                  <w:noWrap w:val="0"/>
                  <w:vAlign w:val="center"/>
                </w:tcPr>
                <w:p w14:paraId="21EAE28F">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0" w:type="auto"/>
                  <w:vMerge w:val="continue"/>
                  <w:noWrap w:val="0"/>
                  <w:vAlign w:val="center"/>
                </w:tcPr>
                <w:p w14:paraId="74D582B4">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0" w:type="auto"/>
                  <w:noWrap w:val="0"/>
                  <w:vAlign w:val="center"/>
                </w:tcPr>
                <w:p w14:paraId="71E08AD8">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浓度</w:t>
                  </w:r>
                </w:p>
                <w:p w14:paraId="277D5885">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(mg/L)</w:t>
                  </w:r>
                </w:p>
              </w:tc>
              <w:tc>
                <w:tcPr>
                  <w:tcW w:w="0" w:type="auto"/>
                  <w:tcBorders>
                    <w:bottom w:val="single" w:color="auto" w:sz="2" w:space="0"/>
                  </w:tcBorders>
                  <w:noWrap w:val="0"/>
                  <w:vAlign w:val="center"/>
                </w:tcPr>
                <w:p w14:paraId="619A6025">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产生量</w:t>
                  </w:r>
                  <w:r>
                    <w:rPr>
                      <w:rFonts w:hint="eastAsia"/>
                      <w:b/>
                      <w:bCs/>
                      <w:color w:val="auto"/>
                      <w:sz w:val="21"/>
                      <w:szCs w:val="21"/>
                      <w:lang w:eastAsia="zh-CN"/>
                    </w:rPr>
                    <w:t>(</w:t>
                  </w:r>
                  <w:r>
                    <w:rPr>
                      <w:b/>
                      <w:bCs/>
                      <w:color w:val="auto"/>
                      <w:sz w:val="21"/>
                      <w:szCs w:val="21"/>
                    </w:rPr>
                    <w:t>t/a</w:t>
                  </w:r>
                  <w:r>
                    <w:rPr>
                      <w:rFonts w:hint="eastAsia"/>
                      <w:b/>
                      <w:bCs/>
                      <w:color w:val="auto"/>
                      <w:sz w:val="21"/>
                      <w:szCs w:val="21"/>
                      <w:lang w:eastAsia="zh-CN"/>
                    </w:rPr>
                    <w:t>)</w:t>
                  </w:r>
                </w:p>
              </w:tc>
              <w:tc>
                <w:tcPr>
                  <w:tcW w:w="0" w:type="auto"/>
                  <w:vMerge w:val="continue"/>
                  <w:noWrap w:val="0"/>
                  <w:vAlign w:val="center"/>
                </w:tcPr>
                <w:p w14:paraId="0AF21148">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p>
              </w:tc>
              <w:tc>
                <w:tcPr>
                  <w:tcW w:w="0" w:type="auto"/>
                  <w:noWrap w:val="0"/>
                  <w:vAlign w:val="center"/>
                </w:tcPr>
                <w:p w14:paraId="4B2B2AE0">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浓度</w:t>
                  </w:r>
                </w:p>
                <w:p w14:paraId="6F457136">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(mg/L)</w:t>
                  </w:r>
                </w:p>
              </w:tc>
              <w:tc>
                <w:tcPr>
                  <w:tcW w:w="0" w:type="auto"/>
                  <w:noWrap w:val="0"/>
                  <w:vAlign w:val="center"/>
                </w:tcPr>
                <w:p w14:paraId="7A48CE94">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排放量</w:t>
                  </w:r>
                </w:p>
                <w:p w14:paraId="4AC0CB0A">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rFonts w:hint="eastAsia"/>
                      <w:b/>
                      <w:bCs/>
                      <w:color w:val="auto"/>
                      <w:sz w:val="21"/>
                      <w:szCs w:val="21"/>
                      <w:lang w:eastAsia="zh-CN"/>
                    </w:rPr>
                    <w:t>(</w:t>
                  </w:r>
                  <w:r>
                    <w:rPr>
                      <w:b/>
                      <w:bCs/>
                      <w:color w:val="auto"/>
                      <w:sz w:val="21"/>
                      <w:szCs w:val="21"/>
                    </w:rPr>
                    <w:t>t/a</w:t>
                  </w:r>
                  <w:r>
                    <w:rPr>
                      <w:rFonts w:hint="eastAsia"/>
                      <w:b/>
                      <w:bCs/>
                      <w:color w:val="auto"/>
                      <w:sz w:val="21"/>
                      <w:szCs w:val="21"/>
                      <w:lang w:eastAsia="zh-CN"/>
                    </w:rPr>
                    <w:t>)</w:t>
                  </w:r>
                </w:p>
              </w:tc>
              <w:tc>
                <w:tcPr>
                  <w:tcW w:w="0" w:type="auto"/>
                  <w:vMerge w:val="continue"/>
                  <w:noWrap w:val="0"/>
                  <w:vAlign w:val="center"/>
                </w:tcPr>
                <w:p w14:paraId="533E799A">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0" w:type="auto"/>
                  <w:vMerge w:val="continue"/>
                  <w:noWrap w:val="0"/>
                  <w:vAlign w:val="center"/>
                </w:tcPr>
                <w:p w14:paraId="4B84FCA6">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r>
            <w:tr w14:paraId="2E9A064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0" w:type="auto"/>
                  <w:vMerge w:val="restart"/>
                  <w:noWrap w:val="0"/>
                  <w:vAlign w:val="center"/>
                </w:tcPr>
                <w:p w14:paraId="00F52127">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生活污水</w:t>
                  </w:r>
                </w:p>
              </w:tc>
              <w:tc>
                <w:tcPr>
                  <w:tcW w:w="0" w:type="auto"/>
                  <w:vMerge w:val="restart"/>
                  <w:noWrap w:val="0"/>
                  <w:vAlign w:val="center"/>
                </w:tcPr>
                <w:p w14:paraId="4498DA19">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1200</w:t>
                  </w:r>
                </w:p>
              </w:tc>
              <w:tc>
                <w:tcPr>
                  <w:tcW w:w="0" w:type="auto"/>
                  <w:noWrap w:val="0"/>
                  <w:vAlign w:val="center"/>
                </w:tcPr>
                <w:p w14:paraId="7320E709">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COD</w:t>
                  </w:r>
                </w:p>
              </w:tc>
              <w:tc>
                <w:tcPr>
                  <w:tcW w:w="835" w:type="dxa"/>
                  <w:noWrap w:val="0"/>
                  <w:vAlign w:val="center"/>
                </w:tcPr>
                <w:p w14:paraId="756EB8D8">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400</w:t>
                  </w:r>
                </w:p>
              </w:tc>
              <w:tc>
                <w:tcPr>
                  <w:tcW w:w="852" w:type="dxa"/>
                  <w:tcBorders>
                    <w:top w:val="single" w:color="auto" w:sz="2" w:space="0"/>
                  </w:tcBorders>
                  <w:noWrap w:val="0"/>
                  <w:vAlign w:val="center"/>
                </w:tcPr>
                <w:p w14:paraId="015EE8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0.48</w:t>
                  </w:r>
                </w:p>
              </w:tc>
              <w:tc>
                <w:tcPr>
                  <w:tcW w:w="0" w:type="auto"/>
                  <w:vMerge w:val="restart"/>
                  <w:noWrap w:val="0"/>
                  <w:vAlign w:val="center"/>
                </w:tcPr>
                <w:p w14:paraId="09E30939">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化粪池</w:t>
                  </w:r>
                </w:p>
              </w:tc>
              <w:tc>
                <w:tcPr>
                  <w:tcW w:w="835" w:type="dxa"/>
                  <w:noWrap w:val="0"/>
                  <w:vAlign w:val="center"/>
                </w:tcPr>
                <w:p w14:paraId="1D2C0473">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400</w:t>
                  </w:r>
                </w:p>
              </w:tc>
              <w:tc>
                <w:tcPr>
                  <w:tcW w:w="899" w:type="dxa"/>
                  <w:noWrap w:val="0"/>
                  <w:vAlign w:val="center"/>
                </w:tcPr>
                <w:p w14:paraId="35CCE9F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0.48</w:t>
                  </w:r>
                </w:p>
              </w:tc>
              <w:tc>
                <w:tcPr>
                  <w:tcW w:w="0" w:type="auto"/>
                  <w:noWrap w:val="0"/>
                  <w:vAlign w:val="center"/>
                </w:tcPr>
                <w:p w14:paraId="3AF9F143">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500</w:t>
                  </w:r>
                </w:p>
              </w:tc>
              <w:tc>
                <w:tcPr>
                  <w:tcW w:w="0" w:type="auto"/>
                  <w:vMerge w:val="restart"/>
                  <w:noWrap w:val="0"/>
                  <w:vAlign w:val="center"/>
                </w:tcPr>
                <w:p w14:paraId="3BD46C07">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lang w:eastAsia="zh-CN"/>
                    </w:rPr>
                    <w:t>金坛第二污水处理厂</w:t>
                  </w:r>
                </w:p>
              </w:tc>
            </w:tr>
            <w:tr w14:paraId="7C669C4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0" w:type="auto"/>
                  <w:vMerge w:val="continue"/>
                  <w:noWrap w:val="0"/>
                  <w:vAlign w:val="center"/>
                </w:tcPr>
                <w:p w14:paraId="4BA7CFB1">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0" w:type="auto"/>
                  <w:vMerge w:val="continue"/>
                  <w:noWrap w:val="0"/>
                  <w:vAlign w:val="center"/>
                </w:tcPr>
                <w:p w14:paraId="778B14AD">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0" w:type="auto"/>
                  <w:noWrap w:val="0"/>
                  <w:vAlign w:val="center"/>
                </w:tcPr>
                <w:p w14:paraId="44DA6309">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SS</w:t>
                  </w:r>
                </w:p>
              </w:tc>
              <w:tc>
                <w:tcPr>
                  <w:tcW w:w="835" w:type="dxa"/>
                  <w:noWrap w:val="0"/>
                  <w:vAlign w:val="center"/>
                </w:tcPr>
                <w:p w14:paraId="46C7AC71">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0</w:t>
                  </w:r>
                </w:p>
              </w:tc>
              <w:tc>
                <w:tcPr>
                  <w:tcW w:w="852" w:type="dxa"/>
                  <w:noWrap w:val="0"/>
                  <w:vAlign w:val="center"/>
                </w:tcPr>
                <w:p w14:paraId="0FFF555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0.24</w:t>
                  </w:r>
                </w:p>
              </w:tc>
              <w:tc>
                <w:tcPr>
                  <w:tcW w:w="0" w:type="auto"/>
                  <w:vMerge w:val="continue"/>
                  <w:noWrap w:val="0"/>
                  <w:vAlign w:val="center"/>
                </w:tcPr>
                <w:p w14:paraId="187ECB97">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835" w:type="dxa"/>
                  <w:noWrap w:val="0"/>
                  <w:vAlign w:val="center"/>
                </w:tcPr>
                <w:p w14:paraId="52708D7E">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0</w:t>
                  </w:r>
                </w:p>
              </w:tc>
              <w:tc>
                <w:tcPr>
                  <w:tcW w:w="899" w:type="dxa"/>
                  <w:noWrap w:val="0"/>
                  <w:vAlign w:val="center"/>
                </w:tcPr>
                <w:p w14:paraId="51CA324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0.24</w:t>
                  </w:r>
                </w:p>
              </w:tc>
              <w:tc>
                <w:tcPr>
                  <w:tcW w:w="0" w:type="auto"/>
                  <w:noWrap w:val="0"/>
                  <w:vAlign w:val="center"/>
                </w:tcPr>
                <w:p w14:paraId="72A1CF61">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250</w:t>
                  </w:r>
                </w:p>
              </w:tc>
              <w:tc>
                <w:tcPr>
                  <w:tcW w:w="0" w:type="auto"/>
                  <w:vMerge w:val="continue"/>
                  <w:noWrap w:val="0"/>
                  <w:vAlign w:val="center"/>
                </w:tcPr>
                <w:p w14:paraId="76E4D8C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rPr>
                  </w:pPr>
                </w:p>
              </w:tc>
            </w:tr>
            <w:tr w14:paraId="7B42715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0" w:type="auto"/>
                  <w:vMerge w:val="continue"/>
                  <w:noWrap w:val="0"/>
                  <w:vAlign w:val="center"/>
                </w:tcPr>
                <w:p w14:paraId="233EC2DB">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0" w:type="auto"/>
                  <w:vMerge w:val="continue"/>
                  <w:noWrap w:val="0"/>
                  <w:vAlign w:val="center"/>
                </w:tcPr>
                <w:p w14:paraId="7BE84578">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0" w:type="auto"/>
                  <w:noWrap w:val="0"/>
                  <w:vAlign w:val="center"/>
                </w:tcPr>
                <w:p w14:paraId="3471AA7C">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氨氮</w:t>
                  </w:r>
                </w:p>
              </w:tc>
              <w:tc>
                <w:tcPr>
                  <w:tcW w:w="835" w:type="dxa"/>
                  <w:noWrap w:val="0"/>
                  <w:vAlign w:val="center"/>
                </w:tcPr>
                <w:p w14:paraId="7E358ADB">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25</w:t>
                  </w:r>
                </w:p>
              </w:tc>
              <w:tc>
                <w:tcPr>
                  <w:tcW w:w="852" w:type="dxa"/>
                  <w:noWrap w:val="0"/>
                  <w:vAlign w:val="center"/>
                </w:tcPr>
                <w:p w14:paraId="3D0B523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0.03</w:t>
                  </w:r>
                </w:p>
              </w:tc>
              <w:tc>
                <w:tcPr>
                  <w:tcW w:w="0" w:type="auto"/>
                  <w:vMerge w:val="continue"/>
                  <w:noWrap w:val="0"/>
                  <w:vAlign w:val="center"/>
                </w:tcPr>
                <w:p w14:paraId="42C1715B">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835" w:type="dxa"/>
                  <w:noWrap w:val="0"/>
                  <w:vAlign w:val="center"/>
                </w:tcPr>
                <w:p w14:paraId="252A4502">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899" w:type="dxa"/>
                  <w:noWrap w:val="0"/>
                  <w:vAlign w:val="center"/>
                </w:tcPr>
                <w:p w14:paraId="0726D3F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0.03</w:t>
                  </w:r>
                </w:p>
              </w:tc>
              <w:tc>
                <w:tcPr>
                  <w:tcW w:w="0" w:type="auto"/>
                  <w:noWrap w:val="0"/>
                  <w:vAlign w:val="center"/>
                </w:tcPr>
                <w:p w14:paraId="6DFF2D3B">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lang w:val="en-US" w:eastAsia="zh-CN"/>
                    </w:rPr>
                    <w:t>3</w:t>
                  </w:r>
                  <w:r>
                    <w:rPr>
                      <w:color w:val="auto"/>
                      <w:sz w:val="21"/>
                      <w:szCs w:val="21"/>
                    </w:rPr>
                    <w:t>5</w:t>
                  </w:r>
                </w:p>
              </w:tc>
              <w:tc>
                <w:tcPr>
                  <w:tcW w:w="0" w:type="auto"/>
                  <w:vMerge w:val="continue"/>
                  <w:noWrap w:val="0"/>
                  <w:vAlign w:val="center"/>
                </w:tcPr>
                <w:p w14:paraId="6ECB8A5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rPr>
                  </w:pPr>
                </w:p>
              </w:tc>
            </w:tr>
            <w:tr w14:paraId="454A420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0" w:type="auto"/>
                  <w:vMerge w:val="continue"/>
                  <w:noWrap w:val="0"/>
                  <w:vAlign w:val="center"/>
                </w:tcPr>
                <w:p w14:paraId="6939D4E9">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0" w:type="auto"/>
                  <w:vMerge w:val="continue"/>
                  <w:noWrap w:val="0"/>
                  <w:vAlign w:val="center"/>
                </w:tcPr>
                <w:p w14:paraId="2692F62C">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0" w:type="auto"/>
                  <w:noWrap w:val="0"/>
                  <w:vAlign w:val="center"/>
                </w:tcPr>
                <w:p w14:paraId="56A72697">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TN</w:t>
                  </w:r>
                </w:p>
              </w:tc>
              <w:tc>
                <w:tcPr>
                  <w:tcW w:w="835" w:type="dxa"/>
                  <w:noWrap w:val="0"/>
                  <w:vAlign w:val="center"/>
                </w:tcPr>
                <w:p w14:paraId="2816FEB4">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35</w:t>
                  </w:r>
                </w:p>
              </w:tc>
              <w:tc>
                <w:tcPr>
                  <w:tcW w:w="852" w:type="dxa"/>
                  <w:noWrap w:val="0"/>
                  <w:vAlign w:val="center"/>
                </w:tcPr>
                <w:p w14:paraId="4C4FFDD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0.042</w:t>
                  </w:r>
                </w:p>
              </w:tc>
              <w:tc>
                <w:tcPr>
                  <w:tcW w:w="0" w:type="auto"/>
                  <w:vMerge w:val="continue"/>
                  <w:noWrap w:val="0"/>
                  <w:vAlign w:val="center"/>
                </w:tcPr>
                <w:p w14:paraId="5EBB98DC">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835" w:type="dxa"/>
                  <w:noWrap w:val="0"/>
                  <w:vAlign w:val="center"/>
                </w:tcPr>
                <w:p w14:paraId="6CBC292C">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c>
                <w:tcPr>
                  <w:tcW w:w="899" w:type="dxa"/>
                  <w:noWrap w:val="0"/>
                  <w:vAlign w:val="center"/>
                </w:tcPr>
                <w:p w14:paraId="6D4BAE4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0.042</w:t>
                  </w:r>
                </w:p>
              </w:tc>
              <w:tc>
                <w:tcPr>
                  <w:tcW w:w="0" w:type="auto"/>
                  <w:noWrap w:val="0"/>
                  <w:vAlign w:val="center"/>
                </w:tcPr>
                <w:p w14:paraId="1572201B">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50</w:t>
                  </w:r>
                </w:p>
              </w:tc>
              <w:tc>
                <w:tcPr>
                  <w:tcW w:w="0" w:type="auto"/>
                  <w:vMerge w:val="continue"/>
                  <w:noWrap w:val="0"/>
                  <w:vAlign w:val="center"/>
                </w:tcPr>
                <w:p w14:paraId="552C4FD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rPr>
                  </w:pPr>
                </w:p>
              </w:tc>
            </w:tr>
            <w:tr w14:paraId="717BE96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0" w:type="auto"/>
                  <w:vMerge w:val="continue"/>
                  <w:noWrap w:val="0"/>
                  <w:vAlign w:val="center"/>
                </w:tcPr>
                <w:p w14:paraId="00FD9DAE">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0" w:type="auto"/>
                  <w:vMerge w:val="continue"/>
                  <w:noWrap w:val="0"/>
                  <w:vAlign w:val="center"/>
                </w:tcPr>
                <w:p w14:paraId="1011D65F">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0" w:type="auto"/>
                  <w:noWrap w:val="0"/>
                  <w:vAlign w:val="center"/>
                </w:tcPr>
                <w:p w14:paraId="44734854">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TP</w:t>
                  </w:r>
                </w:p>
              </w:tc>
              <w:tc>
                <w:tcPr>
                  <w:tcW w:w="835" w:type="dxa"/>
                  <w:noWrap w:val="0"/>
                  <w:vAlign w:val="center"/>
                </w:tcPr>
                <w:p w14:paraId="6A845F99">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.5</w:t>
                  </w:r>
                </w:p>
              </w:tc>
              <w:tc>
                <w:tcPr>
                  <w:tcW w:w="852" w:type="dxa"/>
                  <w:noWrap w:val="0"/>
                  <w:vAlign w:val="center"/>
                </w:tcPr>
                <w:p w14:paraId="68890F1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0" w:type="auto"/>
                  <w:vMerge w:val="continue"/>
                  <w:noWrap w:val="0"/>
                  <w:vAlign w:val="center"/>
                </w:tcPr>
                <w:p w14:paraId="6ABAC96A">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835" w:type="dxa"/>
                  <w:noWrap w:val="0"/>
                  <w:vAlign w:val="center"/>
                </w:tcPr>
                <w:p w14:paraId="6640FF5D">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.5</w:t>
                  </w:r>
                </w:p>
              </w:tc>
              <w:tc>
                <w:tcPr>
                  <w:tcW w:w="899" w:type="dxa"/>
                  <w:noWrap w:val="0"/>
                  <w:vAlign w:val="center"/>
                </w:tcPr>
                <w:p w14:paraId="2DE4CC4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0" w:type="auto"/>
                  <w:noWrap w:val="0"/>
                  <w:vAlign w:val="center"/>
                </w:tcPr>
                <w:p w14:paraId="6E73CA8E">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lang w:val="en-US" w:eastAsia="zh-CN"/>
                    </w:rPr>
                    <w:t>3</w:t>
                  </w:r>
                </w:p>
              </w:tc>
              <w:tc>
                <w:tcPr>
                  <w:tcW w:w="0" w:type="auto"/>
                  <w:vMerge w:val="continue"/>
                  <w:noWrap w:val="0"/>
                  <w:vAlign w:val="center"/>
                </w:tcPr>
                <w:p w14:paraId="435200E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rPr>
                  </w:pPr>
                </w:p>
              </w:tc>
            </w:tr>
          </w:tbl>
          <w:p w14:paraId="265BF496">
            <w:pPr>
              <w:ind w:firstLine="0" w:firstLineChars="0"/>
              <w:rPr>
                <w:b/>
                <w:bCs/>
                <w:color w:val="auto"/>
                <w:sz w:val="24"/>
                <w:szCs w:val="24"/>
              </w:rPr>
            </w:pPr>
            <w:r>
              <w:rPr>
                <w:b/>
                <w:bCs/>
                <w:color w:val="auto"/>
                <w:sz w:val="24"/>
                <w:szCs w:val="24"/>
              </w:rPr>
              <w:t>1.3废污水接管措施及可行性</w:t>
            </w:r>
          </w:p>
          <w:p w14:paraId="1A93EA15">
            <w:pPr>
              <w:ind w:firstLine="0" w:firstLineChars="0"/>
              <w:rPr>
                <w:b/>
                <w:color w:val="auto"/>
                <w:sz w:val="24"/>
                <w:szCs w:val="24"/>
              </w:rPr>
            </w:pPr>
            <w:r>
              <w:rPr>
                <w:b/>
                <w:bCs/>
                <w:color w:val="auto"/>
                <w:sz w:val="24"/>
                <w:szCs w:val="24"/>
              </w:rPr>
              <w:t>1.3.1废水接管情况</w:t>
            </w:r>
          </w:p>
          <w:p w14:paraId="6EC237BD">
            <w:pPr>
              <w:ind w:firstLine="420"/>
              <w:rPr>
                <w:b/>
                <w:color w:val="auto"/>
                <w:sz w:val="24"/>
                <w:szCs w:val="24"/>
              </w:rPr>
            </w:pPr>
            <w:r>
              <w:rPr>
                <w:color w:val="auto"/>
                <w:sz w:val="24"/>
                <w:szCs w:val="24"/>
              </w:rPr>
              <w:t>本项目</w:t>
            </w:r>
            <w:r>
              <w:rPr>
                <w:rFonts w:hint="eastAsia"/>
                <w:color w:val="auto"/>
                <w:sz w:val="24"/>
                <w:szCs w:val="24"/>
              </w:rPr>
              <w:t>制纯水浓水用作冲厕所水</w:t>
            </w:r>
            <w:r>
              <w:rPr>
                <w:rFonts w:hint="eastAsia"/>
                <w:color w:val="auto"/>
                <w:sz w:val="24"/>
                <w:szCs w:val="24"/>
                <w:lang w:eastAsia="zh-CN"/>
              </w:rPr>
              <w:t>，</w:t>
            </w:r>
            <w:r>
              <w:rPr>
                <w:rFonts w:hint="eastAsia"/>
                <w:color w:val="auto"/>
                <w:sz w:val="24"/>
                <w:szCs w:val="24"/>
              </w:rPr>
              <w:t>计入生活污水</w:t>
            </w:r>
            <w:r>
              <w:rPr>
                <w:rFonts w:hint="eastAsia"/>
                <w:color w:val="auto"/>
                <w:sz w:val="24"/>
                <w:szCs w:val="24"/>
                <w:lang w:eastAsia="zh-CN"/>
              </w:rPr>
              <w:t>，</w:t>
            </w:r>
            <w:r>
              <w:rPr>
                <w:color w:val="auto"/>
                <w:sz w:val="24"/>
                <w:szCs w:val="24"/>
              </w:rPr>
              <w:t>无</w:t>
            </w:r>
            <w:r>
              <w:rPr>
                <w:rFonts w:hint="eastAsia"/>
                <w:color w:val="auto"/>
                <w:sz w:val="24"/>
                <w:szCs w:val="24"/>
                <w:lang w:val="en-US" w:eastAsia="zh-CN"/>
              </w:rPr>
              <w:t>其他</w:t>
            </w:r>
            <w:r>
              <w:rPr>
                <w:color w:val="auto"/>
                <w:sz w:val="24"/>
                <w:szCs w:val="24"/>
              </w:rPr>
              <w:t>生产废水排放，生活污水接管进</w:t>
            </w:r>
            <w:r>
              <w:rPr>
                <w:rFonts w:hint="eastAsia"/>
                <w:color w:val="auto"/>
                <w:sz w:val="24"/>
                <w:szCs w:val="24"/>
                <w:lang w:eastAsia="zh-CN"/>
              </w:rPr>
              <w:t>金坛第二污水处理厂</w:t>
            </w:r>
            <w:r>
              <w:rPr>
                <w:color w:val="auto"/>
                <w:sz w:val="24"/>
                <w:szCs w:val="24"/>
              </w:rPr>
              <w:t>集中处理，处理达标后尾水排入</w:t>
            </w:r>
            <w:r>
              <w:rPr>
                <w:rFonts w:hint="eastAsia"/>
                <w:color w:val="auto"/>
                <w:sz w:val="24"/>
                <w:szCs w:val="24"/>
                <w:lang w:eastAsia="zh-CN"/>
              </w:rPr>
              <w:t>尧塘河</w:t>
            </w:r>
            <w:r>
              <w:rPr>
                <w:color w:val="auto"/>
                <w:sz w:val="24"/>
                <w:szCs w:val="24"/>
              </w:rPr>
              <w:t>。</w:t>
            </w:r>
          </w:p>
          <w:p w14:paraId="432934E6">
            <w:pPr>
              <w:ind w:firstLine="0" w:firstLineChars="0"/>
              <w:rPr>
                <w:b/>
                <w:bCs/>
                <w:color w:val="auto"/>
                <w:sz w:val="24"/>
                <w:szCs w:val="24"/>
              </w:rPr>
            </w:pPr>
            <w:r>
              <w:rPr>
                <w:b/>
                <w:bCs/>
                <w:color w:val="auto"/>
                <w:sz w:val="24"/>
                <w:szCs w:val="24"/>
              </w:rPr>
              <w:t>1.3.2接管可行性分析</w:t>
            </w:r>
          </w:p>
          <w:p w14:paraId="239F5FDB">
            <w:pPr>
              <w:ind w:firstLine="420"/>
              <w:rPr>
                <w:rFonts w:hint="eastAsia"/>
                <w:color w:val="auto"/>
                <w:sz w:val="24"/>
                <w:szCs w:val="24"/>
                <w:lang w:eastAsia="zh-CN"/>
              </w:rPr>
            </w:pPr>
            <w:r>
              <w:rPr>
                <w:rFonts w:hint="eastAsia"/>
                <w:color w:val="auto"/>
                <w:sz w:val="24"/>
                <w:szCs w:val="24"/>
                <w:lang w:eastAsia="zh-CN"/>
              </w:rPr>
              <w:t>（1）管网建设情况</w:t>
            </w:r>
          </w:p>
          <w:p w14:paraId="12454EEF">
            <w:pPr>
              <w:ind w:firstLine="420"/>
              <w:rPr>
                <w:rFonts w:hint="eastAsia"/>
                <w:color w:val="auto"/>
                <w:sz w:val="24"/>
                <w:szCs w:val="24"/>
                <w:lang w:eastAsia="zh-CN"/>
              </w:rPr>
            </w:pPr>
            <w:r>
              <w:rPr>
                <w:rFonts w:hint="eastAsia"/>
                <w:color w:val="auto"/>
                <w:sz w:val="24"/>
                <w:szCs w:val="24"/>
                <w:lang w:eastAsia="zh-CN"/>
              </w:rPr>
              <w:t>金坛第二污水处理厂的服务范围为金坛东环二路以东市区范围区域，包括金坛经济开发区控制性详细规划中的主要建设区域（东至省道203，南至站前路，西至金湖路和丹金</w:t>
            </w:r>
            <w:r>
              <w:rPr>
                <w:rFonts w:hint="eastAsia"/>
                <w:color w:val="auto"/>
                <w:sz w:val="24"/>
                <w:szCs w:val="24"/>
                <w:lang w:val="en-US" w:eastAsia="zh-CN"/>
              </w:rPr>
              <w:t xml:space="preserve">                                                          </w:t>
            </w:r>
            <w:r>
              <w:rPr>
                <w:rFonts w:hint="eastAsia"/>
                <w:color w:val="auto"/>
                <w:sz w:val="24"/>
                <w:szCs w:val="24"/>
                <w:lang w:eastAsia="zh-CN"/>
              </w:rPr>
              <w:t>溧漕河，北至开发区行政界线）和河东居住区部分范围，总面积约为70.9km</w:t>
            </w:r>
            <w:r>
              <w:rPr>
                <w:rFonts w:hint="eastAsia"/>
                <w:color w:val="auto"/>
                <w:sz w:val="24"/>
                <w:szCs w:val="24"/>
                <w:vertAlign w:val="superscript"/>
                <w:lang w:eastAsia="zh-CN"/>
              </w:rPr>
              <w:t>2</w:t>
            </w:r>
            <w:r>
              <w:rPr>
                <w:rFonts w:hint="eastAsia"/>
                <w:color w:val="auto"/>
                <w:sz w:val="24"/>
                <w:szCs w:val="24"/>
                <w:lang w:eastAsia="zh-CN"/>
              </w:rPr>
              <w:t>。根据区域规划，本项目在金坛第二污水处理厂接收范围之内。</w:t>
            </w:r>
          </w:p>
          <w:p w14:paraId="5B7480C0">
            <w:pPr>
              <w:ind w:firstLine="420"/>
              <w:rPr>
                <w:rFonts w:hint="eastAsia"/>
                <w:color w:val="auto"/>
                <w:sz w:val="24"/>
                <w:szCs w:val="24"/>
                <w:lang w:eastAsia="zh-CN"/>
              </w:rPr>
            </w:pPr>
            <w:r>
              <w:rPr>
                <w:rFonts w:hint="eastAsia"/>
                <w:color w:val="auto"/>
                <w:sz w:val="24"/>
                <w:szCs w:val="24"/>
                <w:lang w:eastAsia="zh-CN"/>
              </w:rPr>
              <w:t>（2）污水处理厂</w:t>
            </w:r>
            <w:r>
              <w:rPr>
                <w:rFonts w:hint="eastAsia"/>
                <w:color w:val="auto"/>
                <w:sz w:val="24"/>
                <w:szCs w:val="24"/>
              </w:rPr>
              <w:t>处理负荷可行性分析</w:t>
            </w:r>
          </w:p>
          <w:p w14:paraId="782BD54D">
            <w:pPr>
              <w:ind w:firstLine="420"/>
              <w:rPr>
                <w:rFonts w:hint="eastAsia"/>
                <w:color w:val="auto"/>
                <w:sz w:val="24"/>
                <w:szCs w:val="24"/>
                <w:lang w:eastAsia="zh-CN"/>
              </w:rPr>
            </w:pPr>
            <w:r>
              <w:rPr>
                <w:rFonts w:hint="eastAsia"/>
                <w:color w:val="auto"/>
                <w:sz w:val="24"/>
                <w:szCs w:val="24"/>
                <w:lang w:eastAsia="zh-CN"/>
              </w:rPr>
              <w:t>金坛第二污水处理厂位于江苏省金坛经济开发区内，华城东路与新常金公路交汇处以北100m。2013年年平均处理水量约为3.1万m</w:t>
            </w:r>
            <w:r>
              <w:rPr>
                <w:rFonts w:hint="eastAsia"/>
                <w:color w:val="auto"/>
                <w:sz w:val="24"/>
                <w:szCs w:val="24"/>
                <w:vertAlign w:val="superscript"/>
                <w:lang w:eastAsia="zh-CN"/>
              </w:rPr>
              <w:t>3</w:t>
            </w:r>
            <w:r>
              <w:rPr>
                <w:rFonts w:hint="eastAsia"/>
                <w:color w:val="auto"/>
                <w:sz w:val="24"/>
                <w:szCs w:val="24"/>
                <w:lang w:eastAsia="zh-CN"/>
              </w:rPr>
              <w:t>/d（处理负荷为77.5%），接管工业废水约1.57万t/d，接管生活污水约1.53万t/d，二污厂现状工业废水与生活污水之比约为1:1。2014年4月8日《金坛市第二污水处理有限公司扩建工程项目环境影响报告书》通过原金坛市环境保护局审批，规划扩建工程规模为2.0万m</w:t>
            </w:r>
            <w:r>
              <w:rPr>
                <w:rFonts w:hint="eastAsia"/>
                <w:color w:val="auto"/>
                <w:sz w:val="24"/>
                <w:szCs w:val="24"/>
                <w:vertAlign w:val="superscript"/>
                <w:lang w:eastAsia="zh-CN"/>
              </w:rPr>
              <w:t>3</w:t>
            </w:r>
            <w:r>
              <w:rPr>
                <w:rFonts w:hint="eastAsia"/>
                <w:color w:val="auto"/>
                <w:sz w:val="24"/>
                <w:szCs w:val="24"/>
                <w:lang w:eastAsia="zh-CN"/>
              </w:rPr>
              <w:t>/d，远期规划规模达16万m</w:t>
            </w:r>
            <w:r>
              <w:rPr>
                <w:rFonts w:hint="eastAsia"/>
                <w:color w:val="auto"/>
                <w:sz w:val="24"/>
                <w:szCs w:val="24"/>
                <w:vertAlign w:val="superscript"/>
                <w:lang w:eastAsia="zh-CN"/>
              </w:rPr>
              <w:t>3</w:t>
            </w:r>
            <w:r>
              <w:rPr>
                <w:rFonts w:hint="eastAsia"/>
                <w:color w:val="auto"/>
                <w:sz w:val="24"/>
                <w:szCs w:val="24"/>
                <w:lang w:eastAsia="zh-CN"/>
              </w:rPr>
              <w:t>/d，该项目已于2017年1月3日通过原常州市金坛区环境保护局验收，并正式投入运营。</w:t>
            </w:r>
          </w:p>
          <w:p w14:paraId="3C78E759">
            <w:pPr>
              <w:spacing w:line="480" w:lineRule="exact"/>
              <w:ind w:firstLine="420"/>
              <w:rPr>
                <w:rFonts w:hint="eastAsia"/>
                <w:color w:val="auto"/>
                <w:sz w:val="24"/>
                <w:szCs w:val="24"/>
                <w:lang w:eastAsia="zh-CN"/>
              </w:rPr>
            </w:pPr>
            <w:r>
              <w:rPr>
                <w:rFonts w:hint="eastAsia"/>
                <w:color w:val="auto"/>
                <w:sz w:val="24"/>
                <w:szCs w:val="24"/>
                <w:lang w:eastAsia="zh-CN"/>
              </w:rPr>
              <w:t>金坛第二污水处理厂目前实际处理量约5.8万吨/日，还有余量0.2万吨/日。本项目废水排放总量约为</w:t>
            </w:r>
            <w:r>
              <w:rPr>
                <w:rFonts w:hint="eastAsia"/>
                <w:color w:val="auto"/>
                <w:sz w:val="24"/>
                <w:szCs w:val="24"/>
                <w:lang w:val="en-US" w:eastAsia="zh-CN"/>
              </w:rPr>
              <w:t>1200</w:t>
            </w:r>
            <w:r>
              <w:rPr>
                <w:rFonts w:hint="eastAsia"/>
                <w:color w:val="auto"/>
                <w:sz w:val="24"/>
                <w:szCs w:val="24"/>
                <w:lang w:eastAsia="zh-CN"/>
              </w:rPr>
              <w:t>t/a（</w:t>
            </w:r>
            <w:r>
              <w:rPr>
                <w:rFonts w:hint="eastAsia"/>
                <w:color w:val="auto"/>
                <w:sz w:val="24"/>
                <w:szCs w:val="24"/>
                <w:lang w:val="en-US" w:eastAsia="zh-CN"/>
              </w:rPr>
              <w:t>4</w:t>
            </w:r>
            <w:r>
              <w:rPr>
                <w:rFonts w:hint="eastAsia"/>
                <w:color w:val="auto"/>
                <w:sz w:val="24"/>
                <w:szCs w:val="24"/>
                <w:lang w:eastAsia="zh-CN"/>
              </w:rPr>
              <w:t>t/d），占金坛第二污水处理厂日处理余量的比例极小，金坛第二污水处理厂完全有能力接纳本项目污水。</w:t>
            </w:r>
          </w:p>
          <w:p w14:paraId="66E13E3F">
            <w:pPr>
              <w:adjustRightInd w:val="0"/>
              <w:snapToGrid w:val="0"/>
              <w:spacing w:line="480" w:lineRule="exact"/>
              <w:ind w:firstLine="480" w:firstLineChars="200"/>
              <w:jc w:val="left"/>
              <w:rPr>
                <w:b/>
                <w:bCs/>
                <w:color w:val="auto"/>
                <w:sz w:val="24"/>
                <w:szCs w:val="24"/>
              </w:rPr>
            </w:pPr>
            <w:r>
              <w:rPr>
                <w:rFonts w:hint="eastAsia"/>
                <w:color w:val="auto"/>
                <w:sz w:val="24"/>
                <w:szCs w:val="24"/>
                <w:lang w:eastAsia="zh-CN"/>
              </w:rPr>
              <w:t>（</w:t>
            </w:r>
            <w:r>
              <w:rPr>
                <w:rFonts w:hint="eastAsia"/>
                <w:color w:val="auto"/>
                <w:sz w:val="24"/>
                <w:szCs w:val="24"/>
                <w:lang w:val="en-US" w:eastAsia="zh-CN"/>
              </w:rPr>
              <w:t>3</w:t>
            </w:r>
            <w:r>
              <w:rPr>
                <w:rFonts w:hint="eastAsia"/>
                <w:b w:val="0"/>
                <w:bCs w:val="0"/>
                <w:color w:val="auto"/>
                <w:sz w:val="24"/>
                <w:szCs w:val="24"/>
                <w:lang w:eastAsia="zh-CN"/>
              </w:rPr>
              <w:t>）</w:t>
            </w:r>
            <w:r>
              <w:rPr>
                <w:b w:val="0"/>
                <w:bCs w:val="0"/>
                <w:color w:val="auto"/>
                <w:sz w:val="24"/>
                <w:szCs w:val="24"/>
              </w:rPr>
              <w:t>污水处理厂处理工艺可行性分析</w:t>
            </w:r>
          </w:p>
          <w:p w14:paraId="22675E17">
            <w:pPr>
              <w:adjustRightInd w:val="0"/>
              <w:snapToGrid w:val="0"/>
              <w:spacing w:line="480" w:lineRule="exact"/>
              <w:ind w:firstLine="480" w:firstLineChars="200"/>
              <w:rPr>
                <w:rFonts w:hint="eastAsia"/>
                <w:color w:val="auto"/>
                <w:sz w:val="24"/>
                <w:szCs w:val="24"/>
              </w:rPr>
            </w:pPr>
            <w:r>
              <w:rPr>
                <w:rFonts w:hint="eastAsia"/>
                <w:color w:val="auto"/>
                <w:sz w:val="24"/>
                <w:szCs w:val="24"/>
              </w:rPr>
              <w:t>常州金坛区第二污水处理有限公司</w:t>
            </w:r>
            <w:r>
              <w:rPr>
                <w:color w:val="auto"/>
                <w:sz w:val="24"/>
                <w:szCs w:val="24"/>
              </w:rPr>
              <w:t>采用A</w:t>
            </w:r>
            <w:r>
              <w:rPr>
                <w:color w:val="auto"/>
                <w:sz w:val="24"/>
                <w:szCs w:val="24"/>
                <w:vertAlign w:val="superscript"/>
              </w:rPr>
              <w:t>2</w:t>
            </w:r>
            <w:r>
              <w:rPr>
                <w:color w:val="auto"/>
                <w:sz w:val="24"/>
                <w:szCs w:val="24"/>
              </w:rPr>
              <w:t>/O工艺，把除磷、脱氮和降解有机物三个生化过程结合起来，在厌氧段和缺氧段为除磷和脱氮提供各自不同的反应条件。具体工艺流程见下图。</w:t>
            </w:r>
          </w:p>
          <w:p w14:paraId="64E455CA">
            <w:pPr>
              <w:spacing w:line="360" w:lineRule="auto"/>
              <w:ind w:firstLine="0" w:firstLineChars="0"/>
              <w:jc w:val="center"/>
              <w:rPr>
                <w:b/>
                <w:color w:val="auto"/>
                <w:szCs w:val="21"/>
              </w:rPr>
            </w:pPr>
            <w:r>
              <w:rPr>
                <w:color w:val="auto"/>
                <w:szCs w:val="21"/>
              </w:rPr>
              <w:object>
                <v:shape id="_x0000_i1025" o:spt="75" type="#_x0000_t75" style="height:136.35pt;width:418.8pt;" o:ole="t" filled="f" o:preferrelative="t" stroked="f" coordsize="21600,21600">
                  <v:path/>
                  <v:fill on="f" focussize="0,0"/>
                  <v:stroke on="f"/>
                  <v:imagedata r:id="rId20" o:title=""/>
                  <o:lock v:ext="edit" aspectratio="t"/>
                  <w10:wrap type="none"/>
                  <w10:anchorlock/>
                </v:shape>
                <o:OLEObject Type="Embed" ProgID="Visio.Drawing.11" ShapeID="_x0000_i1025" DrawAspect="Content" ObjectID="_1468075725" r:id="rId19">
                  <o:LockedField>false</o:LockedField>
                </o:OLEObject>
              </w:object>
            </w:r>
          </w:p>
          <w:p w14:paraId="4CC8480F">
            <w:pPr>
              <w:spacing w:line="360" w:lineRule="auto"/>
              <w:ind w:firstLine="0" w:firstLineChars="0"/>
              <w:jc w:val="center"/>
              <w:rPr>
                <w:b/>
                <w:color w:val="auto"/>
                <w:szCs w:val="21"/>
              </w:rPr>
            </w:pPr>
            <w:r>
              <w:rPr>
                <w:b/>
                <w:color w:val="auto"/>
                <w:szCs w:val="21"/>
              </w:rPr>
              <w:t>图4</w:t>
            </w:r>
            <w:r>
              <w:rPr>
                <w:rFonts w:hint="eastAsia"/>
                <w:b/>
                <w:color w:val="auto"/>
                <w:szCs w:val="21"/>
                <w:lang w:val="en-US" w:eastAsia="zh-CN"/>
              </w:rPr>
              <w:t>.1</w:t>
            </w:r>
            <w:r>
              <w:rPr>
                <w:b/>
                <w:color w:val="auto"/>
                <w:szCs w:val="21"/>
              </w:rPr>
              <w:t>-</w:t>
            </w:r>
            <w:r>
              <w:rPr>
                <w:rFonts w:hint="eastAsia"/>
                <w:b/>
                <w:color w:val="auto"/>
                <w:szCs w:val="21"/>
                <w:lang w:val="en-US" w:eastAsia="zh-CN"/>
              </w:rPr>
              <w:t>1</w:t>
            </w:r>
            <w:r>
              <w:rPr>
                <w:b/>
                <w:color w:val="auto"/>
                <w:szCs w:val="21"/>
              </w:rPr>
              <w:t xml:space="preserve"> </w:t>
            </w:r>
            <w:r>
              <w:rPr>
                <w:rFonts w:hint="eastAsia"/>
                <w:b/>
                <w:color w:val="auto"/>
                <w:szCs w:val="21"/>
              </w:rPr>
              <w:t>常州金坛区第二污水处理有限公司</w:t>
            </w:r>
            <w:r>
              <w:rPr>
                <w:b/>
                <w:color w:val="auto"/>
                <w:szCs w:val="21"/>
              </w:rPr>
              <w:t>处理工艺流程图</w:t>
            </w:r>
          </w:p>
          <w:p w14:paraId="343CFCC8">
            <w:pPr>
              <w:adjustRightInd w:val="0"/>
              <w:snapToGrid w:val="0"/>
              <w:spacing w:line="480" w:lineRule="exact"/>
              <w:ind w:firstLine="480" w:firstLineChars="200"/>
              <w:rPr>
                <w:color w:val="auto"/>
                <w:sz w:val="24"/>
                <w:szCs w:val="24"/>
              </w:rPr>
            </w:pPr>
            <w:r>
              <w:rPr>
                <w:color w:val="auto"/>
                <w:sz w:val="24"/>
                <w:szCs w:val="24"/>
              </w:rPr>
              <w:t>废水经过粗格栅隔去除尺寸较大的杂质由进水泵房的污水泵将污水经细格栅打入旋流沉砂池。污水经过沉砂后进入A</w:t>
            </w:r>
            <w:r>
              <w:rPr>
                <w:color w:val="auto"/>
                <w:sz w:val="24"/>
                <w:szCs w:val="24"/>
                <w:vertAlign w:val="superscript"/>
              </w:rPr>
              <w:t>2</w:t>
            </w:r>
            <w:r>
              <w:rPr>
                <w:color w:val="auto"/>
                <w:sz w:val="24"/>
                <w:szCs w:val="24"/>
              </w:rPr>
              <w:t>/O反应池进行生化处理，通过厌氧、缺氧和好氧交替变化的环境完成除磷脱氮，处理后废水经加氯接触消毒后排放。A</w:t>
            </w:r>
            <w:r>
              <w:rPr>
                <w:color w:val="auto"/>
                <w:sz w:val="24"/>
                <w:szCs w:val="24"/>
                <w:vertAlign w:val="superscript"/>
              </w:rPr>
              <w:t>2</w:t>
            </w:r>
            <w:r>
              <w:rPr>
                <w:color w:val="auto"/>
                <w:sz w:val="24"/>
                <w:szCs w:val="24"/>
              </w:rPr>
              <w:t>/O反应池剩余污泥从沉淀区排出，进入污泥均质池（回流污泥泵房），然后进入污泥浓缩脱水车间采用板框压滤机压成泥饼外运。污泥处理产生的废水返回到废水处理工艺流程，尾水处理达标后排入尧塘河。</w:t>
            </w:r>
          </w:p>
          <w:p w14:paraId="0FA2E256">
            <w:pPr>
              <w:adjustRightInd w:val="0"/>
              <w:snapToGrid w:val="0"/>
              <w:spacing w:line="480" w:lineRule="exact"/>
              <w:ind w:firstLine="480" w:firstLineChars="200"/>
              <w:jc w:val="left"/>
              <w:rPr>
                <w:color w:val="auto"/>
                <w:spacing w:val="15"/>
                <w:sz w:val="24"/>
                <w:szCs w:val="24"/>
              </w:rPr>
            </w:pPr>
            <w:r>
              <w:rPr>
                <w:color w:val="auto"/>
                <w:sz w:val="24"/>
                <w:szCs w:val="24"/>
              </w:rPr>
              <w:t>本项目废水主要污染物为COD、SS、NH</w:t>
            </w:r>
            <w:r>
              <w:rPr>
                <w:color w:val="auto"/>
                <w:sz w:val="24"/>
                <w:szCs w:val="24"/>
                <w:vertAlign w:val="subscript"/>
              </w:rPr>
              <w:t>3</w:t>
            </w:r>
            <w:r>
              <w:rPr>
                <w:color w:val="auto"/>
                <w:sz w:val="24"/>
                <w:szCs w:val="24"/>
              </w:rPr>
              <w:t>-N、TP、TN，水质简单，可生化性好，从废水排放达标分析结果可知，废水水质满足</w:t>
            </w:r>
            <w:r>
              <w:rPr>
                <w:rFonts w:hint="eastAsia"/>
                <w:color w:val="auto"/>
                <w:sz w:val="24"/>
                <w:szCs w:val="24"/>
              </w:rPr>
              <w:t>常州金坛区第二污水处理有限公司</w:t>
            </w:r>
            <w:r>
              <w:rPr>
                <w:color w:val="auto"/>
                <w:sz w:val="24"/>
                <w:szCs w:val="24"/>
              </w:rPr>
              <w:t>接管水质要求。即从处理工艺上接管可行。</w:t>
            </w:r>
          </w:p>
          <w:p w14:paraId="634DE7D6">
            <w:pPr>
              <w:adjustRightInd w:val="0"/>
              <w:snapToGrid w:val="0"/>
              <w:spacing w:line="480" w:lineRule="exact"/>
              <w:ind w:firstLine="480" w:firstLineChars="200"/>
              <w:jc w:val="left"/>
              <w:rPr>
                <w:rFonts w:hint="default" w:eastAsia="宋体"/>
                <w:b/>
                <w:bCs/>
                <w:color w:val="auto"/>
                <w:sz w:val="24"/>
                <w:szCs w:val="24"/>
                <w:lang w:val="en-US" w:eastAsia="zh-CN"/>
              </w:rPr>
            </w:pPr>
            <w:r>
              <w:rPr>
                <w:rFonts w:hint="eastAsia"/>
                <w:color w:val="auto"/>
                <w:sz w:val="24"/>
                <w:szCs w:val="24"/>
                <w:lang w:eastAsia="zh-CN"/>
              </w:rPr>
              <w:t>（</w:t>
            </w:r>
            <w:r>
              <w:rPr>
                <w:rFonts w:hint="eastAsia"/>
                <w:color w:val="auto"/>
                <w:sz w:val="24"/>
                <w:szCs w:val="24"/>
                <w:lang w:val="en-US" w:eastAsia="zh-CN"/>
              </w:rPr>
              <w:t>4</w:t>
            </w:r>
            <w:r>
              <w:rPr>
                <w:rFonts w:hint="eastAsia"/>
                <w:b w:val="0"/>
                <w:bCs w:val="0"/>
                <w:color w:val="auto"/>
                <w:sz w:val="24"/>
                <w:szCs w:val="24"/>
                <w:lang w:eastAsia="zh-CN"/>
              </w:rPr>
              <w:t>）</w:t>
            </w:r>
            <w:r>
              <w:rPr>
                <w:b w:val="0"/>
                <w:bCs w:val="0"/>
                <w:color w:val="auto"/>
                <w:sz w:val="24"/>
                <w:szCs w:val="24"/>
              </w:rPr>
              <w:t>污水处理厂</w:t>
            </w:r>
            <w:r>
              <w:rPr>
                <w:rFonts w:hint="eastAsia"/>
                <w:b w:val="0"/>
                <w:bCs w:val="0"/>
                <w:color w:val="auto"/>
                <w:sz w:val="24"/>
                <w:szCs w:val="24"/>
                <w:lang w:val="en-US" w:eastAsia="zh-CN"/>
              </w:rPr>
              <w:t>设计进、出水水质</w:t>
            </w:r>
          </w:p>
          <w:p w14:paraId="3860B051">
            <w:pPr>
              <w:spacing w:line="480" w:lineRule="exact"/>
              <w:ind w:firstLine="420"/>
              <w:rPr>
                <w:rFonts w:hint="eastAsia"/>
                <w:color w:val="auto"/>
                <w:sz w:val="24"/>
                <w:szCs w:val="24"/>
                <w:lang w:eastAsia="zh-CN"/>
              </w:rPr>
            </w:pPr>
            <w:r>
              <w:rPr>
                <w:rFonts w:hint="eastAsia"/>
                <w:color w:val="auto"/>
                <w:sz w:val="24"/>
                <w:szCs w:val="24"/>
              </w:rPr>
              <w:t>金坛市第二污水处理厂的设计进出水水质见表</w:t>
            </w:r>
            <w:r>
              <w:rPr>
                <w:rFonts w:hint="eastAsia"/>
                <w:color w:val="auto"/>
                <w:sz w:val="24"/>
                <w:szCs w:val="24"/>
                <w:lang w:val="en-US" w:eastAsia="zh-CN"/>
              </w:rPr>
              <w:t>4.1</w:t>
            </w:r>
            <w:r>
              <w:rPr>
                <w:rFonts w:hint="eastAsia"/>
                <w:color w:val="auto"/>
                <w:sz w:val="24"/>
                <w:szCs w:val="24"/>
              </w:rPr>
              <w:t>-</w:t>
            </w:r>
            <w:r>
              <w:rPr>
                <w:rFonts w:hint="eastAsia"/>
                <w:color w:val="auto"/>
                <w:sz w:val="24"/>
                <w:szCs w:val="24"/>
                <w:lang w:val="en-US" w:eastAsia="zh-CN"/>
              </w:rPr>
              <w:t>4</w:t>
            </w:r>
            <w:r>
              <w:rPr>
                <w:rFonts w:hint="eastAsia"/>
                <w:color w:val="auto"/>
                <w:sz w:val="24"/>
                <w:szCs w:val="24"/>
              </w:rPr>
              <w:t>。</w:t>
            </w:r>
          </w:p>
          <w:p w14:paraId="6B0CDBBB">
            <w:pPr>
              <w:pStyle w:val="41"/>
              <w:spacing w:line="240" w:lineRule="auto"/>
              <w:ind w:firstLine="0" w:firstLineChars="0"/>
              <w:jc w:val="center"/>
              <w:rPr>
                <w:rFonts w:hint="default" w:ascii="仿宋" w:hAnsi="仿宋" w:eastAsia="宋体" w:cs="仿宋"/>
                <w:color w:val="auto"/>
                <w:sz w:val="24"/>
                <w:highlight w:val="none"/>
                <w:lang w:val="en-US" w:eastAsia="zh-CN"/>
              </w:rPr>
            </w:pPr>
            <w:r>
              <w:rPr>
                <w:rFonts w:hint="eastAsia" w:ascii="Times New Roman" w:hAnsi="Times New Roman" w:eastAsia="宋体" w:cs="Times New Roman"/>
                <w:color w:val="auto"/>
                <w:kern w:val="0"/>
                <w:sz w:val="21"/>
              </w:rPr>
              <w:t>表4</w:t>
            </w:r>
            <w:r>
              <w:rPr>
                <w:rFonts w:hint="eastAsia" w:ascii="Times New Roman" w:hAnsi="Times New Roman" w:eastAsia="宋体" w:cs="Times New Roman"/>
                <w:color w:val="auto"/>
                <w:kern w:val="0"/>
                <w:sz w:val="21"/>
                <w:lang w:val="en-US" w:eastAsia="zh-CN"/>
              </w:rPr>
              <w:t>.</w:t>
            </w:r>
            <w:r>
              <w:rPr>
                <w:rFonts w:hint="eastAsia" w:cs="Times New Roman"/>
                <w:color w:val="auto"/>
                <w:kern w:val="0"/>
                <w:sz w:val="21"/>
                <w:lang w:val="en-US" w:eastAsia="zh-CN"/>
              </w:rPr>
              <w:t>1</w:t>
            </w:r>
            <w:r>
              <w:rPr>
                <w:rFonts w:hint="eastAsia" w:ascii="Times New Roman" w:hAnsi="Times New Roman" w:eastAsia="宋体" w:cs="Times New Roman"/>
                <w:color w:val="auto"/>
                <w:kern w:val="0"/>
                <w:sz w:val="21"/>
              </w:rPr>
              <w:t>-</w:t>
            </w:r>
            <w:r>
              <w:rPr>
                <w:rFonts w:hint="eastAsia" w:cs="Times New Roman"/>
                <w:color w:val="auto"/>
                <w:kern w:val="0"/>
                <w:sz w:val="21"/>
                <w:lang w:val="en-US" w:eastAsia="zh-CN"/>
              </w:rPr>
              <w:t>4</w:t>
            </w:r>
            <w:r>
              <w:rPr>
                <w:rFonts w:hint="eastAsia" w:ascii="Times New Roman" w:hAnsi="Times New Roman" w:eastAsia="宋体" w:cs="Times New Roman"/>
                <w:color w:val="auto"/>
                <w:kern w:val="0"/>
                <w:sz w:val="21"/>
              </w:rPr>
              <w:t xml:space="preserve">  </w:t>
            </w:r>
            <w:r>
              <w:rPr>
                <w:rFonts w:hint="eastAsia" w:ascii="Times New Roman" w:hAnsi="Times New Roman" w:eastAsia="宋体" w:cs="Times New Roman"/>
                <w:color w:val="auto"/>
                <w:kern w:val="0"/>
                <w:sz w:val="21"/>
                <w:lang w:val="en-US" w:eastAsia="zh-CN"/>
              </w:rPr>
              <w:t>进、出水水质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3"/>
              <w:gridCol w:w="1533"/>
              <w:gridCol w:w="1533"/>
              <w:gridCol w:w="1533"/>
              <w:gridCol w:w="1534"/>
              <w:gridCol w:w="1534"/>
            </w:tblGrid>
            <w:tr w14:paraId="200C39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noWrap w:val="0"/>
                  <w:vAlign w:val="center"/>
                </w:tcPr>
                <w:p w14:paraId="5EE6239A">
                  <w:pPr>
                    <w:pStyle w:val="33"/>
                    <w:spacing w:line="240" w:lineRule="auto"/>
                    <w:ind w:firstLine="0" w:firstLineChars="0"/>
                    <w:rPr>
                      <w:rFonts w:hint="eastAsia" w:eastAsia="宋体"/>
                      <w:b/>
                      <w:color w:val="auto"/>
                      <w:sz w:val="21"/>
                      <w:szCs w:val="21"/>
                      <w:highlight w:val="none"/>
                      <w:lang w:eastAsia="zh-CN"/>
                    </w:rPr>
                  </w:pPr>
                  <w:r>
                    <w:rPr>
                      <w:rFonts w:hint="eastAsia"/>
                      <w:b/>
                      <w:color w:val="auto"/>
                      <w:sz w:val="21"/>
                      <w:szCs w:val="21"/>
                      <w:highlight w:val="none"/>
                      <w:lang w:val="en-US" w:eastAsia="zh-CN"/>
                    </w:rPr>
                    <w:t>指标</w:t>
                  </w:r>
                </w:p>
              </w:tc>
              <w:tc>
                <w:tcPr>
                  <w:tcW w:w="828" w:type="pct"/>
                  <w:noWrap w:val="0"/>
                  <w:vAlign w:val="center"/>
                </w:tcPr>
                <w:p w14:paraId="715CAF81">
                  <w:pPr>
                    <w:pStyle w:val="33"/>
                    <w:spacing w:line="240" w:lineRule="auto"/>
                    <w:ind w:firstLine="0" w:firstLineChars="0"/>
                    <w:rPr>
                      <w:rFonts w:hint="default" w:eastAsia="宋体"/>
                      <w:b/>
                      <w:color w:val="auto"/>
                      <w:sz w:val="21"/>
                      <w:szCs w:val="21"/>
                      <w:highlight w:val="none"/>
                      <w:lang w:val="en-US" w:eastAsia="zh-CN"/>
                    </w:rPr>
                  </w:pPr>
                  <w:r>
                    <w:rPr>
                      <w:rFonts w:hint="eastAsia"/>
                      <w:b/>
                      <w:color w:val="auto"/>
                      <w:sz w:val="21"/>
                      <w:szCs w:val="21"/>
                      <w:highlight w:val="none"/>
                      <w:lang w:val="en-US" w:eastAsia="zh-CN"/>
                    </w:rPr>
                    <w:t>CODcr</w:t>
                  </w:r>
                </w:p>
              </w:tc>
              <w:tc>
                <w:tcPr>
                  <w:tcW w:w="828" w:type="pct"/>
                  <w:noWrap w:val="0"/>
                  <w:vAlign w:val="center"/>
                </w:tcPr>
                <w:p w14:paraId="0BD8759B">
                  <w:pPr>
                    <w:pStyle w:val="33"/>
                    <w:spacing w:line="240" w:lineRule="auto"/>
                    <w:ind w:firstLine="0" w:firstLineChars="0"/>
                    <w:rPr>
                      <w:rFonts w:hint="default" w:eastAsia="宋体"/>
                      <w:b/>
                      <w:color w:val="auto"/>
                      <w:sz w:val="21"/>
                      <w:szCs w:val="21"/>
                      <w:highlight w:val="none"/>
                      <w:lang w:val="en-US" w:eastAsia="zh-CN"/>
                    </w:rPr>
                  </w:pPr>
                  <w:r>
                    <w:rPr>
                      <w:rFonts w:hint="eastAsia"/>
                      <w:b/>
                      <w:color w:val="auto"/>
                      <w:sz w:val="21"/>
                      <w:szCs w:val="21"/>
                      <w:highlight w:val="none"/>
                      <w:lang w:val="en-US" w:eastAsia="zh-CN"/>
                    </w:rPr>
                    <w:t>SS</w:t>
                  </w:r>
                </w:p>
              </w:tc>
              <w:tc>
                <w:tcPr>
                  <w:tcW w:w="828" w:type="pct"/>
                  <w:noWrap w:val="0"/>
                  <w:vAlign w:val="center"/>
                </w:tcPr>
                <w:p w14:paraId="14ED2F49">
                  <w:pPr>
                    <w:pStyle w:val="33"/>
                    <w:spacing w:line="240" w:lineRule="auto"/>
                    <w:ind w:firstLine="0" w:firstLineChars="0"/>
                    <w:rPr>
                      <w:rFonts w:hint="eastAsia" w:eastAsia="宋体"/>
                      <w:b/>
                      <w:color w:val="auto"/>
                      <w:sz w:val="21"/>
                      <w:szCs w:val="21"/>
                      <w:highlight w:val="none"/>
                      <w:lang w:val="en-US" w:eastAsia="zh-CN"/>
                    </w:rPr>
                  </w:pPr>
                  <w:r>
                    <w:rPr>
                      <w:b/>
                      <w:bCs/>
                      <w:color w:val="auto"/>
                      <w:sz w:val="21"/>
                      <w:szCs w:val="21"/>
                    </w:rPr>
                    <w:t>NH</w:t>
                  </w:r>
                  <w:r>
                    <w:rPr>
                      <w:b/>
                      <w:bCs/>
                      <w:color w:val="auto"/>
                      <w:sz w:val="21"/>
                      <w:szCs w:val="21"/>
                      <w:vertAlign w:val="subscript"/>
                    </w:rPr>
                    <w:t>3</w:t>
                  </w:r>
                  <w:r>
                    <w:rPr>
                      <w:b/>
                      <w:bCs/>
                      <w:color w:val="auto"/>
                      <w:sz w:val="21"/>
                      <w:szCs w:val="21"/>
                    </w:rPr>
                    <w:t>-N</w:t>
                  </w:r>
                  <w:r>
                    <w:rPr>
                      <w:rFonts w:hint="eastAsia"/>
                      <w:b/>
                      <w:bCs/>
                      <w:color w:val="auto"/>
                      <w:sz w:val="21"/>
                      <w:szCs w:val="21"/>
                      <w:lang w:val="en-US" w:eastAsia="zh-CN"/>
                    </w:rPr>
                    <w:t>*</w:t>
                  </w:r>
                </w:p>
              </w:tc>
              <w:tc>
                <w:tcPr>
                  <w:tcW w:w="828" w:type="pct"/>
                  <w:noWrap w:val="0"/>
                  <w:vAlign w:val="center"/>
                </w:tcPr>
                <w:p w14:paraId="14CFE1C9">
                  <w:pPr>
                    <w:pStyle w:val="33"/>
                    <w:spacing w:line="240" w:lineRule="auto"/>
                    <w:ind w:firstLine="0" w:firstLineChars="0"/>
                    <w:rPr>
                      <w:rFonts w:hint="default" w:eastAsia="宋体"/>
                      <w:b/>
                      <w:color w:val="auto"/>
                      <w:sz w:val="21"/>
                      <w:szCs w:val="21"/>
                      <w:highlight w:val="none"/>
                      <w:lang w:val="en-US" w:eastAsia="zh-CN"/>
                    </w:rPr>
                  </w:pPr>
                  <w:r>
                    <w:rPr>
                      <w:rFonts w:hint="eastAsia"/>
                      <w:b/>
                      <w:color w:val="auto"/>
                      <w:sz w:val="21"/>
                      <w:szCs w:val="21"/>
                      <w:highlight w:val="none"/>
                      <w:lang w:val="en-US" w:eastAsia="zh-CN"/>
                    </w:rPr>
                    <w:t>TN</w:t>
                  </w:r>
                </w:p>
              </w:tc>
              <w:tc>
                <w:tcPr>
                  <w:tcW w:w="828" w:type="pct"/>
                  <w:noWrap w:val="0"/>
                  <w:vAlign w:val="center"/>
                </w:tcPr>
                <w:p w14:paraId="1AA0FCD1">
                  <w:pPr>
                    <w:pStyle w:val="33"/>
                    <w:spacing w:line="240" w:lineRule="auto"/>
                    <w:ind w:firstLine="0" w:firstLineChars="0"/>
                    <w:rPr>
                      <w:rFonts w:hint="default" w:eastAsia="宋体"/>
                      <w:b/>
                      <w:color w:val="auto"/>
                      <w:sz w:val="21"/>
                      <w:szCs w:val="21"/>
                      <w:highlight w:val="none"/>
                      <w:lang w:val="en-US" w:eastAsia="zh-CN"/>
                    </w:rPr>
                  </w:pPr>
                  <w:r>
                    <w:rPr>
                      <w:rFonts w:hint="eastAsia"/>
                      <w:b/>
                      <w:color w:val="auto"/>
                      <w:sz w:val="21"/>
                      <w:szCs w:val="21"/>
                      <w:highlight w:val="none"/>
                      <w:lang w:val="en-US" w:eastAsia="zh-CN"/>
                    </w:rPr>
                    <w:t>TP</w:t>
                  </w:r>
                </w:p>
              </w:tc>
            </w:tr>
            <w:tr w14:paraId="723403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noWrap w:val="0"/>
                  <w:vAlign w:val="center"/>
                </w:tcPr>
                <w:p w14:paraId="6D981660">
                  <w:pPr>
                    <w:pStyle w:val="33"/>
                    <w:spacing w:line="240" w:lineRule="auto"/>
                    <w:ind w:firstLine="0" w:firstLineChars="0"/>
                    <w:rPr>
                      <w:rFonts w:hint="default" w:eastAsia="宋体"/>
                      <w:b w:val="0"/>
                      <w:bCs/>
                      <w:color w:val="auto"/>
                      <w:sz w:val="21"/>
                      <w:szCs w:val="21"/>
                      <w:highlight w:val="none"/>
                      <w:lang w:val="en-US" w:eastAsia="zh-CN"/>
                    </w:rPr>
                  </w:pPr>
                  <w:r>
                    <w:rPr>
                      <w:rFonts w:hint="eastAsia"/>
                      <w:b w:val="0"/>
                      <w:bCs/>
                      <w:color w:val="auto"/>
                      <w:sz w:val="21"/>
                      <w:szCs w:val="21"/>
                      <w:highlight w:val="none"/>
                      <w:lang w:val="en-US" w:eastAsia="zh-CN"/>
                    </w:rPr>
                    <w:t>设计进水水质</w:t>
                  </w:r>
                </w:p>
              </w:tc>
              <w:tc>
                <w:tcPr>
                  <w:tcW w:w="828" w:type="pct"/>
                  <w:noWrap w:val="0"/>
                  <w:vAlign w:val="center"/>
                </w:tcPr>
                <w:p w14:paraId="56FE43DA">
                  <w:pPr>
                    <w:pStyle w:val="33"/>
                    <w:spacing w:line="240" w:lineRule="auto"/>
                    <w:ind w:firstLine="0" w:firstLineChars="0"/>
                    <w:rPr>
                      <w:rFonts w:hint="default" w:eastAsia="宋体"/>
                      <w:b w:val="0"/>
                      <w:bCs/>
                      <w:color w:val="auto"/>
                      <w:sz w:val="21"/>
                      <w:szCs w:val="21"/>
                      <w:highlight w:val="none"/>
                      <w:lang w:val="en-US" w:eastAsia="zh-CN"/>
                    </w:rPr>
                  </w:pPr>
                  <w:r>
                    <w:rPr>
                      <w:rFonts w:hint="eastAsia"/>
                      <w:b w:val="0"/>
                      <w:bCs/>
                      <w:color w:val="auto"/>
                      <w:sz w:val="21"/>
                      <w:szCs w:val="21"/>
                      <w:highlight w:val="none"/>
                      <w:lang w:val="en-US" w:eastAsia="zh-CN"/>
                    </w:rPr>
                    <w:t>500</w:t>
                  </w:r>
                </w:p>
              </w:tc>
              <w:tc>
                <w:tcPr>
                  <w:tcW w:w="828" w:type="pct"/>
                  <w:noWrap w:val="0"/>
                  <w:vAlign w:val="center"/>
                </w:tcPr>
                <w:p w14:paraId="21EF827A">
                  <w:pPr>
                    <w:pStyle w:val="33"/>
                    <w:spacing w:line="240" w:lineRule="auto"/>
                    <w:ind w:firstLine="0" w:firstLineChars="0"/>
                    <w:rPr>
                      <w:rFonts w:hint="default" w:eastAsia="宋体"/>
                      <w:b w:val="0"/>
                      <w:bCs/>
                      <w:color w:val="auto"/>
                      <w:sz w:val="21"/>
                      <w:szCs w:val="21"/>
                      <w:highlight w:val="none"/>
                      <w:lang w:val="en-US" w:eastAsia="zh-CN"/>
                    </w:rPr>
                  </w:pPr>
                  <w:r>
                    <w:rPr>
                      <w:rFonts w:hint="eastAsia"/>
                      <w:b w:val="0"/>
                      <w:bCs/>
                      <w:color w:val="auto"/>
                      <w:sz w:val="21"/>
                      <w:szCs w:val="21"/>
                      <w:highlight w:val="none"/>
                      <w:lang w:val="en-US" w:eastAsia="zh-CN"/>
                    </w:rPr>
                    <w:t>250</w:t>
                  </w:r>
                </w:p>
              </w:tc>
              <w:tc>
                <w:tcPr>
                  <w:tcW w:w="828" w:type="pct"/>
                  <w:noWrap w:val="0"/>
                  <w:vAlign w:val="center"/>
                </w:tcPr>
                <w:p w14:paraId="5092C81C">
                  <w:pPr>
                    <w:pStyle w:val="33"/>
                    <w:spacing w:line="240" w:lineRule="auto"/>
                    <w:ind w:firstLine="0" w:firstLineChars="0"/>
                    <w:rPr>
                      <w:rFonts w:hint="default" w:eastAsia="宋体"/>
                      <w:b w:val="0"/>
                      <w:bCs/>
                      <w:color w:val="auto"/>
                      <w:sz w:val="21"/>
                      <w:szCs w:val="21"/>
                      <w:highlight w:val="none"/>
                      <w:lang w:val="en-US" w:eastAsia="zh-CN"/>
                    </w:rPr>
                  </w:pPr>
                  <w:r>
                    <w:rPr>
                      <w:rFonts w:hint="eastAsia"/>
                      <w:b w:val="0"/>
                      <w:bCs/>
                      <w:color w:val="auto"/>
                      <w:sz w:val="21"/>
                      <w:szCs w:val="21"/>
                      <w:highlight w:val="none"/>
                      <w:lang w:val="en-US" w:eastAsia="zh-CN"/>
                    </w:rPr>
                    <w:t>35</w:t>
                  </w:r>
                </w:p>
              </w:tc>
              <w:tc>
                <w:tcPr>
                  <w:tcW w:w="828" w:type="pct"/>
                  <w:noWrap w:val="0"/>
                  <w:vAlign w:val="center"/>
                </w:tcPr>
                <w:p w14:paraId="25DD1D4B">
                  <w:pPr>
                    <w:pStyle w:val="33"/>
                    <w:spacing w:line="240" w:lineRule="auto"/>
                    <w:ind w:firstLine="0" w:firstLineChars="0"/>
                    <w:rPr>
                      <w:rFonts w:hint="default" w:eastAsia="宋体"/>
                      <w:b w:val="0"/>
                      <w:bCs/>
                      <w:color w:val="auto"/>
                      <w:sz w:val="21"/>
                      <w:szCs w:val="21"/>
                      <w:highlight w:val="none"/>
                      <w:lang w:val="en-US" w:eastAsia="zh-CN"/>
                    </w:rPr>
                  </w:pPr>
                  <w:r>
                    <w:rPr>
                      <w:rFonts w:hint="eastAsia"/>
                      <w:b w:val="0"/>
                      <w:bCs/>
                      <w:color w:val="auto"/>
                      <w:sz w:val="21"/>
                      <w:szCs w:val="21"/>
                      <w:highlight w:val="none"/>
                      <w:lang w:val="en-US" w:eastAsia="zh-CN"/>
                    </w:rPr>
                    <w:t>50</w:t>
                  </w:r>
                </w:p>
              </w:tc>
              <w:tc>
                <w:tcPr>
                  <w:tcW w:w="828" w:type="pct"/>
                  <w:noWrap w:val="0"/>
                  <w:vAlign w:val="center"/>
                </w:tcPr>
                <w:p w14:paraId="6D145E57">
                  <w:pPr>
                    <w:pStyle w:val="33"/>
                    <w:spacing w:line="240" w:lineRule="auto"/>
                    <w:ind w:firstLine="0" w:firstLineChars="0"/>
                    <w:rPr>
                      <w:rFonts w:hint="eastAsia" w:eastAsia="宋体"/>
                      <w:b w:val="0"/>
                      <w:bCs/>
                      <w:color w:val="auto"/>
                      <w:sz w:val="21"/>
                      <w:szCs w:val="21"/>
                      <w:highlight w:val="none"/>
                      <w:lang w:val="en-US" w:eastAsia="zh-CN"/>
                    </w:rPr>
                  </w:pPr>
                  <w:r>
                    <w:rPr>
                      <w:rFonts w:hint="eastAsia"/>
                      <w:b w:val="0"/>
                      <w:bCs/>
                      <w:color w:val="auto"/>
                      <w:sz w:val="21"/>
                      <w:szCs w:val="21"/>
                      <w:highlight w:val="none"/>
                      <w:lang w:val="en-US" w:eastAsia="zh-CN"/>
                    </w:rPr>
                    <w:t>3</w:t>
                  </w:r>
                </w:p>
              </w:tc>
            </w:tr>
            <w:tr w14:paraId="645E86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noWrap w:val="0"/>
                  <w:vAlign w:val="center"/>
                </w:tcPr>
                <w:p w14:paraId="7F967B62">
                  <w:pPr>
                    <w:pStyle w:val="33"/>
                    <w:spacing w:line="240" w:lineRule="auto"/>
                    <w:ind w:firstLine="0" w:firstLineChars="0"/>
                    <w:rPr>
                      <w:rFonts w:hint="eastAsia" w:eastAsia="宋体"/>
                      <w:b w:val="0"/>
                      <w:bCs/>
                      <w:color w:val="auto"/>
                      <w:sz w:val="21"/>
                      <w:szCs w:val="21"/>
                      <w:highlight w:val="none"/>
                      <w:lang w:val="en-US" w:eastAsia="zh-CN"/>
                    </w:rPr>
                  </w:pPr>
                  <w:r>
                    <w:rPr>
                      <w:rFonts w:hint="eastAsia"/>
                      <w:b w:val="0"/>
                      <w:bCs/>
                      <w:color w:val="auto"/>
                      <w:sz w:val="21"/>
                      <w:szCs w:val="21"/>
                      <w:highlight w:val="none"/>
                      <w:lang w:val="en-US" w:eastAsia="zh-CN"/>
                    </w:rPr>
                    <w:t>出水水质</w:t>
                  </w:r>
                </w:p>
              </w:tc>
              <w:tc>
                <w:tcPr>
                  <w:tcW w:w="828" w:type="pct"/>
                  <w:noWrap w:val="0"/>
                  <w:vAlign w:val="center"/>
                </w:tcPr>
                <w:p w14:paraId="4CB36D82">
                  <w:pPr>
                    <w:pStyle w:val="33"/>
                    <w:spacing w:line="240" w:lineRule="auto"/>
                    <w:ind w:firstLine="0" w:firstLineChars="0"/>
                    <w:rPr>
                      <w:rFonts w:hint="default" w:eastAsia="宋体"/>
                      <w:b w:val="0"/>
                      <w:bCs/>
                      <w:color w:val="auto"/>
                      <w:sz w:val="21"/>
                      <w:szCs w:val="21"/>
                      <w:highlight w:val="none"/>
                      <w:lang w:val="en-US" w:eastAsia="zh-CN"/>
                    </w:rPr>
                  </w:pPr>
                  <w:r>
                    <w:rPr>
                      <w:rFonts w:hint="eastAsia"/>
                      <w:b w:val="0"/>
                      <w:bCs/>
                      <w:color w:val="auto"/>
                      <w:sz w:val="21"/>
                      <w:szCs w:val="21"/>
                      <w:highlight w:val="none"/>
                      <w:lang w:val="en-US" w:eastAsia="zh-CN"/>
                    </w:rPr>
                    <w:t>50</w:t>
                  </w:r>
                </w:p>
              </w:tc>
              <w:tc>
                <w:tcPr>
                  <w:tcW w:w="828" w:type="pct"/>
                  <w:noWrap w:val="0"/>
                  <w:vAlign w:val="center"/>
                </w:tcPr>
                <w:p w14:paraId="3E954453">
                  <w:pPr>
                    <w:pStyle w:val="33"/>
                    <w:spacing w:line="240" w:lineRule="auto"/>
                    <w:ind w:firstLine="0" w:firstLineChars="0"/>
                    <w:rPr>
                      <w:rFonts w:hint="default" w:eastAsia="宋体"/>
                      <w:b w:val="0"/>
                      <w:bCs/>
                      <w:color w:val="auto"/>
                      <w:sz w:val="21"/>
                      <w:szCs w:val="21"/>
                      <w:highlight w:val="none"/>
                      <w:lang w:val="en-US" w:eastAsia="zh-CN"/>
                    </w:rPr>
                  </w:pPr>
                  <w:r>
                    <w:rPr>
                      <w:rFonts w:hint="eastAsia"/>
                      <w:b w:val="0"/>
                      <w:bCs/>
                      <w:color w:val="auto"/>
                      <w:sz w:val="21"/>
                      <w:szCs w:val="21"/>
                      <w:highlight w:val="none"/>
                      <w:lang w:val="en-US" w:eastAsia="zh-CN"/>
                    </w:rPr>
                    <w:t>10</w:t>
                  </w:r>
                </w:p>
              </w:tc>
              <w:tc>
                <w:tcPr>
                  <w:tcW w:w="828" w:type="pct"/>
                  <w:noWrap w:val="0"/>
                  <w:vAlign w:val="center"/>
                </w:tcPr>
                <w:p w14:paraId="03B48240">
                  <w:pPr>
                    <w:pStyle w:val="33"/>
                    <w:spacing w:line="240" w:lineRule="auto"/>
                    <w:ind w:firstLine="0" w:firstLineChars="0"/>
                    <w:rPr>
                      <w:rFonts w:hint="default" w:eastAsia="宋体"/>
                      <w:b w:val="0"/>
                      <w:bCs/>
                      <w:color w:val="auto"/>
                      <w:sz w:val="21"/>
                      <w:szCs w:val="21"/>
                      <w:highlight w:val="none"/>
                      <w:lang w:val="en-US" w:eastAsia="zh-CN"/>
                    </w:rPr>
                  </w:pPr>
                  <w:r>
                    <w:rPr>
                      <w:rFonts w:hint="eastAsia"/>
                      <w:b w:val="0"/>
                      <w:bCs/>
                      <w:color w:val="auto"/>
                      <w:sz w:val="21"/>
                      <w:szCs w:val="21"/>
                      <w:highlight w:val="none"/>
                      <w:lang w:val="en-US" w:eastAsia="zh-CN"/>
                    </w:rPr>
                    <w:t>5（8）</w:t>
                  </w:r>
                </w:p>
              </w:tc>
              <w:tc>
                <w:tcPr>
                  <w:tcW w:w="828" w:type="pct"/>
                  <w:noWrap w:val="0"/>
                  <w:vAlign w:val="center"/>
                </w:tcPr>
                <w:p w14:paraId="6A465592">
                  <w:pPr>
                    <w:pStyle w:val="33"/>
                    <w:spacing w:line="240" w:lineRule="auto"/>
                    <w:ind w:firstLine="0" w:firstLineChars="0"/>
                    <w:rPr>
                      <w:rFonts w:hint="default" w:eastAsia="宋体"/>
                      <w:b w:val="0"/>
                      <w:bCs/>
                      <w:color w:val="auto"/>
                      <w:sz w:val="21"/>
                      <w:szCs w:val="21"/>
                      <w:highlight w:val="none"/>
                      <w:lang w:val="en-US" w:eastAsia="zh-CN"/>
                    </w:rPr>
                  </w:pPr>
                  <w:r>
                    <w:rPr>
                      <w:rFonts w:hint="eastAsia"/>
                      <w:b w:val="0"/>
                      <w:bCs/>
                      <w:color w:val="auto"/>
                      <w:sz w:val="21"/>
                      <w:szCs w:val="21"/>
                      <w:highlight w:val="none"/>
                      <w:lang w:val="en-US" w:eastAsia="zh-CN"/>
                    </w:rPr>
                    <w:t>15</w:t>
                  </w:r>
                </w:p>
              </w:tc>
              <w:tc>
                <w:tcPr>
                  <w:tcW w:w="828" w:type="pct"/>
                  <w:noWrap w:val="0"/>
                  <w:vAlign w:val="center"/>
                </w:tcPr>
                <w:p w14:paraId="12A2EA8E">
                  <w:pPr>
                    <w:pStyle w:val="33"/>
                    <w:spacing w:line="240" w:lineRule="auto"/>
                    <w:ind w:firstLine="0" w:firstLineChars="0"/>
                    <w:rPr>
                      <w:rFonts w:hint="default" w:eastAsia="宋体"/>
                      <w:b w:val="0"/>
                      <w:bCs/>
                      <w:color w:val="auto"/>
                      <w:sz w:val="21"/>
                      <w:szCs w:val="21"/>
                      <w:highlight w:val="none"/>
                      <w:lang w:val="en-US" w:eastAsia="zh-CN"/>
                    </w:rPr>
                  </w:pPr>
                  <w:r>
                    <w:rPr>
                      <w:rFonts w:hint="eastAsia"/>
                      <w:b w:val="0"/>
                      <w:bCs/>
                      <w:color w:val="auto"/>
                      <w:sz w:val="21"/>
                      <w:szCs w:val="21"/>
                      <w:highlight w:val="none"/>
                      <w:lang w:val="en-US" w:eastAsia="zh-CN"/>
                    </w:rPr>
                    <w:t>0.5</w:t>
                  </w:r>
                </w:p>
              </w:tc>
            </w:tr>
          </w:tbl>
          <w:p w14:paraId="0E44758D">
            <w:pPr>
              <w:spacing w:line="240" w:lineRule="auto"/>
              <w:ind w:firstLine="0" w:firstLineChars="0"/>
              <w:rPr>
                <w:rFonts w:hint="eastAsia"/>
                <w:color w:val="auto"/>
                <w:sz w:val="21"/>
                <w:szCs w:val="21"/>
              </w:rPr>
            </w:pPr>
            <w:r>
              <w:rPr>
                <w:rFonts w:hint="eastAsia"/>
                <w:color w:val="auto"/>
                <w:sz w:val="21"/>
                <w:szCs w:val="21"/>
                <w:lang w:val="en-US" w:eastAsia="zh-CN"/>
              </w:rPr>
              <w:t>注：</w:t>
            </w:r>
            <w:r>
              <w:rPr>
                <w:rFonts w:hint="eastAsia"/>
                <w:color w:val="auto"/>
                <w:sz w:val="21"/>
                <w:szCs w:val="21"/>
              </w:rPr>
              <w:t>*括号括号内数值为水温≤12℃时的控制指标。</w:t>
            </w:r>
          </w:p>
          <w:p w14:paraId="422FDE12">
            <w:pPr>
              <w:ind w:firstLine="420"/>
              <w:rPr>
                <w:rFonts w:hint="eastAsia"/>
                <w:color w:val="auto"/>
                <w:sz w:val="24"/>
                <w:szCs w:val="24"/>
                <w:lang w:eastAsia="zh-CN"/>
              </w:rPr>
            </w:pPr>
            <w:r>
              <w:rPr>
                <w:rFonts w:hint="eastAsia"/>
                <w:color w:val="auto"/>
                <w:sz w:val="24"/>
                <w:szCs w:val="24"/>
                <w:lang w:eastAsia="zh-CN"/>
              </w:rPr>
              <w:t>（</w:t>
            </w:r>
            <w:r>
              <w:rPr>
                <w:rFonts w:hint="eastAsia"/>
                <w:color w:val="auto"/>
                <w:sz w:val="24"/>
                <w:szCs w:val="24"/>
                <w:lang w:val="en-US" w:eastAsia="zh-CN"/>
              </w:rPr>
              <w:t>5</w:t>
            </w:r>
            <w:r>
              <w:rPr>
                <w:rFonts w:hint="eastAsia"/>
                <w:color w:val="auto"/>
                <w:sz w:val="24"/>
                <w:szCs w:val="24"/>
                <w:lang w:eastAsia="zh-CN"/>
              </w:rPr>
              <w:t>）接管水质可行性</w:t>
            </w:r>
          </w:p>
          <w:p w14:paraId="3C4EC042">
            <w:pPr>
              <w:ind w:firstLine="420"/>
              <w:rPr>
                <w:rFonts w:hint="default" w:eastAsia="宋体"/>
                <w:color w:val="auto"/>
                <w:sz w:val="24"/>
                <w:szCs w:val="24"/>
                <w:lang w:val="en-US" w:eastAsia="zh-CN"/>
              </w:rPr>
            </w:pPr>
            <w:r>
              <w:rPr>
                <w:rFonts w:hint="eastAsia"/>
                <w:color w:val="auto"/>
                <w:sz w:val="24"/>
                <w:szCs w:val="24"/>
                <w:lang w:eastAsia="zh-CN"/>
              </w:rPr>
              <w:t>本项目建成后接管废水为生活污水，</w:t>
            </w:r>
            <w:r>
              <w:rPr>
                <w:rFonts w:hint="eastAsia"/>
                <w:color w:val="auto"/>
                <w:sz w:val="24"/>
                <w:szCs w:val="24"/>
              </w:rPr>
              <w:t>接管排放的污水量共计1200t/a，接管水质为COD 400mg/L、SS 200mg/L、NH</w:t>
            </w:r>
            <w:r>
              <w:rPr>
                <w:rFonts w:hint="eastAsia"/>
                <w:color w:val="auto"/>
                <w:sz w:val="24"/>
                <w:szCs w:val="24"/>
                <w:vertAlign w:val="subscript"/>
              </w:rPr>
              <w:t>3</w:t>
            </w:r>
            <w:r>
              <w:rPr>
                <w:rFonts w:hint="eastAsia"/>
                <w:color w:val="auto"/>
                <w:sz w:val="24"/>
                <w:szCs w:val="24"/>
              </w:rPr>
              <w:t>-N 30mg/L、TN 40mg/L、TP 3mg/L，可达到常州金坛区污水处理有限公司</w:t>
            </w:r>
            <w:r>
              <w:rPr>
                <w:rFonts w:hint="eastAsia"/>
                <w:color w:val="auto"/>
                <w:sz w:val="24"/>
                <w:szCs w:val="24"/>
                <w:lang w:val="en-US" w:eastAsia="zh-CN"/>
              </w:rPr>
              <w:t>进水水质</w:t>
            </w:r>
            <w:r>
              <w:rPr>
                <w:rFonts w:hint="eastAsia"/>
                <w:color w:val="auto"/>
                <w:sz w:val="24"/>
                <w:szCs w:val="24"/>
              </w:rPr>
              <w:t>要求。</w:t>
            </w:r>
            <w:r>
              <w:rPr>
                <w:rFonts w:hint="default" w:ascii="Times New Roman" w:hAnsi="Times New Roman" w:eastAsia="宋体" w:cs="Times New Roman"/>
                <w:bCs/>
                <w:color w:val="auto"/>
                <w:sz w:val="24"/>
                <w:highlight w:val="none"/>
                <w:lang w:val="en-US" w:eastAsia="zh-CN"/>
              </w:rPr>
              <w:t>废水排放浓度低、水量小、水质简单，不会对污水处理厂运行产生冲击负荷，不影响污水处理厂出水水质。</w:t>
            </w:r>
          </w:p>
          <w:p w14:paraId="2812A3F2">
            <w:pPr>
              <w:ind w:firstLine="420"/>
              <w:rPr>
                <w:color w:val="auto"/>
                <w:sz w:val="24"/>
                <w:szCs w:val="24"/>
              </w:rPr>
            </w:pPr>
            <w:r>
              <w:rPr>
                <w:rFonts w:hint="eastAsia"/>
                <w:color w:val="auto"/>
                <w:sz w:val="24"/>
                <w:szCs w:val="24"/>
                <w:lang w:eastAsia="zh-CN"/>
              </w:rPr>
              <w:t>综上所述，本项目污水管网均已铺设完毕，从接管时间、服务范围、处理工艺以及水量水质来看，本项目运营后污水接入金坛第二污水处理厂处理是可行的</w:t>
            </w:r>
            <w:r>
              <w:rPr>
                <w:color w:val="auto"/>
                <w:sz w:val="24"/>
                <w:szCs w:val="24"/>
              </w:rPr>
              <w:t>。</w:t>
            </w:r>
          </w:p>
          <w:p w14:paraId="1ADAA73B">
            <w:pPr>
              <w:ind w:firstLine="0" w:firstLineChars="0"/>
              <w:rPr>
                <w:b/>
                <w:bCs/>
                <w:color w:val="auto"/>
                <w:sz w:val="24"/>
                <w:szCs w:val="24"/>
              </w:rPr>
            </w:pPr>
            <w:r>
              <w:rPr>
                <w:b/>
                <w:bCs/>
                <w:color w:val="auto"/>
                <w:sz w:val="24"/>
                <w:szCs w:val="24"/>
              </w:rPr>
              <w:t>1.</w:t>
            </w:r>
            <w:r>
              <w:rPr>
                <w:rFonts w:hint="eastAsia"/>
                <w:b/>
                <w:bCs/>
                <w:color w:val="auto"/>
                <w:sz w:val="24"/>
                <w:szCs w:val="24"/>
                <w:lang w:val="en-US" w:eastAsia="zh-CN"/>
              </w:rPr>
              <w:t>4</w:t>
            </w:r>
            <w:r>
              <w:rPr>
                <w:rFonts w:hint="eastAsia"/>
                <w:b/>
                <w:bCs/>
                <w:color w:val="auto"/>
                <w:sz w:val="24"/>
                <w:szCs w:val="24"/>
              </w:rPr>
              <w:t>排污口规范化设置</w:t>
            </w:r>
          </w:p>
          <w:p w14:paraId="649DF2A7">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color w:val="auto"/>
                <w:sz w:val="24"/>
                <w:szCs w:val="24"/>
              </w:rPr>
            </w:pPr>
            <w:r>
              <w:rPr>
                <w:rFonts w:hint="eastAsia"/>
                <w:color w:val="auto"/>
                <w:sz w:val="24"/>
                <w:szCs w:val="24"/>
              </w:rPr>
              <w:t>本项目</w:t>
            </w:r>
            <w:r>
              <w:rPr>
                <w:rFonts w:hint="eastAsia"/>
                <w:color w:val="auto"/>
                <w:sz w:val="24"/>
                <w:szCs w:val="24"/>
                <w:lang w:eastAsia="zh-CN"/>
              </w:rPr>
              <w:t>依托园区现有</w:t>
            </w:r>
            <w:r>
              <w:rPr>
                <w:rFonts w:hint="eastAsia"/>
                <w:color w:val="auto"/>
                <w:sz w:val="24"/>
                <w:szCs w:val="24"/>
              </w:rPr>
              <w:t>雨水和污水排放口，不改变现有排水系统。目前项目所在地内已实施“雨污分流”，并设置规范化雨水排放口。若园区接管口的采样井出现超标排放，由金海盛科技园承担相关责任。若江苏瑞诚医疗科技有限公司设置的单独接管口的</w:t>
            </w:r>
            <w:r>
              <w:rPr>
                <w:rFonts w:hint="eastAsia"/>
                <w:color w:val="auto"/>
                <w:sz w:val="24"/>
                <w:szCs w:val="24"/>
                <w:lang w:val="en-US" w:eastAsia="zh-CN"/>
              </w:rPr>
              <w:t>生活污水</w:t>
            </w:r>
            <w:r>
              <w:rPr>
                <w:rFonts w:hint="eastAsia"/>
                <w:color w:val="auto"/>
                <w:sz w:val="24"/>
                <w:szCs w:val="24"/>
              </w:rPr>
              <w:t>采样井出现超标排放，由</w:t>
            </w:r>
            <w:r>
              <w:rPr>
                <w:rFonts w:hint="eastAsia"/>
                <w:color w:val="auto"/>
                <w:sz w:val="24"/>
                <w:szCs w:val="24"/>
                <w:lang w:val="en-US" w:eastAsia="zh-CN"/>
              </w:rPr>
              <w:t>企业</w:t>
            </w:r>
            <w:r>
              <w:rPr>
                <w:rFonts w:hint="eastAsia"/>
                <w:color w:val="auto"/>
                <w:sz w:val="24"/>
                <w:szCs w:val="24"/>
              </w:rPr>
              <w:t>承担相关责任。</w:t>
            </w:r>
          </w:p>
          <w:p w14:paraId="5BF55913">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b/>
                <w:bCs/>
                <w:color w:val="auto"/>
                <w:sz w:val="24"/>
                <w:szCs w:val="24"/>
                <w:lang w:val="en-US" w:eastAsia="zh-CN"/>
              </w:rPr>
            </w:pPr>
            <w:r>
              <w:rPr>
                <w:rFonts w:hint="eastAsia"/>
                <w:b/>
                <w:bCs/>
                <w:color w:val="auto"/>
                <w:sz w:val="24"/>
                <w:szCs w:val="24"/>
                <w:lang w:val="en-US" w:eastAsia="zh-CN"/>
              </w:rPr>
              <w:t>1.5自行监测计划</w:t>
            </w:r>
          </w:p>
          <w:p w14:paraId="2FB2220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sz w:val="24"/>
                <w:highlight w:val="none"/>
                <w:shd w:val="clear" w:color="auto" w:fill="auto"/>
                <w:lang w:val="en-US" w:eastAsia="zh-CN"/>
              </w:rPr>
            </w:pPr>
            <w:r>
              <w:rPr>
                <w:rFonts w:hint="default" w:ascii="Times New Roman" w:hAnsi="Times New Roman" w:eastAsia="宋体" w:cs="Times New Roman"/>
                <w:color w:val="auto"/>
                <w:sz w:val="24"/>
                <w:highlight w:val="none"/>
                <w:shd w:val="clear" w:color="auto" w:fill="auto"/>
                <w:lang w:val="en-US" w:eastAsia="zh-CN"/>
              </w:rPr>
              <w:t>参照《排污单位自行监测技术指南总则》（HJ819-2017）</w:t>
            </w:r>
            <w:r>
              <w:rPr>
                <w:rFonts w:hint="default" w:ascii="Times New Roman" w:hAnsi="Times New Roman" w:eastAsia="宋体" w:cs="Times New Roman"/>
                <w:color w:val="auto"/>
                <w:sz w:val="24"/>
                <w:szCs w:val="24"/>
                <w:highlight w:val="none"/>
                <w:shd w:val="clear" w:color="auto" w:fill="auto"/>
                <w:lang w:val="en-US" w:eastAsia="zh-CN"/>
              </w:rPr>
              <w:t>、《排污许可证申请与核发技术规范 总则》（HJ 942-2018）</w:t>
            </w:r>
            <w:r>
              <w:rPr>
                <w:rFonts w:hint="default" w:ascii="Times New Roman" w:hAnsi="Times New Roman" w:eastAsia="宋体" w:cs="Times New Roman"/>
                <w:color w:val="auto"/>
                <w:sz w:val="24"/>
                <w:highlight w:val="none"/>
                <w:shd w:val="clear" w:color="auto" w:fill="auto"/>
                <w:lang w:val="en-US" w:eastAsia="zh-CN"/>
              </w:rPr>
              <w:t>中相关要求，项目废</w:t>
            </w:r>
            <w:r>
              <w:rPr>
                <w:rFonts w:hint="eastAsia" w:ascii="Times New Roman" w:hAnsi="Times New Roman" w:eastAsia="宋体" w:cs="Times New Roman"/>
                <w:color w:val="auto"/>
                <w:sz w:val="24"/>
                <w:highlight w:val="none"/>
                <w:shd w:val="clear" w:color="auto" w:fill="auto"/>
                <w:lang w:val="en-US" w:eastAsia="zh-CN"/>
              </w:rPr>
              <w:t>水</w:t>
            </w:r>
            <w:r>
              <w:rPr>
                <w:rFonts w:hint="default" w:ascii="Times New Roman" w:hAnsi="Times New Roman" w:eastAsia="宋体" w:cs="Times New Roman"/>
                <w:color w:val="auto"/>
                <w:sz w:val="24"/>
                <w:highlight w:val="none"/>
                <w:shd w:val="clear" w:color="auto" w:fill="auto"/>
                <w:lang w:val="en-US" w:eastAsia="zh-CN"/>
              </w:rPr>
              <w:t>自行监测方案见下表。</w:t>
            </w:r>
          </w:p>
          <w:p w14:paraId="72902E5D">
            <w:pPr>
              <w:pStyle w:val="46"/>
              <w:spacing w:beforeLines="0" w:afterLines="0" w:line="500" w:lineRule="exact"/>
              <w:ind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b/>
                <w:bCs/>
                <w:color w:val="auto"/>
                <w:kern w:val="0"/>
                <w:sz w:val="21"/>
                <w:szCs w:val="21"/>
                <w:highlight w:val="none"/>
                <w:shd w:val="clear" w:color="auto" w:fill="auto"/>
                <w:lang w:val="en-US" w:eastAsia="zh-CN" w:bidi="ar-SA"/>
              </w:rPr>
              <w:t>表</w:t>
            </w:r>
            <w:r>
              <w:rPr>
                <w:rFonts w:hint="eastAsia" w:cs="Times New Roman"/>
                <w:b/>
                <w:bCs/>
                <w:color w:val="auto"/>
                <w:kern w:val="0"/>
                <w:sz w:val="21"/>
                <w:szCs w:val="21"/>
                <w:highlight w:val="none"/>
                <w:shd w:val="clear" w:color="auto" w:fill="auto"/>
                <w:lang w:val="en-US" w:eastAsia="zh-CN" w:bidi="ar-SA"/>
              </w:rPr>
              <w:t>4.1</w:t>
            </w:r>
            <w:r>
              <w:rPr>
                <w:rFonts w:hint="default" w:ascii="Times New Roman" w:hAnsi="Times New Roman" w:eastAsia="宋体" w:cs="Times New Roman"/>
                <w:b/>
                <w:bCs/>
                <w:color w:val="auto"/>
                <w:kern w:val="0"/>
                <w:sz w:val="21"/>
                <w:szCs w:val="21"/>
                <w:highlight w:val="none"/>
                <w:shd w:val="clear" w:color="auto" w:fill="auto"/>
                <w:lang w:val="en-US" w:eastAsia="zh-CN" w:bidi="ar-SA"/>
              </w:rPr>
              <w:t>-</w:t>
            </w:r>
            <w:r>
              <w:rPr>
                <w:rFonts w:hint="eastAsia" w:cs="Times New Roman"/>
                <w:b/>
                <w:bCs/>
                <w:color w:val="auto"/>
                <w:kern w:val="0"/>
                <w:sz w:val="21"/>
                <w:szCs w:val="21"/>
                <w:highlight w:val="none"/>
                <w:shd w:val="clear" w:color="auto" w:fill="auto"/>
                <w:lang w:val="en-US" w:eastAsia="zh-CN" w:bidi="ar-SA"/>
              </w:rPr>
              <w:t>5</w:t>
            </w:r>
            <w:r>
              <w:rPr>
                <w:rFonts w:hint="default" w:ascii="Times New Roman" w:hAnsi="Times New Roman" w:eastAsia="宋体" w:cs="Times New Roman"/>
                <w:b/>
                <w:bCs/>
                <w:color w:val="auto"/>
                <w:kern w:val="0"/>
                <w:sz w:val="21"/>
                <w:szCs w:val="21"/>
                <w:highlight w:val="none"/>
                <w:shd w:val="clear" w:color="auto" w:fill="auto"/>
                <w:lang w:val="en-US" w:eastAsia="zh-CN" w:bidi="ar-SA"/>
              </w:rPr>
              <w:t xml:space="preserve">  废水监测计划一览表</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3241"/>
              <w:gridCol w:w="1420"/>
              <w:gridCol w:w="3463"/>
            </w:tblGrid>
            <w:tr w14:paraId="227FEE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9" w:type="dxa"/>
                  <w:tcBorders>
                    <w:tl2br w:val="nil"/>
                    <w:tr2bl w:val="nil"/>
                  </w:tcBorders>
                  <w:noWrap w:val="0"/>
                  <w:vAlign w:val="center"/>
                </w:tcPr>
                <w:p w14:paraId="6C8EDE21">
                  <w:pPr>
                    <w:pStyle w:val="23"/>
                    <w:spacing w:beforeLines="0" w:afterLines="0"/>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编号</w:t>
                  </w:r>
                </w:p>
              </w:tc>
              <w:tc>
                <w:tcPr>
                  <w:tcW w:w="2904" w:type="dxa"/>
                  <w:tcBorders>
                    <w:tl2br w:val="nil"/>
                    <w:tr2bl w:val="nil"/>
                  </w:tcBorders>
                  <w:noWrap w:val="0"/>
                  <w:vAlign w:val="center"/>
                </w:tcPr>
                <w:p w14:paraId="63E22972">
                  <w:pPr>
                    <w:pStyle w:val="23"/>
                    <w:spacing w:beforeLines="0" w:afterLines="0"/>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监测内容</w:t>
                  </w:r>
                </w:p>
              </w:tc>
              <w:tc>
                <w:tcPr>
                  <w:tcW w:w="1272" w:type="dxa"/>
                  <w:tcBorders>
                    <w:tl2br w:val="nil"/>
                    <w:tr2bl w:val="nil"/>
                  </w:tcBorders>
                  <w:noWrap w:val="0"/>
                  <w:vAlign w:val="center"/>
                </w:tcPr>
                <w:p w14:paraId="576F73D5">
                  <w:pPr>
                    <w:pStyle w:val="23"/>
                    <w:spacing w:beforeLines="0" w:afterLines="0"/>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监测频次</w:t>
                  </w:r>
                </w:p>
              </w:tc>
              <w:tc>
                <w:tcPr>
                  <w:tcW w:w="3102" w:type="dxa"/>
                  <w:tcBorders>
                    <w:tl2br w:val="nil"/>
                    <w:tr2bl w:val="nil"/>
                  </w:tcBorders>
                  <w:noWrap w:val="0"/>
                  <w:vAlign w:val="center"/>
                </w:tcPr>
                <w:p w14:paraId="5E9721F3">
                  <w:pPr>
                    <w:pStyle w:val="23"/>
                    <w:spacing w:beforeLines="0" w:afterLines="0"/>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执行标准</w:t>
                  </w:r>
                </w:p>
              </w:tc>
            </w:tr>
            <w:tr w14:paraId="6E6B43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9" w:type="dxa"/>
                  <w:tcBorders>
                    <w:tl2br w:val="nil"/>
                    <w:tr2bl w:val="nil"/>
                  </w:tcBorders>
                  <w:noWrap w:val="0"/>
                  <w:vAlign w:val="center"/>
                </w:tcPr>
                <w:p w14:paraId="7D9EFDE7">
                  <w:pPr>
                    <w:pStyle w:val="23"/>
                    <w:spacing w:beforeLines="0" w:afterLines="0"/>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DW001</w:t>
                  </w:r>
                </w:p>
              </w:tc>
              <w:tc>
                <w:tcPr>
                  <w:tcW w:w="2904" w:type="dxa"/>
                  <w:tcBorders>
                    <w:tl2br w:val="nil"/>
                    <w:tr2bl w:val="nil"/>
                  </w:tcBorders>
                  <w:noWrap w:val="0"/>
                  <w:vAlign w:val="center"/>
                </w:tcPr>
                <w:p w14:paraId="54EEB1EA">
                  <w:pPr>
                    <w:pStyle w:val="23"/>
                    <w:spacing w:beforeLines="0" w:afterLines="0"/>
                    <w:rPr>
                      <w:rFonts w:hint="default" w:ascii="Times New Roman" w:hAnsi="Times New Roman" w:eastAsia="宋体" w:cs="Times New Roman"/>
                      <w:color w:val="auto"/>
                      <w:sz w:val="21"/>
                      <w:szCs w:val="21"/>
                      <w:highlight w:val="none"/>
                      <w:shd w:val="clear" w:color="auto" w:fill="auto"/>
                      <w:lang w:val="en-US"/>
                    </w:rPr>
                  </w:pPr>
                  <w:r>
                    <w:rPr>
                      <w:rFonts w:hint="default" w:ascii="Times New Roman" w:hAnsi="Times New Roman" w:eastAsia="宋体" w:cs="Times New Roman"/>
                      <w:color w:val="auto"/>
                      <w:sz w:val="21"/>
                      <w:szCs w:val="21"/>
                      <w:highlight w:val="none"/>
                      <w:shd w:val="clear" w:color="auto" w:fill="auto"/>
                      <w:lang w:val="en-US" w:eastAsia="zh-CN"/>
                    </w:rPr>
                    <w:t>pH、</w:t>
                  </w:r>
                  <w:r>
                    <w:rPr>
                      <w:rFonts w:hint="default" w:ascii="Times New Roman" w:hAnsi="Times New Roman" w:eastAsia="宋体" w:cs="Times New Roman"/>
                      <w:color w:val="auto"/>
                      <w:sz w:val="21"/>
                      <w:szCs w:val="21"/>
                      <w:highlight w:val="none"/>
                      <w:shd w:val="clear" w:color="auto" w:fill="auto"/>
                    </w:rPr>
                    <w:t>COD、SS、NH</w:t>
                  </w:r>
                  <w:r>
                    <w:rPr>
                      <w:rFonts w:hint="default" w:ascii="Times New Roman" w:hAnsi="Times New Roman" w:eastAsia="宋体" w:cs="Times New Roman"/>
                      <w:color w:val="auto"/>
                      <w:sz w:val="21"/>
                      <w:szCs w:val="21"/>
                      <w:highlight w:val="none"/>
                      <w:shd w:val="clear" w:color="auto" w:fill="auto"/>
                      <w:vertAlign w:val="subscript"/>
                    </w:rPr>
                    <w:t>3</w:t>
                  </w:r>
                  <w:r>
                    <w:rPr>
                      <w:rFonts w:hint="default" w:ascii="Times New Roman" w:hAnsi="Times New Roman" w:eastAsia="宋体" w:cs="Times New Roman"/>
                      <w:color w:val="auto"/>
                      <w:sz w:val="21"/>
                      <w:szCs w:val="21"/>
                      <w:highlight w:val="none"/>
                      <w:shd w:val="clear" w:color="auto" w:fill="auto"/>
                    </w:rPr>
                    <w:t>-N、TP、TN</w:t>
                  </w:r>
                </w:p>
              </w:tc>
              <w:tc>
                <w:tcPr>
                  <w:tcW w:w="1272" w:type="dxa"/>
                  <w:tcBorders>
                    <w:tl2br w:val="nil"/>
                    <w:tr2bl w:val="nil"/>
                  </w:tcBorders>
                  <w:noWrap w:val="0"/>
                  <w:vAlign w:val="center"/>
                </w:tcPr>
                <w:p w14:paraId="045A7934">
                  <w:pPr>
                    <w:pStyle w:val="23"/>
                    <w:spacing w:beforeLines="0" w:afterLines="0"/>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一年一次</w:t>
                  </w:r>
                </w:p>
              </w:tc>
              <w:tc>
                <w:tcPr>
                  <w:tcW w:w="3102" w:type="dxa"/>
                  <w:tcBorders>
                    <w:tl2br w:val="nil"/>
                    <w:tr2bl w:val="nil"/>
                  </w:tcBorders>
                  <w:noWrap w:val="0"/>
                  <w:vAlign w:val="center"/>
                </w:tcPr>
                <w:p w14:paraId="2EA381F8">
                  <w:pPr>
                    <w:pStyle w:val="23"/>
                    <w:spacing w:beforeLines="0" w:afterLines="0"/>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金坛第二污水处理厂接管标准</w:t>
                  </w:r>
                </w:p>
              </w:tc>
            </w:tr>
          </w:tbl>
          <w:p w14:paraId="4CD5D25D">
            <w:pPr>
              <w:keepNext w:val="0"/>
              <w:keepLines w:val="0"/>
              <w:pageBreakBefore w:val="0"/>
              <w:widowControl w:val="0"/>
              <w:kinsoku/>
              <w:wordWrap/>
              <w:overflowPunct/>
              <w:topLinePunct w:val="0"/>
              <w:autoSpaceDE/>
              <w:autoSpaceDN/>
              <w:bidi w:val="0"/>
              <w:adjustRightInd/>
              <w:snapToGrid/>
              <w:ind w:firstLine="0" w:firstLineChars="0"/>
              <w:textAlignment w:val="auto"/>
              <w:rPr>
                <w:b/>
                <w:bCs/>
                <w:color w:val="auto"/>
                <w:sz w:val="24"/>
                <w:szCs w:val="24"/>
              </w:rPr>
            </w:pPr>
            <w:r>
              <w:rPr>
                <w:b/>
                <w:bCs/>
                <w:color w:val="auto"/>
                <w:sz w:val="24"/>
                <w:szCs w:val="24"/>
              </w:rPr>
              <w:t>1.</w:t>
            </w:r>
            <w:r>
              <w:rPr>
                <w:rFonts w:hint="eastAsia"/>
                <w:b/>
                <w:bCs/>
                <w:color w:val="auto"/>
                <w:sz w:val="24"/>
                <w:szCs w:val="24"/>
                <w:lang w:val="en-US" w:eastAsia="zh-CN"/>
              </w:rPr>
              <w:t>6</w:t>
            </w:r>
            <w:r>
              <w:rPr>
                <w:rFonts w:hint="eastAsia"/>
                <w:b/>
                <w:bCs/>
                <w:color w:val="auto"/>
                <w:sz w:val="24"/>
                <w:szCs w:val="24"/>
              </w:rPr>
              <w:t>环境影响分析小结</w:t>
            </w:r>
          </w:p>
          <w:p w14:paraId="15328582">
            <w:pPr>
              <w:rPr>
                <w:color w:val="auto"/>
                <w:sz w:val="24"/>
                <w:szCs w:val="24"/>
              </w:rPr>
            </w:pPr>
            <w:r>
              <w:rPr>
                <w:rFonts w:hint="eastAsia"/>
                <w:color w:val="auto"/>
                <w:sz w:val="24"/>
                <w:szCs w:val="24"/>
              </w:rPr>
              <w:t>本项目生活污水经化粪池预处理后接管至金坛第二污水处理厂集中处理，尾水排入尧塘河。故本项目废水排放对地表水环境影响很小，是可以接受的。</w:t>
            </w:r>
          </w:p>
          <w:p w14:paraId="4373112E">
            <w:pPr>
              <w:ind w:firstLine="0" w:firstLineChars="0"/>
              <w:rPr>
                <w:b/>
                <w:bCs/>
                <w:color w:val="auto"/>
                <w:sz w:val="24"/>
                <w:szCs w:val="24"/>
              </w:rPr>
            </w:pPr>
            <w:r>
              <w:rPr>
                <w:b/>
                <w:bCs/>
                <w:color w:val="auto"/>
                <w:sz w:val="24"/>
                <w:szCs w:val="24"/>
              </w:rPr>
              <w:t>2、废气</w:t>
            </w:r>
          </w:p>
          <w:p w14:paraId="09D7A07C">
            <w:pPr>
              <w:ind w:firstLine="0" w:firstLineChars="0"/>
              <w:rPr>
                <w:b/>
                <w:bCs/>
                <w:color w:val="auto"/>
                <w:sz w:val="24"/>
                <w:szCs w:val="24"/>
              </w:rPr>
            </w:pPr>
            <w:r>
              <w:rPr>
                <w:b/>
                <w:bCs/>
                <w:color w:val="auto"/>
                <w:sz w:val="24"/>
                <w:szCs w:val="24"/>
              </w:rPr>
              <w:t>2.1废气产生情况</w:t>
            </w:r>
          </w:p>
          <w:p w14:paraId="7D17654E">
            <w:pPr>
              <w:ind w:firstLine="0" w:firstLineChars="0"/>
              <w:rPr>
                <w:b/>
                <w:bCs/>
                <w:color w:val="auto"/>
                <w:sz w:val="24"/>
                <w:szCs w:val="24"/>
              </w:rPr>
            </w:pPr>
            <w:r>
              <w:rPr>
                <w:b/>
                <w:bCs/>
                <w:color w:val="auto"/>
                <w:sz w:val="24"/>
                <w:szCs w:val="24"/>
              </w:rPr>
              <w:t>2.1.1源强核算过程</w:t>
            </w:r>
          </w:p>
          <w:p w14:paraId="77AD6392">
            <w:pPr>
              <w:ind w:firstLine="422"/>
              <w:rPr>
                <w:b/>
                <w:color w:val="auto"/>
                <w:sz w:val="24"/>
                <w:szCs w:val="24"/>
              </w:rPr>
            </w:pPr>
            <w:r>
              <w:rPr>
                <w:rFonts w:hint="eastAsia"/>
                <w:b/>
                <w:color w:val="auto"/>
                <w:sz w:val="24"/>
                <w:szCs w:val="24"/>
                <w:lang w:val="en-US" w:eastAsia="zh-CN"/>
              </w:rPr>
              <w:t>1、</w:t>
            </w:r>
            <w:r>
              <w:rPr>
                <w:b/>
                <w:color w:val="auto"/>
                <w:sz w:val="24"/>
                <w:szCs w:val="24"/>
              </w:rPr>
              <w:t>有组织废气</w:t>
            </w:r>
          </w:p>
          <w:p w14:paraId="2CD367D2">
            <w:pPr>
              <w:ind w:firstLine="422"/>
              <w:rPr>
                <w:rFonts w:hint="default" w:eastAsia="宋体"/>
                <w:b w:val="0"/>
                <w:bCs/>
                <w:color w:val="auto"/>
                <w:sz w:val="24"/>
                <w:szCs w:val="24"/>
                <w:lang w:val="en-US" w:eastAsia="zh-CN"/>
              </w:rPr>
            </w:pPr>
            <w:r>
              <w:rPr>
                <w:rFonts w:hint="eastAsia" w:ascii="宋体" w:hAnsi="宋体" w:cs="宋体"/>
                <w:b w:val="0"/>
                <w:bCs/>
                <w:color w:val="auto"/>
                <w:sz w:val="24"/>
                <w:szCs w:val="24"/>
                <w:lang w:eastAsia="zh-CN"/>
              </w:rPr>
              <w:t>（</w:t>
            </w:r>
            <w:r>
              <w:rPr>
                <w:rFonts w:hint="eastAsia" w:ascii="宋体" w:hAnsi="宋体" w:cs="宋体"/>
                <w:b w:val="0"/>
                <w:bCs/>
                <w:color w:val="auto"/>
                <w:sz w:val="24"/>
                <w:szCs w:val="24"/>
                <w:lang w:val="en-US" w:eastAsia="zh-CN"/>
              </w:rPr>
              <w:t>1</w:t>
            </w:r>
            <w:r>
              <w:rPr>
                <w:rFonts w:hint="eastAsia" w:ascii="宋体" w:hAnsi="宋体" w:cs="宋体"/>
                <w:b w:val="0"/>
                <w:bCs/>
                <w:color w:val="auto"/>
                <w:sz w:val="24"/>
                <w:szCs w:val="24"/>
                <w:lang w:eastAsia="zh-CN"/>
              </w:rPr>
              <w:t>）</w:t>
            </w:r>
            <w:r>
              <w:rPr>
                <w:rFonts w:hint="eastAsia" w:ascii="宋体" w:hAnsi="宋体" w:cs="宋体"/>
                <w:b w:val="0"/>
                <w:bCs/>
                <w:color w:val="auto"/>
                <w:sz w:val="24"/>
                <w:szCs w:val="24"/>
                <w:lang w:val="en-US" w:eastAsia="zh-CN"/>
              </w:rPr>
              <w:t>注塑废气</w:t>
            </w:r>
            <w:r>
              <w:rPr>
                <w:rFonts w:hint="eastAsia"/>
                <w:b w:val="0"/>
                <w:bCs/>
                <w:color w:val="auto"/>
                <w:sz w:val="24"/>
                <w:szCs w:val="24"/>
                <w:lang w:val="en-US" w:eastAsia="zh-CN"/>
              </w:rPr>
              <w:t>G1-1、G2-1</w:t>
            </w:r>
          </w:p>
          <w:p w14:paraId="1DAD7838">
            <w:pPr>
              <w:ind w:firstLine="420"/>
              <w:rPr>
                <w:rFonts w:hint="eastAsia"/>
                <w:color w:val="auto"/>
                <w:sz w:val="24"/>
                <w:szCs w:val="24"/>
                <w:lang w:val="en-US" w:eastAsia="zh-CN"/>
              </w:rPr>
            </w:pPr>
            <w:bookmarkStart w:id="8" w:name="_Hlk130048080"/>
            <w:r>
              <w:rPr>
                <w:rFonts w:hint="eastAsia" w:ascii="Times New Roman" w:hAnsi="Times New Roman" w:eastAsia="宋体" w:cs="Times New Roman"/>
                <w:b w:val="0"/>
                <w:bCs w:val="0"/>
                <w:color w:val="auto"/>
                <w:sz w:val="24"/>
                <w:szCs w:val="24"/>
                <w:highlight w:val="none"/>
                <w:lang w:val="en-US" w:eastAsia="zh-CN"/>
              </w:rPr>
              <w:t>本项目</w:t>
            </w:r>
            <w:r>
              <w:rPr>
                <w:rFonts w:hint="eastAsia" w:cs="Times New Roman"/>
                <w:b w:val="0"/>
                <w:bCs w:val="0"/>
                <w:color w:val="auto"/>
                <w:sz w:val="24"/>
                <w:szCs w:val="24"/>
                <w:highlight w:val="none"/>
                <w:lang w:val="en-US" w:eastAsia="zh-CN"/>
              </w:rPr>
              <w:t>注塑</w:t>
            </w:r>
            <w:r>
              <w:rPr>
                <w:rFonts w:hint="default" w:ascii="Times New Roman" w:hAnsi="Times New Roman" w:eastAsia="宋体" w:cs="Times New Roman"/>
                <w:color w:val="auto"/>
                <w:sz w:val="24"/>
                <w:szCs w:val="24"/>
                <w:highlight w:val="none"/>
                <w:lang w:val="en-US" w:eastAsia="zh-CN"/>
              </w:rPr>
              <w:t>过程中会产生有机废气</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参考</w:t>
            </w:r>
            <w:r>
              <w:rPr>
                <w:rFonts w:hint="eastAsia"/>
                <w:color w:val="auto"/>
                <w:sz w:val="24"/>
                <w:szCs w:val="24"/>
              </w:rPr>
              <w:t>《排放源统计调查产排污核算方法和系数手册》中</w:t>
            </w:r>
            <w:r>
              <w:rPr>
                <w:rFonts w:hint="eastAsia"/>
                <w:color w:val="auto"/>
                <w:sz w:val="24"/>
                <w:szCs w:val="24"/>
                <w:lang w:val="en-US" w:eastAsia="zh-CN"/>
              </w:rPr>
              <w:t>塑料制品</w:t>
            </w:r>
            <w:r>
              <w:rPr>
                <w:rFonts w:hint="eastAsia"/>
                <w:color w:val="auto"/>
                <w:sz w:val="24"/>
                <w:szCs w:val="24"/>
              </w:rPr>
              <w:t>行业系数手册</w:t>
            </w:r>
            <w:r>
              <w:rPr>
                <w:rFonts w:hint="eastAsia"/>
                <w:color w:val="auto"/>
                <w:sz w:val="24"/>
                <w:szCs w:val="24"/>
                <w:lang w:val="en-US" w:eastAsia="zh-CN"/>
              </w:rPr>
              <w:t>2929塑料零件及其他塑料制品制造行业系数表（续表1）中“配料-混合-挤出/注塑挥发性有机物（以非甲烷总烃计）”</w:t>
            </w:r>
            <w:r>
              <w:rPr>
                <w:rFonts w:hint="eastAsia"/>
                <w:color w:val="auto"/>
                <w:sz w:val="24"/>
                <w:szCs w:val="24"/>
              </w:rPr>
              <w:t>产污系数，</w:t>
            </w:r>
            <w:r>
              <w:rPr>
                <w:color w:val="auto"/>
                <w:sz w:val="24"/>
                <w:szCs w:val="24"/>
              </w:rPr>
              <w:t>其</w:t>
            </w:r>
            <w:r>
              <w:rPr>
                <w:rFonts w:hint="eastAsia"/>
                <w:color w:val="auto"/>
                <w:sz w:val="24"/>
                <w:szCs w:val="24"/>
                <w:lang w:val="en-US" w:eastAsia="zh-CN"/>
              </w:rPr>
              <w:t>非甲烷总烃</w:t>
            </w:r>
            <w:r>
              <w:rPr>
                <w:color w:val="auto"/>
                <w:sz w:val="24"/>
                <w:szCs w:val="24"/>
              </w:rPr>
              <w:t>产污系数为</w:t>
            </w:r>
            <w:r>
              <w:rPr>
                <w:rFonts w:hint="eastAsia"/>
                <w:color w:val="auto"/>
                <w:sz w:val="24"/>
                <w:szCs w:val="24"/>
                <w:lang w:val="en-US" w:eastAsia="zh-CN"/>
              </w:rPr>
              <w:t>2.7</w:t>
            </w:r>
            <w:r>
              <w:rPr>
                <w:color w:val="auto"/>
                <w:sz w:val="24"/>
                <w:szCs w:val="24"/>
              </w:rPr>
              <w:t>kg/</w:t>
            </w:r>
            <w:r>
              <w:rPr>
                <w:rFonts w:hint="eastAsia"/>
                <w:color w:val="auto"/>
                <w:sz w:val="24"/>
                <w:szCs w:val="24"/>
                <w:lang w:val="en-US" w:eastAsia="zh-CN"/>
              </w:rPr>
              <w:t>t</w:t>
            </w:r>
            <w:r>
              <w:rPr>
                <w:color w:val="auto"/>
                <w:sz w:val="24"/>
                <w:szCs w:val="24"/>
              </w:rPr>
              <w:t>-</w:t>
            </w:r>
            <w:r>
              <w:rPr>
                <w:rFonts w:hint="eastAsia"/>
                <w:color w:val="auto"/>
                <w:sz w:val="24"/>
                <w:szCs w:val="24"/>
                <w:lang w:val="en-US" w:eastAsia="zh-CN"/>
              </w:rPr>
              <w:t>产品。本项目塑料粒子用量为145t/a。</w:t>
            </w:r>
            <w:r>
              <w:rPr>
                <w:color w:val="auto"/>
                <w:sz w:val="24"/>
                <w:szCs w:val="24"/>
              </w:rPr>
              <w:t>该工序污染物废气产生源强核算详见</w:t>
            </w:r>
            <w:r>
              <w:rPr>
                <w:rFonts w:hint="eastAsia"/>
                <w:color w:val="auto"/>
                <w:sz w:val="24"/>
                <w:szCs w:val="24"/>
                <w:lang w:eastAsia="zh-CN"/>
              </w:rPr>
              <w:t>表4.2-</w:t>
            </w:r>
            <w:r>
              <w:rPr>
                <w:rFonts w:hint="eastAsia"/>
                <w:color w:val="auto"/>
                <w:sz w:val="24"/>
                <w:szCs w:val="24"/>
                <w:lang w:val="en-US" w:eastAsia="zh-CN"/>
              </w:rPr>
              <w:t>2。</w:t>
            </w:r>
            <w:r>
              <w:rPr>
                <w:rFonts w:hint="default" w:ascii="Times New Roman" w:hAnsi="Times New Roman" w:eastAsia="宋体" w:cs="Times New Roman"/>
                <w:b w:val="0"/>
                <w:bCs w:val="0"/>
                <w:color w:val="auto"/>
                <w:sz w:val="24"/>
                <w:szCs w:val="24"/>
                <w:highlight w:val="none"/>
                <w:lang w:val="en-US" w:eastAsia="zh-CN"/>
              </w:rPr>
              <w:t>废气</w:t>
            </w:r>
            <w:r>
              <w:rPr>
                <w:rFonts w:hint="eastAsia" w:ascii="Times New Roman" w:hAnsi="Times New Roman" w:eastAsia="宋体" w:cs="Times New Roman"/>
                <w:color w:val="auto"/>
                <w:sz w:val="24"/>
                <w:szCs w:val="24"/>
                <w:highlight w:val="none"/>
                <w:lang w:val="en-US" w:eastAsia="zh-CN"/>
              </w:rPr>
              <w:t>由</w:t>
            </w:r>
            <w:r>
              <w:rPr>
                <w:rFonts w:hint="eastAsia" w:cs="Times New Roman"/>
                <w:color w:val="auto"/>
                <w:sz w:val="24"/>
                <w:szCs w:val="24"/>
                <w:highlight w:val="none"/>
                <w:lang w:val="en-US" w:eastAsia="zh-CN"/>
              </w:rPr>
              <w:t>集气罩</w:t>
            </w:r>
            <w:r>
              <w:rPr>
                <w:rFonts w:hint="default" w:ascii="Times New Roman" w:hAnsi="Times New Roman" w:eastAsia="宋体" w:cs="Times New Roman"/>
                <w:color w:val="auto"/>
                <w:sz w:val="24"/>
                <w:szCs w:val="24"/>
                <w:highlight w:val="none"/>
              </w:rPr>
              <w:t>收集</w:t>
            </w:r>
            <w:r>
              <w:rPr>
                <w:rFonts w:hint="eastAsia"/>
                <w:color w:val="auto"/>
                <w:sz w:val="24"/>
                <w:szCs w:val="24"/>
                <w:lang w:val="en-US" w:eastAsia="zh-CN"/>
              </w:rPr>
              <w:t>，收集效率以90%计，收集后经一套二级活性炭吸附装置处理后通过20m高排气筒DA001排放。</w:t>
            </w:r>
          </w:p>
          <w:p w14:paraId="0FB0775E">
            <w:pPr>
              <w:ind w:firstLine="420"/>
              <w:rPr>
                <w:rFonts w:hint="eastAsia"/>
                <w:color w:val="auto"/>
                <w:sz w:val="24"/>
                <w:szCs w:val="24"/>
                <w:lang w:val="en-US" w:eastAsia="zh-CN"/>
              </w:rPr>
            </w:pPr>
            <w:r>
              <w:rPr>
                <w:rFonts w:hint="eastAsia"/>
                <w:color w:val="auto"/>
                <w:sz w:val="24"/>
                <w:szCs w:val="24"/>
                <w:lang w:val="en-US" w:eastAsia="zh-CN"/>
              </w:rPr>
              <w:t>对于ABS树脂，本项目使用ABS粒子75t/a，原料用量较少，同时根据《丙烯腈-丁二烯-苯乙烯塑料残留单体含量的研究》（李丽，《炼油与化工》，2016年，第27卷，2016(06)：62~63），ABS树脂中苯乙烯、丙烯腈、甲苯、乙苯、1,3-丁二烯单体含量较少。因此本项目有机废气中单体苯乙烯、丙烯腈、甲苯、乙苯、1,3-丁二烯含量较低，不定量分析。</w:t>
            </w:r>
          </w:p>
          <w:p w14:paraId="0E71B9EA">
            <w:pPr>
              <w:ind w:firstLine="420"/>
              <w:rPr>
                <w:rFonts w:hint="eastAsia"/>
                <w:color w:val="auto"/>
                <w:sz w:val="24"/>
                <w:szCs w:val="24"/>
                <w:lang w:val="en-US" w:eastAsia="zh-CN"/>
              </w:rPr>
            </w:pPr>
            <w:r>
              <w:rPr>
                <w:rFonts w:hint="eastAsia"/>
                <w:color w:val="auto"/>
                <w:sz w:val="24"/>
                <w:szCs w:val="24"/>
                <w:lang w:val="en-US" w:eastAsia="zh-CN"/>
              </w:rPr>
              <w:t>对于PC树脂，根据《气相色谱-质谱法测定聚碳酸酯树脂及其成型品中的酚类》（王立宛、陈秋平、魏强卢、陈平、满晓琴）（温州中测环保检测技术有限公司，浙江乐清325600）及其他相关文献，PC树脂中氯苯类、酚类、二氯甲烷含量较低，因此本项目有机废气中单体氯苯类、酚类、二氯甲烷含量较低，不定量分析。</w:t>
            </w:r>
          </w:p>
          <w:p w14:paraId="1423250B">
            <w:pPr>
              <w:pStyle w:val="40"/>
              <w:spacing w:line="360" w:lineRule="auto"/>
              <w:ind w:firstLine="480"/>
              <w:rPr>
                <w:color w:val="auto"/>
                <w:sz w:val="24"/>
                <w:szCs w:val="24"/>
                <w:highlight w:val="none"/>
              </w:rPr>
            </w:pPr>
            <w:r>
              <w:rPr>
                <w:rFonts w:hint="eastAsia"/>
                <w:color w:val="auto"/>
                <w:sz w:val="24"/>
                <w:szCs w:val="24"/>
                <w:lang w:val="en-US" w:eastAsia="zh-CN"/>
              </w:rPr>
              <w:t>对于PA树脂，</w:t>
            </w:r>
            <w:r>
              <w:rPr>
                <w:color w:val="auto"/>
                <w:sz w:val="24"/>
                <w:szCs w:val="24"/>
                <w:highlight w:val="none"/>
              </w:rPr>
              <w:t>本项目</w:t>
            </w:r>
            <w:r>
              <w:rPr>
                <w:rFonts w:hint="eastAsia"/>
                <w:color w:val="auto"/>
                <w:sz w:val="24"/>
                <w:szCs w:val="24"/>
                <w:highlight w:val="none"/>
              </w:rPr>
              <w:t>注塑成型工段</w:t>
            </w:r>
            <w:r>
              <w:rPr>
                <w:color w:val="auto"/>
                <w:sz w:val="24"/>
                <w:szCs w:val="24"/>
                <w:highlight w:val="none"/>
              </w:rPr>
              <w:t>产生的</w:t>
            </w:r>
            <w:r>
              <w:rPr>
                <w:rFonts w:hint="eastAsia"/>
                <w:color w:val="auto"/>
                <w:sz w:val="24"/>
                <w:szCs w:val="24"/>
                <w:highlight w:val="none"/>
              </w:rPr>
              <w:t>氨</w:t>
            </w:r>
            <w:r>
              <w:rPr>
                <w:color w:val="auto"/>
                <w:sz w:val="24"/>
                <w:szCs w:val="24"/>
                <w:highlight w:val="none"/>
              </w:rPr>
              <w:t>，类比《</w:t>
            </w:r>
            <w:r>
              <w:rPr>
                <w:rFonts w:hint="eastAsia"/>
                <w:color w:val="auto"/>
                <w:sz w:val="24"/>
                <w:szCs w:val="24"/>
                <w:highlight w:val="none"/>
              </w:rPr>
              <w:t>江苏博盟科技有限公司新建年产150万件控制面板、150万件功能组件、150万件车身插座端口和150万件防尘盖组合项目</w:t>
            </w:r>
            <w:r>
              <w:rPr>
                <w:color w:val="auto"/>
                <w:sz w:val="24"/>
                <w:szCs w:val="24"/>
                <w:highlight w:val="none"/>
              </w:rPr>
              <w:t>竣工环境保护验收报告》</w:t>
            </w:r>
            <w:r>
              <w:rPr>
                <w:rFonts w:hint="eastAsia"/>
                <w:color w:val="auto"/>
                <w:sz w:val="24"/>
                <w:szCs w:val="24"/>
                <w:highlight w:val="none"/>
                <w:lang w:val="en-US" w:eastAsia="zh-CN"/>
              </w:rPr>
              <w:t>中的相似注塑工艺：利用PA粒子进行注塑，温度设置为250℃，</w:t>
            </w:r>
            <w:r>
              <w:rPr>
                <w:rFonts w:hint="eastAsia"/>
                <w:b w:val="0"/>
                <w:bCs/>
                <w:color w:val="auto"/>
                <w:sz w:val="24"/>
                <w:szCs w:val="24"/>
                <w:lang w:val="en-US" w:eastAsia="zh-CN"/>
              </w:rPr>
              <w:t>原料在注塑机内加热熔融，</w:t>
            </w:r>
            <w:r>
              <w:rPr>
                <w:rFonts w:hint="eastAsia"/>
                <w:bCs/>
                <w:color w:val="auto"/>
                <w:sz w:val="24"/>
                <w:szCs w:val="24"/>
              </w:rPr>
              <w:t>冷却水系统间接冷却模具后从而使成型后的半成品降温，开模即得所需部件</w:t>
            </w:r>
            <w:r>
              <w:rPr>
                <w:rFonts w:hint="eastAsia"/>
                <w:color w:val="auto"/>
                <w:sz w:val="24"/>
                <w:szCs w:val="24"/>
                <w:highlight w:val="none"/>
                <w:lang w:val="en-US" w:eastAsia="zh-CN"/>
              </w:rPr>
              <w:t>。</w:t>
            </w:r>
            <w:r>
              <w:rPr>
                <w:color w:val="auto"/>
                <w:sz w:val="24"/>
                <w:szCs w:val="24"/>
                <w:highlight w:val="none"/>
              </w:rPr>
              <w:t>202</w:t>
            </w:r>
            <w:r>
              <w:rPr>
                <w:rFonts w:hint="eastAsia"/>
                <w:color w:val="auto"/>
                <w:sz w:val="24"/>
                <w:szCs w:val="24"/>
                <w:highlight w:val="none"/>
                <w:lang w:val="en-US" w:eastAsia="zh-CN"/>
              </w:rPr>
              <w:t>4</w:t>
            </w:r>
            <w:r>
              <w:rPr>
                <w:color w:val="auto"/>
                <w:sz w:val="24"/>
                <w:szCs w:val="24"/>
                <w:highlight w:val="none"/>
              </w:rPr>
              <w:t>年</w:t>
            </w:r>
            <w:r>
              <w:rPr>
                <w:rFonts w:hint="eastAsia"/>
                <w:color w:val="auto"/>
                <w:sz w:val="24"/>
                <w:szCs w:val="24"/>
                <w:highlight w:val="none"/>
                <w:lang w:val="en-US" w:eastAsia="zh-CN"/>
              </w:rPr>
              <w:t>9</w:t>
            </w:r>
            <w:r>
              <w:rPr>
                <w:color w:val="auto"/>
                <w:sz w:val="24"/>
                <w:szCs w:val="24"/>
                <w:highlight w:val="none"/>
              </w:rPr>
              <w:t>月</w:t>
            </w:r>
            <w:r>
              <w:rPr>
                <w:rFonts w:hint="eastAsia"/>
                <w:color w:val="auto"/>
                <w:sz w:val="24"/>
                <w:szCs w:val="24"/>
                <w:highlight w:val="none"/>
                <w:lang w:val="en-US" w:eastAsia="zh-CN"/>
              </w:rPr>
              <w:t>4日</w:t>
            </w:r>
            <w:r>
              <w:rPr>
                <w:color w:val="auto"/>
                <w:sz w:val="24"/>
                <w:szCs w:val="24"/>
                <w:highlight w:val="none"/>
              </w:rPr>
              <w:t>对</w:t>
            </w:r>
            <w:r>
              <w:rPr>
                <w:rFonts w:hint="eastAsia"/>
                <w:color w:val="auto"/>
                <w:sz w:val="24"/>
                <w:szCs w:val="24"/>
                <w:highlight w:val="none"/>
                <w:lang w:val="en-US" w:eastAsia="zh-CN"/>
              </w:rPr>
              <w:t>该项目注塑</w:t>
            </w:r>
            <w:r>
              <w:rPr>
                <w:color w:val="auto"/>
                <w:sz w:val="24"/>
                <w:szCs w:val="24"/>
                <w:highlight w:val="none"/>
              </w:rPr>
              <w:t>废气排气筒</w:t>
            </w:r>
            <w:r>
              <w:rPr>
                <w:rFonts w:hint="eastAsia"/>
                <w:color w:val="auto"/>
                <w:sz w:val="24"/>
                <w:szCs w:val="24"/>
                <w:highlight w:val="none"/>
              </w:rPr>
              <w:t>进口</w:t>
            </w:r>
            <w:r>
              <w:rPr>
                <w:color w:val="auto"/>
                <w:sz w:val="24"/>
                <w:szCs w:val="24"/>
                <w:highlight w:val="none"/>
              </w:rPr>
              <w:t xml:space="preserve">监测数据见下表。 </w:t>
            </w:r>
          </w:p>
          <w:p w14:paraId="25C48121">
            <w:pPr>
              <w:pStyle w:val="41"/>
              <w:spacing w:line="240" w:lineRule="auto"/>
              <w:rPr>
                <w:rFonts w:ascii="仿宋" w:hAnsi="仿宋" w:eastAsia="仿宋" w:cs="仿宋"/>
                <w:color w:val="auto"/>
                <w:sz w:val="24"/>
                <w:highlight w:val="none"/>
              </w:rPr>
            </w:pPr>
            <w:r>
              <w:rPr>
                <w:rFonts w:hint="eastAsia" w:ascii="Times New Roman" w:hAnsi="Times New Roman" w:eastAsia="宋体" w:cs="Times New Roman"/>
                <w:color w:val="auto"/>
                <w:kern w:val="0"/>
                <w:sz w:val="21"/>
              </w:rPr>
              <w:t>表4</w:t>
            </w:r>
            <w:r>
              <w:rPr>
                <w:rFonts w:hint="eastAsia" w:ascii="Times New Roman" w:hAnsi="Times New Roman" w:eastAsia="宋体" w:cs="Times New Roman"/>
                <w:color w:val="auto"/>
                <w:kern w:val="0"/>
                <w:sz w:val="21"/>
                <w:lang w:val="en-US" w:eastAsia="zh-CN"/>
              </w:rPr>
              <w:t>.2</w:t>
            </w:r>
            <w:r>
              <w:rPr>
                <w:rFonts w:hint="eastAsia" w:ascii="Times New Roman" w:hAnsi="Times New Roman" w:eastAsia="宋体" w:cs="Times New Roman"/>
                <w:color w:val="auto"/>
                <w:kern w:val="0"/>
                <w:sz w:val="21"/>
              </w:rPr>
              <w:t>-1  热熔挤出排气筒进口监测结果</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9"/>
              <w:gridCol w:w="1372"/>
              <w:gridCol w:w="1228"/>
              <w:gridCol w:w="1496"/>
              <w:gridCol w:w="1261"/>
              <w:gridCol w:w="1262"/>
              <w:gridCol w:w="1268"/>
            </w:tblGrid>
            <w:tr w14:paraId="14EC63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noWrap w:val="0"/>
                  <w:vAlign w:val="center"/>
                </w:tcPr>
                <w:p w14:paraId="7E61442F">
                  <w:pPr>
                    <w:pStyle w:val="33"/>
                    <w:spacing w:line="240" w:lineRule="auto"/>
                    <w:ind w:firstLine="0" w:firstLineChars="0"/>
                    <w:rPr>
                      <w:b/>
                      <w:color w:val="auto"/>
                      <w:sz w:val="21"/>
                      <w:szCs w:val="21"/>
                      <w:highlight w:val="none"/>
                    </w:rPr>
                  </w:pPr>
                  <w:r>
                    <w:rPr>
                      <w:b/>
                      <w:color w:val="auto"/>
                      <w:sz w:val="21"/>
                      <w:szCs w:val="21"/>
                      <w:highlight w:val="none"/>
                    </w:rPr>
                    <w:t>采样日期</w:t>
                  </w:r>
                </w:p>
              </w:tc>
              <w:tc>
                <w:tcPr>
                  <w:tcW w:w="1406" w:type="pct"/>
                  <w:gridSpan w:val="2"/>
                  <w:noWrap w:val="0"/>
                  <w:vAlign w:val="center"/>
                </w:tcPr>
                <w:p w14:paraId="74E000A1">
                  <w:pPr>
                    <w:pStyle w:val="33"/>
                    <w:spacing w:line="240" w:lineRule="auto"/>
                    <w:ind w:firstLine="0" w:firstLineChars="0"/>
                    <w:rPr>
                      <w:b/>
                      <w:color w:val="auto"/>
                      <w:sz w:val="21"/>
                      <w:szCs w:val="21"/>
                      <w:highlight w:val="none"/>
                    </w:rPr>
                  </w:pPr>
                  <w:r>
                    <w:rPr>
                      <w:b/>
                      <w:color w:val="auto"/>
                      <w:sz w:val="21"/>
                      <w:szCs w:val="21"/>
                      <w:highlight w:val="none"/>
                    </w:rPr>
                    <w:t>测试项目</w:t>
                  </w:r>
                </w:p>
              </w:tc>
              <w:tc>
                <w:tcPr>
                  <w:tcW w:w="809" w:type="pct"/>
                  <w:noWrap w:val="0"/>
                  <w:vAlign w:val="center"/>
                </w:tcPr>
                <w:p w14:paraId="5D92BF16">
                  <w:pPr>
                    <w:pStyle w:val="33"/>
                    <w:spacing w:line="240" w:lineRule="auto"/>
                    <w:ind w:firstLine="0" w:firstLineChars="0"/>
                    <w:rPr>
                      <w:b/>
                      <w:color w:val="auto"/>
                      <w:sz w:val="21"/>
                      <w:szCs w:val="21"/>
                      <w:highlight w:val="none"/>
                    </w:rPr>
                  </w:pPr>
                  <w:r>
                    <w:rPr>
                      <w:b/>
                      <w:color w:val="auto"/>
                      <w:sz w:val="21"/>
                      <w:szCs w:val="21"/>
                      <w:highlight w:val="none"/>
                    </w:rPr>
                    <w:t>单位</w:t>
                  </w:r>
                </w:p>
              </w:tc>
              <w:tc>
                <w:tcPr>
                  <w:tcW w:w="2049" w:type="pct"/>
                  <w:gridSpan w:val="3"/>
                  <w:noWrap w:val="0"/>
                  <w:vAlign w:val="center"/>
                </w:tcPr>
                <w:p w14:paraId="298E0CB8">
                  <w:pPr>
                    <w:pStyle w:val="33"/>
                    <w:spacing w:line="240" w:lineRule="auto"/>
                    <w:ind w:firstLine="0" w:firstLineChars="0"/>
                    <w:rPr>
                      <w:b/>
                      <w:color w:val="auto"/>
                      <w:sz w:val="21"/>
                      <w:szCs w:val="21"/>
                      <w:highlight w:val="none"/>
                    </w:rPr>
                  </w:pPr>
                  <w:r>
                    <w:rPr>
                      <w:b/>
                      <w:color w:val="auto"/>
                      <w:sz w:val="21"/>
                      <w:szCs w:val="21"/>
                      <w:highlight w:val="none"/>
                    </w:rPr>
                    <w:t>检测情况</w:t>
                  </w:r>
                </w:p>
              </w:tc>
            </w:tr>
            <w:tr w14:paraId="415AF2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restart"/>
                  <w:noWrap w:val="0"/>
                  <w:vAlign w:val="center"/>
                </w:tcPr>
                <w:p w14:paraId="1025D200">
                  <w:pPr>
                    <w:pStyle w:val="33"/>
                    <w:spacing w:line="240" w:lineRule="auto"/>
                    <w:ind w:firstLine="0" w:firstLineChars="0"/>
                    <w:rPr>
                      <w:rFonts w:hint="eastAsia" w:eastAsia="宋体"/>
                      <w:color w:val="auto"/>
                      <w:sz w:val="21"/>
                      <w:szCs w:val="21"/>
                      <w:highlight w:val="none"/>
                      <w:lang w:eastAsia="zh-CN"/>
                    </w:rPr>
                  </w:pPr>
                  <w:r>
                    <w:rPr>
                      <w:color w:val="auto"/>
                      <w:sz w:val="21"/>
                      <w:szCs w:val="21"/>
                      <w:highlight w:val="none"/>
                    </w:rPr>
                    <w:t>202</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9</w:t>
                  </w:r>
                  <w:r>
                    <w:rPr>
                      <w:color w:val="auto"/>
                      <w:sz w:val="21"/>
                      <w:szCs w:val="21"/>
                      <w:highlight w:val="none"/>
                    </w:rPr>
                    <w:t>.</w:t>
                  </w:r>
                  <w:r>
                    <w:rPr>
                      <w:rFonts w:hint="eastAsia"/>
                      <w:color w:val="auto"/>
                      <w:sz w:val="21"/>
                      <w:szCs w:val="21"/>
                      <w:highlight w:val="none"/>
                      <w:lang w:val="en-US" w:eastAsia="zh-CN"/>
                    </w:rPr>
                    <w:t>4</w:t>
                  </w:r>
                </w:p>
              </w:tc>
              <w:tc>
                <w:tcPr>
                  <w:tcW w:w="1406" w:type="pct"/>
                  <w:gridSpan w:val="2"/>
                  <w:noWrap w:val="0"/>
                  <w:vAlign w:val="center"/>
                </w:tcPr>
                <w:p w14:paraId="27AA1B3B">
                  <w:pPr>
                    <w:pStyle w:val="33"/>
                    <w:spacing w:line="240" w:lineRule="auto"/>
                    <w:ind w:firstLine="0" w:firstLineChars="0"/>
                    <w:rPr>
                      <w:color w:val="auto"/>
                      <w:sz w:val="21"/>
                      <w:szCs w:val="21"/>
                      <w:highlight w:val="none"/>
                    </w:rPr>
                  </w:pPr>
                  <w:r>
                    <w:rPr>
                      <w:color w:val="auto"/>
                      <w:sz w:val="21"/>
                      <w:szCs w:val="21"/>
                      <w:highlight w:val="none"/>
                    </w:rPr>
                    <w:t>标杆流量</w:t>
                  </w:r>
                </w:p>
              </w:tc>
              <w:tc>
                <w:tcPr>
                  <w:tcW w:w="809" w:type="pct"/>
                  <w:noWrap w:val="0"/>
                  <w:vAlign w:val="center"/>
                </w:tcPr>
                <w:p w14:paraId="016A7AD8">
                  <w:pPr>
                    <w:pStyle w:val="33"/>
                    <w:spacing w:line="240" w:lineRule="auto"/>
                    <w:ind w:firstLine="0" w:firstLineChars="0"/>
                    <w:rPr>
                      <w:color w:val="auto"/>
                      <w:sz w:val="21"/>
                      <w:szCs w:val="21"/>
                      <w:highlight w:val="none"/>
                    </w:rPr>
                  </w:pPr>
                  <w:r>
                    <w:rPr>
                      <w:color w:val="auto"/>
                      <w:sz w:val="21"/>
                      <w:szCs w:val="21"/>
                      <w:highlight w:val="none"/>
                    </w:rPr>
                    <w:t>m</w:t>
                  </w:r>
                  <w:r>
                    <w:rPr>
                      <w:color w:val="auto"/>
                      <w:sz w:val="21"/>
                      <w:szCs w:val="21"/>
                      <w:highlight w:val="none"/>
                      <w:vertAlign w:val="superscript"/>
                    </w:rPr>
                    <w:t>3</w:t>
                  </w:r>
                  <w:r>
                    <w:rPr>
                      <w:color w:val="auto"/>
                      <w:sz w:val="21"/>
                      <w:szCs w:val="21"/>
                      <w:highlight w:val="none"/>
                    </w:rPr>
                    <w:t>/h</w:t>
                  </w:r>
                </w:p>
              </w:tc>
              <w:tc>
                <w:tcPr>
                  <w:tcW w:w="1135" w:type="dxa"/>
                  <w:noWrap w:val="0"/>
                  <w:vAlign w:val="center"/>
                </w:tcPr>
                <w:p w14:paraId="7031BF21">
                  <w:pPr>
                    <w:keepNext w:val="0"/>
                    <w:keepLines w:val="0"/>
                    <w:pageBreakBefore w:val="0"/>
                    <w:kinsoku/>
                    <w:wordWrap/>
                    <w:overflowPunct/>
                    <w:topLinePunct w:val="0"/>
                    <w:autoSpaceDE/>
                    <w:autoSpaceDN/>
                    <w:bidi w:val="0"/>
                    <w:spacing w:line="240" w:lineRule="auto"/>
                    <w:ind w:left="0" w:leftChars="0" w:firstLine="0" w:firstLineChars="0"/>
                    <w:jc w:val="center"/>
                    <w:rPr>
                      <w:color w:val="auto"/>
                      <w:szCs w:val="21"/>
                      <w:highlight w:val="none"/>
                    </w:rPr>
                  </w:pPr>
                  <w:r>
                    <w:rPr>
                      <w:rFonts w:hint="eastAsia" w:ascii="Times New Roman" w:hAnsi="Times New Roman" w:eastAsia="Times New Roman" w:cs="Times New Roman"/>
                      <w:color w:val="auto"/>
                      <w:kern w:val="2"/>
                      <w:sz w:val="21"/>
                      <w:szCs w:val="21"/>
                      <w:highlight w:val="none"/>
                      <w:lang w:val="en-US" w:eastAsia="zh-CN" w:bidi="ar-SA"/>
                    </w:rPr>
                    <w:t>11030</w:t>
                  </w:r>
                </w:p>
              </w:tc>
              <w:tc>
                <w:tcPr>
                  <w:tcW w:w="1135" w:type="dxa"/>
                  <w:noWrap w:val="0"/>
                  <w:vAlign w:val="center"/>
                </w:tcPr>
                <w:p w14:paraId="62E89987">
                  <w:pPr>
                    <w:keepNext w:val="0"/>
                    <w:keepLines w:val="0"/>
                    <w:pageBreakBefore w:val="0"/>
                    <w:kinsoku/>
                    <w:wordWrap/>
                    <w:overflowPunct/>
                    <w:topLinePunct w:val="0"/>
                    <w:autoSpaceDE/>
                    <w:autoSpaceDN/>
                    <w:bidi w:val="0"/>
                    <w:spacing w:line="240" w:lineRule="auto"/>
                    <w:ind w:left="0" w:leftChars="0" w:firstLine="0" w:firstLineChars="0"/>
                    <w:jc w:val="center"/>
                    <w:rPr>
                      <w:color w:val="auto"/>
                      <w:szCs w:val="21"/>
                      <w:highlight w:val="none"/>
                    </w:rPr>
                  </w:pPr>
                  <w:r>
                    <w:rPr>
                      <w:rFonts w:hint="eastAsia" w:ascii="Times New Roman" w:hAnsi="Times New Roman" w:eastAsia="Times New Roman" w:cs="Times New Roman"/>
                      <w:color w:val="auto"/>
                      <w:kern w:val="2"/>
                      <w:sz w:val="21"/>
                      <w:szCs w:val="21"/>
                      <w:highlight w:val="none"/>
                      <w:lang w:val="en-US" w:eastAsia="zh-CN" w:bidi="ar-SA"/>
                    </w:rPr>
                    <w:t>10973</w:t>
                  </w:r>
                </w:p>
              </w:tc>
              <w:tc>
                <w:tcPr>
                  <w:tcW w:w="1140" w:type="dxa"/>
                  <w:noWrap w:val="0"/>
                  <w:vAlign w:val="center"/>
                </w:tcPr>
                <w:p w14:paraId="7E5FDDC9">
                  <w:pPr>
                    <w:keepNext w:val="0"/>
                    <w:keepLines w:val="0"/>
                    <w:pageBreakBefore w:val="0"/>
                    <w:kinsoku/>
                    <w:wordWrap/>
                    <w:overflowPunct/>
                    <w:topLinePunct w:val="0"/>
                    <w:autoSpaceDE/>
                    <w:autoSpaceDN/>
                    <w:bidi w:val="0"/>
                    <w:spacing w:line="240" w:lineRule="auto"/>
                    <w:ind w:left="0" w:leftChars="0" w:firstLine="0" w:firstLineChars="0"/>
                    <w:jc w:val="center"/>
                    <w:rPr>
                      <w:color w:val="auto"/>
                      <w:szCs w:val="21"/>
                      <w:highlight w:val="none"/>
                    </w:rPr>
                  </w:pPr>
                  <w:r>
                    <w:rPr>
                      <w:rFonts w:hint="eastAsia" w:ascii="Times New Roman" w:hAnsi="Times New Roman" w:eastAsia="Times New Roman" w:cs="Times New Roman"/>
                      <w:color w:val="auto"/>
                      <w:kern w:val="2"/>
                      <w:sz w:val="21"/>
                      <w:szCs w:val="21"/>
                      <w:highlight w:val="none"/>
                      <w:lang w:val="en-US" w:eastAsia="zh-CN" w:bidi="ar-SA"/>
                    </w:rPr>
                    <w:t>10971</w:t>
                  </w:r>
                </w:p>
              </w:tc>
            </w:tr>
            <w:tr w14:paraId="415076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0DFDEE81">
                  <w:pPr>
                    <w:pStyle w:val="33"/>
                    <w:spacing w:line="240" w:lineRule="auto"/>
                    <w:ind w:firstLine="0" w:firstLineChars="0"/>
                    <w:rPr>
                      <w:color w:val="auto"/>
                      <w:sz w:val="21"/>
                      <w:szCs w:val="21"/>
                      <w:highlight w:val="none"/>
                    </w:rPr>
                  </w:pPr>
                </w:p>
              </w:tc>
              <w:tc>
                <w:tcPr>
                  <w:tcW w:w="742" w:type="pct"/>
                  <w:vMerge w:val="restart"/>
                  <w:noWrap w:val="0"/>
                  <w:vAlign w:val="center"/>
                </w:tcPr>
                <w:p w14:paraId="5124AD32">
                  <w:pPr>
                    <w:pStyle w:val="33"/>
                    <w:spacing w:line="240" w:lineRule="auto"/>
                    <w:ind w:firstLine="0" w:firstLineChars="0"/>
                    <w:rPr>
                      <w:color w:val="auto"/>
                      <w:sz w:val="21"/>
                      <w:szCs w:val="21"/>
                      <w:highlight w:val="none"/>
                    </w:rPr>
                  </w:pPr>
                  <w:r>
                    <w:rPr>
                      <w:rFonts w:hint="eastAsia"/>
                      <w:color w:val="auto"/>
                      <w:sz w:val="21"/>
                      <w:szCs w:val="21"/>
                      <w:highlight w:val="none"/>
                    </w:rPr>
                    <w:t>氨</w:t>
                  </w:r>
                  <w:r>
                    <w:rPr>
                      <w:color w:val="auto"/>
                      <w:sz w:val="21"/>
                      <w:szCs w:val="21"/>
                      <w:highlight w:val="none"/>
                    </w:rPr>
                    <w:t>（进口）</w:t>
                  </w:r>
                </w:p>
              </w:tc>
              <w:tc>
                <w:tcPr>
                  <w:tcW w:w="664" w:type="pct"/>
                  <w:noWrap w:val="0"/>
                  <w:vAlign w:val="center"/>
                </w:tcPr>
                <w:p w14:paraId="1CF930C6">
                  <w:pPr>
                    <w:pStyle w:val="33"/>
                    <w:spacing w:line="240" w:lineRule="auto"/>
                    <w:ind w:firstLine="0" w:firstLineChars="0"/>
                    <w:rPr>
                      <w:color w:val="auto"/>
                      <w:sz w:val="21"/>
                      <w:szCs w:val="21"/>
                      <w:highlight w:val="none"/>
                    </w:rPr>
                  </w:pPr>
                  <w:r>
                    <w:rPr>
                      <w:color w:val="auto"/>
                      <w:sz w:val="21"/>
                      <w:szCs w:val="21"/>
                      <w:highlight w:val="none"/>
                    </w:rPr>
                    <w:t>实测浓度</w:t>
                  </w:r>
                </w:p>
              </w:tc>
              <w:tc>
                <w:tcPr>
                  <w:tcW w:w="809" w:type="pct"/>
                  <w:noWrap w:val="0"/>
                  <w:vAlign w:val="center"/>
                </w:tcPr>
                <w:p w14:paraId="222FF725">
                  <w:pPr>
                    <w:pStyle w:val="33"/>
                    <w:spacing w:line="240" w:lineRule="auto"/>
                    <w:ind w:firstLine="0" w:firstLineChars="0"/>
                    <w:rPr>
                      <w:color w:val="auto"/>
                      <w:sz w:val="21"/>
                      <w:szCs w:val="21"/>
                      <w:highlight w:val="none"/>
                    </w:rPr>
                  </w:pPr>
                  <w:r>
                    <w:rPr>
                      <w:color w:val="auto"/>
                      <w:sz w:val="21"/>
                      <w:szCs w:val="21"/>
                      <w:highlight w:val="none"/>
                    </w:rPr>
                    <w:t>mg/m</w:t>
                  </w:r>
                  <w:r>
                    <w:rPr>
                      <w:color w:val="auto"/>
                      <w:sz w:val="21"/>
                      <w:szCs w:val="21"/>
                      <w:highlight w:val="none"/>
                      <w:vertAlign w:val="superscript"/>
                    </w:rPr>
                    <w:t>3</w:t>
                  </w:r>
                </w:p>
              </w:tc>
              <w:tc>
                <w:tcPr>
                  <w:tcW w:w="1135" w:type="dxa"/>
                  <w:noWrap w:val="0"/>
                  <w:vAlign w:val="center"/>
                </w:tcPr>
                <w:p w14:paraId="0AD24712">
                  <w:pPr>
                    <w:spacing w:line="240" w:lineRule="auto"/>
                    <w:ind w:firstLine="0" w:firstLineChars="0"/>
                    <w:jc w:val="center"/>
                    <w:rPr>
                      <w:color w:val="auto"/>
                      <w:sz w:val="21"/>
                      <w:szCs w:val="21"/>
                      <w:highlight w:val="none"/>
                    </w:rPr>
                  </w:pPr>
                  <w:r>
                    <w:rPr>
                      <w:rFonts w:hint="eastAsia" w:cs="Times New Roman"/>
                      <w:color w:val="auto"/>
                      <w:spacing w:val="-8"/>
                      <w:sz w:val="21"/>
                      <w:szCs w:val="21"/>
                      <w:highlight w:val="none"/>
                      <w:lang w:val="en-US" w:eastAsia="zh-CN"/>
                    </w:rPr>
                    <w:t>1.35</w:t>
                  </w:r>
                </w:p>
              </w:tc>
              <w:tc>
                <w:tcPr>
                  <w:tcW w:w="1135" w:type="dxa"/>
                  <w:noWrap w:val="0"/>
                  <w:vAlign w:val="center"/>
                </w:tcPr>
                <w:p w14:paraId="2C7BE08B">
                  <w:pPr>
                    <w:spacing w:line="240" w:lineRule="auto"/>
                    <w:ind w:firstLine="0" w:firstLineChars="0"/>
                    <w:jc w:val="center"/>
                    <w:rPr>
                      <w:color w:val="auto"/>
                      <w:sz w:val="21"/>
                      <w:szCs w:val="21"/>
                      <w:highlight w:val="none"/>
                    </w:rPr>
                  </w:pPr>
                  <w:r>
                    <w:rPr>
                      <w:rFonts w:hint="eastAsia" w:cs="Times New Roman"/>
                      <w:color w:val="auto"/>
                      <w:spacing w:val="-8"/>
                      <w:sz w:val="21"/>
                      <w:szCs w:val="21"/>
                      <w:highlight w:val="none"/>
                      <w:lang w:val="en-US" w:eastAsia="zh-CN"/>
                    </w:rPr>
                    <w:t>1.43</w:t>
                  </w:r>
                </w:p>
              </w:tc>
              <w:tc>
                <w:tcPr>
                  <w:tcW w:w="1140" w:type="dxa"/>
                  <w:noWrap w:val="0"/>
                  <w:vAlign w:val="center"/>
                </w:tcPr>
                <w:p w14:paraId="630A3CE7">
                  <w:pPr>
                    <w:spacing w:line="240" w:lineRule="auto"/>
                    <w:ind w:firstLine="0" w:firstLineChars="0"/>
                    <w:jc w:val="center"/>
                    <w:rPr>
                      <w:color w:val="auto"/>
                      <w:sz w:val="21"/>
                      <w:szCs w:val="21"/>
                      <w:highlight w:val="none"/>
                    </w:rPr>
                  </w:pPr>
                  <w:r>
                    <w:rPr>
                      <w:rFonts w:hint="eastAsia" w:cs="Times New Roman"/>
                      <w:color w:val="auto"/>
                      <w:spacing w:val="-8"/>
                      <w:sz w:val="21"/>
                      <w:szCs w:val="21"/>
                      <w:highlight w:val="none"/>
                      <w:lang w:val="en-US" w:eastAsia="zh-CN"/>
                    </w:rPr>
                    <w:t>1.31</w:t>
                  </w:r>
                </w:p>
              </w:tc>
            </w:tr>
            <w:tr w14:paraId="3E803F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4B44A1C5">
                  <w:pPr>
                    <w:pStyle w:val="33"/>
                    <w:spacing w:line="240" w:lineRule="auto"/>
                    <w:ind w:firstLine="0" w:firstLineChars="0"/>
                    <w:rPr>
                      <w:color w:val="auto"/>
                      <w:sz w:val="21"/>
                      <w:szCs w:val="21"/>
                      <w:highlight w:val="none"/>
                    </w:rPr>
                  </w:pPr>
                </w:p>
              </w:tc>
              <w:tc>
                <w:tcPr>
                  <w:tcW w:w="742" w:type="pct"/>
                  <w:vMerge w:val="continue"/>
                  <w:noWrap w:val="0"/>
                  <w:vAlign w:val="center"/>
                </w:tcPr>
                <w:p w14:paraId="201DD256">
                  <w:pPr>
                    <w:pStyle w:val="33"/>
                    <w:spacing w:line="240" w:lineRule="auto"/>
                    <w:ind w:firstLine="0" w:firstLineChars="0"/>
                    <w:rPr>
                      <w:color w:val="auto"/>
                      <w:sz w:val="21"/>
                      <w:szCs w:val="21"/>
                      <w:highlight w:val="none"/>
                    </w:rPr>
                  </w:pPr>
                </w:p>
              </w:tc>
              <w:tc>
                <w:tcPr>
                  <w:tcW w:w="664" w:type="pct"/>
                  <w:noWrap w:val="0"/>
                  <w:vAlign w:val="center"/>
                </w:tcPr>
                <w:p w14:paraId="1E35FB83">
                  <w:pPr>
                    <w:pStyle w:val="33"/>
                    <w:spacing w:line="240" w:lineRule="auto"/>
                    <w:ind w:firstLine="0" w:firstLineChars="0"/>
                    <w:rPr>
                      <w:color w:val="auto"/>
                      <w:sz w:val="21"/>
                      <w:szCs w:val="21"/>
                      <w:highlight w:val="none"/>
                    </w:rPr>
                  </w:pPr>
                  <w:r>
                    <w:rPr>
                      <w:color w:val="auto"/>
                      <w:sz w:val="21"/>
                      <w:szCs w:val="21"/>
                      <w:highlight w:val="none"/>
                    </w:rPr>
                    <w:t>速率</w:t>
                  </w:r>
                </w:p>
              </w:tc>
              <w:tc>
                <w:tcPr>
                  <w:tcW w:w="809" w:type="pct"/>
                  <w:noWrap w:val="0"/>
                  <w:vAlign w:val="center"/>
                </w:tcPr>
                <w:p w14:paraId="401E92D5">
                  <w:pPr>
                    <w:pStyle w:val="33"/>
                    <w:spacing w:line="240" w:lineRule="auto"/>
                    <w:ind w:firstLine="0" w:firstLineChars="0"/>
                    <w:rPr>
                      <w:color w:val="auto"/>
                      <w:sz w:val="21"/>
                      <w:szCs w:val="21"/>
                      <w:highlight w:val="none"/>
                    </w:rPr>
                  </w:pPr>
                  <w:r>
                    <w:rPr>
                      <w:color w:val="auto"/>
                      <w:sz w:val="21"/>
                      <w:szCs w:val="21"/>
                      <w:highlight w:val="none"/>
                    </w:rPr>
                    <w:t>kg/h</w:t>
                  </w:r>
                </w:p>
              </w:tc>
              <w:tc>
                <w:tcPr>
                  <w:tcW w:w="1135" w:type="dxa"/>
                  <w:noWrap w:val="0"/>
                  <w:vAlign w:val="center"/>
                </w:tcPr>
                <w:p w14:paraId="68010351">
                  <w:pPr>
                    <w:spacing w:line="240" w:lineRule="auto"/>
                    <w:ind w:firstLine="0" w:firstLineChars="0"/>
                    <w:jc w:val="center"/>
                    <w:rPr>
                      <w:rFonts w:hint="default" w:eastAsia="宋体"/>
                      <w:color w:val="auto"/>
                      <w:sz w:val="21"/>
                      <w:szCs w:val="21"/>
                      <w:highlight w:val="none"/>
                      <w:lang w:val="en-US" w:eastAsia="zh-CN"/>
                    </w:rPr>
                  </w:pPr>
                  <w:r>
                    <w:rPr>
                      <w:rFonts w:hint="eastAsia" w:cs="Times New Roman"/>
                      <w:color w:val="auto"/>
                      <w:spacing w:val="-13"/>
                      <w:sz w:val="21"/>
                      <w:szCs w:val="21"/>
                      <w:highlight w:val="none"/>
                      <w:lang w:val="en-US" w:eastAsia="zh-CN"/>
                    </w:rPr>
                    <w:t>1.49</w:t>
                  </w:r>
                  <w:r>
                    <w:rPr>
                      <w:rFonts w:ascii="Times New Roman" w:hAnsi="Times New Roman" w:eastAsia="Times New Roman" w:cs="Times New Roman"/>
                      <w:color w:val="auto"/>
                      <w:spacing w:val="-13"/>
                      <w:sz w:val="21"/>
                      <w:szCs w:val="21"/>
                      <w:highlight w:val="none"/>
                    </w:rPr>
                    <w:t>×</w:t>
                  </w:r>
                  <w:r>
                    <w:rPr>
                      <w:rFonts w:ascii="Times New Roman" w:hAnsi="Times New Roman" w:eastAsia="Times New Roman" w:cs="Times New Roman"/>
                      <w:color w:val="auto"/>
                      <w:spacing w:val="-42"/>
                      <w:sz w:val="21"/>
                      <w:szCs w:val="21"/>
                      <w:highlight w:val="none"/>
                    </w:rPr>
                    <w:t xml:space="preserve"> </w:t>
                  </w:r>
                  <w:r>
                    <w:rPr>
                      <w:rFonts w:ascii="Times New Roman" w:hAnsi="Times New Roman" w:eastAsia="Times New Roman" w:cs="Times New Roman"/>
                      <w:color w:val="auto"/>
                      <w:spacing w:val="-13"/>
                      <w:sz w:val="21"/>
                      <w:szCs w:val="21"/>
                      <w:highlight w:val="none"/>
                    </w:rPr>
                    <w:t>10</w:t>
                  </w:r>
                  <w:r>
                    <w:rPr>
                      <w:rFonts w:hint="eastAsia" w:ascii="Times New Roman" w:hAnsi="Times New Roman" w:eastAsia="宋体" w:cs="Times New Roman"/>
                      <w:color w:val="auto"/>
                      <w:spacing w:val="-13"/>
                      <w:sz w:val="21"/>
                      <w:szCs w:val="21"/>
                      <w:highlight w:val="none"/>
                      <w:vertAlign w:val="superscript"/>
                      <w:lang w:val="en-US" w:eastAsia="zh-CN"/>
                    </w:rPr>
                    <w:t>-2</w:t>
                  </w:r>
                </w:p>
              </w:tc>
              <w:tc>
                <w:tcPr>
                  <w:tcW w:w="1135" w:type="dxa"/>
                  <w:noWrap w:val="0"/>
                  <w:vAlign w:val="center"/>
                </w:tcPr>
                <w:p w14:paraId="2D58700E">
                  <w:pPr>
                    <w:spacing w:line="240" w:lineRule="auto"/>
                    <w:ind w:firstLine="0" w:firstLineChars="0"/>
                    <w:jc w:val="center"/>
                    <w:rPr>
                      <w:color w:val="auto"/>
                      <w:sz w:val="21"/>
                      <w:szCs w:val="21"/>
                      <w:highlight w:val="none"/>
                    </w:rPr>
                  </w:pPr>
                  <w:r>
                    <w:rPr>
                      <w:rFonts w:hint="eastAsia" w:cs="Times New Roman"/>
                      <w:color w:val="auto"/>
                      <w:spacing w:val="-12"/>
                      <w:sz w:val="21"/>
                      <w:szCs w:val="21"/>
                      <w:highlight w:val="none"/>
                      <w:lang w:val="en-US" w:eastAsia="zh-CN"/>
                    </w:rPr>
                    <w:t>1.57</w:t>
                  </w:r>
                  <w:r>
                    <w:rPr>
                      <w:rFonts w:ascii="Times New Roman" w:hAnsi="Times New Roman" w:eastAsia="Times New Roman" w:cs="Times New Roman"/>
                      <w:color w:val="auto"/>
                      <w:spacing w:val="-12"/>
                      <w:sz w:val="21"/>
                      <w:szCs w:val="21"/>
                      <w:highlight w:val="none"/>
                    </w:rPr>
                    <w:t>×</w:t>
                  </w:r>
                  <w:r>
                    <w:rPr>
                      <w:rFonts w:ascii="Times New Roman" w:hAnsi="Times New Roman" w:eastAsia="Times New Roman" w:cs="Times New Roman"/>
                      <w:color w:val="auto"/>
                      <w:spacing w:val="-39"/>
                      <w:sz w:val="21"/>
                      <w:szCs w:val="21"/>
                      <w:highlight w:val="none"/>
                    </w:rPr>
                    <w:t xml:space="preserve"> </w:t>
                  </w:r>
                  <w:r>
                    <w:rPr>
                      <w:rFonts w:ascii="Times New Roman" w:hAnsi="Times New Roman" w:eastAsia="Times New Roman" w:cs="Times New Roman"/>
                      <w:color w:val="auto"/>
                      <w:spacing w:val="-12"/>
                      <w:sz w:val="21"/>
                      <w:szCs w:val="21"/>
                      <w:highlight w:val="none"/>
                    </w:rPr>
                    <w:t>10</w:t>
                  </w:r>
                  <w:r>
                    <w:rPr>
                      <w:rFonts w:hint="eastAsia" w:ascii="Times New Roman" w:hAnsi="Times New Roman" w:eastAsia="宋体" w:cs="Times New Roman"/>
                      <w:color w:val="auto"/>
                      <w:spacing w:val="-12"/>
                      <w:sz w:val="21"/>
                      <w:szCs w:val="21"/>
                      <w:highlight w:val="none"/>
                      <w:vertAlign w:val="superscript"/>
                      <w:lang w:val="en-US" w:eastAsia="zh-CN"/>
                    </w:rPr>
                    <w:t>-</w:t>
                  </w:r>
                  <w:r>
                    <w:rPr>
                      <w:rFonts w:hint="eastAsia" w:ascii="Times New Roman" w:hAnsi="Times New Roman" w:eastAsia="宋体" w:cs="Times New Roman"/>
                      <w:color w:val="auto"/>
                      <w:spacing w:val="-13"/>
                      <w:sz w:val="21"/>
                      <w:szCs w:val="21"/>
                      <w:highlight w:val="none"/>
                      <w:vertAlign w:val="superscript"/>
                      <w:lang w:val="en-US" w:eastAsia="zh-CN"/>
                    </w:rPr>
                    <w:t>2</w:t>
                  </w:r>
                </w:p>
              </w:tc>
              <w:tc>
                <w:tcPr>
                  <w:tcW w:w="1140" w:type="dxa"/>
                  <w:noWrap w:val="0"/>
                  <w:vAlign w:val="center"/>
                </w:tcPr>
                <w:p w14:paraId="05D15B9D">
                  <w:pPr>
                    <w:spacing w:line="240" w:lineRule="auto"/>
                    <w:ind w:firstLine="0" w:firstLineChars="0"/>
                    <w:jc w:val="center"/>
                    <w:rPr>
                      <w:color w:val="auto"/>
                      <w:sz w:val="21"/>
                      <w:szCs w:val="21"/>
                      <w:highlight w:val="none"/>
                    </w:rPr>
                  </w:pPr>
                  <w:r>
                    <w:rPr>
                      <w:rFonts w:hint="eastAsia" w:cs="Times New Roman"/>
                      <w:color w:val="auto"/>
                      <w:spacing w:val="-12"/>
                      <w:sz w:val="21"/>
                      <w:szCs w:val="21"/>
                      <w:highlight w:val="none"/>
                      <w:lang w:val="en-US" w:eastAsia="zh-CN"/>
                    </w:rPr>
                    <w:t>1.44</w:t>
                  </w:r>
                  <w:r>
                    <w:rPr>
                      <w:rFonts w:ascii="Times New Roman" w:hAnsi="Times New Roman" w:eastAsia="Times New Roman" w:cs="Times New Roman"/>
                      <w:color w:val="auto"/>
                      <w:spacing w:val="-12"/>
                      <w:sz w:val="21"/>
                      <w:szCs w:val="21"/>
                      <w:highlight w:val="none"/>
                    </w:rPr>
                    <w:t>×</w:t>
                  </w:r>
                  <w:r>
                    <w:rPr>
                      <w:rFonts w:ascii="Times New Roman" w:hAnsi="Times New Roman" w:eastAsia="Times New Roman" w:cs="Times New Roman"/>
                      <w:color w:val="auto"/>
                      <w:spacing w:val="-44"/>
                      <w:sz w:val="21"/>
                      <w:szCs w:val="21"/>
                      <w:highlight w:val="none"/>
                    </w:rPr>
                    <w:t xml:space="preserve"> </w:t>
                  </w:r>
                  <w:r>
                    <w:rPr>
                      <w:rFonts w:ascii="Times New Roman" w:hAnsi="Times New Roman" w:eastAsia="Times New Roman" w:cs="Times New Roman"/>
                      <w:color w:val="auto"/>
                      <w:spacing w:val="-12"/>
                      <w:sz w:val="21"/>
                      <w:szCs w:val="21"/>
                      <w:highlight w:val="none"/>
                    </w:rPr>
                    <w:t>10</w:t>
                  </w:r>
                  <w:r>
                    <w:rPr>
                      <w:rFonts w:hint="eastAsia" w:ascii="Times New Roman" w:hAnsi="Times New Roman" w:eastAsia="宋体" w:cs="Times New Roman"/>
                      <w:color w:val="auto"/>
                      <w:spacing w:val="-12"/>
                      <w:sz w:val="21"/>
                      <w:szCs w:val="21"/>
                      <w:highlight w:val="none"/>
                      <w:vertAlign w:val="superscript"/>
                      <w:lang w:val="en-US" w:eastAsia="zh-CN"/>
                    </w:rPr>
                    <w:t>-</w:t>
                  </w:r>
                  <w:r>
                    <w:rPr>
                      <w:rFonts w:hint="eastAsia" w:ascii="Times New Roman" w:hAnsi="Times New Roman" w:eastAsia="宋体" w:cs="Times New Roman"/>
                      <w:color w:val="auto"/>
                      <w:spacing w:val="-13"/>
                      <w:sz w:val="21"/>
                      <w:szCs w:val="21"/>
                      <w:highlight w:val="none"/>
                      <w:vertAlign w:val="superscript"/>
                      <w:lang w:val="en-US" w:eastAsia="zh-CN"/>
                    </w:rPr>
                    <w:t>2</w:t>
                  </w:r>
                </w:p>
              </w:tc>
            </w:tr>
          </w:tbl>
          <w:p w14:paraId="19FAB9DA">
            <w:pPr>
              <w:ind w:firstLine="420"/>
              <w:rPr>
                <w:rFonts w:hint="default"/>
                <w:color w:val="auto"/>
                <w:sz w:val="24"/>
                <w:szCs w:val="24"/>
                <w:lang w:val="en-US" w:eastAsia="zh-CN"/>
              </w:rPr>
            </w:pPr>
            <w:r>
              <w:rPr>
                <w:rFonts w:hint="eastAsia" w:ascii="仿宋" w:hAnsi="仿宋" w:eastAsia="仿宋" w:cs="仿宋"/>
                <w:color w:val="auto"/>
                <w:kern w:val="0"/>
                <w:szCs w:val="21"/>
                <w:highlight w:val="none"/>
                <w:lang w:bidi="ar"/>
              </w:rPr>
              <w:t xml:space="preserve"> </w:t>
            </w:r>
            <w:r>
              <w:rPr>
                <w:color w:val="auto"/>
                <w:sz w:val="24"/>
                <w:highlight w:val="none"/>
              </w:rPr>
              <w:t>监测期间，该公司</w:t>
            </w:r>
            <w:r>
              <w:rPr>
                <w:rFonts w:hint="eastAsia"/>
                <w:color w:val="auto"/>
                <w:sz w:val="24"/>
                <w:highlight w:val="none"/>
                <w:lang w:val="en-US" w:eastAsia="zh-CN"/>
              </w:rPr>
              <w:t>注塑</w:t>
            </w:r>
            <w:r>
              <w:rPr>
                <w:color w:val="auto"/>
                <w:sz w:val="24"/>
                <w:highlight w:val="none"/>
              </w:rPr>
              <w:t>废气经收集后有组织排放，进口</w:t>
            </w:r>
            <w:r>
              <w:rPr>
                <w:rFonts w:hint="eastAsia"/>
                <w:color w:val="auto"/>
                <w:sz w:val="24"/>
                <w:highlight w:val="none"/>
              </w:rPr>
              <w:t>氨</w:t>
            </w:r>
            <w:r>
              <w:rPr>
                <w:color w:val="auto"/>
                <w:sz w:val="24"/>
                <w:highlight w:val="none"/>
              </w:rPr>
              <w:t>的最大产生速率为0.01</w:t>
            </w:r>
            <w:r>
              <w:rPr>
                <w:rFonts w:hint="eastAsia"/>
                <w:color w:val="auto"/>
                <w:sz w:val="24"/>
                <w:highlight w:val="none"/>
                <w:lang w:val="en-US" w:eastAsia="zh-CN"/>
              </w:rPr>
              <w:t>57</w:t>
            </w:r>
            <w:r>
              <w:rPr>
                <w:color w:val="auto"/>
                <w:sz w:val="24"/>
                <w:highlight w:val="none"/>
              </w:rPr>
              <w:t>kg/h，年运行时间为</w:t>
            </w:r>
            <w:r>
              <w:rPr>
                <w:rFonts w:hint="eastAsia"/>
                <w:color w:val="auto"/>
                <w:sz w:val="24"/>
                <w:highlight w:val="none"/>
                <w:lang w:val="en-US" w:eastAsia="zh-CN"/>
              </w:rPr>
              <w:t>4</w:t>
            </w:r>
            <w:r>
              <w:rPr>
                <w:color w:val="auto"/>
                <w:sz w:val="24"/>
                <w:highlight w:val="none"/>
              </w:rPr>
              <w:t>200h，集气罩收集效率以90%计，则</w:t>
            </w:r>
            <w:r>
              <w:rPr>
                <w:rFonts w:hint="eastAsia"/>
                <w:color w:val="auto"/>
                <w:sz w:val="24"/>
                <w:highlight w:val="none"/>
              </w:rPr>
              <w:t>氨</w:t>
            </w:r>
            <w:r>
              <w:rPr>
                <w:color w:val="auto"/>
                <w:sz w:val="24"/>
                <w:highlight w:val="none"/>
              </w:rPr>
              <w:t>产生量为</w:t>
            </w:r>
            <w:r>
              <w:rPr>
                <w:rFonts w:hint="eastAsia"/>
                <w:color w:val="auto"/>
                <w:sz w:val="24"/>
                <w:highlight w:val="none"/>
                <w:lang w:val="en-US" w:eastAsia="zh-CN"/>
              </w:rPr>
              <w:t>66</w:t>
            </w:r>
            <w:r>
              <w:rPr>
                <w:color w:val="auto"/>
                <w:sz w:val="24"/>
                <w:highlight w:val="none"/>
              </w:rPr>
              <w:t>kg/a。该公司尼龙年使用量为</w:t>
            </w:r>
            <w:r>
              <w:rPr>
                <w:rFonts w:hint="eastAsia"/>
                <w:color w:val="auto"/>
                <w:sz w:val="24"/>
                <w:highlight w:val="none"/>
                <w:lang w:val="en-US" w:eastAsia="zh-CN"/>
              </w:rPr>
              <w:t>2</w:t>
            </w:r>
            <w:r>
              <w:rPr>
                <w:color w:val="auto"/>
                <w:sz w:val="24"/>
                <w:highlight w:val="none"/>
              </w:rPr>
              <w:t>000t，则注塑时</w:t>
            </w:r>
            <w:r>
              <w:rPr>
                <w:rFonts w:hint="eastAsia"/>
                <w:color w:val="auto"/>
                <w:sz w:val="24"/>
                <w:highlight w:val="none"/>
              </w:rPr>
              <w:t>氨</w:t>
            </w:r>
            <w:r>
              <w:rPr>
                <w:color w:val="auto"/>
                <w:sz w:val="24"/>
                <w:highlight w:val="none"/>
              </w:rPr>
              <w:t>的产生系数为0.0</w:t>
            </w:r>
            <w:r>
              <w:rPr>
                <w:rFonts w:hint="eastAsia"/>
                <w:color w:val="auto"/>
                <w:sz w:val="24"/>
                <w:highlight w:val="none"/>
                <w:lang w:val="en-US" w:eastAsia="zh-CN"/>
              </w:rPr>
              <w:t>33</w:t>
            </w:r>
            <w:r>
              <w:rPr>
                <w:color w:val="auto"/>
                <w:sz w:val="24"/>
                <w:highlight w:val="none"/>
              </w:rPr>
              <w:t>kg/t</w:t>
            </w:r>
            <w:r>
              <w:rPr>
                <w:rFonts w:hint="eastAsia"/>
                <w:color w:val="auto"/>
                <w:sz w:val="24"/>
                <w:highlight w:val="none"/>
                <w:lang w:val="en-US" w:eastAsia="zh-CN"/>
              </w:rPr>
              <w:t>PA</w:t>
            </w:r>
            <w:r>
              <w:rPr>
                <w:color w:val="auto"/>
                <w:sz w:val="24"/>
                <w:highlight w:val="none"/>
              </w:rPr>
              <w:t>。本项目</w:t>
            </w:r>
            <w:r>
              <w:rPr>
                <w:rFonts w:hint="eastAsia"/>
                <w:color w:val="auto"/>
                <w:sz w:val="24"/>
                <w:highlight w:val="none"/>
              </w:rPr>
              <w:t>PA</w:t>
            </w:r>
            <w:r>
              <w:rPr>
                <w:color w:val="auto"/>
                <w:sz w:val="24"/>
                <w:highlight w:val="none"/>
              </w:rPr>
              <w:t>年使用量为</w:t>
            </w:r>
            <w:r>
              <w:rPr>
                <w:rFonts w:hint="eastAsia"/>
                <w:color w:val="auto"/>
                <w:sz w:val="24"/>
                <w:highlight w:val="none"/>
              </w:rPr>
              <w:t>20t</w:t>
            </w:r>
            <w:r>
              <w:rPr>
                <w:color w:val="auto"/>
                <w:sz w:val="24"/>
                <w:highlight w:val="none"/>
              </w:rPr>
              <w:t>，则</w:t>
            </w:r>
            <w:r>
              <w:rPr>
                <w:rFonts w:hint="eastAsia"/>
                <w:color w:val="auto"/>
                <w:sz w:val="24"/>
                <w:highlight w:val="none"/>
              </w:rPr>
              <w:t>氨</w:t>
            </w:r>
            <w:r>
              <w:rPr>
                <w:color w:val="auto"/>
                <w:sz w:val="24"/>
                <w:highlight w:val="none"/>
              </w:rPr>
              <w:t>产生量为0.00</w:t>
            </w:r>
            <w:r>
              <w:rPr>
                <w:rFonts w:hint="eastAsia"/>
                <w:color w:val="auto"/>
                <w:sz w:val="24"/>
                <w:highlight w:val="none"/>
                <w:lang w:val="en-US" w:eastAsia="zh-CN"/>
              </w:rPr>
              <w:t>066</w:t>
            </w:r>
            <w:r>
              <w:rPr>
                <w:color w:val="auto"/>
                <w:sz w:val="24"/>
                <w:highlight w:val="none"/>
              </w:rPr>
              <w:t>t/a</w:t>
            </w:r>
            <w:r>
              <w:rPr>
                <w:rFonts w:hint="eastAsia"/>
                <w:color w:val="auto"/>
                <w:sz w:val="24"/>
                <w:highlight w:val="none"/>
                <w:lang w:eastAsia="zh-CN"/>
              </w:rPr>
              <w:t>，</w:t>
            </w:r>
            <w:r>
              <w:rPr>
                <w:rFonts w:hint="eastAsia"/>
                <w:color w:val="auto"/>
                <w:sz w:val="24"/>
                <w:highlight w:val="none"/>
                <w:lang w:val="en-US" w:eastAsia="zh-CN"/>
              </w:rPr>
              <w:t>产生量极少，不再进行进一步分析</w:t>
            </w:r>
            <w:r>
              <w:rPr>
                <w:color w:val="auto"/>
                <w:sz w:val="24"/>
                <w:highlight w:val="none"/>
              </w:rPr>
              <w:t>。</w:t>
            </w:r>
          </w:p>
          <w:p w14:paraId="04E250A7">
            <w:pPr>
              <w:pStyle w:val="2"/>
              <w:keepNext w:val="0"/>
              <w:keepLines w:val="0"/>
              <w:pageBreakBefore w:val="0"/>
              <w:widowControl w:val="0"/>
              <w:kinsoku/>
              <w:wordWrap/>
              <w:overflowPunct/>
              <w:topLinePunct w:val="0"/>
              <w:autoSpaceDE/>
              <w:autoSpaceDN/>
              <w:bidi w:val="0"/>
              <w:adjustRightInd/>
              <w:snapToGrid/>
              <w:spacing w:after="0"/>
              <w:textAlignment w:val="auto"/>
              <w:rPr>
                <w:rFonts w:hint="default"/>
                <w:color w:val="auto"/>
                <w:sz w:val="24"/>
                <w:szCs w:val="24"/>
                <w:lang w:val="en-US" w:eastAsia="zh-CN"/>
              </w:rPr>
            </w:pPr>
            <w:r>
              <w:rPr>
                <w:rFonts w:hint="eastAsia"/>
                <w:color w:val="auto"/>
                <w:sz w:val="24"/>
                <w:szCs w:val="24"/>
                <w:lang w:val="en-US" w:eastAsia="zh-CN"/>
              </w:rPr>
              <w:t>（2）打印废气G1-3、G2-3</w:t>
            </w:r>
          </w:p>
          <w:p w14:paraId="28DC8B02">
            <w:pPr>
              <w:pStyle w:val="2"/>
              <w:keepNext w:val="0"/>
              <w:keepLines w:val="0"/>
              <w:pageBreakBefore w:val="0"/>
              <w:widowControl w:val="0"/>
              <w:kinsoku/>
              <w:wordWrap/>
              <w:overflowPunct/>
              <w:topLinePunct w:val="0"/>
              <w:autoSpaceDE/>
              <w:autoSpaceDN/>
              <w:bidi w:val="0"/>
              <w:adjustRightInd/>
              <w:snapToGrid/>
              <w:spacing w:after="0"/>
              <w:textAlignment w:val="auto"/>
              <w:rPr>
                <w:rFonts w:hint="default" w:ascii="Times New Roman" w:hAnsi="Times New Roman" w:eastAsia="宋体" w:cs="Times New Roman"/>
                <w:color w:val="auto"/>
                <w:sz w:val="24"/>
                <w:szCs w:val="24"/>
                <w:lang w:val="en-US" w:eastAsia="zh-CN"/>
              </w:rPr>
            </w:pPr>
            <w:r>
              <w:rPr>
                <w:rFonts w:hint="eastAsia"/>
                <w:color w:val="auto"/>
                <w:sz w:val="24"/>
                <w:szCs w:val="24"/>
                <w:lang w:val="en-US" w:eastAsia="zh-CN"/>
              </w:rPr>
              <w:t>本项目打印使用UV油墨，根据VOCs检测报告，水性油墨中的挥发性有机物检测含量为2.8%，UV油墨的用量为0.1t/a，</w:t>
            </w:r>
            <w:r>
              <w:rPr>
                <w:rFonts w:hint="eastAsia"/>
                <w:color w:val="auto"/>
                <w:sz w:val="24"/>
                <w:szCs w:val="24"/>
              </w:rPr>
              <w:t>该工序污染物废气产生源强核算详见表4.2-</w:t>
            </w:r>
            <w:r>
              <w:rPr>
                <w:rFonts w:hint="eastAsia"/>
                <w:color w:val="auto"/>
                <w:sz w:val="24"/>
                <w:szCs w:val="24"/>
                <w:lang w:val="en-US" w:eastAsia="zh-CN"/>
              </w:rPr>
              <w:t>2</w:t>
            </w:r>
            <w:r>
              <w:rPr>
                <w:rFonts w:hint="eastAsia"/>
                <w:color w:val="auto"/>
                <w:sz w:val="24"/>
                <w:szCs w:val="24"/>
              </w:rPr>
              <w:t>。废气由集气罩收集，收集效率以90%计，收集后经一套二级活性炭吸附装置处理后通过20m高排气筒DA001排放。</w:t>
            </w:r>
            <w:bookmarkEnd w:id="8"/>
          </w:p>
          <w:p w14:paraId="188B5329">
            <w:pPr>
              <w:keepNext w:val="0"/>
              <w:keepLines w:val="0"/>
              <w:pageBreakBefore w:val="0"/>
              <w:widowControl w:val="0"/>
              <w:kinsoku/>
              <w:wordWrap/>
              <w:overflowPunct/>
              <w:topLinePunct w:val="0"/>
              <w:autoSpaceDE/>
              <w:autoSpaceDN/>
              <w:bidi w:val="0"/>
              <w:adjustRightInd/>
              <w:snapToGrid/>
              <w:ind w:firstLine="422"/>
              <w:textAlignment w:val="auto"/>
              <w:rPr>
                <w:b/>
                <w:snapToGrid w:val="0"/>
                <w:color w:val="auto"/>
                <w:kern w:val="0"/>
                <w:sz w:val="24"/>
                <w:szCs w:val="24"/>
              </w:rPr>
            </w:pPr>
            <w:r>
              <w:rPr>
                <w:rFonts w:hint="eastAsia"/>
                <w:b/>
                <w:snapToGrid w:val="0"/>
                <w:color w:val="auto"/>
                <w:kern w:val="0"/>
                <w:sz w:val="24"/>
                <w:szCs w:val="24"/>
                <w:lang w:val="en-US" w:eastAsia="zh-CN"/>
              </w:rPr>
              <w:t>2、</w:t>
            </w:r>
            <w:r>
              <w:rPr>
                <w:b/>
                <w:snapToGrid w:val="0"/>
                <w:color w:val="auto"/>
                <w:kern w:val="0"/>
                <w:sz w:val="24"/>
                <w:szCs w:val="24"/>
              </w:rPr>
              <w:t>无组织废气</w:t>
            </w:r>
          </w:p>
          <w:p w14:paraId="4FE0843B">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snapToGrid w:val="0"/>
                <w:color w:val="auto"/>
                <w:kern w:val="0"/>
                <w:sz w:val="24"/>
                <w:szCs w:val="24"/>
                <w:lang w:val="en-US" w:eastAsia="zh-CN"/>
              </w:rPr>
            </w:pPr>
            <w:bookmarkStart w:id="9" w:name="_Hlk130048530"/>
            <w:r>
              <w:rPr>
                <w:rFonts w:hint="eastAsia"/>
                <w:snapToGrid w:val="0"/>
                <w:color w:val="auto"/>
                <w:kern w:val="0"/>
                <w:sz w:val="24"/>
                <w:szCs w:val="24"/>
                <w:lang w:eastAsia="zh-CN"/>
              </w:rPr>
              <w:t>（</w:t>
            </w:r>
            <w:r>
              <w:rPr>
                <w:rFonts w:hint="eastAsia"/>
                <w:snapToGrid w:val="0"/>
                <w:color w:val="auto"/>
                <w:kern w:val="0"/>
                <w:sz w:val="24"/>
                <w:szCs w:val="24"/>
                <w:lang w:val="en-US" w:eastAsia="zh-CN"/>
              </w:rPr>
              <w:t>1</w:t>
            </w:r>
            <w:r>
              <w:rPr>
                <w:rFonts w:hint="eastAsia"/>
                <w:snapToGrid w:val="0"/>
                <w:color w:val="auto"/>
                <w:kern w:val="0"/>
                <w:sz w:val="24"/>
                <w:szCs w:val="24"/>
                <w:lang w:eastAsia="zh-CN"/>
              </w:rPr>
              <w:t>）</w:t>
            </w:r>
            <w:r>
              <w:rPr>
                <w:rFonts w:hint="eastAsia"/>
                <w:snapToGrid w:val="0"/>
                <w:color w:val="auto"/>
                <w:kern w:val="0"/>
                <w:sz w:val="24"/>
                <w:szCs w:val="24"/>
                <w:lang w:val="en-US" w:eastAsia="zh-CN"/>
              </w:rPr>
              <w:t>未捕集的注塑废气</w:t>
            </w:r>
            <w:r>
              <w:rPr>
                <w:rFonts w:hint="eastAsia"/>
                <w:b w:val="0"/>
                <w:bCs/>
                <w:color w:val="auto"/>
                <w:sz w:val="24"/>
                <w:szCs w:val="24"/>
                <w:lang w:val="en-US" w:eastAsia="zh-CN"/>
              </w:rPr>
              <w:t>G1-1</w:t>
            </w:r>
            <w:r>
              <w:rPr>
                <w:rFonts w:hint="eastAsia"/>
                <w:snapToGrid w:val="0"/>
                <w:color w:val="auto"/>
                <w:kern w:val="0"/>
                <w:sz w:val="24"/>
                <w:szCs w:val="24"/>
                <w:lang w:eastAsia="zh-CN"/>
              </w:rPr>
              <w:t>′</w:t>
            </w:r>
            <w:r>
              <w:rPr>
                <w:rFonts w:hint="eastAsia"/>
                <w:b w:val="0"/>
                <w:bCs/>
                <w:color w:val="auto"/>
                <w:sz w:val="24"/>
                <w:szCs w:val="24"/>
                <w:lang w:val="en-US" w:eastAsia="zh-CN"/>
              </w:rPr>
              <w:t>、G2-1</w:t>
            </w:r>
            <w:r>
              <w:rPr>
                <w:rFonts w:hint="eastAsia"/>
                <w:snapToGrid w:val="0"/>
                <w:color w:val="auto"/>
                <w:kern w:val="0"/>
                <w:sz w:val="24"/>
                <w:szCs w:val="24"/>
                <w:lang w:eastAsia="zh-CN"/>
              </w:rPr>
              <w:t>′</w:t>
            </w:r>
          </w:p>
          <w:p w14:paraId="0E7ACD38">
            <w:pPr>
              <w:pStyle w:val="2"/>
              <w:keepNext w:val="0"/>
              <w:keepLines w:val="0"/>
              <w:pageBreakBefore w:val="0"/>
              <w:widowControl w:val="0"/>
              <w:kinsoku/>
              <w:wordWrap/>
              <w:overflowPunct/>
              <w:topLinePunct w:val="0"/>
              <w:autoSpaceDE/>
              <w:autoSpaceDN/>
              <w:bidi w:val="0"/>
              <w:adjustRightInd/>
              <w:snapToGrid/>
              <w:spacing w:after="0"/>
              <w:textAlignment w:val="auto"/>
              <w:rPr>
                <w:rFonts w:hint="default"/>
                <w:color w:val="auto"/>
                <w:sz w:val="24"/>
                <w:szCs w:val="24"/>
                <w:lang w:val="en-US" w:eastAsia="zh-CN"/>
              </w:rPr>
            </w:pPr>
            <w:r>
              <w:rPr>
                <w:rFonts w:hint="eastAsia"/>
                <w:snapToGrid w:val="0"/>
                <w:color w:val="auto"/>
                <w:kern w:val="0"/>
                <w:sz w:val="24"/>
                <w:szCs w:val="24"/>
                <w:lang w:val="en-US" w:eastAsia="zh-CN"/>
              </w:rPr>
              <w:t>本项目注塑工序未捕集到的有机废气在车间无组织排放，注塑</w:t>
            </w:r>
            <w:r>
              <w:rPr>
                <w:rFonts w:hint="eastAsia"/>
                <w:snapToGrid w:val="0"/>
                <w:color w:val="auto"/>
                <w:kern w:val="0"/>
                <w:sz w:val="24"/>
                <w:szCs w:val="24"/>
                <w:lang w:eastAsia="zh-CN"/>
              </w:rPr>
              <w:t>废气中</w:t>
            </w:r>
            <w:r>
              <w:rPr>
                <w:rFonts w:hint="eastAsia"/>
                <w:snapToGrid w:val="0"/>
                <w:color w:val="auto"/>
                <w:kern w:val="0"/>
                <w:sz w:val="24"/>
                <w:szCs w:val="24"/>
                <w:lang w:val="en-US" w:eastAsia="zh-CN"/>
              </w:rPr>
              <w:t>非甲烷总烃</w:t>
            </w:r>
            <w:r>
              <w:rPr>
                <w:rFonts w:hint="eastAsia"/>
                <w:snapToGrid w:val="0"/>
                <w:color w:val="auto"/>
                <w:kern w:val="0"/>
                <w:sz w:val="24"/>
                <w:szCs w:val="24"/>
                <w:lang w:eastAsia="zh-CN"/>
              </w:rPr>
              <w:t>的</w:t>
            </w:r>
            <w:r>
              <w:rPr>
                <w:rFonts w:hint="eastAsia"/>
                <w:snapToGrid w:val="0"/>
                <w:color w:val="auto"/>
                <w:kern w:val="0"/>
                <w:sz w:val="24"/>
                <w:szCs w:val="24"/>
                <w:lang w:val="en-US" w:eastAsia="zh-CN"/>
              </w:rPr>
              <w:t>无</w:t>
            </w:r>
            <w:r>
              <w:rPr>
                <w:rFonts w:hint="eastAsia"/>
                <w:snapToGrid w:val="0"/>
                <w:color w:val="auto"/>
                <w:kern w:val="0"/>
                <w:sz w:val="24"/>
                <w:szCs w:val="24"/>
                <w:lang w:eastAsia="zh-CN"/>
              </w:rPr>
              <w:t>组织排放量为</w:t>
            </w:r>
            <w:r>
              <w:rPr>
                <w:rFonts w:hint="eastAsia"/>
                <w:snapToGrid w:val="0"/>
                <w:color w:val="auto"/>
                <w:kern w:val="0"/>
                <w:sz w:val="24"/>
                <w:szCs w:val="24"/>
                <w:lang w:val="en-US" w:eastAsia="zh-CN"/>
              </w:rPr>
              <w:t>0.0391</w:t>
            </w:r>
            <w:r>
              <w:rPr>
                <w:rFonts w:hint="eastAsia"/>
                <w:snapToGrid w:val="0"/>
                <w:color w:val="auto"/>
                <w:kern w:val="0"/>
                <w:sz w:val="24"/>
                <w:szCs w:val="24"/>
                <w:lang w:eastAsia="zh-CN"/>
              </w:rPr>
              <w:t>t/a。</w:t>
            </w:r>
          </w:p>
          <w:p w14:paraId="11DCDE5A">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snapToGrid w:val="0"/>
                <w:color w:val="auto"/>
                <w:kern w:val="0"/>
                <w:sz w:val="24"/>
                <w:szCs w:val="24"/>
                <w:lang w:val="en-US" w:eastAsia="zh-CN"/>
              </w:rPr>
            </w:pPr>
            <w:r>
              <w:rPr>
                <w:rFonts w:hint="eastAsia"/>
                <w:snapToGrid w:val="0"/>
                <w:color w:val="auto"/>
                <w:kern w:val="0"/>
                <w:sz w:val="24"/>
                <w:szCs w:val="24"/>
                <w:lang w:eastAsia="zh-CN"/>
              </w:rPr>
              <w:t>（</w:t>
            </w:r>
            <w:r>
              <w:rPr>
                <w:rFonts w:hint="eastAsia"/>
                <w:snapToGrid w:val="0"/>
                <w:color w:val="auto"/>
                <w:kern w:val="0"/>
                <w:sz w:val="24"/>
                <w:szCs w:val="24"/>
                <w:lang w:val="en-US" w:eastAsia="zh-CN"/>
              </w:rPr>
              <w:t>2</w:t>
            </w:r>
            <w:r>
              <w:rPr>
                <w:rFonts w:hint="eastAsia"/>
                <w:snapToGrid w:val="0"/>
                <w:color w:val="auto"/>
                <w:kern w:val="0"/>
                <w:sz w:val="24"/>
                <w:szCs w:val="24"/>
                <w:lang w:eastAsia="zh-CN"/>
              </w:rPr>
              <w:t>）</w:t>
            </w:r>
            <w:r>
              <w:rPr>
                <w:rFonts w:hint="eastAsia"/>
                <w:snapToGrid w:val="0"/>
                <w:color w:val="auto"/>
                <w:kern w:val="0"/>
                <w:sz w:val="24"/>
                <w:szCs w:val="24"/>
                <w:lang w:val="en-US" w:eastAsia="zh-CN"/>
              </w:rPr>
              <w:t>未捕集的</w:t>
            </w:r>
            <w:r>
              <w:rPr>
                <w:rFonts w:hint="eastAsia"/>
                <w:color w:val="auto"/>
                <w:sz w:val="24"/>
                <w:szCs w:val="24"/>
                <w:lang w:val="en-US" w:eastAsia="zh-CN"/>
              </w:rPr>
              <w:t>打印废气G1-3</w:t>
            </w:r>
            <w:r>
              <w:rPr>
                <w:rFonts w:hint="eastAsia"/>
                <w:snapToGrid w:val="0"/>
                <w:color w:val="auto"/>
                <w:kern w:val="0"/>
                <w:sz w:val="24"/>
                <w:szCs w:val="24"/>
                <w:lang w:eastAsia="zh-CN"/>
              </w:rPr>
              <w:t>′</w:t>
            </w:r>
            <w:r>
              <w:rPr>
                <w:rFonts w:hint="eastAsia"/>
                <w:color w:val="auto"/>
                <w:sz w:val="24"/>
                <w:szCs w:val="24"/>
                <w:lang w:val="en-US" w:eastAsia="zh-CN"/>
              </w:rPr>
              <w:t>、G2-3</w:t>
            </w:r>
            <w:r>
              <w:rPr>
                <w:rFonts w:hint="eastAsia"/>
                <w:snapToGrid w:val="0"/>
                <w:color w:val="auto"/>
                <w:kern w:val="0"/>
                <w:sz w:val="24"/>
                <w:szCs w:val="24"/>
                <w:lang w:eastAsia="zh-CN"/>
              </w:rPr>
              <w:t>′</w:t>
            </w:r>
          </w:p>
          <w:p w14:paraId="6585B90F">
            <w:pPr>
              <w:keepNext w:val="0"/>
              <w:keepLines w:val="0"/>
              <w:pageBreakBefore w:val="0"/>
              <w:widowControl w:val="0"/>
              <w:kinsoku/>
              <w:wordWrap/>
              <w:overflowPunct/>
              <w:topLinePunct w:val="0"/>
              <w:autoSpaceDE/>
              <w:autoSpaceDN/>
              <w:bidi w:val="0"/>
              <w:adjustRightInd/>
              <w:snapToGrid/>
              <w:ind w:firstLine="420"/>
              <w:textAlignment w:val="auto"/>
              <w:rPr>
                <w:rFonts w:hint="eastAsia"/>
                <w:snapToGrid w:val="0"/>
                <w:color w:val="auto"/>
                <w:kern w:val="0"/>
                <w:sz w:val="24"/>
                <w:szCs w:val="24"/>
                <w:lang w:eastAsia="zh-CN"/>
              </w:rPr>
            </w:pPr>
            <w:r>
              <w:rPr>
                <w:rFonts w:hint="eastAsia"/>
                <w:snapToGrid w:val="0"/>
                <w:color w:val="auto"/>
                <w:kern w:val="0"/>
                <w:sz w:val="24"/>
                <w:szCs w:val="24"/>
                <w:lang w:val="en-US" w:eastAsia="zh-CN"/>
              </w:rPr>
              <w:t>本项目打印工序未捕集到的有机废气在车间无组织排放，打印</w:t>
            </w:r>
            <w:r>
              <w:rPr>
                <w:rFonts w:hint="eastAsia"/>
                <w:snapToGrid w:val="0"/>
                <w:color w:val="auto"/>
                <w:kern w:val="0"/>
                <w:sz w:val="24"/>
                <w:szCs w:val="24"/>
                <w:lang w:eastAsia="zh-CN"/>
              </w:rPr>
              <w:t>废气中</w:t>
            </w:r>
            <w:r>
              <w:rPr>
                <w:rFonts w:hint="eastAsia"/>
                <w:snapToGrid w:val="0"/>
                <w:color w:val="auto"/>
                <w:kern w:val="0"/>
                <w:sz w:val="24"/>
                <w:szCs w:val="24"/>
                <w:lang w:val="en-US" w:eastAsia="zh-CN"/>
              </w:rPr>
              <w:t>非甲烷总烃</w:t>
            </w:r>
            <w:r>
              <w:rPr>
                <w:rFonts w:hint="eastAsia"/>
                <w:snapToGrid w:val="0"/>
                <w:color w:val="auto"/>
                <w:kern w:val="0"/>
                <w:sz w:val="24"/>
                <w:szCs w:val="24"/>
                <w:lang w:eastAsia="zh-CN"/>
              </w:rPr>
              <w:t>的</w:t>
            </w:r>
            <w:r>
              <w:rPr>
                <w:rFonts w:hint="eastAsia"/>
                <w:snapToGrid w:val="0"/>
                <w:color w:val="auto"/>
                <w:kern w:val="0"/>
                <w:sz w:val="24"/>
                <w:szCs w:val="24"/>
                <w:lang w:val="en-US" w:eastAsia="zh-CN"/>
              </w:rPr>
              <w:t>无</w:t>
            </w:r>
            <w:r>
              <w:rPr>
                <w:rFonts w:hint="eastAsia"/>
                <w:snapToGrid w:val="0"/>
                <w:color w:val="auto"/>
                <w:kern w:val="0"/>
                <w:sz w:val="24"/>
                <w:szCs w:val="24"/>
                <w:lang w:eastAsia="zh-CN"/>
              </w:rPr>
              <w:t>组织排放量为</w:t>
            </w:r>
            <w:r>
              <w:rPr>
                <w:rFonts w:hint="eastAsia"/>
                <w:snapToGrid w:val="0"/>
                <w:color w:val="auto"/>
                <w:kern w:val="0"/>
                <w:sz w:val="24"/>
                <w:szCs w:val="24"/>
                <w:lang w:val="en-US" w:eastAsia="zh-CN"/>
              </w:rPr>
              <w:t>0.0003</w:t>
            </w:r>
            <w:r>
              <w:rPr>
                <w:rFonts w:hint="eastAsia"/>
                <w:snapToGrid w:val="0"/>
                <w:color w:val="auto"/>
                <w:kern w:val="0"/>
                <w:sz w:val="24"/>
                <w:szCs w:val="24"/>
                <w:lang w:eastAsia="zh-CN"/>
              </w:rPr>
              <w:t>t/a。</w:t>
            </w:r>
          </w:p>
          <w:p w14:paraId="5D9F3EAF">
            <w:pPr>
              <w:keepNext w:val="0"/>
              <w:keepLines w:val="0"/>
              <w:pageBreakBefore w:val="0"/>
              <w:widowControl w:val="0"/>
              <w:kinsoku/>
              <w:wordWrap/>
              <w:overflowPunct/>
              <w:topLinePunct w:val="0"/>
              <w:autoSpaceDE/>
              <w:autoSpaceDN/>
              <w:bidi w:val="0"/>
              <w:adjustRightInd/>
              <w:snapToGrid/>
              <w:ind w:firstLine="420"/>
              <w:textAlignment w:val="auto"/>
              <w:rPr>
                <w:rFonts w:hint="default"/>
                <w:snapToGrid w:val="0"/>
                <w:color w:val="auto"/>
                <w:kern w:val="0"/>
                <w:sz w:val="24"/>
                <w:szCs w:val="24"/>
                <w:lang w:val="en-US" w:eastAsia="zh-CN"/>
              </w:rPr>
            </w:pPr>
            <w:r>
              <w:rPr>
                <w:rFonts w:hint="eastAsia"/>
                <w:snapToGrid w:val="0"/>
                <w:color w:val="auto"/>
                <w:kern w:val="0"/>
                <w:sz w:val="24"/>
                <w:szCs w:val="24"/>
                <w:lang w:val="en-US" w:eastAsia="zh-CN"/>
              </w:rPr>
              <w:t>（3）破碎粉尘G1-2、G2-2</w:t>
            </w:r>
          </w:p>
          <w:p w14:paraId="376B75D6">
            <w:pPr>
              <w:keepNext w:val="0"/>
              <w:keepLines w:val="0"/>
              <w:pageBreakBefore w:val="0"/>
              <w:widowControl w:val="0"/>
              <w:kinsoku/>
              <w:wordWrap/>
              <w:overflowPunct/>
              <w:topLinePunct w:val="0"/>
              <w:autoSpaceDE/>
              <w:autoSpaceDN/>
              <w:bidi w:val="0"/>
              <w:adjustRightInd/>
              <w:snapToGrid/>
              <w:ind w:firstLine="420"/>
              <w:textAlignment w:val="auto"/>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生产过程中</w:t>
            </w:r>
            <w:r>
              <w:rPr>
                <w:rFonts w:hint="eastAsia" w:cs="Times New Roman"/>
                <w:b w:val="0"/>
                <w:bCs w:val="0"/>
                <w:color w:val="auto"/>
                <w:sz w:val="24"/>
                <w:szCs w:val="24"/>
                <w:highlight w:val="none"/>
                <w:lang w:val="en-US" w:eastAsia="zh-CN"/>
              </w:rPr>
              <w:t>注塑后检测</w:t>
            </w:r>
            <w:r>
              <w:rPr>
                <w:rFonts w:hint="default" w:ascii="Times New Roman" w:hAnsi="Times New Roman" w:eastAsia="宋体" w:cs="Times New Roman"/>
                <w:b w:val="0"/>
                <w:bCs w:val="0"/>
                <w:color w:val="auto"/>
                <w:sz w:val="24"/>
                <w:szCs w:val="24"/>
                <w:highlight w:val="none"/>
                <w:lang w:val="en-US" w:eastAsia="zh-CN"/>
              </w:rPr>
              <w:t>产生的不合格品经收集后通过破碎机进行粉碎，粉碎后回用，破碎过程中会产生少量的破碎粉尘，根据《逸散性工业粉尘控制技术》一书中，其无控制的逸散尘排放因子0.25kg/t，本项目</w:t>
            </w:r>
            <w:r>
              <w:rPr>
                <w:rFonts w:hint="eastAsia" w:cs="Times New Roman"/>
                <w:b w:val="0"/>
                <w:bCs w:val="0"/>
                <w:color w:val="auto"/>
                <w:sz w:val="24"/>
                <w:szCs w:val="24"/>
                <w:highlight w:val="none"/>
                <w:lang w:val="en-US" w:eastAsia="zh-CN"/>
              </w:rPr>
              <w:t>注塑后检验</w:t>
            </w:r>
            <w:r>
              <w:rPr>
                <w:rFonts w:hint="default" w:ascii="Times New Roman" w:hAnsi="Times New Roman" w:eastAsia="宋体" w:cs="Times New Roman"/>
                <w:b w:val="0"/>
                <w:bCs w:val="0"/>
                <w:color w:val="auto"/>
                <w:sz w:val="24"/>
                <w:szCs w:val="24"/>
                <w:highlight w:val="none"/>
                <w:lang w:val="en-US" w:eastAsia="zh-CN"/>
              </w:rPr>
              <w:t>产生的不合格品</w:t>
            </w:r>
            <w:r>
              <w:rPr>
                <w:rFonts w:hint="eastAsia" w:cs="Times New Roman"/>
                <w:b w:val="0"/>
                <w:bCs w:val="0"/>
                <w:color w:val="auto"/>
                <w:sz w:val="24"/>
                <w:szCs w:val="24"/>
                <w:highlight w:val="none"/>
                <w:lang w:val="en-US" w:eastAsia="zh-CN"/>
              </w:rPr>
              <w:t>2t/a</w:t>
            </w:r>
            <w:r>
              <w:rPr>
                <w:rFonts w:hint="default" w:ascii="Times New Roman" w:hAnsi="Times New Roman" w:eastAsia="宋体" w:cs="Times New Roman"/>
                <w:b w:val="0"/>
                <w:bCs w:val="0"/>
                <w:color w:val="auto"/>
                <w:sz w:val="24"/>
                <w:szCs w:val="24"/>
                <w:highlight w:val="none"/>
                <w:lang w:val="en-US" w:eastAsia="zh-CN"/>
              </w:rPr>
              <w:t>，因此颗粒物产生量为0.00</w:t>
            </w:r>
            <w:r>
              <w:rPr>
                <w:rFonts w:hint="eastAsia" w:cs="Times New Roman"/>
                <w:b w:val="0"/>
                <w:bCs w:val="0"/>
                <w:color w:val="auto"/>
                <w:sz w:val="24"/>
                <w:szCs w:val="24"/>
                <w:highlight w:val="none"/>
                <w:lang w:val="en-US" w:eastAsia="zh-CN"/>
              </w:rPr>
              <w:t>05</w:t>
            </w:r>
            <w:r>
              <w:rPr>
                <w:rFonts w:hint="default" w:ascii="Times New Roman" w:hAnsi="Times New Roman" w:eastAsia="宋体" w:cs="Times New Roman"/>
                <w:b w:val="0"/>
                <w:bCs w:val="0"/>
                <w:color w:val="auto"/>
                <w:sz w:val="24"/>
                <w:szCs w:val="24"/>
                <w:highlight w:val="none"/>
                <w:lang w:val="en-US" w:eastAsia="zh-CN"/>
              </w:rPr>
              <w:t>t/a，产生量极少</w:t>
            </w:r>
            <w:r>
              <w:rPr>
                <w:rFonts w:hint="eastAsia"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破碎机配备有盖，仅在加工完成后才会开启，因此基本不会产生废气。此外</w:t>
            </w:r>
            <w:r>
              <w:rPr>
                <w:rFonts w:hint="eastAsia"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破碎机本身自带布袋除尘器，使得破碎工段排放的粉尘量极少。</w:t>
            </w:r>
            <w:r>
              <w:rPr>
                <w:rFonts w:hint="eastAsia" w:cs="Times New Roman"/>
                <w:b w:val="0"/>
                <w:bCs w:val="0"/>
                <w:color w:val="auto"/>
                <w:sz w:val="24"/>
                <w:szCs w:val="24"/>
                <w:highlight w:val="none"/>
                <w:lang w:val="en-US" w:eastAsia="zh-CN"/>
              </w:rPr>
              <w:t>因此</w:t>
            </w:r>
            <w:r>
              <w:rPr>
                <w:rFonts w:hint="eastAsia" w:ascii="Times New Roman" w:hAnsi="Times New Roman" w:eastAsia="宋体" w:cs="Times New Roman"/>
                <w:b w:val="0"/>
                <w:bCs w:val="0"/>
                <w:color w:val="auto"/>
                <w:sz w:val="24"/>
                <w:szCs w:val="24"/>
                <w:highlight w:val="none"/>
                <w:lang w:val="en-US" w:eastAsia="zh-CN"/>
              </w:rPr>
              <w:t>本项目不再对破碎粉尘进行</w:t>
            </w:r>
            <w:r>
              <w:rPr>
                <w:rFonts w:hint="eastAsia" w:cs="Times New Roman"/>
                <w:b w:val="0"/>
                <w:bCs w:val="0"/>
                <w:color w:val="auto"/>
                <w:sz w:val="24"/>
                <w:szCs w:val="24"/>
                <w:highlight w:val="none"/>
                <w:lang w:val="en-US" w:eastAsia="zh-CN"/>
              </w:rPr>
              <w:t>进一步</w:t>
            </w:r>
            <w:r>
              <w:rPr>
                <w:rFonts w:hint="eastAsia" w:ascii="Times New Roman" w:hAnsi="Times New Roman" w:eastAsia="宋体" w:cs="Times New Roman"/>
                <w:b w:val="0"/>
                <w:bCs w:val="0"/>
                <w:color w:val="auto"/>
                <w:sz w:val="24"/>
                <w:szCs w:val="24"/>
                <w:highlight w:val="none"/>
                <w:lang w:val="en-US" w:eastAsia="zh-CN"/>
              </w:rPr>
              <w:t>分析。</w:t>
            </w:r>
          </w:p>
          <w:p w14:paraId="192D3ADA">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（4）焊接废气</w:t>
            </w:r>
            <w:bookmarkEnd w:id="9"/>
            <w:r>
              <w:rPr>
                <w:rFonts w:hint="eastAsia" w:cs="Times New Roman"/>
                <w:b w:val="0"/>
                <w:bCs w:val="0"/>
                <w:color w:val="auto"/>
                <w:sz w:val="24"/>
                <w:szCs w:val="24"/>
                <w:highlight w:val="none"/>
                <w:lang w:val="en-US" w:eastAsia="zh-CN"/>
              </w:rPr>
              <w:t xml:space="preserve">G1-4 </w:t>
            </w:r>
          </w:p>
          <w:p w14:paraId="441250B9">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color w:val="auto"/>
                <w:sz w:val="24"/>
                <w:szCs w:val="24"/>
                <w:lang w:val="en-US" w:eastAsia="zh-CN"/>
              </w:rPr>
            </w:pPr>
            <w:r>
              <w:rPr>
                <w:rFonts w:hint="eastAsia" w:ascii="Times New Roman" w:hAnsi="Times New Roman" w:eastAsia="宋体" w:cs="Times New Roman"/>
                <w:b w:val="0"/>
                <w:bCs w:val="0"/>
                <w:color w:val="auto"/>
                <w:kern w:val="2"/>
                <w:sz w:val="24"/>
                <w:szCs w:val="24"/>
                <w:highlight w:val="none"/>
                <w:lang w:val="en-US" w:eastAsia="zh-CN" w:bidi="ar-SA"/>
              </w:rPr>
              <w:t>本项目超声波焊接过程产生的有机废气污染源强参考《空气污染物排放和控制手册》（美国国家环保</w:t>
            </w:r>
            <w:r>
              <w:rPr>
                <w:rFonts w:hint="eastAsia" w:cs="Times New Roman"/>
                <w:b w:val="0"/>
                <w:bCs w:val="0"/>
                <w:color w:val="auto"/>
                <w:sz w:val="24"/>
                <w:szCs w:val="24"/>
                <w:highlight w:val="none"/>
                <w:lang w:val="en-US" w:eastAsia="zh-CN"/>
              </w:rPr>
              <w:t>局）中推荐的塑料加工废气排放系数，有机废气排放系数为0.35kg/t原料。根据企业资料，本项目塑料粒子用量为145t/a，工件需要焊接的边缘部分约占总用量的0.5%，即超声波焊接部分用量为0.725t/a，则非甲烷总烃产生量为0.00025t/a，</w:t>
            </w:r>
            <w:r>
              <w:rPr>
                <w:rFonts w:hint="eastAsia"/>
                <w:color w:val="auto"/>
                <w:sz w:val="24"/>
                <w:szCs w:val="24"/>
                <w:lang w:val="en-US" w:eastAsia="zh-CN"/>
              </w:rPr>
              <w:t>产生量极少</w:t>
            </w:r>
            <w:r>
              <w:rPr>
                <w:rFonts w:hint="eastAsia"/>
                <w:color w:val="auto"/>
                <w:sz w:val="24"/>
                <w:highlight w:val="none"/>
                <w:lang w:val="en-US" w:eastAsia="zh-CN"/>
              </w:rPr>
              <w:t>，不再进行进一步分析</w:t>
            </w:r>
            <w:r>
              <w:rPr>
                <w:rFonts w:hint="eastAsia"/>
                <w:color w:val="auto"/>
                <w:sz w:val="24"/>
                <w:szCs w:val="24"/>
                <w:lang w:val="en-US" w:eastAsia="zh-CN"/>
              </w:rPr>
              <w:t>。</w:t>
            </w:r>
          </w:p>
          <w:p w14:paraId="5AB9FE9F">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color w:val="auto"/>
                <w:sz w:val="24"/>
                <w:szCs w:val="24"/>
                <w:lang w:val="en-US" w:eastAsia="zh-CN"/>
              </w:rPr>
            </w:pPr>
            <w:r>
              <w:rPr>
                <w:rFonts w:hint="eastAsia"/>
                <w:color w:val="auto"/>
                <w:sz w:val="24"/>
                <w:szCs w:val="24"/>
                <w:lang w:val="en-US" w:eastAsia="zh-CN"/>
              </w:rPr>
              <w:t>（5）打磨粉尘G3-1</w:t>
            </w:r>
          </w:p>
          <w:p w14:paraId="08890FF7">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color w:val="auto"/>
                <w:sz w:val="24"/>
                <w:szCs w:val="24"/>
                <w:lang w:val="en-US" w:eastAsia="zh-CN"/>
              </w:rPr>
            </w:pPr>
            <w:r>
              <w:rPr>
                <w:rFonts w:hint="eastAsia"/>
                <w:color w:val="auto"/>
                <w:sz w:val="24"/>
                <w:szCs w:val="24"/>
                <w:lang w:val="en-US" w:eastAsia="zh-CN"/>
              </w:rPr>
              <w:t>本项目使用磨床或砂轮机对模具钢进行打磨，</w:t>
            </w:r>
            <w:r>
              <w:rPr>
                <w:rFonts w:hint="eastAsia" w:cs="Times New Roman"/>
                <w:b w:val="0"/>
                <w:bCs w:val="0"/>
                <w:color w:val="auto"/>
                <w:sz w:val="24"/>
                <w:szCs w:val="24"/>
                <w:highlight w:val="none"/>
                <w:lang w:val="en-US" w:eastAsia="zh-CN"/>
              </w:rPr>
              <w:t>本项目模具钢用量为3t/a，需要打磨的量占用量的10%</w:t>
            </w:r>
            <w:r>
              <w:rPr>
                <w:rFonts w:hint="eastAsia"/>
                <w:color w:val="auto"/>
                <w:sz w:val="24"/>
                <w:szCs w:val="24"/>
                <w:lang w:val="en-US" w:eastAsia="zh-CN"/>
              </w:rPr>
              <w:t>。根据《排放源统计调查产排污核算方法和系数手册》（公告2021年第24号）中33-37，431-434机械行业系数手册，“抛丸、喷砂、打磨、滚筒”颗粒物产污系数为2.19千克/吨-原料，则打磨颗粒物产生量为0.0006t/a，产生量极少。且</w:t>
            </w:r>
            <w:r>
              <w:rPr>
                <w:rFonts w:hint="eastAsia" w:ascii="Times New Roman" w:hAnsi="Times New Roman" w:eastAsia="宋体" w:cs="Times New Roman"/>
                <w:color w:val="auto"/>
                <w:sz w:val="24"/>
                <w:szCs w:val="24"/>
                <w:highlight w:val="none"/>
                <w:lang w:val="en-US" w:eastAsia="zh-CN"/>
              </w:rPr>
              <w:t>打磨粉尘</w:t>
            </w:r>
            <w:r>
              <w:rPr>
                <w:rFonts w:hint="default" w:ascii="Times New Roman" w:hAnsi="Times New Roman" w:eastAsia="宋体" w:cs="Times New Roman"/>
                <w:color w:val="auto"/>
                <w:sz w:val="24"/>
                <w:szCs w:val="24"/>
                <w:highlight w:val="none"/>
                <w:lang w:val="en-US" w:eastAsia="zh-CN"/>
              </w:rPr>
              <w:t>通过移动式</w:t>
            </w:r>
            <w:r>
              <w:rPr>
                <w:rFonts w:hint="eastAsia" w:cs="Times New Roman"/>
                <w:color w:val="auto"/>
                <w:sz w:val="24"/>
                <w:szCs w:val="24"/>
                <w:highlight w:val="none"/>
                <w:lang w:val="en-US" w:eastAsia="zh-CN"/>
              </w:rPr>
              <w:t>除尘设备</w:t>
            </w:r>
            <w:r>
              <w:rPr>
                <w:rFonts w:hint="default" w:ascii="Times New Roman" w:hAnsi="Times New Roman" w:eastAsia="宋体" w:cs="Times New Roman"/>
                <w:color w:val="auto"/>
                <w:sz w:val="24"/>
                <w:szCs w:val="24"/>
                <w:highlight w:val="none"/>
                <w:lang w:val="en-US" w:eastAsia="zh-CN"/>
              </w:rPr>
              <w:t>收集处理</w:t>
            </w:r>
            <w:r>
              <w:rPr>
                <w:rFonts w:hint="eastAsia"/>
                <w:snapToGrid w:val="0"/>
                <w:color w:val="auto"/>
                <w:kern w:val="0"/>
                <w:sz w:val="24"/>
                <w:szCs w:val="24"/>
                <w:lang w:val="en-US" w:eastAsia="zh-CN"/>
              </w:rPr>
              <w:t>，</w:t>
            </w:r>
            <w:r>
              <w:rPr>
                <w:rFonts w:hint="eastAsia"/>
                <w:color w:val="auto"/>
                <w:sz w:val="24"/>
                <w:szCs w:val="24"/>
                <w:lang w:val="en-US" w:eastAsia="zh-CN"/>
              </w:rPr>
              <w:t>本项目不再进行进一步分析。</w:t>
            </w:r>
          </w:p>
          <w:p w14:paraId="7F8AC933">
            <w:pPr>
              <w:pStyle w:val="2"/>
              <w:keepNext w:val="0"/>
              <w:keepLines w:val="0"/>
              <w:pageBreakBefore w:val="0"/>
              <w:widowControl w:val="0"/>
              <w:numPr>
                <w:ilvl w:val="-1"/>
                <w:numId w:val="0"/>
              </w:numPr>
              <w:kinsoku/>
              <w:wordWrap/>
              <w:overflowPunct/>
              <w:topLinePunct w:val="0"/>
              <w:autoSpaceDE/>
              <w:autoSpaceDN/>
              <w:bidi w:val="0"/>
              <w:adjustRightInd/>
              <w:snapToGrid/>
              <w:spacing w:after="0"/>
              <w:ind w:firstLine="480" w:firstLineChars="200"/>
              <w:textAlignment w:val="auto"/>
              <w:rPr>
                <w:rFonts w:hint="eastAsia"/>
                <w:color w:val="auto"/>
                <w:sz w:val="24"/>
                <w:szCs w:val="24"/>
                <w:lang w:val="en-US" w:eastAsia="zh-CN"/>
              </w:rPr>
            </w:pPr>
            <w:r>
              <w:rPr>
                <w:rFonts w:hint="eastAsia"/>
                <w:color w:val="auto"/>
                <w:sz w:val="24"/>
                <w:szCs w:val="24"/>
                <w:lang w:val="en-US" w:eastAsia="zh-CN"/>
              </w:rPr>
              <w:t>（6）电火花废气G3-2</w:t>
            </w:r>
          </w:p>
          <w:p w14:paraId="56E5E1AB">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default" w:eastAsia="宋体"/>
                <w:color w:val="auto"/>
                <w:sz w:val="24"/>
                <w:szCs w:val="24"/>
                <w:lang w:val="en-US" w:eastAsia="zh-CN"/>
              </w:rPr>
            </w:pPr>
            <w:r>
              <w:rPr>
                <w:rFonts w:hint="eastAsia"/>
                <w:color w:val="auto"/>
                <w:sz w:val="24"/>
                <w:szCs w:val="24"/>
              </w:rPr>
              <w:t>电火花在设备中密闭进行，将加工产生的废气完全封闭在内部空间，</w:t>
            </w:r>
            <w:r>
              <w:rPr>
                <w:rFonts w:hint="eastAsia"/>
                <w:color w:val="auto"/>
                <w:sz w:val="24"/>
                <w:szCs w:val="24"/>
                <w:highlight w:val="none"/>
              </w:rPr>
              <w:t>生产过程中</w:t>
            </w:r>
            <w:r>
              <w:rPr>
                <w:rFonts w:hint="eastAsia"/>
                <w:color w:val="auto"/>
                <w:sz w:val="24"/>
                <w:szCs w:val="24"/>
                <w:highlight w:val="none"/>
                <w:lang w:val="en-US" w:eastAsia="zh-CN"/>
              </w:rPr>
              <w:t>几乎</w:t>
            </w:r>
            <w:r>
              <w:rPr>
                <w:rFonts w:hint="eastAsia"/>
                <w:color w:val="auto"/>
                <w:sz w:val="24"/>
                <w:szCs w:val="24"/>
                <w:highlight w:val="none"/>
              </w:rPr>
              <w:t>不会</w:t>
            </w:r>
            <w:r>
              <w:rPr>
                <w:rFonts w:hint="eastAsia"/>
                <w:color w:val="auto"/>
                <w:sz w:val="24"/>
                <w:szCs w:val="24"/>
                <w:highlight w:val="none"/>
                <w:lang w:val="en-US" w:eastAsia="zh-CN"/>
              </w:rPr>
              <w:t>挥发</w:t>
            </w:r>
            <w:r>
              <w:rPr>
                <w:rFonts w:hint="eastAsia"/>
                <w:color w:val="auto"/>
                <w:sz w:val="24"/>
                <w:szCs w:val="24"/>
                <w:highlight w:val="none"/>
              </w:rPr>
              <w:t>到车间</w:t>
            </w:r>
            <w:r>
              <w:rPr>
                <w:rFonts w:hint="eastAsia"/>
                <w:color w:val="auto"/>
                <w:sz w:val="24"/>
                <w:szCs w:val="24"/>
                <w:highlight w:val="none"/>
                <w:lang w:val="en-US" w:eastAsia="zh-CN"/>
              </w:rPr>
              <w:t>空气</w:t>
            </w:r>
            <w:r>
              <w:rPr>
                <w:rFonts w:hint="eastAsia"/>
                <w:color w:val="auto"/>
                <w:sz w:val="24"/>
                <w:szCs w:val="24"/>
                <w:highlight w:val="none"/>
              </w:rPr>
              <w:t>中</w:t>
            </w:r>
            <w:r>
              <w:rPr>
                <w:rFonts w:hint="eastAsia"/>
                <w:color w:val="auto"/>
                <w:sz w:val="24"/>
                <w:szCs w:val="24"/>
                <w:highlight w:val="none"/>
                <w:lang w:eastAsia="zh-CN"/>
              </w:rPr>
              <w:t>，</w:t>
            </w:r>
            <w:r>
              <w:rPr>
                <w:rFonts w:hint="eastAsia"/>
                <w:color w:val="auto"/>
                <w:sz w:val="24"/>
                <w:szCs w:val="24"/>
              </w:rPr>
              <w:t>结束后才会打开设备，</w:t>
            </w:r>
            <w:r>
              <w:rPr>
                <w:rFonts w:hint="eastAsia"/>
                <w:color w:val="auto"/>
                <w:sz w:val="24"/>
                <w:szCs w:val="24"/>
                <w:lang w:val="en-US" w:eastAsia="zh-CN"/>
              </w:rPr>
              <w:t>模</w:t>
            </w:r>
            <w:r>
              <w:rPr>
                <w:rFonts w:hint="eastAsia" w:cs="Times New Roman"/>
                <w:b w:val="0"/>
                <w:bCs w:val="0"/>
                <w:color w:val="auto"/>
                <w:sz w:val="24"/>
                <w:szCs w:val="24"/>
                <w:highlight w:val="none"/>
                <w:lang w:val="en-US" w:eastAsia="zh-CN"/>
              </w:rPr>
              <w:t>具取出后</w:t>
            </w:r>
            <w:r>
              <w:rPr>
                <w:rFonts w:hint="eastAsia"/>
                <w:color w:val="auto"/>
                <w:sz w:val="24"/>
                <w:szCs w:val="24"/>
                <w:highlight w:val="none"/>
              </w:rPr>
              <w:t>其表面会附着一层煤油</w:t>
            </w:r>
            <w:r>
              <w:rPr>
                <w:rFonts w:hint="eastAsia"/>
                <w:color w:val="auto"/>
                <w:sz w:val="24"/>
                <w:szCs w:val="24"/>
              </w:rPr>
              <w:t>，需用抹布擦拭。本项目</w:t>
            </w:r>
            <w:r>
              <w:rPr>
                <w:rFonts w:hint="eastAsia"/>
                <w:color w:val="auto"/>
                <w:sz w:val="24"/>
                <w:szCs w:val="24"/>
                <w:lang w:val="en-US" w:eastAsia="zh-CN"/>
              </w:rPr>
              <w:t>煤</w:t>
            </w:r>
            <w:r>
              <w:rPr>
                <w:rFonts w:hint="eastAsia"/>
                <w:color w:val="auto"/>
                <w:sz w:val="24"/>
                <w:szCs w:val="24"/>
              </w:rPr>
              <w:t>油用量为</w:t>
            </w:r>
            <w:r>
              <w:rPr>
                <w:rFonts w:hint="eastAsia"/>
                <w:color w:val="auto"/>
                <w:sz w:val="24"/>
                <w:szCs w:val="24"/>
                <w:lang w:val="en-US" w:eastAsia="zh-CN"/>
              </w:rPr>
              <w:t>0.05t/a，约17%（0.0085t）随工件带走，约82%（0.041t）更换成为废煤油，因此约1%挥发形成有机废气（以非甲烷总烃计），</w:t>
            </w:r>
            <w:r>
              <w:rPr>
                <w:rFonts w:hint="eastAsia" w:ascii="Times New Roman" w:hAnsi="Times New Roman" w:eastAsia="宋体" w:cs="Times New Roman"/>
                <w:b w:val="0"/>
                <w:bCs w:val="0"/>
                <w:color w:val="auto"/>
                <w:sz w:val="24"/>
                <w:szCs w:val="24"/>
                <w:highlight w:val="none"/>
                <w:lang w:val="en-US" w:eastAsia="zh-CN"/>
              </w:rPr>
              <w:t>非甲烷总烃的</w:t>
            </w:r>
            <w:r>
              <w:rPr>
                <w:rFonts w:hint="default" w:ascii="Times New Roman" w:hAnsi="Times New Roman" w:eastAsia="宋体" w:cs="Times New Roman"/>
                <w:b w:val="0"/>
                <w:bCs w:val="0"/>
                <w:color w:val="auto"/>
                <w:sz w:val="24"/>
                <w:szCs w:val="24"/>
                <w:highlight w:val="none"/>
                <w:lang w:val="en-US" w:eastAsia="zh-CN"/>
              </w:rPr>
              <w:t>产生量为0.00</w:t>
            </w:r>
            <w:r>
              <w:rPr>
                <w:rFonts w:hint="eastAsia" w:cs="Times New Roman"/>
                <w:b w:val="0"/>
                <w:bCs w:val="0"/>
                <w:color w:val="auto"/>
                <w:sz w:val="24"/>
                <w:szCs w:val="24"/>
                <w:highlight w:val="none"/>
                <w:lang w:val="en-US" w:eastAsia="zh-CN"/>
              </w:rPr>
              <w:t>05</w:t>
            </w:r>
            <w:r>
              <w:rPr>
                <w:rFonts w:hint="default" w:ascii="Times New Roman" w:hAnsi="Times New Roman" w:eastAsia="宋体" w:cs="Times New Roman"/>
                <w:b w:val="0"/>
                <w:bCs w:val="0"/>
                <w:color w:val="auto"/>
                <w:sz w:val="24"/>
                <w:szCs w:val="24"/>
                <w:highlight w:val="none"/>
                <w:lang w:val="en-US" w:eastAsia="zh-CN"/>
              </w:rPr>
              <w:t>t/a，产生量极少</w:t>
            </w:r>
            <w:r>
              <w:rPr>
                <w:rFonts w:hint="eastAsia"/>
                <w:color w:val="auto"/>
                <w:sz w:val="24"/>
                <w:highlight w:val="none"/>
                <w:lang w:val="en-US" w:eastAsia="zh-CN"/>
              </w:rPr>
              <w:t>，不再进行进一步分析</w:t>
            </w:r>
            <w:r>
              <w:rPr>
                <w:rFonts w:hint="eastAsia" w:cs="Times New Roman"/>
                <w:b w:val="0"/>
                <w:bCs w:val="0"/>
                <w:color w:val="auto"/>
                <w:sz w:val="24"/>
                <w:szCs w:val="24"/>
                <w:highlight w:val="none"/>
                <w:lang w:val="en-US" w:eastAsia="zh-CN"/>
              </w:rPr>
              <w:t>。</w:t>
            </w:r>
          </w:p>
          <w:p w14:paraId="1A2EB3A1">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color w:val="auto"/>
                <w:sz w:val="24"/>
                <w:szCs w:val="24"/>
                <w:lang w:val="en-US" w:eastAsia="zh-CN"/>
              </w:rPr>
            </w:pPr>
            <w:r>
              <w:rPr>
                <w:rFonts w:hint="eastAsia"/>
                <w:color w:val="auto"/>
                <w:sz w:val="24"/>
                <w:szCs w:val="24"/>
                <w:lang w:val="en-US" w:eastAsia="zh-CN"/>
              </w:rPr>
              <w:t>（7）危废仓库废气G5-1</w:t>
            </w:r>
          </w:p>
          <w:p w14:paraId="4007D237">
            <w:pPr>
              <w:pStyle w:val="2"/>
              <w:keepNext w:val="0"/>
              <w:keepLines w:val="0"/>
              <w:pageBreakBefore w:val="0"/>
              <w:widowControl w:val="0"/>
              <w:kinsoku/>
              <w:wordWrap/>
              <w:overflowPunct/>
              <w:topLinePunct w:val="0"/>
              <w:autoSpaceDE/>
              <w:autoSpaceDN/>
              <w:bidi w:val="0"/>
              <w:adjustRightInd/>
              <w:snapToGrid/>
              <w:spacing w:after="0"/>
              <w:textAlignment w:val="auto"/>
              <w:rPr>
                <w:rFonts w:hint="default" w:eastAsia="宋体"/>
                <w:snapToGrid w:val="0"/>
                <w:color w:val="auto"/>
                <w:kern w:val="0"/>
                <w:sz w:val="24"/>
                <w:szCs w:val="24"/>
                <w:lang w:val="en-US" w:eastAsia="zh-CN"/>
              </w:rPr>
            </w:pPr>
            <w:r>
              <w:rPr>
                <w:rFonts w:hint="default" w:ascii="Times New Roman" w:hAnsi="Times New Roman" w:eastAsia="宋体" w:cs="Times New Roman"/>
                <w:color w:val="auto"/>
                <w:kern w:val="2"/>
                <w:sz w:val="24"/>
                <w:szCs w:val="24"/>
                <w:highlight w:val="none"/>
                <w:shd w:val="clear" w:color="auto" w:fill="auto"/>
                <w:lang w:val="en-US" w:eastAsia="zh-CN" w:bidi="ar-SA"/>
              </w:rPr>
              <w:t>根据《危险废物贮存污染控制标准》（GB 18597-2023）中6.2.3要求：贮存易产生粉尘、VOCs、酸雾、有毒有害大气污染物和刺激性气味气体的危险废物贮存库，应设置气体收集装置和气体净化设施；气体净化设施的排气筒高度应符合 GB 16297 要求。全厂危险废物为</w:t>
            </w:r>
            <w:r>
              <w:rPr>
                <w:rFonts w:hint="eastAsia"/>
                <w:color w:val="auto"/>
                <w:sz w:val="24"/>
                <w:szCs w:val="24"/>
                <w:highlight w:val="none"/>
                <w:lang w:val="en-US" w:eastAsia="zh-CN"/>
              </w:rPr>
              <w:t>废墨盒、清洗废液、废切削液、废滤芯、废煤油、废抹布、废包装桶、废抹布手套、废活性炭</w:t>
            </w:r>
            <w:r>
              <w:rPr>
                <w:rFonts w:hint="eastAsia"/>
                <w:color w:val="auto"/>
                <w:sz w:val="24"/>
                <w:szCs w:val="24"/>
                <w:highlight w:val="none"/>
              </w:rPr>
              <w:t>、废擦拭布、抛光废液</w:t>
            </w:r>
            <w:r>
              <w:rPr>
                <w:rFonts w:hint="default" w:ascii="Times New Roman" w:hAnsi="Times New Roman" w:eastAsia="宋体" w:cs="Times New Roman"/>
                <w:b w:val="0"/>
                <w:bCs/>
                <w:color w:val="auto"/>
                <w:sz w:val="24"/>
                <w:highlight w:val="none"/>
                <w:shd w:val="clear" w:color="auto" w:fill="auto"/>
                <w:lang w:val="en-US" w:eastAsia="zh-CN"/>
              </w:rPr>
              <w:t>等</w:t>
            </w:r>
            <w:r>
              <w:rPr>
                <w:rFonts w:hint="default" w:ascii="Times New Roman" w:hAnsi="Times New Roman" w:eastAsia="宋体" w:cs="Times New Roman"/>
                <w:color w:val="auto"/>
                <w:kern w:val="2"/>
                <w:sz w:val="24"/>
                <w:szCs w:val="24"/>
                <w:highlight w:val="none"/>
                <w:shd w:val="clear" w:color="auto" w:fill="auto"/>
                <w:lang w:val="en-US" w:eastAsia="zh-CN" w:bidi="ar-SA"/>
              </w:rPr>
              <w:t>，贮存过程中会产生少量的有机废气，本项目固态危险废物产生后由现场立即用塑料缠绕膜进行缠绕打包称量，并采用桶/袋密封后贮存至危废仓库内，液态危废装入桶内密封后贮存至危废仓库内，因此贮存过程中有机废气产生量极少，不定量分析。</w:t>
            </w:r>
            <w:r>
              <w:rPr>
                <w:rFonts w:hint="default" w:cs="Times New Roman"/>
                <w:color w:val="auto"/>
                <w:kern w:val="2"/>
                <w:sz w:val="24"/>
                <w:szCs w:val="24"/>
                <w:highlight w:val="none"/>
                <w:shd w:val="clear" w:color="auto" w:fill="auto"/>
                <w:lang w:val="en-US" w:eastAsia="zh-CN" w:bidi="ar-SA"/>
              </w:rPr>
              <w:t>危废仓库产生的少量废气进行无组织排放。</w:t>
            </w:r>
          </w:p>
        </w:tc>
      </w:tr>
    </w:tbl>
    <w:p w14:paraId="2DEE9D04">
      <w:pPr>
        <w:ind w:firstLine="420"/>
        <w:rPr>
          <w:color w:val="auto"/>
        </w:rPr>
        <w:sectPr>
          <w:pgSz w:w="11907" w:h="16840"/>
          <w:pgMar w:top="1440" w:right="1080" w:bottom="1440" w:left="1080" w:header="964" w:footer="964" w:gutter="0"/>
          <w:pgBorders w:offsetFrom="page">
            <w:top w:val="none" w:sz="0" w:space="0"/>
            <w:left w:val="none" w:sz="0" w:space="0"/>
            <w:bottom w:val="none" w:sz="0" w:space="0"/>
            <w:right w:val="none" w:sz="0" w:space="0"/>
          </w:pgBorders>
          <w:cols w:space="720" w:num="1"/>
          <w:docGrid w:type="linesAndChars" w:linePitch="312" w:charSpace="0"/>
        </w:sectPr>
      </w:pPr>
    </w:p>
    <w:tbl>
      <w:tblPr>
        <w:tblStyle w:val="17"/>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63"/>
        <w:gridCol w:w="13084"/>
      </w:tblGrid>
      <w:tr w14:paraId="7457CE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39" w:hRule="atLeast"/>
          <w:jc w:val="center"/>
        </w:trPr>
        <w:tc>
          <w:tcPr>
            <w:tcW w:w="135" w:type="pct"/>
            <w:noWrap w:val="0"/>
            <w:vAlign w:val="center"/>
          </w:tcPr>
          <w:p w14:paraId="143639E5">
            <w:pPr>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b/>
                <w:bCs/>
                <w:color w:val="auto"/>
                <w:sz w:val="24"/>
                <w:szCs w:val="24"/>
              </w:rPr>
              <w:t>运营期环境影响和保护措施</w:t>
            </w:r>
          </w:p>
        </w:tc>
        <w:tc>
          <w:tcPr>
            <w:tcW w:w="4864" w:type="pct"/>
            <w:noWrap w:val="0"/>
            <w:vAlign w:val="top"/>
          </w:tcPr>
          <w:p w14:paraId="1E93F771">
            <w:pPr>
              <w:ind w:firstLine="420"/>
              <w:rPr>
                <w:color w:val="auto"/>
                <w:sz w:val="24"/>
                <w:szCs w:val="24"/>
              </w:rPr>
            </w:pPr>
            <w:r>
              <w:rPr>
                <w:color w:val="auto"/>
                <w:sz w:val="24"/>
                <w:szCs w:val="24"/>
              </w:rPr>
              <w:t>本项目废气产生源强核算情况详见表4</w:t>
            </w:r>
            <w:r>
              <w:rPr>
                <w:rFonts w:hint="eastAsia"/>
                <w:color w:val="auto"/>
                <w:sz w:val="24"/>
                <w:szCs w:val="24"/>
                <w:lang w:val="en-US" w:eastAsia="zh-CN"/>
              </w:rPr>
              <w:t>.2</w:t>
            </w:r>
            <w:r>
              <w:rPr>
                <w:color w:val="auto"/>
                <w:sz w:val="24"/>
                <w:szCs w:val="24"/>
              </w:rPr>
              <w:t>-</w:t>
            </w:r>
            <w:r>
              <w:rPr>
                <w:rFonts w:hint="eastAsia"/>
                <w:color w:val="auto"/>
                <w:sz w:val="24"/>
                <w:szCs w:val="24"/>
                <w:lang w:val="en-US" w:eastAsia="zh-CN"/>
              </w:rPr>
              <w:t>2</w:t>
            </w:r>
            <w:r>
              <w:rPr>
                <w:color w:val="auto"/>
                <w:sz w:val="24"/>
                <w:szCs w:val="24"/>
              </w:rPr>
              <w:t>。</w:t>
            </w:r>
          </w:p>
          <w:p w14:paraId="36059E9A">
            <w:pPr>
              <w:ind w:firstLine="0" w:firstLineChars="0"/>
              <w:jc w:val="center"/>
              <w:rPr>
                <w:b/>
                <w:color w:val="auto"/>
                <w:kern w:val="0"/>
              </w:rPr>
            </w:pPr>
            <w:r>
              <w:rPr>
                <w:b/>
                <w:color w:val="auto"/>
                <w:kern w:val="0"/>
              </w:rPr>
              <w:t>表4</w:t>
            </w:r>
            <w:r>
              <w:rPr>
                <w:rFonts w:hint="eastAsia"/>
                <w:b/>
                <w:color w:val="auto"/>
                <w:kern w:val="0"/>
                <w:lang w:val="en-US" w:eastAsia="zh-CN"/>
              </w:rPr>
              <w:t>.2</w:t>
            </w:r>
            <w:r>
              <w:rPr>
                <w:b/>
                <w:color w:val="auto"/>
                <w:kern w:val="0"/>
              </w:rPr>
              <w:t>-</w:t>
            </w:r>
            <w:r>
              <w:rPr>
                <w:rFonts w:hint="eastAsia"/>
                <w:b/>
                <w:color w:val="auto"/>
                <w:kern w:val="0"/>
                <w:lang w:val="en-US" w:eastAsia="zh-CN"/>
              </w:rPr>
              <w:t>2</w:t>
            </w:r>
            <w:r>
              <w:rPr>
                <w:b/>
                <w:color w:val="auto"/>
                <w:kern w:val="0"/>
              </w:rPr>
              <w:t xml:space="preserve">   本项目废气产生源强核算表</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54"/>
              <w:gridCol w:w="1591"/>
              <w:gridCol w:w="1221"/>
              <w:gridCol w:w="700"/>
              <w:gridCol w:w="1375"/>
              <w:gridCol w:w="1302"/>
              <w:gridCol w:w="907"/>
              <w:gridCol w:w="1235"/>
              <w:gridCol w:w="687"/>
              <w:gridCol w:w="1171"/>
              <w:gridCol w:w="1231"/>
            </w:tblGrid>
            <w:tr w14:paraId="09B3453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354" w:type="dxa"/>
                  <w:noWrap w:val="0"/>
                  <w:vAlign w:val="center"/>
                </w:tcPr>
                <w:p w14:paraId="164C1F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bookmarkStart w:id="10" w:name="_Hlk130048567"/>
                  <w:r>
                    <w:rPr>
                      <w:rFonts w:hint="default" w:ascii="Times New Roman" w:hAnsi="Times New Roman" w:eastAsia="宋体" w:cs="Times New Roman"/>
                      <w:b/>
                      <w:bCs/>
                      <w:color w:val="auto"/>
                      <w:sz w:val="21"/>
                      <w:szCs w:val="21"/>
                    </w:rPr>
                    <w:t>排放源</w:t>
                  </w:r>
                </w:p>
              </w:tc>
              <w:tc>
                <w:tcPr>
                  <w:tcW w:w="1591" w:type="dxa"/>
                  <w:noWrap w:val="0"/>
                  <w:vAlign w:val="center"/>
                </w:tcPr>
                <w:p w14:paraId="007E5E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1221" w:type="dxa"/>
                  <w:noWrap w:val="0"/>
                  <w:vAlign w:val="center"/>
                </w:tcPr>
                <w:p w14:paraId="26A47A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产品或原料名称</w:t>
                  </w:r>
                </w:p>
              </w:tc>
              <w:tc>
                <w:tcPr>
                  <w:tcW w:w="700" w:type="dxa"/>
                  <w:noWrap w:val="0"/>
                  <w:vAlign w:val="center"/>
                </w:tcPr>
                <w:p w14:paraId="06C5DB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核算方法</w:t>
                  </w:r>
                </w:p>
              </w:tc>
              <w:tc>
                <w:tcPr>
                  <w:tcW w:w="1375" w:type="dxa"/>
                  <w:noWrap w:val="0"/>
                  <w:vAlign w:val="center"/>
                </w:tcPr>
                <w:p w14:paraId="3B4DAE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产品或</w:t>
                  </w:r>
                  <w:r>
                    <w:rPr>
                      <w:rFonts w:hint="default" w:ascii="Times New Roman" w:hAnsi="Times New Roman" w:eastAsia="宋体" w:cs="Times New Roman"/>
                      <w:b/>
                      <w:bCs/>
                      <w:color w:val="auto"/>
                      <w:sz w:val="21"/>
                      <w:szCs w:val="21"/>
                    </w:rPr>
                    <w:t>原料使用量</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t/a</w:t>
                  </w:r>
                  <w:r>
                    <w:rPr>
                      <w:rFonts w:hint="eastAsia" w:ascii="Times New Roman" w:hAnsi="Times New Roman" w:eastAsia="宋体" w:cs="Times New Roman"/>
                      <w:b/>
                      <w:bCs/>
                      <w:color w:val="auto"/>
                      <w:sz w:val="21"/>
                      <w:szCs w:val="21"/>
                      <w:lang w:eastAsia="zh-CN"/>
                    </w:rPr>
                    <w:t>）</w:t>
                  </w:r>
                </w:p>
              </w:tc>
              <w:tc>
                <w:tcPr>
                  <w:tcW w:w="1302" w:type="dxa"/>
                  <w:noWrap w:val="0"/>
                  <w:vAlign w:val="center"/>
                </w:tcPr>
                <w:p w14:paraId="16193C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rPr>
                  </w:pPr>
                  <w:r>
                    <w:rPr>
                      <w:rFonts w:hint="eastAsia" w:cs="Times New Roman"/>
                      <w:b/>
                      <w:bCs/>
                      <w:color w:val="auto"/>
                      <w:sz w:val="21"/>
                      <w:szCs w:val="21"/>
                      <w:lang w:val="en-US" w:eastAsia="zh-CN"/>
                    </w:rPr>
                    <w:t>产污系数</w:t>
                  </w:r>
                </w:p>
              </w:tc>
              <w:tc>
                <w:tcPr>
                  <w:tcW w:w="907" w:type="dxa"/>
                  <w:noWrap w:val="0"/>
                  <w:vAlign w:val="center"/>
                </w:tcPr>
                <w:p w14:paraId="03E8AE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t/a</w:t>
                  </w:r>
                  <w:r>
                    <w:rPr>
                      <w:rFonts w:hint="eastAsia" w:ascii="Times New Roman" w:hAnsi="Times New Roman" w:eastAsia="宋体" w:cs="Times New Roman"/>
                      <w:b/>
                      <w:bCs/>
                      <w:color w:val="auto"/>
                      <w:sz w:val="21"/>
                      <w:szCs w:val="21"/>
                      <w:lang w:eastAsia="zh-CN"/>
                    </w:rPr>
                    <w:t>）</w:t>
                  </w:r>
                </w:p>
              </w:tc>
              <w:tc>
                <w:tcPr>
                  <w:tcW w:w="1235" w:type="dxa"/>
                  <w:noWrap w:val="0"/>
                  <w:vAlign w:val="center"/>
                </w:tcPr>
                <w:p w14:paraId="28C2B4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收集方式</w:t>
                  </w:r>
                </w:p>
              </w:tc>
              <w:tc>
                <w:tcPr>
                  <w:tcW w:w="687" w:type="dxa"/>
                  <w:noWrap w:val="0"/>
                  <w:vAlign w:val="center"/>
                </w:tcPr>
                <w:p w14:paraId="126C81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收集效率</w:t>
                  </w:r>
                </w:p>
              </w:tc>
              <w:tc>
                <w:tcPr>
                  <w:tcW w:w="1171" w:type="dxa"/>
                  <w:noWrap w:val="0"/>
                  <w:vAlign w:val="center"/>
                </w:tcPr>
                <w:p w14:paraId="70188A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有组织产生量</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t/a</w:t>
                  </w:r>
                  <w:r>
                    <w:rPr>
                      <w:rFonts w:hint="eastAsia" w:ascii="Times New Roman" w:hAnsi="Times New Roman" w:eastAsia="宋体" w:cs="Times New Roman"/>
                      <w:b/>
                      <w:bCs/>
                      <w:color w:val="auto"/>
                      <w:sz w:val="21"/>
                      <w:szCs w:val="21"/>
                      <w:lang w:eastAsia="zh-CN"/>
                    </w:rPr>
                    <w:t>）</w:t>
                  </w:r>
                </w:p>
              </w:tc>
              <w:tc>
                <w:tcPr>
                  <w:tcW w:w="1231" w:type="dxa"/>
                  <w:noWrap w:val="0"/>
                  <w:vAlign w:val="center"/>
                </w:tcPr>
                <w:p w14:paraId="799085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无组织产生量（t/a）</w:t>
                  </w:r>
                </w:p>
              </w:tc>
            </w:tr>
            <w:tr w14:paraId="2C1A662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840" w:hRule="atLeast"/>
                <w:jc w:val="center"/>
              </w:trPr>
              <w:tc>
                <w:tcPr>
                  <w:tcW w:w="1354" w:type="dxa"/>
                  <w:vMerge w:val="restart"/>
                  <w:noWrap w:val="0"/>
                  <w:vAlign w:val="center"/>
                </w:tcPr>
                <w:p w14:paraId="653414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注塑</w:t>
                  </w:r>
                  <w:r>
                    <w:rPr>
                      <w:rFonts w:hint="eastAsia" w:ascii="Times New Roman" w:hAnsi="Times New Roman" w:eastAsia="宋体" w:cs="Times New Roman"/>
                      <w:color w:val="auto"/>
                      <w:sz w:val="21"/>
                      <w:szCs w:val="21"/>
                      <w:lang w:val="en-US" w:eastAsia="zh-CN"/>
                    </w:rPr>
                    <w:t>废气</w:t>
                  </w:r>
                  <w:r>
                    <w:rPr>
                      <w:rFonts w:hint="default" w:ascii="Times New Roman" w:hAnsi="Times New Roman" w:eastAsia="宋体" w:cs="Times New Roman"/>
                      <w:color w:val="auto"/>
                      <w:sz w:val="21"/>
                      <w:szCs w:val="21"/>
                    </w:rPr>
                    <w:t>G1</w:t>
                  </w:r>
                  <w:r>
                    <w:rPr>
                      <w:rFonts w:hint="eastAsia" w:cs="Times New Roman"/>
                      <w:color w:val="auto"/>
                      <w:sz w:val="21"/>
                      <w:szCs w:val="21"/>
                      <w:lang w:val="en-US" w:eastAsia="zh-CN"/>
                    </w:rPr>
                    <w:t>-1、G2-1</w:t>
                  </w:r>
                </w:p>
              </w:tc>
              <w:tc>
                <w:tcPr>
                  <w:tcW w:w="1591" w:type="dxa"/>
                  <w:noWrap w:val="0"/>
                  <w:vAlign w:val="center"/>
                </w:tcPr>
                <w:p w14:paraId="1B78FA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非甲烷总烃</w:t>
                  </w:r>
                </w:p>
              </w:tc>
              <w:tc>
                <w:tcPr>
                  <w:tcW w:w="1221" w:type="dxa"/>
                  <w:noWrap w:val="0"/>
                  <w:vAlign w:val="center"/>
                </w:tcPr>
                <w:p w14:paraId="7F8E99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ABS</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PC</w:t>
                  </w:r>
                  <w:r>
                    <w:rPr>
                      <w:rFonts w:hint="eastAsia" w:cs="Times New Roman"/>
                      <w:color w:val="auto"/>
                      <w:sz w:val="21"/>
                      <w:szCs w:val="21"/>
                      <w:lang w:val="en-US" w:eastAsia="zh-CN"/>
                    </w:rPr>
                    <w:t>、</w:t>
                  </w:r>
                </w:p>
                <w:p w14:paraId="49243B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PP</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PE</w:t>
                  </w:r>
                  <w:r>
                    <w:rPr>
                      <w:rFonts w:hint="eastAsia" w:cs="Times New Roman"/>
                      <w:color w:val="auto"/>
                      <w:sz w:val="21"/>
                      <w:szCs w:val="21"/>
                      <w:lang w:val="en-US" w:eastAsia="zh-CN"/>
                    </w:rPr>
                    <w:t>、PA</w:t>
                  </w:r>
                </w:p>
              </w:tc>
              <w:tc>
                <w:tcPr>
                  <w:tcW w:w="700" w:type="dxa"/>
                  <w:noWrap w:val="0"/>
                  <w:vAlign w:val="center"/>
                </w:tcPr>
                <w:p w14:paraId="6E12D9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系数法</w:t>
                  </w:r>
                </w:p>
              </w:tc>
              <w:tc>
                <w:tcPr>
                  <w:tcW w:w="1375" w:type="dxa"/>
                  <w:noWrap w:val="0"/>
                  <w:vAlign w:val="center"/>
                </w:tcPr>
                <w:p w14:paraId="5EB26E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145</w:t>
                  </w:r>
                </w:p>
              </w:tc>
              <w:tc>
                <w:tcPr>
                  <w:tcW w:w="1302" w:type="dxa"/>
                  <w:noWrap w:val="0"/>
                  <w:vAlign w:val="center"/>
                </w:tcPr>
                <w:p w14:paraId="00BE40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2.7kg/t产品</w:t>
                  </w:r>
                </w:p>
              </w:tc>
              <w:tc>
                <w:tcPr>
                  <w:tcW w:w="907" w:type="dxa"/>
                  <w:noWrap w:val="0"/>
                  <w:vAlign w:val="center"/>
                </w:tcPr>
                <w:p w14:paraId="593932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3915</w:t>
                  </w:r>
                </w:p>
              </w:tc>
              <w:tc>
                <w:tcPr>
                  <w:tcW w:w="1235" w:type="dxa"/>
                  <w:noWrap w:val="0"/>
                  <w:vAlign w:val="center"/>
                </w:tcPr>
                <w:p w14:paraId="194039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集气罩</w:t>
                  </w:r>
                  <w:r>
                    <w:rPr>
                      <w:rFonts w:hint="default" w:ascii="Times New Roman" w:hAnsi="Times New Roman" w:eastAsia="宋体" w:cs="Times New Roman"/>
                      <w:color w:val="auto"/>
                      <w:sz w:val="21"/>
                      <w:szCs w:val="21"/>
                      <w:lang w:val="en-US" w:eastAsia="zh-CN"/>
                    </w:rPr>
                    <w:t>收集</w:t>
                  </w:r>
                </w:p>
              </w:tc>
              <w:tc>
                <w:tcPr>
                  <w:tcW w:w="687" w:type="dxa"/>
                  <w:noWrap w:val="0"/>
                  <w:vAlign w:val="center"/>
                </w:tcPr>
                <w:p w14:paraId="53F4BB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lang w:val="en-US" w:eastAsia="zh-CN"/>
                    </w:rPr>
                    <w:t>%</w:t>
                  </w:r>
                </w:p>
              </w:tc>
              <w:tc>
                <w:tcPr>
                  <w:tcW w:w="1171" w:type="dxa"/>
                  <w:noWrap w:val="0"/>
                  <w:vAlign w:val="center"/>
                </w:tcPr>
                <w:p w14:paraId="1ABD8A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0.3524</w:t>
                  </w:r>
                </w:p>
              </w:tc>
              <w:tc>
                <w:tcPr>
                  <w:tcW w:w="1231" w:type="dxa"/>
                  <w:noWrap w:val="0"/>
                  <w:vAlign w:val="center"/>
                </w:tcPr>
                <w:p w14:paraId="4F6D23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0.0391</w:t>
                  </w:r>
                </w:p>
              </w:tc>
            </w:tr>
            <w:tr w14:paraId="19266CF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179" w:hRule="atLeast"/>
                <w:jc w:val="center"/>
              </w:trPr>
              <w:tc>
                <w:tcPr>
                  <w:tcW w:w="1354" w:type="dxa"/>
                  <w:vMerge w:val="continue"/>
                  <w:noWrap w:val="0"/>
                  <w:vAlign w:val="center"/>
                </w:tcPr>
                <w:p w14:paraId="5BB73F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p>
              </w:tc>
              <w:tc>
                <w:tcPr>
                  <w:tcW w:w="1591" w:type="dxa"/>
                  <w:noWrap w:val="0"/>
                  <w:vAlign w:val="center"/>
                </w:tcPr>
                <w:p w14:paraId="4F4B8E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苯乙烯、丙烯腈、甲苯、乙苯</w:t>
                  </w:r>
                  <w:r>
                    <w:rPr>
                      <w:rFonts w:hint="eastAsia" w:cs="Times New Roman"/>
                      <w:bCs/>
                      <w:color w:val="auto"/>
                      <w:sz w:val="21"/>
                      <w:szCs w:val="21"/>
                      <w:lang w:val="en-US" w:eastAsia="zh-CN"/>
                    </w:rPr>
                    <w:t>、</w:t>
                  </w:r>
                  <w:r>
                    <w:rPr>
                      <w:rFonts w:hint="eastAsia"/>
                      <w:bCs/>
                      <w:color w:val="auto"/>
                    </w:rPr>
                    <w:t>1,3-丁二烯</w:t>
                  </w:r>
                </w:p>
              </w:tc>
              <w:tc>
                <w:tcPr>
                  <w:tcW w:w="1221" w:type="dxa"/>
                  <w:noWrap w:val="0"/>
                  <w:vAlign w:val="center"/>
                </w:tcPr>
                <w:p w14:paraId="1F856B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ABS</w:t>
                  </w:r>
                </w:p>
              </w:tc>
              <w:tc>
                <w:tcPr>
                  <w:tcW w:w="700" w:type="dxa"/>
                  <w:shd w:val="clear" w:color="auto" w:fill="auto"/>
                  <w:noWrap w:val="0"/>
                  <w:vAlign w:val="center"/>
                </w:tcPr>
                <w:p w14:paraId="7D37D4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定性分析</w:t>
                  </w:r>
                </w:p>
              </w:tc>
              <w:tc>
                <w:tcPr>
                  <w:tcW w:w="1375" w:type="dxa"/>
                  <w:shd w:val="clear" w:color="auto" w:fill="auto"/>
                  <w:noWrap w:val="0"/>
                  <w:vAlign w:val="center"/>
                </w:tcPr>
                <w:p w14:paraId="356C69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302" w:type="dxa"/>
                  <w:shd w:val="clear" w:color="auto" w:fill="auto"/>
                  <w:noWrap w:val="0"/>
                  <w:vAlign w:val="center"/>
                </w:tcPr>
                <w:p w14:paraId="1CFA03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907" w:type="dxa"/>
                  <w:shd w:val="clear" w:color="auto" w:fill="auto"/>
                  <w:noWrap w:val="0"/>
                  <w:vAlign w:val="center"/>
                </w:tcPr>
                <w:p w14:paraId="62BA5E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235" w:type="dxa"/>
                  <w:shd w:val="clear" w:color="auto" w:fill="auto"/>
                  <w:noWrap w:val="0"/>
                  <w:vAlign w:val="center"/>
                </w:tcPr>
                <w:p w14:paraId="4919BA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687" w:type="dxa"/>
                  <w:shd w:val="clear" w:color="auto" w:fill="auto"/>
                  <w:noWrap w:val="0"/>
                  <w:vAlign w:val="center"/>
                </w:tcPr>
                <w:p w14:paraId="6A12D6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171" w:type="dxa"/>
                  <w:shd w:val="clear" w:color="auto" w:fill="auto"/>
                  <w:noWrap w:val="0"/>
                  <w:vAlign w:val="center"/>
                </w:tcPr>
                <w:p w14:paraId="7DFD4B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231" w:type="dxa"/>
                  <w:shd w:val="clear" w:color="auto" w:fill="auto"/>
                  <w:noWrap w:val="0"/>
                  <w:vAlign w:val="center"/>
                </w:tcPr>
                <w:p w14:paraId="3858C4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6C7E487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1354" w:type="dxa"/>
                  <w:vMerge w:val="continue"/>
                  <w:noWrap w:val="0"/>
                  <w:vAlign w:val="center"/>
                </w:tcPr>
                <w:p w14:paraId="723D95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1591" w:type="dxa"/>
                  <w:noWrap w:val="0"/>
                  <w:vAlign w:val="center"/>
                </w:tcPr>
                <w:p w14:paraId="2E048F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kern w:val="2"/>
                      <w:sz w:val="21"/>
                      <w:szCs w:val="21"/>
                      <w:highlight w:val="none"/>
                      <w:lang w:val="en-US" w:eastAsia="zh-CN" w:bidi="ar-SA"/>
                    </w:rPr>
                    <w:t>氯苯类、酚类、二氯甲烷</w:t>
                  </w:r>
                </w:p>
              </w:tc>
              <w:tc>
                <w:tcPr>
                  <w:tcW w:w="1221" w:type="dxa"/>
                  <w:noWrap w:val="0"/>
                  <w:vAlign w:val="center"/>
                </w:tcPr>
                <w:p w14:paraId="4000CE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PC</w:t>
                  </w:r>
                </w:p>
              </w:tc>
              <w:tc>
                <w:tcPr>
                  <w:tcW w:w="700" w:type="dxa"/>
                  <w:shd w:val="clear" w:color="auto" w:fill="auto"/>
                  <w:noWrap w:val="0"/>
                  <w:vAlign w:val="center"/>
                </w:tcPr>
                <w:p w14:paraId="29DE20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定性分析</w:t>
                  </w:r>
                </w:p>
              </w:tc>
              <w:tc>
                <w:tcPr>
                  <w:tcW w:w="1375" w:type="dxa"/>
                  <w:shd w:val="clear" w:color="auto" w:fill="auto"/>
                  <w:noWrap w:val="0"/>
                  <w:vAlign w:val="center"/>
                </w:tcPr>
                <w:p w14:paraId="37C87B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302" w:type="dxa"/>
                  <w:shd w:val="clear" w:color="auto" w:fill="auto"/>
                  <w:noWrap w:val="0"/>
                  <w:vAlign w:val="center"/>
                </w:tcPr>
                <w:p w14:paraId="4A72AA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907" w:type="dxa"/>
                  <w:shd w:val="clear" w:color="auto" w:fill="auto"/>
                  <w:noWrap w:val="0"/>
                  <w:vAlign w:val="center"/>
                </w:tcPr>
                <w:p w14:paraId="58076E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235" w:type="dxa"/>
                  <w:shd w:val="clear" w:color="auto" w:fill="auto"/>
                  <w:noWrap w:val="0"/>
                  <w:vAlign w:val="center"/>
                </w:tcPr>
                <w:p w14:paraId="2AE653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687" w:type="dxa"/>
                  <w:shd w:val="clear" w:color="auto" w:fill="auto"/>
                  <w:noWrap w:val="0"/>
                  <w:vAlign w:val="center"/>
                </w:tcPr>
                <w:p w14:paraId="7D65CA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171" w:type="dxa"/>
                  <w:shd w:val="clear" w:color="auto" w:fill="auto"/>
                  <w:noWrap w:val="0"/>
                  <w:vAlign w:val="center"/>
                </w:tcPr>
                <w:p w14:paraId="36BC8D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231" w:type="dxa"/>
                  <w:shd w:val="clear" w:color="auto" w:fill="auto"/>
                  <w:noWrap w:val="0"/>
                  <w:vAlign w:val="center"/>
                </w:tcPr>
                <w:p w14:paraId="446A02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264BE9D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1354" w:type="dxa"/>
                  <w:vMerge w:val="continue"/>
                  <w:noWrap w:val="0"/>
                  <w:vAlign w:val="center"/>
                </w:tcPr>
                <w:p w14:paraId="45E6C6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1591" w:type="dxa"/>
                  <w:noWrap w:val="0"/>
                  <w:vAlign w:val="center"/>
                </w:tcPr>
                <w:p w14:paraId="7E2B8C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氨</w:t>
                  </w:r>
                </w:p>
              </w:tc>
              <w:tc>
                <w:tcPr>
                  <w:tcW w:w="1221" w:type="dxa"/>
                  <w:noWrap w:val="0"/>
                  <w:vAlign w:val="center"/>
                </w:tcPr>
                <w:p w14:paraId="3842A2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PA</w:t>
                  </w:r>
                </w:p>
              </w:tc>
              <w:tc>
                <w:tcPr>
                  <w:tcW w:w="700" w:type="dxa"/>
                  <w:shd w:val="clear" w:color="auto" w:fill="auto"/>
                  <w:noWrap w:val="0"/>
                  <w:vAlign w:val="center"/>
                </w:tcPr>
                <w:p w14:paraId="443979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定性分析</w:t>
                  </w:r>
                </w:p>
              </w:tc>
              <w:tc>
                <w:tcPr>
                  <w:tcW w:w="1375" w:type="dxa"/>
                  <w:shd w:val="clear" w:color="auto" w:fill="auto"/>
                  <w:noWrap w:val="0"/>
                  <w:vAlign w:val="center"/>
                </w:tcPr>
                <w:p w14:paraId="6EDF1C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302" w:type="dxa"/>
                  <w:shd w:val="clear" w:color="auto" w:fill="auto"/>
                  <w:noWrap w:val="0"/>
                  <w:vAlign w:val="center"/>
                </w:tcPr>
                <w:p w14:paraId="7B6F20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07" w:type="dxa"/>
                  <w:shd w:val="clear" w:color="auto" w:fill="auto"/>
                  <w:noWrap w:val="0"/>
                  <w:vAlign w:val="center"/>
                </w:tcPr>
                <w:p w14:paraId="786D55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235" w:type="dxa"/>
                  <w:shd w:val="clear" w:color="auto" w:fill="auto"/>
                  <w:noWrap w:val="0"/>
                  <w:vAlign w:val="center"/>
                </w:tcPr>
                <w:p w14:paraId="36B1A8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87" w:type="dxa"/>
                  <w:shd w:val="clear" w:color="auto" w:fill="auto"/>
                  <w:noWrap w:val="0"/>
                  <w:vAlign w:val="center"/>
                </w:tcPr>
                <w:p w14:paraId="4C59E4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71" w:type="dxa"/>
                  <w:shd w:val="clear" w:color="auto" w:fill="auto"/>
                  <w:noWrap w:val="0"/>
                  <w:vAlign w:val="center"/>
                </w:tcPr>
                <w:p w14:paraId="7FBAD5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231" w:type="dxa"/>
                  <w:shd w:val="clear" w:color="auto" w:fill="auto"/>
                  <w:noWrap w:val="0"/>
                  <w:vAlign w:val="center"/>
                </w:tcPr>
                <w:p w14:paraId="22D015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424DA09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1354" w:type="dxa"/>
                  <w:noWrap w:val="0"/>
                  <w:vAlign w:val="center"/>
                </w:tcPr>
                <w:p w14:paraId="615A9F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rFonts w:hint="eastAsia"/>
                      <w:color w:val="auto"/>
                    </w:rPr>
                    <w:t>打印废气G1-3、G2-3</w:t>
                  </w:r>
                </w:p>
              </w:tc>
              <w:tc>
                <w:tcPr>
                  <w:tcW w:w="1591" w:type="dxa"/>
                  <w:noWrap w:val="0"/>
                  <w:vAlign w:val="center"/>
                </w:tcPr>
                <w:p w14:paraId="7F1497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非甲烷总烃</w:t>
                  </w:r>
                </w:p>
              </w:tc>
              <w:tc>
                <w:tcPr>
                  <w:tcW w:w="1221" w:type="dxa"/>
                  <w:shd w:val="clear" w:color="auto" w:fill="auto"/>
                  <w:noWrap w:val="0"/>
                  <w:vAlign w:val="center"/>
                </w:tcPr>
                <w:p w14:paraId="7E8B50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UV油墨</w:t>
                  </w:r>
                </w:p>
              </w:tc>
              <w:tc>
                <w:tcPr>
                  <w:tcW w:w="700" w:type="dxa"/>
                  <w:shd w:val="clear" w:color="auto" w:fill="auto"/>
                  <w:noWrap w:val="0"/>
                  <w:vAlign w:val="center"/>
                </w:tcPr>
                <w:p w14:paraId="2C37E1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系数法</w:t>
                  </w:r>
                </w:p>
              </w:tc>
              <w:tc>
                <w:tcPr>
                  <w:tcW w:w="1375" w:type="dxa"/>
                  <w:shd w:val="clear" w:color="auto" w:fill="auto"/>
                  <w:noWrap w:val="0"/>
                  <w:vAlign w:val="center"/>
                </w:tcPr>
                <w:p w14:paraId="7D7D6E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0.1</w:t>
                  </w:r>
                </w:p>
              </w:tc>
              <w:tc>
                <w:tcPr>
                  <w:tcW w:w="1302" w:type="dxa"/>
                  <w:shd w:val="clear" w:color="auto" w:fill="auto"/>
                  <w:noWrap w:val="0"/>
                  <w:vAlign w:val="center"/>
                </w:tcPr>
                <w:p w14:paraId="23EBB1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2.8%</w:t>
                  </w:r>
                </w:p>
              </w:tc>
              <w:tc>
                <w:tcPr>
                  <w:tcW w:w="907" w:type="dxa"/>
                  <w:shd w:val="clear" w:color="auto" w:fill="auto"/>
                  <w:noWrap w:val="0"/>
                  <w:vAlign w:val="center"/>
                </w:tcPr>
                <w:p w14:paraId="57B7F7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0.0028</w:t>
                  </w:r>
                </w:p>
              </w:tc>
              <w:tc>
                <w:tcPr>
                  <w:tcW w:w="1235" w:type="dxa"/>
                  <w:shd w:val="clear" w:color="auto" w:fill="auto"/>
                  <w:noWrap w:val="0"/>
                  <w:vAlign w:val="center"/>
                </w:tcPr>
                <w:p w14:paraId="4F0EDB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集气罩</w:t>
                  </w:r>
                  <w:r>
                    <w:rPr>
                      <w:rFonts w:hint="default" w:ascii="Times New Roman" w:hAnsi="Times New Roman" w:eastAsia="宋体" w:cs="Times New Roman"/>
                      <w:color w:val="auto"/>
                      <w:sz w:val="21"/>
                      <w:szCs w:val="21"/>
                      <w:lang w:val="en-US" w:eastAsia="zh-CN"/>
                    </w:rPr>
                    <w:t>收集</w:t>
                  </w:r>
                </w:p>
              </w:tc>
              <w:tc>
                <w:tcPr>
                  <w:tcW w:w="687" w:type="dxa"/>
                  <w:shd w:val="clear" w:color="auto" w:fill="auto"/>
                  <w:noWrap w:val="0"/>
                  <w:vAlign w:val="center"/>
                </w:tcPr>
                <w:p w14:paraId="0EE01D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w:t>
                  </w: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lang w:val="en-US" w:eastAsia="zh-CN"/>
                    </w:rPr>
                    <w:t>%</w:t>
                  </w:r>
                </w:p>
              </w:tc>
              <w:tc>
                <w:tcPr>
                  <w:tcW w:w="1171" w:type="dxa"/>
                  <w:shd w:val="clear" w:color="auto" w:fill="auto"/>
                  <w:noWrap w:val="0"/>
                  <w:vAlign w:val="center"/>
                </w:tcPr>
                <w:p w14:paraId="7EF251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0.0025</w:t>
                  </w:r>
                </w:p>
              </w:tc>
              <w:tc>
                <w:tcPr>
                  <w:tcW w:w="1231" w:type="dxa"/>
                  <w:shd w:val="clear" w:color="auto" w:fill="auto"/>
                  <w:noWrap w:val="0"/>
                  <w:vAlign w:val="center"/>
                </w:tcPr>
                <w:p w14:paraId="0248B6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0.0003</w:t>
                  </w:r>
                </w:p>
              </w:tc>
            </w:tr>
            <w:tr w14:paraId="3F12625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606" w:hRule="atLeast"/>
                <w:jc w:val="center"/>
              </w:trPr>
              <w:tc>
                <w:tcPr>
                  <w:tcW w:w="1354" w:type="dxa"/>
                  <w:noWrap w:val="0"/>
                  <w:vAlign w:val="center"/>
                </w:tcPr>
                <w:p w14:paraId="12708D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破碎</w:t>
                  </w:r>
                  <w:r>
                    <w:rPr>
                      <w:rFonts w:hint="default" w:ascii="Times New Roman" w:hAnsi="Times New Roman" w:eastAsia="宋体" w:cs="Times New Roman"/>
                      <w:color w:val="auto"/>
                      <w:sz w:val="21"/>
                      <w:szCs w:val="21"/>
                      <w:lang w:val="en-US" w:eastAsia="zh-CN"/>
                    </w:rPr>
                    <w:t>废气G1-2、G2-2</w:t>
                  </w:r>
                </w:p>
              </w:tc>
              <w:tc>
                <w:tcPr>
                  <w:tcW w:w="1591" w:type="dxa"/>
                  <w:noWrap w:val="0"/>
                  <w:vAlign w:val="center"/>
                </w:tcPr>
                <w:p w14:paraId="5FF321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1221" w:type="dxa"/>
                  <w:noWrap w:val="0"/>
                  <w:vAlign w:val="center"/>
                </w:tcPr>
                <w:p w14:paraId="437EF5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不合格品</w:t>
                  </w:r>
                </w:p>
              </w:tc>
              <w:tc>
                <w:tcPr>
                  <w:tcW w:w="700" w:type="dxa"/>
                  <w:noWrap w:val="0"/>
                  <w:vAlign w:val="center"/>
                </w:tcPr>
                <w:p w14:paraId="747A33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定性分析</w:t>
                  </w:r>
                </w:p>
              </w:tc>
              <w:tc>
                <w:tcPr>
                  <w:tcW w:w="1375" w:type="dxa"/>
                  <w:noWrap w:val="0"/>
                  <w:vAlign w:val="center"/>
                </w:tcPr>
                <w:p w14:paraId="11DE13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302" w:type="dxa"/>
                  <w:noWrap w:val="0"/>
                  <w:vAlign w:val="center"/>
                </w:tcPr>
                <w:p w14:paraId="3D7A54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07" w:type="dxa"/>
                  <w:noWrap w:val="0"/>
                  <w:vAlign w:val="center"/>
                </w:tcPr>
                <w:p w14:paraId="494C4A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235" w:type="dxa"/>
                  <w:noWrap w:val="0"/>
                  <w:vAlign w:val="center"/>
                </w:tcPr>
                <w:p w14:paraId="6CAB57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87" w:type="dxa"/>
                  <w:noWrap w:val="0"/>
                  <w:vAlign w:val="center"/>
                </w:tcPr>
                <w:p w14:paraId="18FC77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71" w:type="dxa"/>
                  <w:noWrap w:val="0"/>
                  <w:vAlign w:val="center"/>
                </w:tcPr>
                <w:p w14:paraId="0CC6B0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231" w:type="dxa"/>
                  <w:noWrap w:val="0"/>
                  <w:vAlign w:val="center"/>
                </w:tcPr>
                <w:p w14:paraId="0615DD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05751D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354" w:type="dxa"/>
                  <w:noWrap w:val="0"/>
                  <w:vAlign w:val="center"/>
                </w:tcPr>
                <w:p w14:paraId="4B7204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焊接废气G1-4</w:t>
                  </w:r>
                </w:p>
              </w:tc>
              <w:tc>
                <w:tcPr>
                  <w:tcW w:w="1591" w:type="dxa"/>
                  <w:noWrap w:val="0"/>
                  <w:vAlign w:val="center"/>
                </w:tcPr>
                <w:p w14:paraId="1504D0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非甲烷总烃</w:t>
                  </w:r>
                </w:p>
              </w:tc>
              <w:tc>
                <w:tcPr>
                  <w:tcW w:w="1221" w:type="dxa"/>
                  <w:noWrap w:val="0"/>
                  <w:vAlign w:val="center"/>
                </w:tcPr>
                <w:p w14:paraId="6C007E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注塑件</w:t>
                  </w:r>
                </w:p>
              </w:tc>
              <w:tc>
                <w:tcPr>
                  <w:tcW w:w="700" w:type="dxa"/>
                  <w:shd w:val="clear" w:color="auto" w:fill="auto"/>
                  <w:noWrap w:val="0"/>
                  <w:vAlign w:val="center"/>
                </w:tcPr>
                <w:p w14:paraId="0D9999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定性分析</w:t>
                  </w:r>
                </w:p>
              </w:tc>
              <w:tc>
                <w:tcPr>
                  <w:tcW w:w="1375" w:type="dxa"/>
                  <w:shd w:val="clear" w:color="auto" w:fill="auto"/>
                  <w:noWrap w:val="0"/>
                  <w:vAlign w:val="center"/>
                </w:tcPr>
                <w:p w14:paraId="61958D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302" w:type="dxa"/>
                  <w:shd w:val="clear" w:color="auto" w:fill="auto"/>
                  <w:noWrap w:val="0"/>
                  <w:vAlign w:val="center"/>
                </w:tcPr>
                <w:p w14:paraId="7BE7C5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907" w:type="dxa"/>
                  <w:shd w:val="clear" w:color="auto" w:fill="auto"/>
                  <w:noWrap w:val="0"/>
                  <w:vAlign w:val="center"/>
                </w:tcPr>
                <w:p w14:paraId="7D3E9C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235" w:type="dxa"/>
                  <w:shd w:val="clear" w:color="auto" w:fill="auto"/>
                  <w:noWrap w:val="0"/>
                  <w:vAlign w:val="center"/>
                </w:tcPr>
                <w:p w14:paraId="75B412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687" w:type="dxa"/>
                  <w:shd w:val="clear" w:color="auto" w:fill="auto"/>
                  <w:noWrap w:val="0"/>
                  <w:vAlign w:val="center"/>
                </w:tcPr>
                <w:p w14:paraId="77D950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171" w:type="dxa"/>
                  <w:shd w:val="clear" w:color="auto" w:fill="auto"/>
                  <w:noWrap w:val="0"/>
                  <w:vAlign w:val="center"/>
                </w:tcPr>
                <w:p w14:paraId="2EC44A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231" w:type="dxa"/>
                  <w:shd w:val="clear" w:color="auto" w:fill="auto"/>
                  <w:noWrap w:val="0"/>
                  <w:vAlign w:val="center"/>
                </w:tcPr>
                <w:p w14:paraId="10BFE2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67AF29F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354" w:type="dxa"/>
                  <w:noWrap w:val="0"/>
                  <w:vAlign w:val="center"/>
                </w:tcPr>
                <w:p w14:paraId="795453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打磨粉尘G3-1</w:t>
                  </w:r>
                </w:p>
              </w:tc>
              <w:tc>
                <w:tcPr>
                  <w:tcW w:w="1591" w:type="dxa"/>
                  <w:noWrap w:val="0"/>
                  <w:vAlign w:val="center"/>
                </w:tcPr>
                <w:p w14:paraId="79AE89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颗粒物</w:t>
                  </w:r>
                </w:p>
              </w:tc>
              <w:tc>
                <w:tcPr>
                  <w:tcW w:w="1221" w:type="dxa"/>
                  <w:noWrap w:val="0"/>
                  <w:vAlign w:val="center"/>
                </w:tcPr>
                <w:p w14:paraId="3288D1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模具钢</w:t>
                  </w:r>
                </w:p>
              </w:tc>
              <w:tc>
                <w:tcPr>
                  <w:tcW w:w="700" w:type="dxa"/>
                  <w:shd w:val="clear" w:color="auto" w:fill="auto"/>
                  <w:noWrap w:val="0"/>
                  <w:vAlign w:val="center"/>
                </w:tcPr>
                <w:p w14:paraId="29EFEA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定性分析</w:t>
                  </w:r>
                </w:p>
              </w:tc>
              <w:tc>
                <w:tcPr>
                  <w:tcW w:w="1375" w:type="dxa"/>
                  <w:shd w:val="clear" w:color="auto" w:fill="auto"/>
                  <w:noWrap w:val="0"/>
                  <w:vAlign w:val="center"/>
                </w:tcPr>
                <w:p w14:paraId="2F8606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302" w:type="dxa"/>
                  <w:shd w:val="clear" w:color="auto" w:fill="auto"/>
                  <w:noWrap w:val="0"/>
                  <w:vAlign w:val="center"/>
                </w:tcPr>
                <w:p w14:paraId="40B624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907" w:type="dxa"/>
                  <w:shd w:val="clear" w:color="auto" w:fill="auto"/>
                  <w:noWrap w:val="0"/>
                  <w:vAlign w:val="center"/>
                </w:tcPr>
                <w:p w14:paraId="542954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235" w:type="dxa"/>
                  <w:shd w:val="clear" w:color="auto" w:fill="auto"/>
                  <w:noWrap w:val="0"/>
                  <w:vAlign w:val="center"/>
                </w:tcPr>
                <w:p w14:paraId="1167C0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687" w:type="dxa"/>
                  <w:shd w:val="clear" w:color="auto" w:fill="auto"/>
                  <w:noWrap w:val="0"/>
                  <w:vAlign w:val="center"/>
                </w:tcPr>
                <w:p w14:paraId="147A07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171" w:type="dxa"/>
                  <w:shd w:val="clear" w:color="auto" w:fill="auto"/>
                  <w:noWrap w:val="0"/>
                  <w:vAlign w:val="center"/>
                </w:tcPr>
                <w:p w14:paraId="71300D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231" w:type="dxa"/>
                  <w:shd w:val="clear" w:color="auto" w:fill="auto"/>
                  <w:noWrap w:val="0"/>
                  <w:vAlign w:val="center"/>
                </w:tcPr>
                <w:p w14:paraId="62FE5D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37C4996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354" w:type="dxa"/>
                  <w:noWrap w:val="0"/>
                  <w:vAlign w:val="center"/>
                </w:tcPr>
                <w:p w14:paraId="262D34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电火花废气G3-2</w:t>
                  </w:r>
                </w:p>
              </w:tc>
              <w:tc>
                <w:tcPr>
                  <w:tcW w:w="1591" w:type="dxa"/>
                  <w:noWrap w:val="0"/>
                  <w:vAlign w:val="center"/>
                </w:tcPr>
                <w:p w14:paraId="3F7865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非甲烷总烃</w:t>
                  </w:r>
                </w:p>
              </w:tc>
              <w:tc>
                <w:tcPr>
                  <w:tcW w:w="1221" w:type="dxa"/>
                  <w:noWrap w:val="0"/>
                  <w:vAlign w:val="center"/>
                </w:tcPr>
                <w:p w14:paraId="3CBD31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煤油</w:t>
                  </w:r>
                </w:p>
              </w:tc>
              <w:tc>
                <w:tcPr>
                  <w:tcW w:w="700" w:type="dxa"/>
                  <w:shd w:val="clear" w:color="auto" w:fill="auto"/>
                  <w:noWrap w:val="0"/>
                  <w:vAlign w:val="center"/>
                </w:tcPr>
                <w:p w14:paraId="61E597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定性分析</w:t>
                  </w:r>
                </w:p>
              </w:tc>
              <w:tc>
                <w:tcPr>
                  <w:tcW w:w="1375" w:type="dxa"/>
                  <w:shd w:val="clear" w:color="auto" w:fill="auto"/>
                  <w:noWrap w:val="0"/>
                  <w:vAlign w:val="center"/>
                </w:tcPr>
                <w:p w14:paraId="546717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302" w:type="dxa"/>
                  <w:shd w:val="clear" w:color="auto" w:fill="auto"/>
                  <w:noWrap w:val="0"/>
                  <w:vAlign w:val="center"/>
                </w:tcPr>
                <w:p w14:paraId="06853A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907" w:type="dxa"/>
                  <w:shd w:val="clear" w:color="auto" w:fill="auto"/>
                  <w:noWrap w:val="0"/>
                  <w:vAlign w:val="center"/>
                </w:tcPr>
                <w:p w14:paraId="085760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235" w:type="dxa"/>
                  <w:shd w:val="clear" w:color="auto" w:fill="auto"/>
                  <w:noWrap w:val="0"/>
                  <w:vAlign w:val="center"/>
                </w:tcPr>
                <w:p w14:paraId="61BD8E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687" w:type="dxa"/>
                  <w:shd w:val="clear" w:color="auto" w:fill="auto"/>
                  <w:noWrap w:val="0"/>
                  <w:vAlign w:val="center"/>
                </w:tcPr>
                <w:p w14:paraId="2131B2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171" w:type="dxa"/>
                  <w:shd w:val="clear" w:color="auto" w:fill="auto"/>
                  <w:noWrap w:val="0"/>
                  <w:vAlign w:val="center"/>
                </w:tcPr>
                <w:p w14:paraId="5AF58E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231" w:type="dxa"/>
                  <w:shd w:val="clear" w:color="auto" w:fill="auto"/>
                  <w:noWrap w:val="0"/>
                  <w:vAlign w:val="center"/>
                </w:tcPr>
                <w:p w14:paraId="6127B1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2AF383E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354" w:type="dxa"/>
                  <w:noWrap w:val="0"/>
                  <w:vAlign w:val="center"/>
                </w:tcPr>
                <w:p w14:paraId="076D5D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eastAsia="zh-CN"/>
                    </w:rPr>
                    <w:t>危废仓库废气G</w:t>
                  </w:r>
                  <w:r>
                    <w:rPr>
                      <w:rFonts w:hint="eastAsia" w:cs="Times New Roman"/>
                      <w:bCs/>
                      <w:color w:val="auto"/>
                      <w:sz w:val="21"/>
                      <w:szCs w:val="21"/>
                      <w:lang w:val="en-US" w:eastAsia="zh-CN"/>
                    </w:rPr>
                    <w:t>5-1</w:t>
                  </w:r>
                </w:p>
              </w:tc>
              <w:tc>
                <w:tcPr>
                  <w:tcW w:w="1591" w:type="dxa"/>
                  <w:noWrap w:val="0"/>
                  <w:vAlign w:val="center"/>
                </w:tcPr>
                <w:p w14:paraId="029D4B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1221" w:type="dxa"/>
                  <w:noWrap w:val="0"/>
                  <w:vAlign w:val="center"/>
                </w:tcPr>
                <w:p w14:paraId="53548F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危废</w:t>
                  </w:r>
                </w:p>
              </w:tc>
              <w:tc>
                <w:tcPr>
                  <w:tcW w:w="700" w:type="dxa"/>
                  <w:noWrap w:val="0"/>
                  <w:vAlign w:val="center"/>
                </w:tcPr>
                <w:p w14:paraId="47383E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定性分析</w:t>
                  </w:r>
                </w:p>
              </w:tc>
              <w:tc>
                <w:tcPr>
                  <w:tcW w:w="1375" w:type="dxa"/>
                  <w:noWrap w:val="0"/>
                  <w:vAlign w:val="center"/>
                </w:tcPr>
                <w:p w14:paraId="55DCB7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302" w:type="dxa"/>
                  <w:noWrap w:val="0"/>
                  <w:vAlign w:val="center"/>
                </w:tcPr>
                <w:p w14:paraId="5F5C90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07" w:type="dxa"/>
                  <w:noWrap w:val="0"/>
                  <w:vAlign w:val="center"/>
                </w:tcPr>
                <w:p w14:paraId="79F089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235" w:type="dxa"/>
                  <w:noWrap w:val="0"/>
                  <w:vAlign w:val="center"/>
                </w:tcPr>
                <w:p w14:paraId="28B621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87" w:type="dxa"/>
                  <w:noWrap w:val="0"/>
                  <w:vAlign w:val="center"/>
                </w:tcPr>
                <w:p w14:paraId="3AA691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71" w:type="dxa"/>
                  <w:noWrap w:val="0"/>
                  <w:vAlign w:val="center"/>
                </w:tcPr>
                <w:p w14:paraId="58F2A8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231" w:type="dxa"/>
                  <w:noWrap w:val="0"/>
                  <w:vAlign w:val="center"/>
                </w:tcPr>
                <w:p w14:paraId="1024B9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5D98CA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354" w:type="dxa"/>
                  <w:noWrap w:val="0"/>
                  <w:vAlign w:val="center"/>
                </w:tcPr>
                <w:p w14:paraId="37BF64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合计</w:t>
                  </w:r>
                </w:p>
              </w:tc>
              <w:tc>
                <w:tcPr>
                  <w:tcW w:w="1591" w:type="dxa"/>
                  <w:noWrap w:val="0"/>
                  <w:vAlign w:val="center"/>
                </w:tcPr>
                <w:p w14:paraId="564069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非甲烷总烃</w:t>
                  </w:r>
                </w:p>
              </w:tc>
              <w:tc>
                <w:tcPr>
                  <w:tcW w:w="1221" w:type="dxa"/>
                  <w:noWrap w:val="0"/>
                  <w:vAlign w:val="center"/>
                </w:tcPr>
                <w:p w14:paraId="3FAFCF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0" w:type="dxa"/>
                  <w:noWrap w:val="0"/>
                  <w:vAlign w:val="center"/>
                </w:tcPr>
                <w:p w14:paraId="301D53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375" w:type="dxa"/>
                  <w:noWrap w:val="0"/>
                  <w:vAlign w:val="center"/>
                </w:tcPr>
                <w:p w14:paraId="23BB8B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302" w:type="dxa"/>
                  <w:noWrap w:val="0"/>
                  <w:vAlign w:val="center"/>
                </w:tcPr>
                <w:p w14:paraId="0C4F68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07" w:type="dxa"/>
                  <w:noWrap w:val="0"/>
                  <w:vAlign w:val="center"/>
                </w:tcPr>
                <w:p w14:paraId="07DC5D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3943</w:t>
                  </w:r>
                </w:p>
              </w:tc>
              <w:tc>
                <w:tcPr>
                  <w:tcW w:w="1235" w:type="dxa"/>
                  <w:noWrap w:val="0"/>
                  <w:vAlign w:val="center"/>
                </w:tcPr>
                <w:p w14:paraId="408B43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687" w:type="dxa"/>
                  <w:noWrap w:val="0"/>
                  <w:vAlign w:val="center"/>
                </w:tcPr>
                <w:p w14:paraId="44B0D9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171" w:type="dxa"/>
                  <w:noWrap w:val="0"/>
                  <w:vAlign w:val="center"/>
                </w:tcPr>
                <w:p w14:paraId="066E9B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lang w:val="en-US" w:eastAsia="zh-CN"/>
                    </w:rPr>
                    <w:t>0.3549</w:t>
                  </w:r>
                </w:p>
              </w:tc>
              <w:tc>
                <w:tcPr>
                  <w:tcW w:w="1231" w:type="dxa"/>
                  <w:noWrap w:val="0"/>
                  <w:vAlign w:val="center"/>
                </w:tcPr>
                <w:p w14:paraId="66E55C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lang w:val="en-US" w:eastAsia="zh-CN"/>
                    </w:rPr>
                    <w:t>0.0394</w:t>
                  </w:r>
                </w:p>
              </w:tc>
            </w:tr>
            <w:bookmarkEnd w:id="10"/>
          </w:tbl>
          <w:p w14:paraId="7D7F96A1">
            <w:pPr>
              <w:ind w:firstLine="0" w:firstLineChars="0"/>
              <w:rPr>
                <w:b/>
                <w:bCs/>
                <w:color w:val="auto"/>
                <w:sz w:val="24"/>
                <w:szCs w:val="24"/>
              </w:rPr>
            </w:pPr>
            <w:r>
              <w:rPr>
                <w:b/>
                <w:bCs/>
                <w:color w:val="auto"/>
                <w:sz w:val="24"/>
                <w:szCs w:val="24"/>
              </w:rPr>
              <w:t>2.1.3废气产生及排放情况汇总</w:t>
            </w:r>
          </w:p>
          <w:p w14:paraId="03525ED2">
            <w:pPr>
              <w:autoSpaceDE w:val="0"/>
              <w:autoSpaceDN w:val="0"/>
              <w:spacing w:line="360" w:lineRule="auto"/>
              <w:ind w:firstLine="420"/>
              <w:rPr>
                <w:color w:val="auto"/>
                <w:sz w:val="24"/>
                <w:szCs w:val="24"/>
              </w:rPr>
            </w:pPr>
            <w:r>
              <w:rPr>
                <w:color w:val="auto"/>
                <w:sz w:val="24"/>
                <w:szCs w:val="24"/>
              </w:rPr>
              <w:t>本项目有组织废气产生及排放情况详见</w:t>
            </w:r>
            <w:r>
              <w:rPr>
                <w:rFonts w:hint="eastAsia"/>
                <w:color w:val="auto"/>
                <w:sz w:val="24"/>
                <w:szCs w:val="24"/>
                <w:lang w:eastAsia="zh-CN"/>
              </w:rPr>
              <w:t>表4.2-</w:t>
            </w:r>
            <w:r>
              <w:rPr>
                <w:rFonts w:hint="eastAsia"/>
                <w:color w:val="auto"/>
                <w:sz w:val="24"/>
                <w:szCs w:val="24"/>
                <w:lang w:val="en-US" w:eastAsia="zh-CN"/>
              </w:rPr>
              <w:t>3</w:t>
            </w:r>
            <w:r>
              <w:rPr>
                <w:color w:val="auto"/>
                <w:sz w:val="24"/>
                <w:szCs w:val="24"/>
              </w:rPr>
              <w:t>，无组织废气排放情况详见表4</w:t>
            </w:r>
            <w:r>
              <w:rPr>
                <w:rFonts w:hint="eastAsia"/>
                <w:color w:val="auto"/>
                <w:sz w:val="24"/>
                <w:szCs w:val="24"/>
                <w:lang w:val="en-US" w:eastAsia="zh-CN"/>
              </w:rPr>
              <w:t>.2</w:t>
            </w:r>
            <w:r>
              <w:rPr>
                <w:color w:val="auto"/>
                <w:sz w:val="24"/>
                <w:szCs w:val="24"/>
              </w:rPr>
              <w:t>-</w:t>
            </w:r>
            <w:r>
              <w:rPr>
                <w:rFonts w:hint="eastAsia"/>
                <w:color w:val="auto"/>
                <w:sz w:val="24"/>
                <w:szCs w:val="24"/>
                <w:lang w:val="en-US" w:eastAsia="zh-CN"/>
              </w:rPr>
              <w:t>4</w:t>
            </w:r>
            <w:r>
              <w:rPr>
                <w:color w:val="auto"/>
                <w:sz w:val="24"/>
                <w:szCs w:val="24"/>
              </w:rPr>
              <w:t>。</w:t>
            </w:r>
          </w:p>
          <w:p w14:paraId="298C4B5F">
            <w:pPr>
              <w:spacing w:line="240" w:lineRule="auto"/>
              <w:ind w:firstLine="0" w:firstLineChars="0"/>
              <w:jc w:val="center"/>
              <w:rPr>
                <w:b/>
                <w:bCs/>
                <w:color w:val="auto"/>
                <w:sz w:val="18"/>
                <w:szCs w:val="18"/>
              </w:rPr>
            </w:pPr>
            <w:r>
              <w:rPr>
                <w:rFonts w:hint="eastAsia"/>
                <w:b/>
                <w:bCs/>
                <w:color w:val="auto"/>
                <w:sz w:val="21"/>
                <w:szCs w:val="21"/>
                <w:lang w:eastAsia="zh-CN"/>
              </w:rPr>
              <w:t>表4.2-</w:t>
            </w:r>
            <w:r>
              <w:rPr>
                <w:rFonts w:hint="eastAsia"/>
                <w:b/>
                <w:bCs/>
                <w:color w:val="auto"/>
                <w:sz w:val="21"/>
                <w:szCs w:val="21"/>
                <w:lang w:val="en-US" w:eastAsia="zh-CN"/>
              </w:rPr>
              <w:t>3</w:t>
            </w:r>
            <w:r>
              <w:rPr>
                <w:b/>
                <w:bCs/>
                <w:color w:val="auto"/>
                <w:sz w:val="21"/>
                <w:szCs w:val="21"/>
              </w:rPr>
              <w:t xml:space="preserve">  项目废气有组织产生及排放情况一览表</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589"/>
              <w:gridCol w:w="719"/>
              <w:gridCol w:w="899"/>
              <w:gridCol w:w="490"/>
              <w:gridCol w:w="772"/>
              <w:gridCol w:w="656"/>
              <w:gridCol w:w="785"/>
              <w:gridCol w:w="424"/>
              <w:gridCol w:w="630"/>
              <w:gridCol w:w="424"/>
              <w:gridCol w:w="789"/>
              <w:gridCol w:w="785"/>
              <w:gridCol w:w="777"/>
              <w:gridCol w:w="789"/>
              <w:gridCol w:w="607"/>
              <w:gridCol w:w="530"/>
              <w:gridCol w:w="483"/>
              <w:gridCol w:w="505"/>
              <w:gridCol w:w="401"/>
              <w:gridCol w:w="726"/>
            </w:tblGrid>
            <w:tr w14:paraId="247161C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89" w:type="dxa"/>
                  <w:vMerge w:val="restart"/>
                  <w:noWrap w:val="0"/>
                  <w:vAlign w:val="center"/>
                </w:tcPr>
                <w:p w14:paraId="7F4972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bookmarkStart w:id="11" w:name="_Hlk130048623"/>
                  <w:r>
                    <w:rPr>
                      <w:rFonts w:hint="default" w:ascii="Times New Roman" w:hAnsi="Times New Roman" w:eastAsia="宋体" w:cs="Times New Roman"/>
                      <w:b/>
                      <w:bCs/>
                      <w:color w:val="auto"/>
                      <w:sz w:val="21"/>
                      <w:szCs w:val="21"/>
                    </w:rPr>
                    <w:t>编号</w:t>
                  </w:r>
                </w:p>
              </w:tc>
              <w:tc>
                <w:tcPr>
                  <w:tcW w:w="719" w:type="dxa"/>
                  <w:vMerge w:val="restart"/>
                  <w:noWrap w:val="0"/>
                  <w:vAlign w:val="center"/>
                </w:tcPr>
                <w:p w14:paraId="775C55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废气量</w:t>
                  </w:r>
                </w:p>
                <w:p w14:paraId="00112C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/h</w:t>
                  </w:r>
                </w:p>
              </w:tc>
              <w:tc>
                <w:tcPr>
                  <w:tcW w:w="899" w:type="dxa"/>
                  <w:vMerge w:val="restart"/>
                  <w:noWrap w:val="0"/>
                  <w:vAlign w:val="center"/>
                </w:tcPr>
                <w:p w14:paraId="4FD7E3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废气名称</w:t>
                  </w:r>
                </w:p>
              </w:tc>
              <w:tc>
                <w:tcPr>
                  <w:tcW w:w="2703" w:type="dxa"/>
                  <w:gridSpan w:val="4"/>
                  <w:noWrap w:val="0"/>
                  <w:vAlign w:val="center"/>
                </w:tcPr>
                <w:p w14:paraId="19C260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产生情况</w:t>
                  </w:r>
                </w:p>
              </w:tc>
              <w:tc>
                <w:tcPr>
                  <w:tcW w:w="1478" w:type="dxa"/>
                  <w:gridSpan w:val="3"/>
                  <w:noWrap w:val="0"/>
                  <w:vAlign w:val="center"/>
                </w:tcPr>
                <w:p w14:paraId="705936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治理措施</w:t>
                  </w:r>
                </w:p>
              </w:tc>
              <w:tc>
                <w:tcPr>
                  <w:tcW w:w="2351" w:type="dxa"/>
                  <w:gridSpan w:val="3"/>
                  <w:noWrap w:val="0"/>
                  <w:vAlign w:val="center"/>
                </w:tcPr>
                <w:p w14:paraId="4BA49C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排放情况</w:t>
                  </w:r>
                </w:p>
              </w:tc>
              <w:tc>
                <w:tcPr>
                  <w:tcW w:w="1396" w:type="dxa"/>
                  <w:gridSpan w:val="2"/>
                  <w:noWrap w:val="0"/>
                  <w:vAlign w:val="center"/>
                </w:tcPr>
                <w:p w14:paraId="4D361E8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w:t>
                  </w:r>
                </w:p>
              </w:tc>
              <w:tc>
                <w:tcPr>
                  <w:tcW w:w="1919" w:type="dxa"/>
                  <w:gridSpan w:val="4"/>
                  <w:noWrap w:val="0"/>
                  <w:vAlign w:val="center"/>
                </w:tcPr>
                <w:p w14:paraId="6EAE6D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排气筒参数</w:t>
                  </w:r>
                </w:p>
              </w:tc>
              <w:tc>
                <w:tcPr>
                  <w:tcW w:w="726" w:type="dxa"/>
                  <w:vMerge w:val="restart"/>
                  <w:noWrap w:val="0"/>
                  <w:vAlign w:val="center"/>
                </w:tcPr>
                <w:p w14:paraId="7137D5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排气方式</w:t>
                  </w:r>
                </w:p>
              </w:tc>
            </w:tr>
            <w:tr w14:paraId="73D9197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89" w:type="dxa"/>
                  <w:vMerge w:val="continue"/>
                  <w:noWrap w:val="0"/>
                  <w:vAlign w:val="center"/>
                </w:tcPr>
                <w:p w14:paraId="08C38B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rPr>
                  </w:pPr>
                </w:p>
              </w:tc>
              <w:tc>
                <w:tcPr>
                  <w:tcW w:w="719" w:type="dxa"/>
                  <w:vMerge w:val="continue"/>
                  <w:noWrap w:val="0"/>
                  <w:vAlign w:val="center"/>
                </w:tcPr>
                <w:p w14:paraId="271D13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rPr>
                  </w:pPr>
                </w:p>
              </w:tc>
              <w:tc>
                <w:tcPr>
                  <w:tcW w:w="899" w:type="dxa"/>
                  <w:vMerge w:val="continue"/>
                  <w:noWrap w:val="0"/>
                  <w:vAlign w:val="center"/>
                </w:tcPr>
                <w:p w14:paraId="66EA53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rPr>
                  </w:pPr>
                </w:p>
              </w:tc>
              <w:tc>
                <w:tcPr>
                  <w:tcW w:w="490" w:type="dxa"/>
                  <w:noWrap w:val="0"/>
                  <w:vAlign w:val="center"/>
                </w:tcPr>
                <w:p w14:paraId="305679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污染物名称</w:t>
                  </w:r>
                </w:p>
              </w:tc>
              <w:tc>
                <w:tcPr>
                  <w:tcW w:w="772" w:type="dxa"/>
                  <w:noWrap w:val="0"/>
                  <w:vAlign w:val="center"/>
                </w:tcPr>
                <w:p w14:paraId="47192E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w:t>
                  </w:r>
                </w:p>
                <w:p w14:paraId="2BE02C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p>
              </w:tc>
              <w:tc>
                <w:tcPr>
                  <w:tcW w:w="656" w:type="dxa"/>
                  <w:noWrap w:val="0"/>
                  <w:vAlign w:val="center"/>
                </w:tcPr>
                <w:p w14:paraId="260632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速率</w:t>
                  </w:r>
                </w:p>
                <w:p w14:paraId="0A34F8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kg/h</w:t>
                  </w:r>
                </w:p>
              </w:tc>
              <w:tc>
                <w:tcPr>
                  <w:tcW w:w="785" w:type="dxa"/>
                  <w:noWrap w:val="0"/>
                  <w:vAlign w:val="center"/>
                </w:tcPr>
                <w:p w14:paraId="38C71F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产生量t/a</w:t>
                  </w:r>
                </w:p>
              </w:tc>
              <w:tc>
                <w:tcPr>
                  <w:tcW w:w="424" w:type="dxa"/>
                  <w:noWrap w:val="0"/>
                  <w:vAlign w:val="center"/>
                </w:tcPr>
                <w:p w14:paraId="7299B4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治理工艺</w:t>
                  </w:r>
                </w:p>
              </w:tc>
              <w:tc>
                <w:tcPr>
                  <w:tcW w:w="630" w:type="dxa"/>
                  <w:noWrap w:val="0"/>
                  <w:vAlign w:val="center"/>
                </w:tcPr>
                <w:p w14:paraId="4021E4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处理效率%</w:t>
                  </w:r>
                </w:p>
              </w:tc>
              <w:tc>
                <w:tcPr>
                  <w:tcW w:w="424" w:type="dxa"/>
                  <w:noWrap w:val="0"/>
                  <w:vAlign w:val="center"/>
                </w:tcPr>
                <w:p w14:paraId="0D3863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是否为可行技术</w:t>
                  </w:r>
                </w:p>
              </w:tc>
              <w:tc>
                <w:tcPr>
                  <w:tcW w:w="789" w:type="dxa"/>
                  <w:noWrap w:val="0"/>
                  <w:vAlign w:val="center"/>
                </w:tcPr>
                <w:p w14:paraId="30707C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w:t>
                  </w:r>
                </w:p>
                <w:p w14:paraId="5EEBE7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p>
              </w:tc>
              <w:tc>
                <w:tcPr>
                  <w:tcW w:w="785" w:type="dxa"/>
                  <w:noWrap w:val="0"/>
                  <w:vAlign w:val="center"/>
                </w:tcPr>
                <w:p w14:paraId="197487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速率</w:t>
                  </w:r>
                </w:p>
                <w:p w14:paraId="7C2641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kg/h</w:t>
                  </w:r>
                </w:p>
              </w:tc>
              <w:tc>
                <w:tcPr>
                  <w:tcW w:w="777" w:type="dxa"/>
                  <w:noWrap w:val="0"/>
                  <w:vAlign w:val="center"/>
                </w:tcPr>
                <w:p w14:paraId="3BD732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排放量t/a</w:t>
                  </w:r>
                </w:p>
              </w:tc>
              <w:tc>
                <w:tcPr>
                  <w:tcW w:w="789" w:type="dxa"/>
                  <w:noWrap w:val="0"/>
                  <w:vAlign w:val="center"/>
                </w:tcPr>
                <w:p w14:paraId="2A353C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w:t>
                  </w:r>
                </w:p>
                <w:p w14:paraId="119A77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p>
              </w:tc>
              <w:tc>
                <w:tcPr>
                  <w:tcW w:w="607" w:type="dxa"/>
                  <w:noWrap w:val="0"/>
                  <w:vAlign w:val="center"/>
                </w:tcPr>
                <w:p w14:paraId="7369D9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速率</w:t>
                  </w:r>
                </w:p>
                <w:p w14:paraId="42F302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kg/h</w:t>
                  </w:r>
                </w:p>
              </w:tc>
              <w:tc>
                <w:tcPr>
                  <w:tcW w:w="530" w:type="dxa"/>
                  <w:noWrap w:val="0"/>
                  <w:vAlign w:val="center"/>
                </w:tcPr>
                <w:p w14:paraId="58DDB8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高度m</w:t>
                  </w:r>
                </w:p>
              </w:tc>
              <w:tc>
                <w:tcPr>
                  <w:tcW w:w="483" w:type="dxa"/>
                  <w:noWrap w:val="0"/>
                  <w:vAlign w:val="center"/>
                </w:tcPr>
                <w:p w14:paraId="3F1E8D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直径m</w:t>
                  </w:r>
                </w:p>
              </w:tc>
              <w:tc>
                <w:tcPr>
                  <w:tcW w:w="505" w:type="dxa"/>
                  <w:noWrap w:val="0"/>
                  <w:vAlign w:val="center"/>
                </w:tcPr>
                <w:p w14:paraId="1D8A12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温度</w:t>
                  </w:r>
                </w:p>
                <w:p w14:paraId="29CABC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p>
              </w:tc>
              <w:tc>
                <w:tcPr>
                  <w:tcW w:w="401" w:type="dxa"/>
                  <w:noWrap w:val="0"/>
                  <w:vAlign w:val="center"/>
                </w:tcPr>
                <w:p w14:paraId="6C25A0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排放口类型</w:t>
                  </w:r>
                </w:p>
              </w:tc>
              <w:tc>
                <w:tcPr>
                  <w:tcW w:w="726" w:type="dxa"/>
                  <w:vMerge w:val="continue"/>
                  <w:noWrap w:val="0"/>
                  <w:vAlign w:val="center"/>
                </w:tcPr>
                <w:p w14:paraId="2B3FA8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rPr>
                  </w:pPr>
                </w:p>
              </w:tc>
            </w:tr>
            <w:tr w14:paraId="53D3662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404" w:hRule="atLeast"/>
                <w:jc w:val="center"/>
              </w:trPr>
              <w:tc>
                <w:tcPr>
                  <w:tcW w:w="589" w:type="dxa"/>
                  <w:vMerge w:val="restart"/>
                  <w:noWrap w:val="0"/>
                  <w:vAlign w:val="center"/>
                </w:tcPr>
                <w:p w14:paraId="5998B5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i w:val="0"/>
                      <w:iCs w:val="0"/>
                      <w:color w:val="auto"/>
                      <w:kern w:val="0"/>
                      <w:sz w:val="21"/>
                      <w:szCs w:val="21"/>
                      <w:u w:val="none"/>
                      <w:lang w:val="en-US" w:eastAsia="zh-CN" w:bidi="ar"/>
                    </w:rPr>
                    <w:t>DA</w:t>
                  </w:r>
                  <w:r>
                    <w:rPr>
                      <w:rFonts w:hint="default" w:ascii="Times New Roman" w:hAnsi="Times New Roman" w:eastAsia="宋体" w:cs="Times New Roman"/>
                      <w:i w:val="0"/>
                      <w:iCs w:val="0"/>
                      <w:color w:val="auto"/>
                      <w:kern w:val="0"/>
                      <w:sz w:val="21"/>
                      <w:szCs w:val="21"/>
                      <w:u w:val="none"/>
                      <w:lang w:val="en-US" w:eastAsia="zh-CN" w:bidi="ar"/>
                    </w:rPr>
                    <w:t>001</w:t>
                  </w:r>
                </w:p>
              </w:tc>
              <w:tc>
                <w:tcPr>
                  <w:tcW w:w="719" w:type="dxa"/>
                  <w:vMerge w:val="restart"/>
                  <w:noWrap w:val="0"/>
                  <w:vAlign w:val="center"/>
                </w:tcPr>
                <w:p w14:paraId="3C25FF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rPr>
                  </w:pPr>
                  <w:r>
                    <w:rPr>
                      <w:rFonts w:hint="eastAsia" w:cs="Times New Roman"/>
                      <w:i w:val="0"/>
                      <w:iCs w:val="0"/>
                      <w:color w:val="auto"/>
                      <w:kern w:val="0"/>
                      <w:sz w:val="21"/>
                      <w:szCs w:val="21"/>
                      <w:u w:val="none"/>
                      <w:lang w:val="en-US" w:eastAsia="zh-CN" w:bidi="ar"/>
                    </w:rPr>
                    <w:t>14</w:t>
                  </w: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0</w:t>
                  </w:r>
                </w:p>
              </w:tc>
              <w:tc>
                <w:tcPr>
                  <w:tcW w:w="899" w:type="dxa"/>
                  <w:noWrap w:val="0"/>
                  <w:vAlign w:val="center"/>
                </w:tcPr>
                <w:p w14:paraId="603DE0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rPr>
                  </w:pPr>
                  <w:r>
                    <w:rPr>
                      <w:rFonts w:hint="eastAsia" w:cs="Times New Roman"/>
                      <w:i w:val="0"/>
                      <w:iCs w:val="0"/>
                      <w:color w:val="auto"/>
                      <w:kern w:val="0"/>
                      <w:sz w:val="21"/>
                      <w:szCs w:val="21"/>
                      <w:u w:val="none"/>
                      <w:lang w:val="en-US" w:eastAsia="zh-CN" w:bidi="ar"/>
                    </w:rPr>
                    <w:t>注塑废气G1-1、G2-1</w:t>
                  </w:r>
                </w:p>
              </w:tc>
              <w:tc>
                <w:tcPr>
                  <w:tcW w:w="490" w:type="dxa"/>
                  <w:vMerge w:val="restart"/>
                  <w:noWrap w:val="0"/>
                  <w:vAlign w:val="center"/>
                </w:tcPr>
                <w:p w14:paraId="2C4860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非甲烷总烃</w:t>
                  </w:r>
                </w:p>
              </w:tc>
              <w:tc>
                <w:tcPr>
                  <w:tcW w:w="772" w:type="dxa"/>
                  <w:noWrap w:val="0"/>
                  <w:vAlign w:val="center"/>
                </w:tcPr>
                <w:p w14:paraId="3FF822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10.48</w:t>
                  </w:r>
                </w:p>
              </w:tc>
              <w:tc>
                <w:tcPr>
                  <w:tcW w:w="656" w:type="dxa"/>
                  <w:noWrap w:val="0"/>
                  <w:vAlign w:val="center"/>
                </w:tcPr>
                <w:p w14:paraId="494BAA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1468</w:t>
                  </w:r>
                </w:p>
              </w:tc>
              <w:tc>
                <w:tcPr>
                  <w:tcW w:w="785" w:type="dxa"/>
                  <w:noWrap w:val="0"/>
                  <w:vAlign w:val="center"/>
                </w:tcPr>
                <w:p w14:paraId="64BD5A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0.3524</w:t>
                  </w:r>
                </w:p>
              </w:tc>
              <w:tc>
                <w:tcPr>
                  <w:tcW w:w="424" w:type="dxa"/>
                  <w:vMerge w:val="restart"/>
                  <w:noWrap w:val="0"/>
                  <w:vAlign w:val="center"/>
                </w:tcPr>
                <w:p w14:paraId="23A6C7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二级活性炭吸附装置</w:t>
                  </w:r>
                </w:p>
              </w:tc>
              <w:tc>
                <w:tcPr>
                  <w:tcW w:w="630" w:type="dxa"/>
                  <w:vMerge w:val="restart"/>
                  <w:noWrap w:val="0"/>
                  <w:vAlign w:val="center"/>
                </w:tcPr>
                <w:p w14:paraId="21C4F9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w:t>
                  </w:r>
                  <w:r>
                    <w:rPr>
                      <w:rFonts w:hint="eastAsia" w:ascii="Times New Roman" w:hAnsi="Times New Roman" w:eastAsia="宋体" w:cs="Times New Roman"/>
                      <w:i w:val="0"/>
                      <w:iCs w:val="0"/>
                      <w:color w:val="auto"/>
                      <w:kern w:val="0"/>
                      <w:sz w:val="21"/>
                      <w:szCs w:val="21"/>
                      <w:u w:val="none"/>
                      <w:lang w:val="en-US" w:eastAsia="zh-CN" w:bidi="ar"/>
                    </w:rPr>
                    <w:t>0</w:t>
                  </w:r>
                </w:p>
              </w:tc>
              <w:tc>
                <w:tcPr>
                  <w:tcW w:w="424" w:type="dxa"/>
                  <w:vMerge w:val="restart"/>
                  <w:noWrap w:val="0"/>
                  <w:vAlign w:val="center"/>
                </w:tcPr>
                <w:p w14:paraId="27347D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w:t>
                  </w:r>
                </w:p>
              </w:tc>
              <w:tc>
                <w:tcPr>
                  <w:tcW w:w="789" w:type="dxa"/>
                  <w:vMerge w:val="restart"/>
                  <w:noWrap w:val="0"/>
                  <w:vAlign w:val="center"/>
                </w:tcPr>
                <w:p w14:paraId="5ED2EA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1.06</w:t>
                  </w:r>
                </w:p>
              </w:tc>
              <w:tc>
                <w:tcPr>
                  <w:tcW w:w="785" w:type="dxa"/>
                  <w:vMerge w:val="restart"/>
                  <w:noWrap w:val="0"/>
                  <w:vAlign w:val="center"/>
                </w:tcPr>
                <w:p w14:paraId="590806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148</w:t>
                  </w:r>
                </w:p>
              </w:tc>
              <w:tc>
                <w:tcPr>
                  <w:tcW w:w="777" w:type="dxa"/>
                  <w:vMerge w:val="restart"/>
                  <w:noWrap w:val="0"/>
                  <w:vAlign w:val="center"/>
                </w:tcPr>
                <w:p w14:paraId="7C3B7B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355</w:t>
                  </w:r>
                </w:p>
              </w:tc>
              <w:tc>
                <w:tcPr>
                  <w:tcW w:w="789" w:type="dxa"/>
                  <w:vMerge w:val="restart"/>
                  <w:noWrap w:val="0"/>
                  <w:vAlign w:val="center"/>
                </w:tcPr>
                <w:p w14:paraId="5A9044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607" w:type="dxa"/>
                  <w:vMerge w:val="restart"/>
                  <w:noWrap w:val="0"/>
                  <w:vAlign w:val="center"/>
                </w:tcPr>
                <w:p w14:paraId="74787A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1.8</w:t>
                  </w:r>
                </w:p>
              </w:tc>
              <w:tc>
                <w:tcPr>
                  <w:tcW w:w="530" w:type="dxa"/>
                  <w:vMerge w:val="restart"/>
                  <w:noWrap w:val="0"/>
                  <w:vAlign w:val="center"/>
                </w:tcPr>
                <w:p w14:paraId="29C9E7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w:t>
                  </w:r>
                </w:p>
              </w:tc>
              <w:tc>
                <w:tcPr>
                  <w:tcW w:w="483" w:type="dxa"/>
                  <w:vMerge w:val="restart"/>
                  <w:noWrap w:val="0"/>
                  <w:vAlign w:val="center"/>
                </w:tcPr>
                <w:p w14:paraId="1ADCC9B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0.58</w:t>
                  </w:r>
                </w:p>
              </w:tc>
              <w:tc>
                <w:tcPr>
                  <w:tcW w:w="505" w:type="dxa"/>
                  <w:vMerge w:val="restart"/>
                  <w:noWrap w:val="0"/>
                  <w:vAlign w:val="center"/>
                </w:tcPr>
                <w:p w14:paraId="279296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w:t>
                  </w:r>
                </w:p>
              </w:tc>
              <w:tc>
                <w:tcPr>
                  <w:tcW w:w="401" w:type="dxa"/>
                  <w:vMerge w:val="restart"/>
                  <w:noWrap w:val="0"/>
                  <w:vAlign w:val="center"/>
                </w:tcPr>
                <w:p w14:paraId="0C2514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一般排放口</w:t>
                  </w:r>
                </w:p>
              </w:tc>
              <w:tc>
                <w:tcPr>
                  <w:tcW w:w="726" w:type="dxa"/>
                  <w:vMerge w:val="restart"/>
                  <w:noWrap w:val="0"/>
                  <w:vAlign w:val="center"/>
                </w:tcPr>
                <w:p w14:paraId="4D5D8D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i w:val="0"/>
                      <w:iCs w:val="0"/>
                      <w:color w:val="auto"/>
                      <w:kern w:val="0"/>
                      <w:sz w:val="21"/>
                      <w:szCs w:val="21"/>
                      <w:u w:val="none"/>
                      <w:lang w:val="en-US" w:eastAsia="zh-CN" w:bidi="ar"/>
                    </w:rPr>
                    <w:t>24</w:t>
                  </w:r>
                  <w:r>
                    <w:rPr>
                      <w:rFonts w:hint="default" w:ascii="Times New Roman" w:hAnsi="Times New Roman" w:eastAsia="宋体" w:cs="Times New Roman"/>
                      <w:i w:val="0"/>
                      <w:iCs w:val="0"/>
                      <w:color w:val="auto"/>
                      <w:kern w:val="0"/>
                      <w:sz w:val="21"/>
                      <w:szCs w:val="21"/>
                      <w:u w:val="none"/>
                      <w:lang w:val="en-US" w:eastAsia="zh-CN" w:bidi="ar"/>
                    </w:rPr>
                    <w:t>00h/a</w:t>
                  </w:r>
                </w:p>
              </w:tc>
            </w:tr>
            <w:tr w14:paraId="7C6DA18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404" w:hRule="atLeast"/>
                <w:jc w:val="center"/>
              </w:trPr>
              <w:tc>
                <w:tcPr>
                  <w:tcW w:w="589" w:type="dxa"/>
                  <w:vMerge w:val="continue"/>
                  <w:noWrap w:val="0"/>
                  <w:vAlign w:val="center"/>
                </w:tcPr>
                <w:p w14:paraId="54E234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rPr>
                  </w:pPr>
                </w:p>
              </w:tc>
              <w:tc>
                <w:tcPr>
                  <w:tcW w:w="719" w:type="dxa"/>
                  <w:vMerge w:val="continue"/>
                  <w:noWrap w:val="0"/>
                  <w:vAlign w:val="center"/>
                </w:tcPr>
                <w:p w14:paraId="496491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rPr>
                  </w:pPr>
                </w:p>
              </w:tc>
              <w:tc>
                <w:tcPr>
                  <w:tcW w:w="899" w:type="dxa"/>
                  <w:noWrap w:val="0"/>
                  <w:vAlign w:val="center"/>
                </w:tcPr>
                <w:p w14:paraId="6FBDA6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rPr>
                  </w:pPr>
                  <w:r>
                    <w:rPr>
                      <w:rFonts w:hint="eastAsia" w:cs="Times New Roman"/>
                      <w:i w:val="0"/>
                      <w:iCs w:val="0"/>
                      <w:color w:val="auto"/>
                      <w:kern w:val="0"/>
                      <w:sz w:val="21"/>
                      <w:szCs w:val="21"/>
                      <w:u w:val="none"/>
                      <w:lang w:val="en-US" w:eastAsia="zh-CN" w:bidi="ar"/>
                    </w:rPr>
                    <w:t>打印废气G1-3、G2-3</w:t>
                  </w:r>
                </w:p>
              </w:tc>
              <w:tc>
                <w:tcPr>
                  <w:tcW w:w="490" w:type="dxa"/>
                  <w:vMerge w:val="continue"/>
                  <w:noWrap w:val="0"/>
                  <w:vAlign w:val="center"/>
                </w:tcPr>
                <w:p w14:paraId="5198B8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rPr>
                  </w:pPr>
                </w:p>
              </w:tc>
              <w:tc>
                <w:tcPr>
                  <w:tcW w:w="772" w:type="dxa"/>
                  <w:noWrap w:val="0"/>
                  <w:vAlign w:val="center"/>
                </w:tcPr>
                <w:p w14:paraId="479CF7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0.07</w:t>
                  </w:r>
                </w:p>
              </w:tc>
              <w:tc>
                <w:tcPr>
                  <w:tcW w:w="656" w:type="dxa"/>
                  <w:noWrap w:val="0"/>
                  <w:vAlign w:val="center"/>
                </w:tcPr>
                <w:p w14:paraId="557B51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0.0010</w:t>
                  </w:r>
                </w:p>
              </w:tc>
              <w:tc>
                <w:tcPr>
                  <w:tcW w:w="785" w:type="dxa"/>
                  <w:noWrap w:val="0"/>
                  <w:vAlign w:val="center"/>
                </w:tcPr>
                <w:p w14:paraId="64F119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0.0025</w:t>
                  </w:r>
                </w:p>
              </w:tc>
              <w:tc>
                <w:tcPr>
                  <w:tcW w:w="424" w:type="dxa"/>
                  <w:vMerge w:val="continue"/>
                  <w:noWrap w:val="0"/>
                  <w:vAlign w:val="center"/>
                </w:tcPr>
                <w:p w14:paraId="6D597B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630" w:type="dxa"/>
                  <w:vMerge w:val="continue"/>
                  <w:noWrap w:val="0"/>
                  <w:vAlign w:val="center"/>
                </w:tcPr>
                <w:p w14:paraId="4C94BD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424" w:type="dxa"/>
                  <w:vMerge w:val="continue"/>
                  <w:noWrap w:val="0"/>
                  <w:vAlign w:val="center"/>
                </w:tcPr>
                <w:p w14:paraId="12F1AC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789" w:type="dxa"/>
                  <w:vMerge w:val="continue"/>
                  <w:noWrap w:val="0"/>
                  <w:vAlign w:val="center"/>
                </w:tcPr>
                <w:p w14:paraId="48695E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785" w:type="dxa"/>
                  <w:vMerge w:val="continue"/>
                  <w:noWrap w:val="0"/>
                  <w:vAlign w:val="center"/>
                </w:tcPr>
                <w:p w14:paraId="3C6FFA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777" w:type="dxa"/>
                  <w:vMerge w:val="continue"/>
                  <w:noWrap w:val="0"/>
                  <w:vAlign w:val="center"/>
                </w:tcPr>
                <w:p w14:paraId="379AE7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789" w:type="dxa"/>
                  <w:vMerge w:val="continue"/>
                  <w:noWrap w:val="0"/>
                  <w:vAlign w:val="center"/>
                </w:tcPr>
                <w:p w14:paraId="368C5B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607" w:type="dxa"/>
                  <w:vMerge w:val="continue"/>
                  <w:noWrap w:val="0"/>
                  <w:vAlign w:val="center"/>
                </w:tcPr>
                <w:p w14:paraId="202805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530" w:type="dxa"/>
                  <w:vMerge w:val="continue"/>
                  <w:noWrap w:val="0"/>
                  <w:vAlign w:val="center"/>
                </w:tcPr>
                <w:p w14:paraId="198EF1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483" w:type="dxa"/>
                  <w:vMerge w:val="continue"/>
                  <w:noWrap w:val="0"/>
                  <w:vAlign w:val="center"/>
                </w:tcPr>
                <w:p w14:paraId="0A5B6A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505" w:type="dxa"/>
                  <w:vMerge w:val="continue"/>
                  <w:noWrap w:val="0"/>
                  <w:vAlign w:val="center"/>
                </w:tcPr>
                <w:p w14:paraId="452F30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401" w:type="dxa"/>
                  <w:vMerge w:val="continue"/>
                  <w:noWrap w:val="0"/>
                  <w:vAlign w:val="center"/>
                </w:tcPr>
                <w:p w14:paraId="29F5F5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726" w:type="dxa"/>
                  <w:vMerge w:val="continue"/>
                  <w:noWrap w:val="0"/>
                  <w:vAlign w:val="center"/>
                </w:tcPr>
                <w:p w14:paraId="3524D1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r>
            <w:bookmarkEnd w:id="11"/>
          </w:tbl>
          <w:p w14:paraId="49BA2110">
            <w:pPr>
              <w:spacing w:line="240" w:lineRule="auto"/>
              <w:ind w:firstLine="0" w:firstLineChars="0"/>
              <w:jc w:val="center"/>
              <w:rPr>
                <w:b/>
                <w:bCs/>
                <w:color w:val="auto"/>
                <w:sz w:val="21"/>
                <w:szCs w:val="21"/>
              </w:rPr>
            </w:pPr>
            <w:r>
              <w:rPr>
                <w:b/>
                <w:bCs/>
                <w:color w:val="auto"/>
                <w:sz w:val="21"/>
                <w:szCs w:val="21"/>
              </w:rPr>
              <w:t>表4</w:t>
            </w:r>
            <w:r>
              <w:rPr>
                <w:rFonts w:hint="eastAsia"/>
                <w:b/>
                <w:bCs/>
                <w:color w:val="auto"/>
                <w:sz w:val="21"/>
                <w:szCs w:val="21"/>
                <w:lang w:val="en-US" w:eastAsia="zh-CN"/>
              </w:rPr>
              <w:t>.2</w:t>
            </w:r>
            <w:r>
              <w:rPr>
                <w:b/>
                <w:bCs/>
                <w:color w:val="auto"/>
                <w:sz w:val="21"/>
                <w:szCs w:val="21"/>
              </w:rPr>
              <w:t>-</w:t>
            </w:r>
            <w:r>
              <w:rPr>
                <w:rFonts w:hint="eastAsia"/>
                <w:b/>
                <w:bCs/>
                <w:color w:val="auto"/>
                <w:sz w:val="21"/>
                <w:szCs w:val="21"/>
                <w:lang w:val="en-US" w:eastAsia="zh-CN"/>
              </w:rPr>
              <w:t>4</w:t>
            </w:r>
            <w:r>
              <w:rPr>
                <w:b/>
                <w:bCs/>
                <w:color w:val="auto"/>
                <w:sz w:val="21"/>
                <w:szCs w:val="21"/>
              </w:rPr>
              <w:t xml:space="preserve">  项目废气无组织排放情况一览表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259"/>
              <w:gridCol w:w="1594"/>
              <w:gridCol w:w="976"/>
              <w:gridCol w:w="976"/>
              <w:gridCol w:w="1653"/>
              <w:gridCol w:w="1393"/>
              <w:gridCol w:w="1560"/>
              <w:gridCol w:w="1292"/>
              <w:gridCol w:w="2165"/>
            </w:tblGrid>
            <w:tr w14:paraId="3C0B45F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89" w:type="pct"/>
                  <w:vMerge w:val="restart"/>
                  <w:noWrap w:val="0"/>
                  <w:vAlign w:val="center"/>
                </w:tcPr>
                <w:p w14:paraId="0AC70D9A">
                  <w:pPr>
                    <w:spacing w:line="240" w:lineRule="auto"/>
                    <w:ind w:firstLine="0" w:firstLineChars="0"/>
                    <w:jc w:val="center"/>
                    <w:rPr>
                      <w:b/>
                      <w:bCs/>
                      <w:color w:val="auto"/>
                      <w:sz w:val="21"/>
                      <w:szCs w:val="21"/>
                    </w:rPr>
                  </w:pPr>
                  <w:bookmarkStart w:id="12" w:name="_Hlk130048649"/>
                  <w:r>
                    <w:rPr>
                      <w:b/>
                      <w:bCs/>
                      <w:color w:val="auto"/>
                      <w:sz w:val="21"/>
                      <w:szCs w:val="21"/>
                    </w:rPr>
                    <w:t>污染源</w:t>
                  </w:r>
                </w:p>
              </w:tc>
              <w:tc>
                <w:tcPr>
                  <w:tcW w:w="619" w:type="pct"/>
                  <w:vMerge w:val="restart"/>
                  <w:noWrap w:val="0"/>
                  <w:vAlign w:val="center"/>
                </w:tcPr>
                <w:p w14:paraId="1D3B0D72">
                  <w:pPr>
                    <w:spacing w:line="240" w:lineRule="auto"/>
                    <w:ind w:firstLine="0" w:firstLineChars="0"/>
                    <w:jc w:val="center"/>
                    <w:rPr>
                      <w:b/>
                      <w:bCs/>
                      <w:color w:val="auto"/>
                      <w:sz w:val="21"/>
                      <w:szCs w:val="21"/>
                    </w:rPr>
                  </w:pPr>
                  <w:r>
                    <w:rPr>
                      <w:b/>
                      <w:bCs/>
                      <w:color w:val="auto"/>
                      <w:sz w:val="21"/>
                      <w:szCs w:val="21"/>
                    </w:rPr>
                    <w:t>污染物名称</w:t>
                  </w:r>
                </w:p>
              </w:tc>
              <w:tc>
                <w:tcPr>
                  <w:tcW w:w="1400" w:type="pct"/>
                  <w:gridSpan w:val="3"/>
                  <w:noWrap w:val="0"/>
                  <w:vAlign w:val="center"/>
                </w:tcPr>
                <w:p w14:paraId="26FD62CB">
                  <w:pPr>
                    <w:spacing w:line="240" w:lineRule="auto"/>
                    <w:ind w:firstLine="0" w:firstLineChars="0"/>
                    <w:jc w:val="center"/>
                    <w:rPr>
                      <w:b/>
                      <w:bCs/>
                      <w:color w:val="auto"/>
                      <w:sz w:val="21"/>
                      <w:szCs w:val="21"/>
                    </w:rPr>
                  </w:pPr>
                  <w:r>
                    <w:rPr>
                      <w:b/>
                      <w:bCs/>
                      <w:color w:val="auto"/>
                      <w:sz w:val="21"/>
                      <w:szCs w:val="21"/>
                    </w:rPr>
                    <w:t>排放情况</w:t>
                  </w:r>
                </w:p>
              </w:tc>
              <w:tc>
                <w:tcPr>
                  <w:tcW w:w="2490" w:type="pct"/>
                  <w:gridSpan w:val="4"/>
                  <w:noWrap w:val="0"/>
                  <w:vAlign w:val="center"/>
                </w:tcPr>
                <w:p w14:paraId="196C639C">
                  <w:pPr>
                    <w:spacing w:line="240" w:lineRule="auto"/>
                    <w:ind w:firstLine="0" w:firstLineChars="0"/>
                    <w:jc w:val="center"/>
                    <w:rPr>
                      <w:b/>
                      <w:bCs/>
                      <w:color w:val="auto"/>
                      <w:sz w:val="21"/>
                      <w:szCs w:val="21"/>
                    </w:rPr>
                  </w:pPr>
                  <w:r>
                    <w:rPr>
                      <w:b/>
                      <w:bCs/>
                      <w:color w:val="auto"/>
                      <w:sz w:val="21"/>
                      <w:szCs w:val="21"/>
                    </w:rPr>
                    <w:t>排放车间基本情况</w:t>
                  </w:r>
                </w:p>
              </w:tc>
            </w:tr>
            <w:tr w14:paraId="3C93615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89" w:type="pct"/>
                  <w:vMerge w:val="continue"/>
                  <w:noWrap w:val="0"/>
                  <w:vAlign w:val="center"/>
                </w:tcPr>
                <w:p w14:paraId="3F0BE77A">
                  <w:pPr>
                    <w:spacing w:line="240" w:lineRule="auto"/>
                    <w:ind w:firstLine="0" w:firstLineChars="0"/>
                    <w:jc w:val="center"/>
                    <w:rPr>
                      <w:b/>
                      <w:bCs/>
                      <w:color w:val="auto"/>
                      <w:sz w:val="21"/>
                      <w:szCs w:val="21"/>
                    </w:rPr>
                  </w:pPr>
                </w:p>
              </w:tc>
              <w:tc>
                <w:tcPr>
                  <w:tcW w:w="619" w:type="pct"/>
                  <w:vMerge w:val="continue"/>
                  <w:noWrap w:val="0"/>
                  <w:vAlign w:val="center"/>
                </w:tcPr>
                <w:p w14:paraId="3825BA48">
                  <w:pPr>
                    <w:spacing w:line="240" w:lineRule="auto"/>
                    <w:ind w:firstLine="0" w:firstLineChars="0"/>
                    <w:jc w:val="center"/>
                    <w:rPr>
                      <w:b/>
                      <w:bCs/>
                      <w:color w:val="auto"/>
                      <w:sz w:val="21"/>
                      <w:szCs w:val="21"/>
                    </w:rPr>
                  </w:pPr>
                </w:p>
              </w:tc>
              <w:tc>
                <w:tcPr>
                  <w:tcW w:w="379" w:type="pct"/>
                  <w:noWrap w:val="0"/>
                  <w:vAlign w:val="center"/>
                </w:tcPr>
                <w:p w14:paraId="13374C6C">
                  <w:pPr>
                    <w:spacing w:line="240" w:lineRule="auto"/>
                    <w:ind w:firstLine="0" w:firstLineChars="0"/>
                    <w:jc w:val="center"/>
                    <w:rPr>
                      <w:b/>
                      <w:bCs/>
                      <w:color w:val="auto"/>
                      <w:sz w:val="21"/>
                      <w:szCs w:val="21"/>
                    </w:rPr>
                  </w:pPr>
                  <w:r>
                    <w:rPr>
                      <w:rFonts w:hint="eastAsia"/>
                      <w:b/>
                      <w:bCs/>
                      <w:color w:val="auto"/>
                      <w:sz w:val="21"/>
                      <w:szCs w:val="21"/>
                      <w:lang w:val="en-US" w:eastAsia="zh-CN"/>
                    </w:rPr>
                    <w:t>产生</w:t>
                  </w:r>
                  <w:r>
                    <w:rPr>
                      <w:b/>
                      <w:bCs/>
                      <w:color w:val="auto"/>
                      <w:sz w:val="21"/>
                      <w:szCs w:val="21"/>
                    </w:rPr>
                    <w:t>量t/a</w:t>
                  </w:r>
                </w:p>
              </w:tc>
              <w:tc>
                <w:tcPr>
                  <w:tcW w:w="379" w:type="pct"/>
                  <w:noWrap w:val="0"/>
                  <w:vAlign w:val="center"/>
                </w:tcPr>
                <w:p w14:paraId="2DFA091C">
                  <w:pPr>
                    <w:spacing w:line="240" w:lineRule="auto"/>
                    <w:ind w:firstLine="0" w:firstLineChars="0"/>
                    <w:jc w:val="center"/>
                    <w:rPr>
                      <w:b/>
                      <w:bCs/>
                      <w:color w:val="auto"/>
                      <w:sz w:val="21"/>
                      <w:szCs w:val="21"/>
                    </w:rPr>
                  </w:pPr>
                  <w:r>
                    <w:rPr>
                      <w:rFonts w:hint="eastAsia"/>
                      <w:b/>
                      <w:bCs/>
                      <w:color w:val="auto"/>
                      <w:sz w:val="21"/>
                      <w:szCs w:val="21"/>
                      <w:lang w:val="en-US" w:eastAsia="zh-CN"/>
                    </w:rPr>
                    <w:t>削减</w:t>
                  </w:r>
                  <w:r>
                    <w:rPr>
                      <w:b/>
                      <w:bCs/>
                      <w:color w:val="auto"/>
                      <w:sz w:val="21"/>
                      <w:szCs w:val="21"/>
                    </w:rPr>
                    <w:t>量t/a</w:t>
                  </w:r>
                </w:p>
              </w:tc>
              <w:tc>
                <w:tcPr>
                  <w:tcW w:w="642" w:type="pct"/>
                  <w:noWrap w:val="0"/>
                  <w:vAlign w:val="center"/>
                </w:tcPr>
                <w:p w14:paraId="4E7E41A1">
                  <w:pPr>
                    <w:spacing w:line="240" w:lineRule="auto"/>
                    <w:ind w:firstLine="0" w:firstLineChars="0"/>
                    <w:jc w:val="center"/>
                    <w:rPr>
                      <w:b/>
                      <w:bCs/>
                      <w:color w:val="auto"/>
                      <w:sz w:val="21"/>
                      <w:szCs w:val="21"/>
                    </w:rPr>
                  </w:pPr>
                  <w:r>
                    <w:rPr>
                      <w:b/>
                      <w:bCs/>
                      <w:color w:val="auto"/>
                      <w:sz w:val="21"/>
                      <w:szCs w:val="21"/>
                    </w:rPr>
                    <w:t>排放量t/a</w:t>
                  </w:r>
                </w:p>
              </w:tc>
              <w:tc>
                <w:tcPr>
                  <w:tcW w:w="541" w:type="pct"/>
                  <w:noWrap w:val="0"/>
                  <w:vAlign w:val="center"/>
                </w:tcPr>
                <w:p w14:paraId="27346FE3">
                  <w:pPr>
                    <w:spacing w:line="240" w:lineRule="auto"/>
                    <w:ind w:firstLine="0" w:firstLineChars="0"/>
                    <w:jc w:val="center"/>
                    <w:rPr>
                      <w:b/>
                      <w:bCs/>
                      <w:color w:val="auto"/>
                      <w:sz w:val="21"/>
                      <w:szCs w:val="21"/>
                    </w:rPr>
                  </w:pPr>
                  <w:r>
                    <w:rPr>
                      <w:b/>
                      <w:bCs/>
                      <w:color w:val="auto"/>
                      <w:sz w:val="21"/>
                      <w:szCs w:val="21"/>
                    </w:rPr>
                    <w:t>长度m</w:t>
                  </w:r>
                </w:p>
              </w:tc>
              <w:tc>
                <w:tcPr>
                  <w:tcW w:w="606" w:type="pct"/>
                  <w:noWrap w:val="0"/>
                  <w:vAlign w:val="center"/>
                </w:tcPr>
                <w:p w14:paraId="046D4BF8">
                  <w:pPr>
                    <w:spacing w:line="240" w:lineRule="auto"/>
                    <w:ind w:firstLine="0" w:firstLineChars="0"/>
                    <w:jc w:val="center"/>
                    <w:rPr>
                      <w:b/>
                      <w:bCs/>
                      <w:color w:val="auto"/>
                      <w:sz w:val="21"/>
                      <w:szCs w:val="21"/>
                    </w:rPr>
                  </w:pPr>
                  <w:r>
                    <w:rPr>
                      <w:b/>
                      <w:bCs/>
                      <w:color w:val="auto"/>
                      <w:sz w:val="21"/>
                      <w:szCs w:val="21"/>
                    </w:rPr>
                    <w:t>宽度m</w:t>
                  </w:r>
                </w:p>
              </w:tc>
              <w:tc>
                <w:tcPr>
                  <w:tcW w:w="502" w:type="pct"/>
                  <w:noWrap w:val="0"/>
                  <w:vAlign w:val="center"/>
                </w:tcPr>
                <w:p w14:paraId="7ABED84C">
                  <w:pPr>
                    <w:spacing w:line="240" w:lineRule="auto"/>
                    <w:ind w:firstLine="0" w:firstLineChars="0"/>
                    <w:jc w:val="center"/>
                    <w:rPr>
                      <w:b/>
                      <w:bCs/>
                      <w:color w:val="auto"/>
                      <w:sz w:val="21"/>
                      <w:szCs w:val="21"/>
                    </w:rPr>
                  </w:pPr>
                  <w:r>
                    <w:rPr>
                      <w:b/>
                      <w:bCs/>
                      <w:color w:val="auto"/>
                      <w:sz w:val="21"/>
                      <w:szCs w:val="21"/>
                    </w:rPr>
                    <w:t>有效高度m</w:t>
                  </w:r>
                </w:p>
              </w:tc>
              <w:tc>
                <w:tcPr>
                  <w:tcW w:w="841" w:type="pct"/>
                  <w:noWrap w:val="0"/>
                  <w:vAlign w:val="center"/>
                </w:tcPr>
                <w:p w14:paraId="57EC6AF6">
                  <w:pPr>
                    <w:spacing w:line="240" w:lineRule="auto"/>
                    <w:ind w:firstLine="0" w:firstLineChars="0"/>
                    <w:jc w:val="center"/>
                    <w:rPr>
                      <w:b/>
                      <w:bCs/>
                      <w:color w:val="auto"/>
                      <w:sz w:val="21"/>
                      <w:szCs w:val="21"/>
                    </w:rPr>
                  </w:pPr>
                  <w:r>
                    <w:rPr>
                      <w:b/>
                      <w:bCs/>
                      <w:color w:val="auto"/>
                      <w:sz w:val="21"/>
                      <w:szCs w:val="21"/>
                    </w:rPr>
                    <w:t>地理坐标</w:t>
                  </w:r>
                </w:p>
              </w:tc>
            </w:tr>
            <w:tr w14:paraId="5E55755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0" w:hRule="atLeast"/>
                <w:jc w:val="center"/>
              </w:trPr>
              <w:tc>
                <w:tcPr>
                  <w:tcW w:w="489" w:type="pct"/>
                  <w:noWrap w:val="0"/>
                  <w:vAlign w:val="center"/>
                </w:tcPr>
                <w:p w14:paraId="3F4939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生产车间</w:t>
                  </w:r>
                </w:p>
              </w:tc>
              <w:tc>
                <w:tcPr>
                  <w:tcW w:w="619" w:type="pct"/>
                  <w:noWrap w:val="0"/>
                  <w:vAlign w:val="center"/>
                </w:tcPr>
                <w:p w14:paraId="346B8D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kern w:val="2"/>
                      <w:sz w:val="21"/>
                      <w:szCs w:val="21"/>
                      <w:lang w:val="en-US" w:eastAsia="zh-CN" w:bidi="ar-SA"/>
                    </w:rPr>
                  </w:pPr>
                  <w:r>
                    <w:rPr>
                      <w:rFonts w:hint="eastAsia"/>
                      <w:bCs/>
                      <w:color w:val="auto"/>
                      <w:sz w:val="21"/>
                      <w:szCs w:val="21"/>
                      <w:lang w:val="en-US" w:eastAsia="zh-CN"/>
                    </w:rPr>
                    <w:t>非甲烷总烃</w:t>
                  </w:r>
                </w:p>
              </w:tc>
              <w:tc>
                <w:tcPr>
                  <w:tcW w:w="379" w:type="pct"/>
                  <w:noWrap w:val="0"/>
                  <w:vAlign w:val="center"/>
                </w:tcPr>
                <w:p w14:paraId="33C272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0.0394</w:t>
                  </w:r>
                </w:p>
              </w:tc>
              <w:tc>
                <w:tcPr>
                  <w:tcW w:w="379" w:type="pct"/>
                  <w:noWrap w:val="0"/>
                  <w:vAlign w:val="center"/>
                </w:tcPr>
                <w:p w14:paraId="215AD2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c>
                <w:tcPr>
                  <w:tcW w:w="642" w:type="pct"/>
                  <w:noWrap w:val="0"/>
                  <w:vAlign w:val="center"/>
                </w:tcPr>
                <w:p w14:paraId="4710C0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0.0394</w:t>
                  </w:r>
                </w:p>
              </w:tc>
              <w:tc>
                <w:tcPr>
                  <w:tcW w:w="541" w:type="pct"/>
                  <w:noWrap w:val="0"/>
                  <w:vAlign w:val="center"/>
                </w:tcPr>
                <w:p w14:paraId="09D2AA30">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48</w:t>
                  </w:r>
                </w:p>
              </w:tc>
              <w:tc>
                <w:tcPr>
                  <w:tcW w:w="606" w:type="pct"/>
                  <w:noWrap w:val="0"/>
                  <w:vAlign w:val="center"/>
                </w:tcPr>
                <w:p w14:paraId="6EBCD3C8">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22.5</w:t>
                  </w:r>
                </w:p>
              </w:tc>
              <w:tc>
                <w:tcPr>
                  <w:tcW w:w="502" w:type="pct"/>
                  <w:noWrap w:val="0"/>
                  <w:vAlign w:val="center"/>
                </w:tcPr>
                <w:p w14:paraId="2E9530BD">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8</w:t>
                  </w:r>
                </w:p>
              </w:tc>
              <w:tc>
                <w:tcPr>
                  <w:tcW w:w="841" w:type="pct"/>
                  <w:noWrap w:val="0"/>
                  <w:vAlign w:val="center"/>
                </w:tcPr>
                <w:p w14:paraId="58CF0263">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rPr>
                    <w:t>119.63509</w:t>
                  </w:r>
                  <w:r>
                    <w:rPr>
                      <w:rFonts w:hint="eastAsia"/>
                      <w:color w:val="auto"/>
                      <w:sz w:val="21"/>
                      <w:szCs w:val="21"/>
                      <w:lang w:val="en-US" w:eastAsia="zh-CN"/>
                    </w:rPr>
                    <w:t>8</w:t>
                  </w:r>
                  <w:r>
                    <w:rPr>
                      <w:rFonts w:hint="eastAsia"/>
                      <w:color w:val="auto"/>
                      <w:sz w:val="21"/>
                      <w:szCs w:val="21"/>
                      <w:lang w:eastAsia="zh-CN"/>
                    </w:rPr>
                    <w:t>，</w:t>
                  </w:r>
                  <w:r>
                    <w:rPr>
                      <w:rFonts w:hint="eastAsia"/>
                      <w:color w:val="auto"/>
                      <w:sz w:val="21"/>
                      <w:szCs w:val="21"/>
                    </w:rPr>
                    <w:t>31.76307</w:t>
                  </w:r>
                  <w:r>
                    <w:rPr>
                      <w:rFonts w:hint="eastAsia"/>
                      <w:color w:val="auto"/>
                      <w:sz w:val="21"/>
                      <w:szCs w:val="21"/>
                      <w:lang w:val="en-US" w:eastAsia="zh-CN"/>
                    </w:rPr>
                    <w:t>5</w:t>
                  </w:r>
                </w:p>
              </w:tc>
            </w:tr>
            <w:bookmarkEnd w:id="12"/>
          </w:tbl>
          <w:p w14:paraId="0F0E6970">
            <w:pPr>
              <w:spacing w:line="240" w:lineRule="auto"/>
              <w:ind w:firstLine="0" w:firstLineChars="0"/>
              <w:jc w:val="left"/>
              <w:rPr>
                <w:color w:val="auto"/>
              </w:rPr>
            </w:pPr>
            <w:r>
              <w:rPr>
                <w:color w:val="auto"/>
                <w:sz w:val="21"/>
                <w:szCs w:val="21"/>
              </w:rPr>
              <w:t>备注：无组织源强按照全厂工作时间计，</w:t>
            </w:r>
            <w:r>
              <w:rPr>
                <w:rFonts w:hint="eastAsia"/>
                <w:color w:val="auto"/>
                <w:sz w:val="21"/>
                <w:szCs w:val="21"/>
                <w:lang w:val="en-US" w:eastAsia="zh-CN"/>
              </w:rPr>
              <w:t>24</w:t>
            </w:r>
            <w:r>
              <w:rPr>
                <w:color w:val="auto"/>
                <w:sz w:val="21"/>
                <w:szCs w:val="21"/>
              </w:rPr>
              <w:t>00h/a。</w:t>
            </w:r>
          </w:p>
        </w:tc>
      </w:tr>
    </w:tbl>
    <w:p w14:paraId="2DF50A24">
      <w:pPr>
        <w:pStyle w:val="5"/>
        <w:ind w:firstLine="643"/>
        <w:rPr>
          <w:color w:val="auto"/>
        </w:rPr>
        <w:sectPr>
          <w:pgSz w:w="16840" w:h="11907" w:orient="landscape"/>
          <w:pgMar w:top="1440" w:right="1803" w:bottom="1440" w:left="1803" w:header="964" w:footer="964" w:gutter="0"/>
          <w:pgBorders w:offsetFrom="page">
            <w:top w:val="none" w:sz="0" w:space="0"/>
            <w:left w:val="none" w:sz="0" w:space="0"/>
            <w:bottom w:val="none" w:sz="0" w:space="0"/>
            <w:right w:val="none" w:sz="0" w:space="0"/>
          </w:pgBorders>
          <w:cols w:space="720" w:num="1"/>
          <w:docGrid w:type="linesAndChars" w:linePitch="312" w:charSpace="0"/>
        </w:sectPr>
      </w:pP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2"/>
        <w:gridCol w:w="9442"/>
      </w:tblGrid>
      <w:tr w14:paraId="105CC9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2" w:type="dxa"/>
            <w:noWrap w:val="0"/>
            <w:vAlign w:val="center"/>
          </w:tcPr>
          <w:p w14:paraId="344B7C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4"/>
                <w:szCs w:val="24"/>
              </w:rPr>
            </w:pPr>
            <w:r>
              <w:rPr>
                <w:b/>
                <w:bCs/>
                <w:color w:val="auto"/>
                <w:sz w:val="24"/>
                <w:szCs w:val="24"/>
              </w:rPr>
              <w:t>运营期环境影响和保护措施</w:t>
            </w:r>
          </w:p>
        </w:tc>
        <w:tc>
          <w:tcPr>
            <w:tcW w:w="9442" w:type="dxa"/>
            <w:noWrap w:val="0"/>
            <w:vAlign w:val="top"/>
          </w:tcPr>
          <w:p w14:paraId="15CEF971">
            <w:pPr>
              <w:ind w:firstLine="0" w:firstLineChars="0"/>
              <w:rPr>
                <w:b/>
                <w:bCs/>
                <w:color w:val="auto"/>
                <w:sz w:val="24"/>
                <w:szCs w:val="24"/>
              </w:rPr>
            </w:pPr>
            <w:r>
              <w:rPr>
                <w:b/>
                <w:bCs/>
                <w:color w:val="auto"/>
                <w:sz w:val="24"/>
                <w:szCs w:val="24"/>
              </w:rPr>
              <w:t>2.2废气治理措施及可行性分析</w:t>
            </w:r>
          </w:p>
          <w:p w14:paraId="768E64F6">
            <w:pPr>
              <w:ind w:firstLine="0" w:firstLineChars="0"/>
              <w:rPr>
                <w:b/>
                <w:bCs/>
                <w:color w:val="auto"/>
                <w:sz w:val="24"/>
                <w:szCs w:val="24"/>
              </w:rPr>
            </w:pPr>
            <w:r>
              <w:rPr>
                <w:b/>
                <w:bCs/>
                <w:color w:val="auto"/>
                <w:sz w:val="24"/>
                <w:szCs w:val="24"/>
              </w:rPr>
              <w:t>2.2.1废气治理措施</w:t>
            </w:r>
          </w:p>
          <w:p w14:paraId="44B83576">
            <w:pPr>
              <w:ind w:firstLine="420"/>
              <w:rPr>
                <w:rFonts w:hint="default"/>
                <w:color w:val="auto"/>
                <w:sz w:val="24"/>
                <w:szCs w:val="24"/>
                <w:lang w:val="en-US" w:eastAsia="zh-CN"/>
              </w:rPr>
            </w:pPr>
            <w:bookmarkStart w:id="13" w:name="_Hlk130057152"/>
            <w:r>
              <w:rPr>
                <w:rFonts w:hint="eastAsia"/>
                <w:color w:val="auto"/>
                <w:sz w:val="24"/>
                <w:szCs w:val="24"/>
                <w:lang w:val="en-US" w:eastAsia="zh-CN"/>
              </w:rPr>
              <w:t>本项目注塑废气、打印废气</w:t>
            </w:r>
            <w:r>
              <w:rPr>
                <w:color w:val="auto"/>
                <w:sz w:val="24"/>
                <w:szCs w:val="24"/>
              </w:rPr>
              <w:t>经</w:t>
            </w:r>
            <w:r>
              <w:rPr>
                <w:rFonts w:hint="eastAsia"/>
                <w:color w:val="auto"/>
                <w:sz w:val="24"/>
                <w:szCs w:val="24"/>
                <w:lang w:val="en-US" w:eastAsia="zh-CN"/>
              </w:rPr>
              <w:t>集气罩</w:t>
            </w:r>
            <w:r>
              <w:rPr>
                <w:color w:val="auto"/>
                <w:sz w:val="24"/>
                <w:szCs w:val="24"/>
              </w:rPr>
              <w:t>收集后由</w:t>
            </w:r>
            <w:r>
              <w:rPr>
                <w:rFonts w:hint="eastAsia"/>
                <w:color w:val="auto"/>
                <w:sz w:val="24"/>
                <w:szCs w:val="24"/>
                <w:lang w:val="en-US" w:eastAsia="zh-CN"/>
              </w:rPr>
              <w:t>一套二级活性炭吸附设施</w:t>
            </w:r>
            <w:r>
              <w:rPr>
                <w:rFonts w:hint="eastAsia"/>
                <w:color w:val="auto"/>
                <w:sz w:val="24"/>
                <w:szCs w:val="24"/>
              </w:rPr>
              <w:t>处理后通过</w:t>
            </w:r>
            <w:r>
              <w:rPr>
                <w:rFonts w:hint="eastAsia"/>
                <w:color w:val="auto"/>
                <w:sz w:val="24"/>
                <w:szCs w:val="24"/>
                <w:lang w:val="en-US" w:eastAsia="zh-CN"/>
              </w:rPr>
              <w:t>2</w:t>
            </w:r>
            <w:r>
              <w:rPr>
                <w:rFonts w:hint="eastAsia"/>
                <w:color w:val="auto"/>
                <w:sz w:val="24"/>
                <w:szCs w:val="24"/>
              </w:rPr>
              <w:t>0m高排气筒</w:t>
            </w:r>
            <w:r>
              <w:rPr>
                <w:rFonts w:hint="eastAsia"/>
                <w:color w:val="auto"/>
                <w:sz w:val="24"/>
                <w:szCs w:val="24"/>
                <w:lang w:val="en-US" w:eastAsia="zh-CN"/>
              </w:rPr>
              <w:t>DA</w:t>
            </w:r>
            <w:r>
              <w:rPr>
                <w:rFonts w:hint="eastAsia"/>
                <w:color w:val="auto"/>
                <w:sz w:val="24"/>
                <w:szCs w:val="24"/>
              </w:rPr>
              <w:t>001排放</w:t>
            </w:r>
            <w:r>
              <w:rPr>
                <w:rFonts w:hint="eastAsia"/>
                <w:color w:val="auto"/>
                <w:sz w:val="24"/>
                <w:szCs w:val="24"/>
                <w:lang w:val="en-US" w:eastAsia="zh-CN"/>
              </w:rPr>
              <w:t>；破碎粉尘在设备内密闭收集后经设备自带的布袋除尘器处理后在车间内无组织排放；打磨粉尘经移动式布袋除尘器处理后在车间内无组织排放；焊接废气、电火花废气、危废仓库废气在车间内无组织排放。</w:t>
            </w:r>
          </w:p>
          <w:bookmarkEnd w:id="13"/>
          <w:p w14:paraId="7820169A">
            <w:pPr>
              <w:ind w:firstLine="420"/>
              <w:rPr>
                <w:b/>
                <w:bCs/>
                <w:color w:val="auto"/>
                <w:sz w:val="24"/>
                <w:szCs w:val="24"/>
              </w:rPr>
            </w:pPr>
            <w:r>
              <w:rPr>
                <w:color w:val="auto"/>
                <w:sz w:val="24"/>
                <w:szCs w:val="24"/>
              </w:rPr>
              <w:t>本项目废气收集处理系统见下图：</w:t>
            </w:r>
          </w:p>
          <w:p w14:paraId="777F1F46">
            <w:pPr>
              <w:spacing w:line="360" w:lineRule="auto"/>
              <w:ind w:firstLine="0" w:firstLineChars="0"/>
              <w:jc w:val="center"/>
              <w:rPr>
                <w:rFonts w:hint="eastAsia" w:eastAsia="宋体"/>
                <w:color w:val="auto"/>
                <w:sz w:val="24"/>
                <w:szCs w:val="24"/>
                <w:lang w:eastAsia="zh-CN"/>
              </w:rPr>
            </w:pPr>
            <w:r>
              <w:rPr>
                <w:rFonts w:hint="eastAsia" w:eastAsia="宋体"/>
                <w:color w:val="auto"/>
                <w:sz w:val="24"/>
                <w:szCs w:val="24"/>
                <w:lang w:eastAsia="zh-CN"/>
              </w:rPr>
              <w:drawing>
                <wp:inline distT="0" distB="0" distL="114300" distR="114300">
                  <wp:extent cx="5598160" cy="3556000"/>
                  <wp:effectExtent l="0" t="0" r="0" b="0"/>
                  <wp:docPr id="7" name="ECB019B1-382A-4266-B25C-5B523AA43C14-6" descr="C:/Users/29147/AppData/Local/Temp/wps.BZfddb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6" descr="C:/Users/29147/AppData/Local/Temp/wps.BZfddbwps"/>
                          <pic:cNvPicPr>
                            <a:picLocks noChangeAspect="1"/>
                          </pic:cNvPicPr>
                        </pic:nvPicPr>
                        <pic:blipFill>
                          <a:blip r:embed="rId21"/>
                          <a:stretch>
                            <a:fillRect/>
                          </a:stretch>
                        </pic:blipFill>
                        <pic:spPr>
                          <a:xfrm>
                            <a:off x="0" y="0"/>
                            <a:ext cx="5598160" cy="3556000"/>
                          </a:xfrm>
                          <a:prstGeom prst="rect">
                            <a:avLst/>
                          </a:prstGeom>
                        </pic:spPr>
                      </pic:pic>
                    </a:graphicData>
                  </a:graphic>
                </wp:inline>
              </w:drawing>
            </w:r>
          </w:p>
          <w:p w14:paraId="73E5FEB0">
            <w:pPr>
              <w:spacing w:line="360" w:lineRule="auto"/>
              <w:ind w:firstLine="0" w:firstLineChars="0"/>
              <w:jc w:val="center"/>
              <w:rPr>
                <w:b/>
                <w:bCs/>
                <w:color w:val="auto"/>
                <w:sz w:val="24"/>
                <w:szCs w:val="24"/>
              </w:rPr>
            </w:pPr>
            <w:r>
              <w:rPr>
                <w:b/>
                <w:bCs/>
                <w:color w:val="auto"/>
                <w:sz w:val="21"/>
                <w:szCs w:val="21"/>
              </w:rPr>
              <w:t>图4</w:t>
            </w:r>
            <w:r>
              <w:rPr>
                <w:rFonts w:hint="eastAsia"/>
                <w:b/>
                <w:bCs/>
                <w:color w:val="auto"/>
                <w:sz w:val="21"/>
                <w:szCs w:val="21"/>
                <w:lang w:val="en-US" w:eastAsia="zh-CN"/>
              </w:rPr>
              <w:t>.2</w:t>
            </w:r>
            <w:r>
              <w:rPr>
                <w:b/>
                <w:bCs/>
                <w:color w:val="auto"/>
                <w:sz w:val="21"/>
                <w:szCs w:val="21"/>
              </w:rPr>
              <w:t>-</w:t>
            </w:r>
            <w:r>
              <w:rPr>
                <w:rFonts w:hint="eastAsia"/>
                <w:b/>
                <w:bCs/>
                <w:color w:val="auto"/>
                <w:sz w:val="21"/>
                <w:szCs w:val="21"/>
                <w:lang w:val="en-US" w:eastAsia="zh-CN"/>
              </w:rPr>
              <w:t>1</w:t>
            </w:r>
            <w:r>
              <w:rPr>
                <w:b/>
                <w:bCs/>
                <w:color w:val="auto"/>
                <w:sz w:val="21"/>
                <w:szCs w:val="21"/>
              </w:rPr>
              <w:t xml:space="preserve">  废气收集处理系统示意图</w:t>
            </w:r>
          </w:p>
          <w:p w14:paraId="6F208AD1">
            <w:pPr>
              <w:ind w:firstLine="0" w:firstLineChars="0"/>
              <w:rPr>
                <w:rFonts w:hint="eastAsia"/>
                <w:b/>
                <w:bCs/>
                <w:color w:val="auto"/>
                <w:sz w:val="24"/>
                <w:szCs w:val="24"/>
              </w:rPr>
            </w:pPr>
            <w:r>
              <w:rPr>
                <w:b/>
                <w:bCs/>
                <w:color w:val="auto"/>
                <w:sz w:val="24"/>
                <w:szCs w:val="24"/>
              </w:rPr>
              <w:t>2.2.1.1废气收集系统评述</w:t>
            </w:r>
          </w:p>
          <w:p w14:paraId="42BA4FA1">
            <w:pPr>
              <w:keepNext w:val="0"/>
              <w:keepLines w:val="0"/>
              <w:widowControl/>
              <w:numPr>
                <w:ilvl w:val="0"/>
                <w:numId w:val="0"/>
              </w:numPr>
              <w:suppressLineNumbers w:val="0"/>
              <w:adjustRightInd w:val="0"/>
              <w:spacing w:before="0" w:beforeAutospacing="0" w:after="0" w:afterAutospacing="0" w:line="480" w:lineRule="exact"/>
              <w:ind w:right="0" w:rightChars="0" w:firstLine="480" w:firstLineChars="200"/>
              <w:jc w:val="left"/>
              <w:rPr>
                <w:rFonts w:hint="eastAsia"/>
                <w:color w:val="auto"/>
                <w:sz w:val="24"/>
                <w:szCs w:val="24"/>
                <w:lang w:eastAsia="zh-CN" w:bidi="ar"/>
              </w:rPr>
            </w:pPr>
            <w:bookmarkStart w:id="14" w:name="_Hlk130057194"/>
            <w:r>
              <w:rPr>
                <w:rFonts w:hint="eastAsia"/>
                <w:color w:val="auto"/>
                <w:sz w:val="24"/>
                <w:szCs w:val="24"/>
                <w:lang w:bidi="ar"/>
              </w:rPr>
              <w:t>本项目依据企业设备分布情况、设备规格尺寸</w:t>
            </w:r>
            <w:r>
              <w:rPr>
                <w:rFonts w:hint="eastAsia"/>
                <w:color w:val="auto"/>
                <w:sz w:val="24"/>
                <w:szCs w:val="24"/>
                <w:lang w:eastAsia="zh-CN" w:bidi="ar"/>
              </w:rPr>
              <w:t>、</w:t>
            </w:r>
            <w:r>
              <w:rPr>
                <w:rFonts w:hint="eastAsia"/>
                <w:color w:val="auto"/>
                <w:sz w:val="24"/>
                <w:szCs w:val="24"/>
                <w:lang w:val="en-US" w:eastAsia="zh-CN" w:bidi="ar"/>
              </w:rPr>
              <w:t>企业提供的废气处理设施设计方案</w:t>
            </w:r>
            <w:r>
              <w:rPr>
                <w:rFonts w:hint="eastAsia"/>
                <w:color w:val="auto"/>
                <w:sz w:val="24"/>
                <w:szCs w:val="24"/>
                <w:lang w:bidi="ar"/>
              </w:rPr>
              <w:t>、《排污许可证申请与核发技术规范 橡胶和塑料制品工业</w:t>
            </w:r>
            <w:r>
              <w:rPr>
                <w:rFonts w:hint="eastAsia"/>
                <w:color w:val="auto"/>
                <w:sz w:val="24"/>
                <w:szCs w:val="24"/>
              </w:rPr>
              <w:t>》（</w:t>
            </w:r>
            <w:r>
              <w:rPr>
                <w:color w:val="auto"/>
                <w:sz w:val="24"/>
                <w:szCs w:val="24"/>
              </w:rPr>
              <w:t>HJ</w:t>
            </w:r>
            <w:r>
              <w:rPr>
                <w:rFonts w:hint="eastAsia"/>
                <w:color w:val="auto"/>
                <w:sz w:val="24"/>
                <w:szCs w:val="24"/>
                <w:lang w:val="en-US" w:eastAsia="zh-CN"/>
              </w:rPr>
              <w:t>1122-</w:t>
            </w:r>
            <w:r>
              <w:rPr>
                <w:color w:val="auto"/>
                <w:sz w:val="24"/>
                <w:szCs w:val="24"/>
              </w:rPr>
              <w:t>20</w:t>
            </w:r>
            <w:r>
              <w:rPr>
                <w:rFonts w:hint="eastAsia"/>
                <w:color w:val="auto"/>
                <w:sz w:val="24"/>
                <w:szCs w:val="24"/>
                <w:lang w:val="en-US" w:eastAsia="zh-CN"/>
              </w:rPr>
              <w:t>20</w:t>
            </w:r>
            <w:r>
              <w:rPr>
                <w:rFonts w:hint="eastAsia"/>
                <w:color w:val="auto"/>
                <w:sz w:val="24"/>
                <w:szCs w:val="24"/>
              </w:rPr>
              <w:t>）</w:t>
            </w:r>
            <w:r>
              <w:rPr>
                <w:rFonts w:hint="eastAsia"/>
                <w:color w:val="auto"/>
                <w:sz w:val="24"/>
                <w:szCs w:val="24"/>
                <w:lang w:bidi="ar"/>
              </w:rPr>
              <w:t>要求及《环境工程技术手册：废气处理工程技术手册》设置废气收集系统</w:t>
            </w:r>
            <w:r>
              <w:rPr>
                <w:rFonts w:hint="eastAsia"/>
                <w:color w:val="auto"/>
                <w:sz w:val="24"/>
                <w:szCs w:val="24"/>
                <w:lang w:eastAsia="zh-CN" w:bidi="ar"/>
              </w:rPr>
              <w:t>。</w:t>
            </w:r>
          </w:p>
          <w:p w14:paraId="68EFEB38">
            <w:pPr>
              <w:keepNext w:val="0"/>
              <w:keepLines w:val="0"/>
              <w:pageBreakBefore w:val="0"/>
              <w:widowControl w:val="0"/>
              <w:tabs>
                <w:tab w:val="left" w:pos="630"/>
              </w:tabs>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mallCaps w:val="0"/>
                <w:color w:val="auto"/>
                <w:spacing w:val="0"/>
                <w:sz w:val="24"/>
                <w:szCs w:val="24"/>
              </w:rPr>
            </w:pPr>
            <w:r>
              <w:rPr>
                <w:rFonts w:hint="eastAsia" w:cs="Times New Roman"/>
                <w:color w:val="auto"/>
                <w:spacing w:val="0"/>
                <w:sz w:val="24"/>
                <w:szCs w:val="24"/>
                <w:highlight w:val="none"/>
                <w:lang w:val="en-US" w:eastAsia="zh-CN"/>
              </w:rPr>
              <w:t>注塑</w:t>
            </w:r>
            <w:r>
              <w:rPr>
                <w:rFonts w:hint="default" w:ascii="Times New Roman" w:hAnsi="Times New Roman" w:eastAsia="宋体" w:cs="Times New Roman"/>
                <w:color w:val="auto"/>
                <w:spacing w:val="0"/>
                <w:sz w:val="24"/>
                <w:szCs w:val="24"/>
                <w:highlight w:val="none"/>
                <w:lang w:val="en-US" w:eastAsia="zh-CN"/>
              </w:rPr>
              <w:t>废气</w:t>
            </w:r>
            <w:r>
              <w:rPr>
                <w:rFonts w:hint="eastAsia" w:cs="Times New Roman"/>
                <w:color w:val="auto"/>
                <w:spacing w:val="0"/>
                <w:sz w:val="24"/>
                <w:szCs w:val="24"/>
                <w:highlight w:val="none"/>
                <w:lang w:val="en-US" w:eastAsia="zh-CN"/>
              </w:rPr>
              <w:t>、印刷废气</w:t>
            </w:r>
            <w:r>
              <w:rPr>
                <w:rFonts w:hint="eastAsia" w:ascii="Times New Roman" w:hAnsi="Times New Roman" w:eastAsia="宋体" w:cs="Times New Roman"/>
                <w:color w:val="auto"/>
                <w:spacing w:val="0"/>
                <w:sz w:val="24"/>
                <w:szCs w:val="24"/>
                <w:highlight w:val="none"/>
                <w:lang w:val="en-US" w:eastAsia="zh-CN"/>
              </w:rPr>
              <w:t>由集气罩</w:t>
            </w:r>
            <w:r>
              <w:rPr>
                <w:rFonts w:hint="default" w:ascii="Times New Roman" w:hAnsi="Times New Roman" w:eastAsia="宋体" w:cs="Times New Roman"/>
                <w:color w:val="auto"/>
                <w:spacing w:val="0"/>
                <w:sz w:val="24"/>
                <w:szCs w:val="24"/>
                <w:highlight w:val="none"/>
                <w:lang w:val="en-US" w:eastAsia="zh-CN"/>
              </w:rPr>
              <w:t>收集，</w:t>
            </w:r>
            <w:r>
              <w:rPr>
                <w:rFonts w:hint="default" w:ascii="Times New Roman" w:hAnsi="Times New Roman" w:eastAsia="宋体" w:cs="Times New Roman"/>
                <w:smallCaps w:val="0"/>
                <w:color w:val="auto"/>
                <w:spacing w:val="0"/>
                <w:sz w:val="24"/>
                <w:szCs w:val="24"/>
                <w:lang w:val="en-US" w:eastAsia="zh-CN"/>
              </w:rPr>
              <w:t>可有效收集废气，</w:t>
            </w:r>
            <w:r>
              <w:rPr>
                <w:rFonts w:hint="default" w:ascii="Times New Roman" w:hAnsi="Times New Roman" w:eastAsia="宋体" w:cs="Times New Roman"/>
                <w:smallCaps w:val="0"/>
                <w:color w:val="auto"/>
                <w:spacing w:val="0"/>
                <w:sz w:val="24"/>
                <w:szCs w:val="24"/>
              </w:rPr>
              <w:t>参考《废气处理工程技术手册》（王纯张殿印主编）“上部伞形罩冷态”排气量计算公式计算单个集气罩排气量，过程如下：</w:t>
            </w:r>
          </w:p>
          <w:p w14:paraId="0910FEEE">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Q=K</w:t>
            </w:r>
            <w:r>
              <w:rPr>
                <w:rFonts w:hint="default" w:ascii="Times New Roman" w:hAnsi="Times New Roman" w:eastAsia="宋体" w:cs="Times New Roman"/>
                <w:color w:val="auto"/>
                <w:sz w:val="24"/>
                <w:szCs w:val="24"/>
                <w:highlight w:val="none"/>
                <w:lang w:val="en-US" w:eastAsia="zh-CN"/>
              </w:rPr>
              <w:t>×P×</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 xml:space="preserve">Vx ，其中： </w:t>
            </w:r>
          </w:p>
          <w:p w14:paraId="2C092AC7">
            <w:pPr>
              <w:keepNext w:val="0"/>
              <w:keepLines w:val="0"/>
              <w:numPr>
                <w:ilvl w:val="0"/>
                <w:numId w:val="4"/>
              </w:numPr>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-设计安全系数，一般取1.1-1.5，本次取1.3；</w:t>
            </w:r>
          </w:p>
          <w:p w14:paraId="0FCA30E0">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P</w:t>
            </w:r>
            <w:r>
              <w:rPr>
                <w:rFonts w:hint="default" w:ascii="Times New Roman" w:hAnsi="Times New Roman" w:eastAsia="宋体" w:cs="Times New Roman"/>
                <w:color w:val="auto"/>
                <w:sz w:val="24"/>
                <w:szCs w:val="24"/>
                <w:highlight w:val="none"/>
              </w:rPr>
              <w:t xml:space="preserve">--排风罩敞开面的周长，m； </w:t>
            </w:r>
          </w:p>
          <w:p w14:paraId="2873B357">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H--污染源至罩口距离</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rPr>
              <w:t xml:space="preserve">； </w:t>
            </w:r>
          </w:p>
          <w:p w14:paraId="4E0D0FA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mallCaps w:val="0"/>
                <w:color w:val="auto"/>
                <w:spacing w:val="0"/>
                <w:sz w:val="24"/>
                <w:szCs w:val="24"/>
              </w:rPr>
            </w:pPr>
            <w:r>
              <w:rPr>
                <w:rFonts w:hint="default" w:ascii="Times New Roman" w:hAnsi="Times New Roman" w:eastAsia="宋体" w:cs="Times New Roman"/>
                <w:color w:val="auto"/>
                <w:sz w:val="24"/>
                <w:szCs w:val="24"/>
                <w:highlight w:val="none"/>
              </w:rPr>
              <w:t>Vx--操作口空气速度，建议取值 0.25~2.5m/s，本项目取0.</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m/s。</w:t>
            </w:r>
          </w:p>
          <w:p w14:paraId="652136E2">
            <w:pPr>
              <w:widowControl/>
              <w:tabs>
                <w:tab w:val="left" w:pos="585"/>
                <w:tab w:val="left" w:pos="850"/>
                <w:tab w:val="left" w:pos="1275"/>
                <w:tab w:val="left" w:pos="1700"/>
                <w:tab w:val="left" w:pos="2130"/>
                <w:tab w:val="left" w:pos="2550"/>
                <w:tab w:val="left" w:pos="3195"/>
                <w:tab w:val="left" w:pos="3400"/>
                <w:tab w:val="left" w:pos="3825"/>
                <w:tab w:val="left" w:pos="4250"/>
                <w:tab w:val="left" w:pos="4890"/>
                <w:tab w:val="left" w:pos="6566"/>
              </w:tabs>
              <w:ind w:firstLine="420"/>
              <w:rPr>
                <w:rFonts w:hint="eastAsia"/>
                <w:color w:val="auto"/>
                <w:sz w:val="24"/>
                <w:szCs w:val="24"/>
                <w:lang w:bidi="ar"/>
              </w:rPr>
            </w:pPr>
            <w:r>
              <w:rPr>
                <w:rFonts w:hint="eastAsia"/>
                <w:color w:val="auto"/>
                <w:sz w:val="24"/>
                <w:szCs w:val="24"/>
                <w:lang w:bidi="ar"/>
              </w:rPr>
              <w:t>本项目废气收集系统情况如下表所示：</w:t>
            </w:r>
            <w:bookmarkEnd w:id="14"/>
          </w:p>
          <w:p w14:paraId="42B1B021">
            <w:pPr>
              <w:spacing w:line="240" w:lineRule="auto"/>
              <w:ind w:firstLine="0" w:firstLineChars="0"/>
              <w:jc w:val="center"/>
              <w:rPr>
                <w:b/>
                <w:bCs/>
                <w:color w:val="auto"/>
                <w:sz w:val="21"/>
                <w:szCs w:val="21"/>
              </w:rPr>
            </w:pPr>
            <w:r>
              <w:rPr>
                <w:b/>
                <w:bCs/>
                <w:color w:val="auto"/>
                <w:sz w:val="21"/>
                <w:szCs w:val="21"/>
              </w:rPr>
              <w:t>表4</w:t>
            </w:r>
            <w:r>
              <w:rPr>
                <w:rFonts w:hint="eastAsia"/>
                <w:b/>
                <w:bCs/>
                <w:color w:val="auto"/>
                <w:sz w:val="21"/>
                <w:szCs w:val="21"/>
                <w:lang w:val="en-US" w:eastAsia="zh-CN"/>
              </w:rPr>
              <w:t>.2</w:t>
            </w:r>
            <w:r>
              <w:rPr>
                <w:rFonts w:hint="eastAsia"/>
                <w:b/>
                <w:bCs/>
                <w:color w:val="auto"/>
                <w:sz w:val="21"/>
                <w:szCs w:val="21"/>
              </w:rPr>
              <w:t>-</w:t>
            </w:r>
            <w:r>
              <w:rPr>
                <w:rFonts w:hint="eastAsia"/>
                <w:b/>
                <w:bCs/>
                <w:color w:val="auto"/>
                <w:sz w:val="21"/>
                <w:szCs w:val="21"/>
                <w:lang w:val="en-US" w:eastAsia="zh-CN"/>
              </w:rPr>
              <w:t>5</w:t>
            </w:r>
            <w:r>
              <w:rPr>
                <w:rFonts w:hint="eastAsia"/>
                <w:b/>
                <w:bCs/>
                <w:color w:val="auto"/>
                <w:sz w:val="21"/>
                <w:szCs w:val="21"/>
              </w:rPr>
              <w:t xml:space="preserve">  本项目废气收集系统情况</w:t>
            </w:r>
          </w:p>
          <w:tbl>
            <w:tblPr>
              <w:tblStyle w:val="17"/>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33"/>
              <w:gridCol w:w="1382"/>
              <w:gridCol w:w="1323"/>
              <w:gridCol w:w="909"/>
              <w:gridCol w:w="2592"/>
              <w:gridCol w:w="939"/>
              <w:gridCol w:w="939"/>
            </w:tblGrid>
            <w:tr w14:paraId="52F1AF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15" w:type="pct"/>
                  <w:noWrap w:val="0"/>
                  <w:vAlign w:val="center"/>
                </w:tcPr>
                <w:p w14:paraId="7F9FD50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lang w:val="en-US"/>
                    </w:rPr>
                  </w:pPr>
                  <w:r>
                    <w:rPr>
                      <w:rFonts w:hint="eastAsia" w:ascii="Times New Roman" w:hAnsi="Times New Roman" w:eastAsia="宋体" w:cs="Times New Roman"/>
                      <w:b/>
                      <w:color w:val="auto"/>
                      <w:sz w:val="21"/>
                      <w:szCs w:val="21"/>
                      <w:highlight w:val="none"/>
                      <w:lang w:val="en-US" w:eastAsia="zh-CN"/>
                    </w:rPr>
                    <w:t>废气种类</w:t>
                  </w:r>
                </w:p>
              </w:tc>
              <w:tc>
                <w:tcPr>
                  <w:tcW w:w="749" w:type="pct"/>
                  <w:noWrap w:val="0"/>
                  <w:vAlign w:val="center"/>
                </w:tcPr>
                <w:p w14:paraId="6121BCA9">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产污设备数量（台/套）</w:t>
                  </w:r>
                </w:p>
              </w:tc>
              <w:tc>
                <w:tcPr>
                  <w:tcW w:w="717" w:type="pct"/>
                  <w:noWrap w:val="0"/>
                  <w:vAlign w:val="center"/>
                </w:tcPr>
                <w:p w14:paraId="49896EC2">
                  <w:pPr>
                    <w:pStyle w:val="2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收集方式</w:t>
                  </w:r>
                </w:p>
              </w:tc>
              <w:tc>
                <w:tcPr>
                  <w:tcW w:w="493" w:type="pct"/>
                  <w:noWrap w:val="0"/>
                  <w:vAlign w:val="center"/>
                </w:tcPr>
                <w:p w14:paraId="04B6232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处理对象</w:t>
                  </w:r>
                </w:p>
              </w:tc>
              <w:tc>
                <w:tcPr>
                  <w:tcW w:w="1405" w:type="pct"/>
                  <w:noWrap w:val="0"/>
                  <w:vAlign w:val="center"/>
                </w:tcPr>
                <w:p w14:paraId="587E681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计算过程</w:t>
                  </w:r>
                </w:p>
              </w:tc>
              <w:tc>
                <w:tcPr>
                  <w:tcW w:w="509" w:type="pct"/>
                  <w:noWrap w:val="0"/>
                  <w:vAlign w:val="center"/>
                </w:tcPr>
                <w:p w14:paraId="6C7CA3B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核算风量（m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/h）</w:t>
                  </w:r>
                </w:p>
              </w:tc>
              <w:tc>
                <w:tcPr>
                  <w:tcW w:w="509" w:type="pct"/>
                  <w:noWrap w:val="0"/>
                  <w:vAlign w:val="center"/>
                </w:tcPr>
                <w:p w14:paraId="6568F31F">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color w:val="auto"/>
                      <w:sz w:val="21"/>
                      <w:szCs w:val="21"/>
                      <w:highlight w:val="none"/>
                      <w:lang w:val="en-US" w:eastAsia="zh-CN"/>
                    </w:rPr>
                  </w:pPr>
                  <w:r>
                    <w:rPr>
                      <w:rFonts w:hint="eastAsia" w:cs="Times New Roman"/>
                      <w:b/>
                      <w:color w:val="auto"/>
                      <w:sz w:val="21"/>
                      <w:szCs w:val="21"/>
                      <w:highlight w:val="none"/>
                      <w:lang w:val="en-US" w:eastAsia="zh-CN"/>
                    </w:rPr>
                    <w:t>设计风量</w:t>
                  </w:r>
                  <w:r>
                    <w:rPr>
                      <w:rFonts w:hint="default" w:ascii="Times New Roman" w:hAnsi="Times New Roman" w:eastAsia="宋体" w:cs="Times New Roman"/>
                      <w:b/>
                      <w:color w:val="auto"/>
                      <w:sz w:val="21"/>
                      <w:szCs w:val="21"/>
                      <w:highlight w:val="none"/>
                    </w:rPr>
                    <w:t>（m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/h）</w:t>
                  </w:r>
                </w:p>
              </w:tc>
            </w:tr>
            <w:tr w14:paraId="33C95B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5" w:type="pct"/>
                  <w:noWrap w:val="0"/>
                  <w:vAlign w:val="center"/>
                </w:tcPr>
                <w:p w14:paraId="50520B0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注塑</w:t>
                  </w:r>
                  <w:r>
                    <w:rPr>
                      <w:rFonts w:hint="eastAsia" w:ascii="Times New Roman" w:hAnsi="Times New Roman" w:eastAsia="宋体" w:cs="Times New Roman"/>
                      <w:b w:val="0"/>
                      <w:bCs w:val="0"/>
                      <w:color w:val="auto"/>
                      <w:sz w:val="21"/>
                      <w:szCs w:val="21"/>
                      <w:highlight w:val="none"/>
                      <w:lang w:val="en-US" w:eastAsia="zh-CN"/>
                    </w:rPr>
                    <w:t>废气</w:t>
                  </w:r>
                </w:p>
              </w:tc>
              <w:tc>
                <w:tcPr>
                  <w:tcW w:w="749" w:type="pct"/>
                  <w:noWrap w:val="0"/>
                  <w:vAlign w:val="center"/>
                </w:tcPr>
                <w:p w14:paraId="0FB8590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25</w:t>
                  </w:r>
                </w:p>
              </w:tc>
              <w:tc>
                <w:tcPr>
                  <w:tcW w:w="717" w:type="pct"/>
                  <w:noWrap w:val="0"/>
                  <w:vAlign w:val="center"/>
                </w:tcPr>
                <w:p w14:paraId="012A1A46">
                  <w:pPr>
                    <w:pStyle w:val="2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集气罩收集</w:t>
                  </w:r>
                </w:p>
              </w:tc>
              <w:tc>
                <w:tcPr>
                  <w:tcW w:w="493" w:type="pct"/>
                  <w:noWrap w:val="0"/>
                  <w:vAlign w:val="center"/>
                </w:tcPr>
                <w:p w14:paraId="67EB2878">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非甲烷总烃</w:t>
                  </w:r>
                </w:p>
              </w:tc>
              <w:tc>
                <w:tcPr>
                  <w:tcW w:w="1405" w:type="pct"/>
                  <w:noWrap w:val="0"/>
                  <w:vAlign w:val="center"/>
                </w:tcPr>
                <w:p w14:paraId="470D9C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smallCaps w:val="0"/>
                      <w:color w:val="auto"/>
                      <w:spacing w:val="0"/>
                      <w:sz w:val="21"/>
                      <w:szCs w:val="21"/>
                      <w:lang w:val="en-US" w:eastAsia="zh-CN"/>
                    </w:rPr>
                    <w:t>Q=1.3*</w:t>
                  </w:r>
                  <w:r>
                    <w:rPr>
                      <w:rFonts w:hint="eastAsia" w:cs="Times New Roman"/>
                      <w:smallCaps w:val="0"/>
                      <w:color w:val="auto"/>
                      <w:spacing w:val="0"/>
                      <w:sz w:val="21"/>
                      <w:szCs w:val="21"/>
                      <w:lang w:val="en-US" w:eastAsia="zh-CN"/>
                    </w:rPr>
                    <w:t>1.5</w:t>
                  </w:r>
                  <w:r>
                    <w:rPr>
                      <w:rFonts w:hint="default" w:ascii="Times New Roman" w:hAnsi="Times New Roman" w:eastAsia="宋体" w:cs="Times New Roman"/>
                      <w:smallCaps w:val="0"/>
                      <w:color w:val="auto"/>
                      <w:spacing w:val="0"/>
                      <w:sz w:val="21"/>
                      <w:szCs w:val="21"/>
                      <w:lang w:val="en-US" w:eastAsia="zh-CN"/>
                    </w:rPr>
                    <w:t>*0.</w:t>
                  </w:r>
                  <w:r>
                    <w:rPr>
                      <w:rFonts w:hint="eastAsia" w:cs="Times New Roman"/>
                      <w:smallCaps w:val="0"/>
                      <w:color w:val="auto"/>
                      <w:spacing w:val="0"/>
                      <w:sz w:val="21"/>
                      <w:szCs w:val="21"/>
                      <w:lang w:val="en-US" w:eastAsia="zh-CN"/>
                    </w:rPr>
                    <w:t>2</w:t>
                  </w:r>
                  <w:r>
                    <w:rPr>
                      <w:rFonts w:hint="default" w:ascii="Times New Roman" w:hAnsi="Times New Roman" w:eastAsia="宋体" w:cs="Times New Roman"/>
                      <w:smallCaps w:val="0"/>
                      <w:color w:val="auto"/>
                      <w:spacing w:val="0"/>
                      <w:sz w:val="21"/>
                      <w:szCs w:val="21"/>
                      <w:lang w:val="en-US" w:eastAsia="zh-CN"/>
                    </w:rPr>
                    <w:t>*0.</w:t>
                  </w:r>
                  <w:r>
                    <w:rPr>
                      <w:rFonts w:hint="eastAsia" w:ascii="Times New Roman" w:hAnsi="Times New Roman" w:eastAsia="宋体" w:cs="Times New Roman"/>
                      <w:smallCaps w:val="0"/>
                      <w:color w:val="auto"/>
                      <w:spacing w:val="0"/>
                      <w:sz w:val="21"/>
                      <w:szCs w:val="21"/>
                      <w:lang w:val="en-US" w:eastAsia="zh-CN"/>
                    </w:rPr>
                    <w:t>3</w:t>
                  </w:r>
                  <w:r>
                    <w:rPr>
                      <w:rFonts w:hint="default" w:ascii="Times New Roman" w:hAnsi="Times New Roman" w:eastAsia="宋体" w:cs="Times New Roman"/>
                      <w:smallCaps w:val="0"/>
                      <w:color w:val="auto"/>
                      <w:spacing w:val="0"/>
                      <w:sz w:val="21"/>
                      <w:szCs w:val="21"/>
                      <w:lang w:val="en-US" w:eastAsia="zh-CN"/>
                    </w:rPr>
                    <w:t>*</w:t>
                  </w:r>
                  <w:r>
                    <w:rPr>
                      <w:rFonts w:hint="eastAsia" w:cs="Times New Roman"/>
                      <w:smallCaps w:val="0"/>
                      <w:color w:val="auto"/>
                      <w:spacing w:val="0"/>
                      <w:sz w:val="21"/>
                      <w:szCs w:val="21"/>
                      <w:lang w:val="en-US" w:eastAsia="zh-CN"/>
                    </w:rPr>
                    <w:t>25</w:t>
                  </w:r>
                  <w:r>
                    <w:rPr>
                      <w:rFonts w:hint="default" w:ascii="Times New Roman" w:hAnsi="Times New Roman" w:eastAsia="宋体" w:cs="Times New Roman"/>
                      <w:smallCaps w:val="0"/>
                      <w:color w:val="auto"/>
                      <w:spacing w:val="0"/>
                      <w:sz w:val="21"/>
                      <w:szCs w:val="21"/>
                      <w:lang w:val="en-US" w:eastAsia="zh-CN"/>
                    </w:rPr>
                    <w:t>*3600</w:t>
                  </w:r>
                </w:p>
              </w:tc>
              <w:tc>
                <w:tcPr>
                  <w:tcW w:w="509" w:type="pct"/>
                  <w:noWrap w:val="0"/>
                  <w:vAlign w:val="center"/>
                </w:tcPr>
                <w:p w14:paraId="7B25BB0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10530</w:t>
                  </w:r>
                </w:p>
              </w:tc>
              <w:tc>
                <w:tcPr>
                  <w:tcW w:w="509" w:type="pct"/>
                  <w:vMerge w:val="restart"/>
                  <w:noWrap w:val="0"/>
                  <w:vAlign w:val="center"/>
                </w:tcPr>
                <w:p w14:paraId="571D286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14000</w:t>
                  </w:r>
                </w:p>
              </w:tc>
            </w:tr>
            <w:tr w14:paraId="2F4308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5" w:type="pct"/>
                  <w:noWrap w:val="0"/>
                  <w:vAlign w:val="center"/>
                </w:tcPr>
                <w:p w14:paraId="17F02CA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打印废气</w:t>
                  </w:r>
                </w:p>
              </w:tc>
              <w:tc>
                <w:tcPr>
                  <w:tcW w:w="749" w:type="pct"/>
                  <w:noWrap w:val="0"/>
                  <w:vAlign w:val="center"/>
                </w:tcPr>
                <w:p w14:paraId="16074C0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717" w:type="pct"/>
                  <w:shd w:val="clear" w:color="auto" w:fill="auto"/>
                  <w:noWrap w:val="0"/>
                  <w:vAlign w:val="center"/>
                </w:tcPr>
                <w:p w14:paraId="5CEFE3D6">
                  <w:pPr>
                    <w:pStyle w:val="2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集气罩收集</w:t>
                  </w:r>
                </w:p>
              </w:tc>
              <w:tc>
                <w:tcPr>
                  <w:tcW w:w="493" w:type="pct"/>
                  <w:shd w:val="clear" w:color="auto" w:fill="auto"/>
                  <w:noWrap w:val="0"/>
                  <w:vAlign w:val="center"/>
                </w:tcPr>
                <w:p w14:paraId="0C28E854">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非甲烷总烃</w:t>
                  </w:r>
                </w:p>
              </w:tc>
              <w:tc>
                <w:tcPr>
                  <w:tcW w:w="1405" w:type="pct"/>
                  <w:noWrap w:val="0"/>
                  <w:vAlign w:val="center"/>
                </w:tcPr>
                <w:p w14:paraId="7855A7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auto"/>
                      <w:spacing w:val="0"/>
                      <w:sz w:val="21"/>
                      <w:szCs w:val="21"/>
                      <w:lang w:val="en-US" w:eastAsia="zh-CN"/>
                    </w:rPr>
                  </w:pPr>
                  <w:r>
                    <w:rPr>
                      <w:rFonts w:hint="default" w:ascii="Times New Roman" w:hAnsi="Times New Roman" w:eastAsia="宋体" w:cs="Times New Roman"/>
                      <w:smallCaps w:val="0"/>
                      <w:color w:val="auto"/>
                      <w:spacing w:val="0"/>
                      <w:sz w:val="21"/>
                      <w:szCs w:val="21"/>
                      <w:lang w:val="en-US" w:eastAsia="zh-CN"/>
                    </w:rPr>
                    <w:t>Q=1.3*</w:t>
                  </w:r>
                  <w:r>
                    <w:rPr>
                      <w:rFonts w:hint="eastAsia" w:cs="Times New Roman"/>
                      <w:smallCaps w:val="0"/>
                      <w:color w:val="auto"/>
                      <w:spacing w:val="0"/>
                      <w:sz w:val="21"/>
                      <w:szCs w:val="21"/>
                      <w:lang w:val="en-US" w:eastAsia="zh-CN"/>
                    </w:rPr>
                    <w:t>2</w:t>
                  </w:r>
                  <w:r>
                    <w:rPr>
                      <w:rFonts w:hint="default" w:ascii="Times New Roman" w:hAnsi="Times New Roman" w:eastAsia="宋体" w:cs="Times New Roman"/>
                      <w:smallCaps w:val="0"/>
                      <w:color w:val="auto"/>
                      <w:spacing w:val="0"/>
                      <w:sz w:val="21"/>
                      <w:szCs w:val="21"/>
                      <w:lang w:val="en-US" w:eastAsia="zh-CN"/>
                    </w:rPr>
                    <w:t>*0.</w:t>
                  </w:r>
                  <w:r>
                    <w:rPr>
                      <w:rFonts w:hint="eastAsia" w:cs="Times New Roman"/>
                      <w:smallCaps w:val="0"/>
                      <w:color w:val="auto"/>
                      <w:spacing w:val="0"/>
                      <w:sz w:val="21"/>
                      <w:szCs w:val="21"/>
                      <w:lang w:val="en-US" w:eastAsia="zh-CN"/>
                    </w:rPr>
                    <w:t>3</w:t>
                  </w:r>
                  <w:r>
                    <w:rPr>
                      <w:rFonts w:hint="default" w:ascii="Times New Roman" w:hAnsi="Times New Roman" w:eastAsia="宋体" w:cs="Times New Roman"/>
                      <w:smallCaps w:val="0"/>
                      <w:color w:val="auto"/>
                      <w:spacing w:val="0"/>
                      <w:sz w:val="21"/>
                      <w:szCs w:val="21"/>
                      <w:lang w:val="en-US" w:eastAsia="zh-CN"/>
                    </w:rPr>
                    <w:t>*0.</w:t>
                  </w:r>
                  <w:r>
                    <w:rPr>
                      <w:rFonts w:hint="eastAsia" w:ascii="Times New Roman" w:hAnsi="Times New Roman" w:eastAsia="宋体" w:cs="Times New Roman"/>
                      <w:smallCaps w:val="0"/>
                      <w:color w:val="auto"/>
                      <w:spacing w:val="0"/>
                      <w:sz w:val="21"/>
                      <w:szCs w:val="21"/>
                      <w:lang w:val="en-US" w:eastAsia="zh-CN"/>
                    </w:rPr>
                    <w:t>3</w:t>
                  </w:r>
                  <w:r>
                    <w:rPr>
                      <w:rFonts w:hint="default" w:ascii="Times New Roman" w:hAnsi="Times New Roman" w:eastAsia="宋体" w:cs="Times New Roman"/>
                      <w:smallCaps w:val="0"/>
                      <w:color w:val="auto"/>
                      <w:spacing w:val="0"/>
                      <w:sz w:val="21"/>
                      <w:szCs w:val="21"/>
                      <w:lang w:val="en-US" w:eastAsia="zh-CN"/>
                    </w:rPr>
                    <w:t>*</w:t>
                  </w:r>
                  <w:r>
                    <w:rPr>
                      <w:rFonts w:hint="eastAsia" w:cs="Times New Roman"/>
                      <w:smallCaps w:val="0"/>
                      <w:color w:val="auto"/>
                      <w:spacing w:val="0"/>
                      <w:sz w:val="21"/>
                      <w:szCs w:val="21"/>
                      <w:lang w:val="en-US" w:eastAsia="zh-CN"/>
                    </w:rPr>
                    <w:t>1</w:t>
                  </w:r>
                  <w:r>
                    <w:rPr>
                      <w:rFonts w:hint="default" w:ascii="Times New Roman" w:hAnsi="Times New Roman" w:eastAsia="宋体" w:cs="Times New Roman"/>
                      <w:smallCaps w:val="0"/>
                      <w:color w:val="auto"/>
                      <w:spacing w:val="0"/>
                      <w:sz w:val="21"/>
                      <w:szCs w:val="21"/>
                      <w:lang w:val="en-US" w:eastAsia="zh-CN"/>
                    </w:rPr>
                    <w:t>*3600</w:t>
                  </w:r>
                </w:p>
              </w:tc>
              <w:tc>
                <w:tcPr>
                  <w:tcW w:w="509" w:type="pct"/>
                  <w:noWrap w:val="0"/>
                  <w:vAlign w:val="center"/>
                </w:tcPr>
                <w:p w14:paraId="33A485F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842.4</w:t>
                  </w:r>
                </w:p>
              </w:tc>
              <w:tc>
                <w:tcPr>
                  <w:tcW w:w="509" w:type="pct"/>
                  <w:vMerge w:val="continue"/>
                  <w:noWrap w:val="0"/>
                  <w:vAlign w:val="center"/>
                </w:tcPr>
                <w:p w14:paraId="57142089">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21"/>
                      <w:szCs w:val="21"/>
                      <w:highlight w:val="none"/>
                      <w:lang w:val="en-US" w:eastAsia="zh-CN"/>
                    </w:rPr>
                  </w:pPr>
                </w:p>
              </w:tc>
            </w:tr>
          </w:tbl>
          <w:p w14:paraId="057B29AB">
            <w:pPr>
              <w:keepNext w:val="0"/>
              <w:keepLines w:val="0"/>
              <w:pageBreakBefore w:val="0"/>
              <w:widowControl w:val="0"/>
              <w:kinsoku/>
              <w:wordWrap/>
              <w:overflowPunct/>
              <w:topLinePunct w:val="0"/>
              <w:autoSpaceDE/>
              <w:autoSpaceDN/>
              <w:bidi w:val="0"/>
              <w:adjustRightInd/>
              <w:snapToGrid/>
              <w:ind w:firstLine="480" w:firstLineChars="200"/>
              <w:textAlignment w:val="auto"/>
              <w:rPr>
                <w:b/>
                <w:bCs/>
                <w:color w:val="auto"/>
                <w:sz w:val="24"/>
                <w:szCs w:val="24"/>
              </w:rPr>
            </w:pPr>
            <w:r>
              <w:rPr>
                <w:rFonts w:hint="eastAsia" w:ascii="Times New Roman" w:hAnsi="Times New Roman" w:eastAsia="宋体" w:cs="Times New Roman"/>
                <w:b w:val="0"/>
                <w:bCs/>
                <w:color w:val="auto"/>
                <w:spacing w:val="0"/>
                <w:sz w:val="24"/>
                <w:szCs w:val="24"/>
                <w:highlight w:val="none"/>
                <w:lang w:val="en-US" w:eastAsia="zh-CN"/>
              </w:rPr>
              <w:t>由上表可知，计算得出的风量为</w:t>
            </w:r>
            <w:r>
              <w:rPr>
                <w:rFonts w:hint="eastAsia" w:cs="Times New Roman"/>
                <w:b w:val="0"/>
                <w:bCs/>
                <w:color w:val="auto"/>
                <w:spacing w:val="0"/>
                <w:sz w:val="24"/>
                <w:szCs w:val="24"/>
                <w:highlight w:val="none"/>
                <w:lang w:val="en-US" w:eastAsia="zh-CN"/>
              </w:rPr>
              <w:t>11372.4</w:t>
            </w:r>
            <w:r>
              <w:rPr>
                <w:rFonts w:hint="eastAsia" w:ascii="Times New Roman" w:hAnsi="Times New Roman" w:eastAsia="宋体" w:cs="Times New Roman"/>
                <w:b w:val="0"/>
                <w:bCs/>
                <w:color w:val="auto"/>
                <w:spacing w:val="0"/>
                <w:sz w:val="24"/>
                <w:szCs w:val="24"/>
                <w:highlight w:val="none"/>
                <w:lang w:val="en-US" w:eastAsia="zh-CN"/>
              </w:rPr>
              <w:t>m</w:t>
            </w:r>
            <w:r>
              <w:rPr>
                <w:rFonts w:hint="eastAsia" w:cs="Times New Roman"/>
                <w:b w:val="0"/>
                <w:bCs/>
                <w:color w:val="auto"/>
                <w:spacing w:val="0"/>
                <w:sz w:val="24"/>
                <w:szCs w:val="24"/>
                <w:highlight w:val="none"/>
                <w:lang w:val="en-US" w:eastAsia="zh-CN"/>
              </w:rPr>
              <w:t>³</w:t>
            </w:r>
            <w:r>
              <w:rPr>
                <w:rFonts w:hint="eastAsia" w:ascii="Times New Roman" w:hAnsi="Times New Roman" w:eastAsia="宋体" w:cs="Times New Roman"/>
                <w:b w:val="0"/>
                <w:bCs/>
                <w:color w:val="auto"/>
                <w:spacing w:val="0"/>
                <w:sz w:val="24"/>
                <w:szCs w:val="24"/>
                <w:highlight w:val="none"/>
                <w:lang w:val="en-US" w:eastAsia="zh-CN"/>
              </w:rPr>
              <w:t>/h，考虑到风管压损</w:t>
            </w:r>
            <w:r>
              <w:rPr>
                <w:rFonts w:hint="eastAsia" w:cs="Times New Roman"/>
                <w:b w:val="0"/>
                <w:bCs/>
                <w:color w:val="auto"/>
                <w:spacing w:val="0"/>
                <w:sz w:val="24"/>
                <w:szCs w:val="24"/>
                <w:highlight w:val="none"/>
                <w:lang w:val="en-US" w:eastAsia="zh-CN"/>
              </w:rPr>
              <w:t>，</w:t>
            </w:r>
            <w:r>
              <w:rPr>
                <w:rFonts w:hint="eastAsia" w:ascii="Times New Roman" w:hAnsi="Times New Roman" w:eastAsia="宋体" w:cs="Times New Roman"/>
                <w:b w:val="0"/>
                <w:bCs/>
                <w:color w:val="auto"/>
                <w:spacing w:val="0"/>
                <w:sz w:val="24"/>
                <w:szCs w:val="24"/>
                <w:highlight w:val="none"/>
                <w:lang w:val="en-US" w:eastAsia="zh-CN"/>
              </w:rPr>
              <w:t>本项目设计风量为</w:t>
            </w:r>
            <w:r>
              <w:rPr>
                <w:rFonts w:hint="eastAsia" w:cs="Times New Roman"/>
                <w:b w:val="0"/>
                <w:bCs/>
                <w:color w:val="auto"/>
                <w:spacing w:val="0"/>
                <w:sz w:val="24"/>
                <w:szCs w:val="24"/>
                <w:highlight w:val="none"/>
                <w:lang w:val="en-US" w:eastAsia="zh-CN"/>
              </w:rPr>
              <w:t>140</w:t>
            </w:r>
            <w:r>
              <w:rPr>
                <w:rFonts w:hint="eastAsia" w:ascii="Times New Roman" w:hAnsi="Times New Roman" w:eastAsia="宋体" w:cs="Times New Roman"/>
                <w:b w:val="0"/>
                <w:bCs/>
                <w:color w:val="auto"/>
                <w:spacing w:val="0"/>
                <w:sz w:val="24"/>
                <w:szCs w:val="24"/>
                <w:highlight w:val="none"/>
                <w:lang w:val="en-US" w:eastAsia="zh-CN"/>
              </w:rPr>
              <w:t>00m</w:t>
            </w:r>
            <w:r>
              <w:rPr>
                <w:rFonts w:hint="eastAsia" w:cs="Times New Roman"/>
                <w:b w:val="0"/>
                <w:bCs/>
                <w:color w:val="auto"/>
                <w:spacing w:val="0"/>
                <w:sz w:val="24"/>
                <w:szCs w:val="24"/>
                <w:highlight w:val="none"/>
                <w:lang w:val="en-US" w:eastAsia="zh-CN"/>
              </w:rPr>
              <w:t>³</w:t>
            </w:r>
            <w:r>
              <w:rPr>
                <w:rFonts w:hint="eastAsia" w:ascii="Times New Roman" w:hAnsi="Times New Roman" w:eastAsia="宋体" w:cs="Times New Roman"/>
                <w:b w:val="0"/>
                <w:bCs/>
                <w:color w:val="auto"/>
                <w:spacing w:val="0"/>
                <w:sz w:val="24"/>
                <w:szCs w:val="24"/>
                <w:highlight w:val="none"/>
                <w:lang w:val="en-US" w:eastAsia="zh-CN"/>
              </w:rPr>
              <w:t>/h，能够满足该吸风要求</w:t>
            </w:r>
            <w:r>
              <w:rPr>
                <w:rFonts w:hint="default" w:ascii="Times New Roman" w:hAnsi="Times New Roman" w:eastAsia="宋体" w:cs="Times New Roman"/>
                <w:b w:val="0"/>
                <w:bCs/>
                <w:color w:val="auto"/>
                <w:spacing w:val="0"/>
                <w:sz w:val="24"/>
                <w:szCs w:val="24"/>
                <w:highlight w:val="none"/>
                <w:lang w:eastAsia="zh-CN"/>
              </w:rPr>
              <w:t>。</w:t>
            </w:r>
            <w:r>
              <w:rPr>
                <w:rFonts w:hint="default" w:ascii="Times New Roman" w:hAnsi="Times New Roman" w:eastAsia="宋体" w:cs="Times New Roman"/>
                <w:b w:val="0"/>
                <w:bCs/>
                <w:color w:val="auto"/>
                <w:spacing w:val="0"/>
                <w:sz w:val="24"/>
                <w:szCs w:val="24"/>
                <w:highlight w:val="none"/>
              </w:rPr>
              <w:t>该废气收集系统符合《重点行业挥发性有机物综合治理方案》对控制风速的要求（≥0.3m/s），风量设计合理。</w:t>
            </w:r>
          </w:p>
          <w:p w14:paraId="059586E3">
            <w:pPr>
              <w:ind w:firstLine="0" w:firstLineChars="0"/>
              <w:rPr>
                <w:b/>
                <w:bCs/>
                <w:color w:val="auto"/>
                <w:sz w:val="24"/>
                <w:szCs w:val="24"/>
              </w:rPr>
            </w:pPr>
            <w:r>
              <w:rPr>
                <w:b/>
                <w:bCs/>
                <w:color w:val="auto"/>
                <w:sz w:val="24"/>
                <w:szCs w:val="24"/>
              </w:rPr>
              <w:t>2.2.1.</w:t>
            </w:r>
            <w:r>
              <w:rPr>
                <w:rFonts w:hint="eastAsia"/>
                <w:b/>
                <w:bCs/>
                <w:color w:val="auto"/>
                <w:sz w:val="24"/>
                <w:szCs w:val="24"/>
              </w:rPr>
              <w:t>2</w:t>
            </w:r>
            <w:r>
              <w:rPr>
                <w:rFonts w:hint="eastAsia"/>
                <w:b/>
                <w:bCs/>
                <w:color w:val="auto"/>
                <w:sz w:val="24"/>
                <w:szCs w:val="24"/>
                <w:lang w:val="en-US" w:eastAsia="zh-CN"/>
              </w:rPr>
              <w:t>废气</w:t>
            </w:r>
            <w:r>
              <w:rPr>
                <w:b/>
                <w:bCs/>
                <w:color w:val="auto"/>
                <w:sz w:val="24"/>
                <w:szCs w:val="24"/>
              </w:rPr>
              <w:t>治理措施</w:t>
            </w:r>
          </w:p>
          <w:p w14:paraId="3026BEB1">
            <w:pPr>
              <w:widowControl/>
              <w:tabs>
                <w:tab w:val="left" w:pos="585"/>
                <w:tab w:val="left" w:pos="850"/>
                <w:tab w:val="left" w:pos="1275"/>
                <w:tab w:val="left" w:pos="1700"/>
                <w:tab w:val="left" w:pos="2130"/>
                <w:tab w:val="left" w:pos="2550"/>
                <w:tab w:val="left" w:pos="3195"/>
                <w:tab w:val="left" w:pos="3400"/>
                <w:tab w:val="left" w:pos="3825"/>
                <w:tab w:val="left" w:pos="4250"/>
                <w:tab w:val="left" w:pos="4890"/>
                <w:tab w:val="left" w:pos="6566"/>
              </w:tabs>
              <w:ind w:firstLine="420"/>
              <w:rPr>
                <w:color w:val="auto"/>
                <w:sz w:val="24"/>
                <w:szCs w:val="24"/>
                <w:lang w:bidi="ar"/>
              </w:rPr>
            </w:pPr>
            <w:r>
              <w:rPr>
                <w:color w:val="auto"/>
                <w:sz w:val="24"/>
                <w:szCs w:val="24"/>
                <w:lang w:bidi="ar"/>
              </w:rPr>
              <w:t>本项目废气的净化措施</w:t>
            </w:r>
            <w:r>
              <w:rPr>
                <w:rFonts w:hint="eastAsia"/>
                <w:color w:val="auto"/>
                <w:sz w:val="24"/>
                <w:szCs w:val="24"/>
                <w:lang w:val="en-US" w:eastAsia="zh-CN" w:bidi="ar"/>
              </w:rPr>
              <w:t>主要为设备自带布袋除尘器、移动式除尘器和二级活性炭吸附装置</w:t>
            </w:r>
            <w:r>
              <w:rPr>
                <w:color w:val="auto"/>
                <w:sz w:val="24"/>
                <w:szCs w:val="24"/>
                <w:lang w:bidi="ar"/>
              </w:rPr>
              <w:t>。</w:t>
            </w:r>
          </w:p>
          <w:p w14:paraId="754E4039">
            <w:pPr>
              <w:numPr>
                <w:ilvl w:val="0"/>
                <w:numId w:val="5"/>
              </w:numPr>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设备自带布袋除尘器</w:t>
            </w:r>
          </w:p>
          <w:p w14:paraId="03CECC0C">
            <w:pPr>
              <w:numPr>
                <w:ilvl w:val="-1"/>
                <w:numId w:val="0"/>
              </w:numPr>
              <w:ind w:firstLine="480" w:firstLineChars="200"/>
              <w:rPr>
                <w:rFonts w:hint="eastAsia" w:cs="Times New Roman"/>
                <w:b w:val="0"/>
                <w:bCs w:val="0"/>
                <w:color w:val="auto"/>
                <w:sz w:val="24"/>
                <w:szCs w:val="24"/>
                <w:lang w:val="en-US" w:eastAsia="zh-CN"/>
              </w:rPr>
            </w:pPr>
            <w:r>
              <w:rPr>
                <w:rFonts w:hint="eastAsia"/>
                <w:color w:val="auto"/>
                <w:sz w:val="24"/>
                <w:szCs w:val="24"/>
              </w:rPr>
              <w:t>项目采用</w:t>
            </w:r>
            <w:r>
              <w:rPr>
                <w:rFonts w:hint="eastAsia"/>
                <w:color w:val="auto"/>
                <w:sz w:val="24"/>
                <w:szCs w:val="24"/>
                <w:lang w:val="en-US" w:eastAsia="zh-CN"/>
              </w:rPr>
              <w:t>设备自带</w:t>
            </w:r>
            <w:r>
              <w:rPr>
                <w:rFonts w:hint="eastAsia"/>
                <w:color w:val="auto"/>
                <w:sz w:val="24"/>
                <w:szCs w:val="24"/>
              </w:rPr>
              <w:t>布袋除尘器，该装置利用纤维织物的过滤作用对含尘气体进行过滤，当含尘气体进入布袋除尘器，颗粒大、比重大的粉尘，由于重力的作用沉降下来，落入灰斗，含有较细小粉尘的气体在通过滤料时，粉尘被阻留，使气体得到净化。一般新滤料的除尘效率是不够高的。滤料使用一段时间后，由于筛滤、碰撞、滞留、扩散、静电等效应，滤袋表面积聚了一层粉尘，这层粉尘称为初层，在此以后的运动过程中，初层成了滤料的主要过滤层，依靠初层的作用，网孔较大的滤料也能获得较高的过滤效率。随着粉尘在滤料表面的积聚，除尘器的效率和阻力都相应地增加，当滤料两侧的压力差很大时，会把有些已附着在滤料上的细小尘粒挤压过去，使除尘器效率下降。另外，除尘器的阻力过高会使除尘系统的风量显著下降。因此，除尘器的阻力达到一定数值后，要及时清灰。清灰时不能破坏初层，以免效率下降。此外，布袋除尘技术成熟，运行稳定，除尘效率高，成本低。此外，企业需加强对环保设施的维护，以确保污染防治措施处理效率达到设计要求，保证污染物的达标排放。因此，项目采取的布袋除尘防治措施在技术上是可行的。</w:t>
            </w:r>
            <w:r>
              <w:rPr>
                <w:rFonts w:hint="default"/>
                <w:color w:val="auto"/>
                <w:sz w:val="24"/>
                <w:szCs w:val="24"/>
              </w:rPr>
              <w:t>除尘效率本报告保守按</w:t>
            </w:r>
            <w:r>
              <w:rPr>
                <w:rFonts w:hint="eastAsia"/>
                <w:color w:val="auto"/>
                <w:sz w:val="24"/>
                <w:szCs w:val="24"/>
                <w:lang w:val="en-US" w:eastAsia="zh-CN"/>
              </w:rPr>
              <w:t>70</w:t>
            </w:r>
            <w:r>
              <w:rPr>
                <w:rFonts w:hint="default"/>
                <w:color w:val="auto"/>
                <w:sz w:val="24"/>
                <w:szCs w:val="24"/>
              </w:rPr>
              <w:t>%计。</w:t>
            </w:r>
          </w:p>
          <w:p w14:paraId="60084314">
            <w:pPr>
              <w:ind w:firstLine="480" w:firstLineChars="200"/>
              <w:rPr>
                <w:rFonts w:hint="default" w:ascii="Times New Roman" w:hAnsi="Times New Roman" w:eastAsia="宋体" w:cs="Times New Roman"/>
                <w:b w:val="0"/>
                <w:bCs w:val="0"/>
                <w:color w:val="auto"/>
                <w:sz w:val="24"/>
                <w:szCs w:val="24"/>
                <w:lang w:eastAsia="zh-CN"/>
              </w:rPr>
            </w:pPr>
            <w:r>
              <w:rPr>
                <w:rFonts w:hint="eastAsia"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val="en-US" w:eastAsia="zh-CN"/>
              </w:rPr>
              <w:t>、</w:t>
            </w:r>
            <w:r>
              <w:rPr>
                <w:rFonts w:hint="eastAsia" w:cs="Times New Roman"/>
                <w:b w:val="0"/>
                <w:bCs w:val="0"/>
                <w:color w:val="auto"/>
                <w:sz w:val="24"/>
                <w:szCs w:val="24"/>
                <w:lang w:val="en-US" w:eastAsia="zh-CN"/>
              </w:rPr>
              <w:t>移动式</w:t>
            </w:r>
            <w:r>
              <w:rPr>
                <w:rFonts w:hint="default" w:ascii="Times New Roman" w:hAnsi="Times New Roman" w:eastAsia="宋体" w:cs="Times New Roman"/>
                <w:b w:val="0"/>
                <w:bCs w:val="0"/>
                <w:color w:val="auto"/>
                <w:sz w:val="24"/>
                <w:szCs w:val="24"/>
                <w:lang w:val="en-US" w:eastAsia="zh-CN"/>
              </w:rPr>
              <w:t>除尘器</w:t>
            </w:r>
          </w:p>
          <w:p w14:paraId="101339C5">
            <w:pPr>
              <w:ind w:firstLine="480" w:firstLineChars="200"/>
              <w:rPr>
                <w:rFonts w:hint="default" w:ascii="Times New Roman" w:hAnsi="Times New Roman" w:eastAsia="宋体" w:cs="Times New Roman"/>
                <w:b w:val="0"/>
                <w:bCs w:val="0"/>
                <w:color w:val="auto"/>
                <w:sz w:val="24"/>
                <w:szCs w:val="24"/>
              </w:rPr>
            </w:pPr>
            <w:r>
              <w:rPr>
                <w:rFonts w:hint="default"/>
                <w:color w:val="auto"/>
                <w:sz w:val="24"/>
                <w:szCs w:val="24"/>
              </w:rPr>
              <w:t>产生的颗粒物由风机负压通过吸尘管道吸入除尘器（净化器）箱体内部，利用重力与上行气流，首先粗颗粒烟尘被除尘滤芯初滤而直接降至集灰斗，微粒烟尘捕集在滤芯外表面，洁净气体经过高效过滤器过滤净化后由风机从出风口排出。移动式除尘器具有噪声低、使用灵活、占地面积小等特点采用活动的可调节的吸尘管，能任意上下、左右调整吸尘位置，从源头开始有效清除烟尘。一体化的高效聚酯覆膜除尘滤芯，亚微米级烟尘过滤，过滤效率高，使用寿命长。除尘效率本报告保守按</w:t>
            </w:r>
            <w:r>
              <w:rPr>
                <w:rFonts w:hint="eastAsia"/>
                <w:color w:val="auto"/>
                <w:sz w:val="24"/>
                <w:szCs w:val="24"/>
                <w:lang w:val="en-US" w:eastAsia="zh-CN"/>
              </w:rPr>
              <w:t>60</w:t>
            </w:r>
            <w:r>
              <w:rPr>
                <w:rFonts w:hint="default"/>
                <w:color w:val="auto"/>
                <w:sz w:val="24"/>
                <w:szCs w:val="24"/>
              </w:rPr>
              <w:t>%计。</w:t>
            </w:r>
          </w:p>
          <w:p w14:paraId="7A096163">
            <w:pPr>
              <w:numPr>
                <w:ilvl w:val="0"/>
                <w:numId w:val="0"/>
              </w:numPr>
              <w:ind w:firstLine="420" w:firstLineChars="200"/>
              <w:rPr>
                <w:rFonts w:hint="eastAsia" w:ascii="Times New Roman" w:hAnsi="Times New Roman" w:eastAsia="宋体" w:cs="Times New Roman"/>
                <w:color w:val="auto"/>
                <w:sz w:val="24"/>
                <w:szCs w:val="24"/>
                <w:lang w:val="en-US" w:eastAsia="zh-CN"/>
              </w:rPr>
            </w:pPr>
            <w:r>
              <w:rPr>
                <w:rFonts w:hint="eastAsia"/>
                <w:color w:val="auto"/>
                <w:lang w:val="en-US" w:eastAsia="zh-CN"/>
              </w:rPr>
              <w:t>3</w:t>
            </w:r>
            <w:r>
              <w:rPr>
                <w:rFonts w:hint="eastAsia"/>
                <w:color w:val="auto"/>
                <w:sz w:val="24"/>
                <w:szCs w:val="24"/>
                <w:lang w:val="en-US" w:eastAsia="zh-CN" w:bidi="ar"/>
              </w:rPr>
              <w:t>、二级活性炭吸附装置</w:t>
            </w:r>
          </w:p>
          <w:p w14:paraId="47D4D813">
            <w:pPr>
              <w:widowControl/>
              <w:tabs>
                <w:tab w:val="left" w:pos="585"/>
                <w:tab w:val="left" w:pos="850"/>
                <w:tab w:val="left" w:pos="1275"/>
                <w:tab w:val="left" w:pos="1700"/>
                <w:tab w:val="left" w:pos="2130"/>
                <w:tab w:val="left" w:pos="2550"/>
                <w:tab w:val="left" w:pos="3195"/>
                <w:tab w:val="left" w:pos="3400"/>
                <w:tab w:val="left" w:pos="3825"/>
                <w:tab w:val="left" w:pos="4250"/>
                <w:tab w:val="left" w:pos="4890"/>
                <w:tab w:val="left" w:pos="6566"/>
              </w:tabs>
              <w:ind w:firstLine="420"/>
              <w:rPr>
                <w:rFonts w:hint="eastAsia"/>
                <w:color w:val="auto"/>
                <w:sz w:val="24"/>
                <w:szCs w:val="24"/>
                <w:lang w:bidi="ar"/>
              </w:rPr>
            </w:pPr>
            <w:r>
              <w:rPr>
                <w:rFonts w:hint="eastAsia"/>
                <w:color w:val="auto"/>
                <w:sz w:val="24"/>
                <w:szCs w:val="24"/>
                <w:lang w:eastAsia="zh-CN" w:bidi="ar"/>
              </w:rPr>
              <w:t>（</w:t>
            </w:r>
            <w:r>
              <w:rPr>
                <w:rFonts w:hint="eastAsia"/>
                <w:color w:val="auto"/>
                <w:sz w:val="24"/>
                <w:szCs w:val="24"/>
                <w:lang w:val="en-US" w:eastAsia="zh-CN" w:bidi="ar"/>
              </w:rPr>
              <w:t>1</w:t>
            </w:r>
            <w:r>
              <w:rPr>
                <w:rFonts w:hint="eastAsia"/>
                <w:color w:val="auto"/>
                <w:sz w:val="24"/>
                <w:szCs w:val="24"/>
                <w:lang w:eastAsia="zh-CN" w:bidi="ar"/>
              </w:rPr>
              <w:t>）</w:t>
            </w:r>
            <w:r>
              <w:rPr>
                <w:rFonts w:hint="eastAsia"/>
                <w:color w:val="auto"/>
                <w:sz w:val="24"/>
                <w:szCs w:val="24"/>
                <w:lang w:bidi="ar"/>
              </w:rPr>
              <w:t>处理工艺</w:t>
            </w:r>
          </w:p>
          <w:p w14:paraId="42E74551">
            <w:pPr>
              <w:ind w:firstLine="480" w:firstLineChars="200"/>
              <w:rPr>
                <w:rFonts w:hint="eastAsia"/>
                <w:b w:val="0"/>
                <w:bCs w:val="0"/>
                <w:color w:val="auto"/>
                <w:sz w:val="24"/>
                <w:szCs w:val="24"/>
              </w:rPr>
            </w:pPr>
            <w:r>
              <w:rPr>
                <w:rFonts w:hint="eastAsia"/>
                <w:b w:val="0"/>
                <w:bCs w:val="0"/>
                <w:color w:val="auto"/>
                <w:sz w:val="24"/>
                <w:szCs w:val="24"/>
                <w:lang w:val="en-US" w:eastAsia="zh-CN"/>
              </w:rPr>
              <w:t>活性炭吸附原理：</w:t>
            </w:r>
            <w:r>
              <w:rPr>
                <w:rFonts w:hint="eastAsia"/>
                <w:b w:val="0"/>
                <w:bCs w:val="0"/>
                <w:color w:val="auto"/>
                <w:sz w:val="24"/>
                <w:szCs w:val="24"/>
              </w:rPr>
              <w:t>活性炭是一种黑色粉状，粒状或丸状或无定形具有多孔的碳。主要成分为碳，还含少量氧、氢、硫、氮、氯。其主要有木材、果壳、煤等经过高温活化而成。碳元素是自然界最稳定的元素，活性炭亦有这一特点。活性炭内孔隙结构发达，具有较大的表面积（500～1000</w:t>
            </w:r>
            <w:r>
              <w:rPr>
                <w:rFonts w:hint="eastAsia"/>
                <w:b w:val="0"/>
                <w:bCs w:val="0"/>
                <w:color w:val="auto"/>
                <w:sz w:val="24"/>
                <w:szCs w:val="24"/>
                <w:lang w:val="en-US" w:eastAsia="zh-CN"/>
              </w:rPr>
              <w:t>m</w:t>
            </w:r>
            <w:r>
              <w:rPr>
                <w:rFonts w:hint="eastAsia"/>
                <w:b w:val="0"/>
                <w:bCs w:val="0"/>
                <w:color w:val="auto"/>
                <w:sz w:val="24"/>
                <w:szCs w:val="24"/>
                <w:vertAlign w:val="superscript"/>
                <w:lang w:val="en-US" w:eastAsia="zh-CN"/>
              </w:rPr>
              <w:t>2</w:t>
            </w:r>
            <w:r>
              <w:rPr>
                <w:rFonts w:hint="eastAsia"/>
                <w:b w:val="0"/>
                <w:bCs w:val="0"/>
                <w:color w:val="auto"/>
                <w:sz w:val="24"/>
                <w:szCs w:val="24"/>
              </w:rPr>
              <w:t>/</w:t>
            </w:r>
            <w:r>
              <w:rPr>
                <w:rFonts w:hint="eastAsia"/>
                <w:b w:val="0"/>
                <w:bCs w:val="0"/>
                <w:color w:val="auto"/>
                <w:sz w:val="24"/>
                <w:szCs w:val="24"/>
                <w:lang w:val="en-US" w:eastAsia="zh-CN"/>
              </w:rPr>
              <w:t>g）</w:t>
            </w:r>
            <w:r>
              <w:rPr>
                <w:rFonts w:hint="eastAsia"/>
                <w:b w:val="0"/>
                <w:bCs w:val="0"/>
                <w:color w:val="auto"/>
                <w:sz w:val="24"/>
                <w:szCs w:val="24"/>
              </w:rPr>
              <w:t>，甚至更高，有很强的物理吸附性能，能吸附气体、液体或胶态固体。在吸附过程中，当活性炭分子和污染物分子之间的作用力是范德华力（或静电引力</w:t>
            </w:r>
            <w:r>
              <w:rPr>
                <w:rFonts w:hint="eastAsia"/>
                <w:b w:val="0"/>
                <w:bCs w:val="0"/>
                <w:color w:val="auto"/>
                <w:sz w:val="24"/>
                <w:szCs w:val="24"/>
                <w:lang w:eastAsia="zh-CN"/>
              </w:rPr>
              <w:t>）</w:t>
            </w:r>
            <w:r>
              <w:rPr>
                <w:rFonts w:hint="eastAsia"/>
                <w:b w:val="0"/>
                <w:bCs w:val="0"/>
                <w:color w:val="auto"/>
                <w:sz w:val="24"/>
                <w:szCs w:val="24"/>
              </w:rPr>
              <w:t>时称为物理吸附；当活性炭分子和污染物分子之间的作用力是化学键时称为化学吸附。物理吸附的吸附强度主要与活性炭的物理性质有关，与活性炭的化学性质基本无关。由于范德华力较弱，对污染物分子的结构影响不大，这种力与分子间内聚力一样，故可把物理吸附类比为凝聚现象。物理吸附时污染物的化学性质仍然保持不变。</w:t>
            </w:r>
          </w:p>
          <w:p w14:paraId="0F9DB505">
            <w:pPr>
              <w:ind w:firstLine="480" w:firstLineChars="200"/>
              <w:rPr>
                <w:rFonts w:hint="eastAsia"/>
                <w:b w:val="0"/>
                <w:bCs w:val="0"/>
                <w:color w:val="auto"/>
                <w:sz w:val="24"/>
                <w:szCs w:val="24"/>
              </w:rPr>
            </w:pPr>
            <w:r>
              <w:rPr>
                <w:rFonts w:hint="eastAsia"/>
                <w:b w:val="0"/>
                <w:bCs w:val="0"/>
                <w:color w:val="auto"/>
                <w:sz w:val="24"/>
                <w:szCs w:val="24"/>
              </w:rPr>
              <w:t>当废气由风机提供动力，负压进入吸附箱后进入活性炭吸附层，由于活性炭吸附剂表面上存在着未平衡和未饱和的分子引力或化学键力，因此当活性炭吸附剂的表面与气体接触时，就能吸引气体分子，使其浓聚并保持在活性炭表面，此现象称为吸附。利用活性炭吸附剂表面的吸附能力，使废气与大表面的多孔性活性炭吸附剂相接触，废气中的污染物被吸附在活性炭表面上，使其与气体混合物分离，净化后的气体高空排放。活性炭吸附塔是一种干式废气处理设备，由箱体和填装在箱体内的吸附单元组成。活性炭吸附塔主要用于大风量低浓度的有机废气处理；活性炭吸附剂可处理净化多种有机和无机污染物：苯类、酮类、醇类、醚类、烷类及其混合类有机废气，单级活性炭吸附效率达到70%，二级活性炭吸附效率可达到90%。</w:t>
            </w:r>
          </w:p>
          <w:p w14:paraId="081DE73B">
            <w:pPr>
              <w:pStyle w:val="35"/>
              <w:ind w:firstLine="480" w:firstLineChars="200"/>
              <w:rPr>
                <w:rFonts w:hint="eastAsia" w:ascii="Times New Roman" w:hAnsi="Times New Roman" w:eastAsia="宋体" w:cs="Times New Roman"/>
                <w:b w:val="0"/>
                <w:bCs/>
                <w:color w:val="auto"/>
                <w:kern w:val="2"/>
                <w:sz w:val="24"/>
                <w:szCs w:val="24"/>
                <w:lang w:val="en-US" w:eastAsia="zh-CN" w:bidi="ar"/>
              </w:rPr>
            </w:pPr>
            <w:r>
              <w:rPr>
                <w:rFonts w:hint="eastAsia" w:ascii="Times New Roman" w:eastAsia="宋体" w:cs="Times New Roman"/>
                <w:b w:val="0"/>
                <w:bCs/>
                <w:color w:val="auto"/>
                <w:kern w:val="2"/>
                <w:sz w:val="24"/>
                <w:szCs w:val="24"/>
                <w:lang w:val="en-US" w:eastAsia="zh-CN" w:bidi="ar"/>
              </w:rPr>
              <w:t>二级活性炭吸附装置</w:t>
            </w:r>
            <w:r>
              <w:rPr>
                <w:rFonts w:hint="eastAsia" w:ascii="Times New Roman" w:hAnsi="Times New Roman" w:eastAsia="宋体" w:cs="Times New Roman"/>
                <w:b w:val="0"/>
                <w:bCs/>
                <w:color w:val="auto"/>
                <w:kern w:val="2"/>
                <w:sz w:val="24"/>
                <w:szCs w:val="24"/>
                <w:lang w:val="en-US" w:eastAsia="zh-CN" w:bidi="ar"/>
              </w:rPr>
              <w:t>设计参数详见表4</w:t>
            </w:r>
            <w:r>
              <w:rPr>
                <w:rFonts w:hint="eastAsia" w:ascii="Times New Roman" w:eastAsia="宋体" w:cs="Times New Roman"/>
                <w:b w:val="0"/>
                <w:bCs/>
                <w:color w:val="auto"/>
                <w:kern w:val="2"/>
                <w:sz w:val="24"/>
                <w:szCs w:val="24"/>
                <w:lang w:val="en-US" w:eastAsia="zh-CN" w:bidi="ar"/>
              </w:rPr>
              <w:t>.2</w:t>
            </w:r>
            <w:r>
              <w:rPr>
                <w:rFonts w:hint="eastAsia" w:ascii="Times New Roman" w:hAnsi="Times New Roman" w:eastAsia="宋体" w:cs="Times New Roman"/>
                <w:b w:val="0"/>
                <w:bCs/>
                <w:color w:val="auto"/>
                <w:kern w:val="2"/>
                <w:sz w:val="24"/>
                <w:szCs w:val="24"/>
                <w:lang w:val="en-US" w:eastAsia="zh-CN" w:bidi="ar"/>
              </w:rPr>
              <w:t>-</w:t>
            </w:r>
            <w:r>
              <w:rPr>
                <w:rFonts w:hint="eastAsia" w:ascii="Times New Roman" w:eastAsia="宋体" w:cs="Times New Roman"/>
                <w:b w:val="0"/>
                <w:bCs/>
                <w:color w:val="auto"/>
                <w:kern w:val="2"/>
                <w:sz w:val="24"/>
                <w:szCs w:val="24"/>
                <w:lang w:val="en-US" w:eastAsia="zh-CN" w:bidi="ar"/>
              </w:rPr>
              <w:t>6</w:t>
            </w:r>
            <w:r>
              <w:rPr>
                <w:rFonts w:hint="eastAsia" w:ascii="Times New Roman" w:hAnsi="Times New Roman" w:eastAsia="宋体" w:cs="Times New Roman"/>
                <w:b w:val="0"/>
                <w:bCs/>
                <w:color w:val="auto"/>
                <w:kern w:val="2"/>
                <w:sz w:val="24"/>
                <w:szCs w:val="24"/>
                <w:lang w:val="en-US" w:eastAsia="zh-CN" w:bidi="ar"/>
              </w:rPr>
              <w:t>。</w:t>
            </w:r>
          </w:p>
          <w:p w14:paraId="72D0B9F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
                <w:bCs/>
                <w:smallCaps w:val="0"/>
                <w:snapToGrid w:val="0"/>
                <w:color w:val="auto"/>
                <w:spacing w:val="0"/>
                <w:kern w:val="0"/>
                <w:sz w:val="21"/>
                <w:szCs w:val="21"/>
              </w:rPr>
            </w:pPr>
            <w:r>
              <w:rPr>
                <w:rFonts w:hint="eastAsia" w:ascii="Times New Roman" w:hAnsi="Times New Roman" w:eastAsia="宋体" w:cs="Times New Roman"/>
                <w:b/>
                <w:bCs/>
                <w:smallCaps w:val="0"/>
                <w:snapToGrid w:val="0"/>
                <w:color w:val="auto"/>
                <w:spacing w:val="0"/>
                <w:kern w:val="0"/>
                <w:sz w:val="21"/>
                <w:szCs w:val="21"/>
              </w:rPr>
              <w:t>表4</w:t>
            </w:r>
            <w:r>
              <w:rPr>
                <w:rFonts w:hint="eastAsia" w:ascii="Times New Roman" w:hAnsi="Times New Roman" w:eastAsia="宋体" w:cs="Times New Roman"/>
                <w:b/>
                <w:bCs/>
                <w:smallCaps w:val="0"/>
                <w:snapToGrid w:val="0"/>
                <w:color w:val="auto"/>
                <w:spacing w:val="0"/>
                <w:kern w:val="0"/>
                <w:sz w:val="21"/>
                <w:szCs w:val="21"/>
                <w:lang w:val="en-US" w:eastAsia="zh-CN"/>
              </w:rPr>
              <w:t>.2</w:t>
            </w:r>
            <w:r>
              <w:rPr>
                <w:rFonts w:hint="eastAsia" w:ascii="Times New Roman" w:hAnsi="Times New Roman" w:eastAsia="宋体" w:cs="Times New Roman"/>
                <w:b/>
                <w:bCs/>
                <w:smallCaps w:val="0"/>
                <w:snapToGrid w:val="0"/>
                <w:color w:val="auto"/>
                <w:spacing w:val="0"/>
                <w:kern w:val="0"/>
                <w:sz w:val="21"/>
                <w:szCs w:val="21"/>
              </w:rPr>
              <w:t>-</w:t>
            </w:r>
            <w:r>
              <w:rPr>
                <w:rFonts w:hint="eastAsia" w:cs="Times New Roman"/>
                <w:b/>
                <w:bCs/>
                <w:smallCaps w:val="0"/>
                <w:snapToGrid w:val="0"/>
                <w:color w:val="auto"/>
                <w:spacing w:val="0"/>
                <w:kern w:val="0"/>
                <w:sz w:val="21"/>
                <w:szCs w:val="21"/>
                <w:lang w:val="en-US" w:eastAsia="zh-CN"/>
              </w:rPr>
              <w:t>6</w:t>
            </w:r>
            <w:r>
              <w:rPr>
                <w:rFonts w:hint="eastAsia" w:ascii="Times New Roman" w:hAnsi="Times New Roman" w:eastAsia="宋体" w:cs="Times New Roman"/>
                <w:b/>
                <w:bCs/>
                <w:smallCaps w:val="0"/>
                <w:snapToGrid w:val="0"/>
                <w:color w:val="auto"/>
                <w:spacing w:val="0"/>
                <w:kern w:val="0"/>
                <w:sz w:val="21"/>
                <w:szCs w:val="21"/>
              </w:rPr>
              <w:t xml:space="preserve"> </w:t>
            </w:r>
            <w:r>
              <w:rPr>
                <w:rFonts w:hint="eastAsia" w:cs="Times New Roman"/>
                <w:b/>
                <w:bCs/>
                <w:smallCaps w:val="0"/>
                <w:snapToGrid w:val="0"/>
                <w:color w:val="auto"/>
                <w:spacing w:val="0"/>
                <w:kern w:val="0"/>
                <w:sz w:val="21"/>
                <w:szCs w:val="21"/>
                <w:lang w:val="en-US" w:eastAsia="zh-CN"/>
              </w:rPr>
              <w:t xml:space="preserve"> </w:t>
            </w:r>
            <w:r>
              <w:rPr>
                <w:rFonts w:hint="eastAsia" w:ascii="Times New Roman" w:hAnsi="Times New Roman" w:eastAsia="宋体" w:cs="Times New Roman"/>
                <w:b/>
                <w:bCs/>
                <w:smallCaps w:val="0"/>
                <w:snapToGrid w:val="0"/>
                <w:color w:val="auto"/>
                <w:spacing w:val="0"/>
                <w:kern w:val="0"/>
                <w:sz w:val="21"/>
                <w:szCs w:val="21"/>
              </w:rPr>
              <w:t>设计理论参数</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66"/>
              <w:gridCol w:w="2368"/>
              <w:gridCol w:w="3424"/>
              <w:gridCol w:w="3068"/>
            </w:tblGrid>
            <w:tr w14:paraId="5EC5B8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blHeader/>
                <w:jc w:val="center"/>
              </w:trPr>
              <w:tc>
                <w:tcPr>
                  <w:tcW w:w="198" w:type="pct"/>
                  <w:tcBorders>
                    <w:bottom w:val="single" w:color="auto" w:sz="12" w:space="0"/>
                  </w:tcBorders>
                  <w:shd w:val="clear" w:color="auto" w:fill="FFFFFF"/>
                  <w:noWrap/>
                  <w:vAlign w:val="center"/>
                </w:tcPr>
                <w:p w14:paraId="4232BC45">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序号</w:t>
                  </w:r>
                </w:p>
              </w:tc>
              <w:tc>
                <w:tcPr>
                  <w:tcW w:w="1283" w:type="pct"/>
                  <w:tcBorders>
                    <w:bottom w:val="single" w:color="auto" w:sz="12" w:space="0"/>
                  </w:tcBorders>
                  <w:shd w:val="clear" w:color="auto" w:fill="FFFFFF"/>
                  <w:noWrap/>
                  <w:vAlign w:val="center"/>
                </w:tcPr>
                <w:p w14:paraId="41B1276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名    称</w:t>
                  </w:r>
                </w:p>
              </w:tc>
              <w:tc>
                <w:tcPr>
                  <w:tcW w:w="1855" w:type="pct"/>
                  <w:tcBorders>
                    <w:bottom w:val="single" w:color="auto" w:sz="12" w:space="0"/>
                  </w:tcBorders>
                  <w:shd w:val="clear" w:color="auto" w:fill="FFFFFF"/>
                  <w:noWrap/>
                  <w:vAlign w:val="center"/>
                </w:tcPr>
                <w:p w14:paraId="5F7A5A3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技术参数</w:t>
                  </w:r>
                </w:p>
              </w:tc>
              <w:tc>
                <w:tcPr>
                  <w:tcW w:w="1662" w:type="pct"/>
                  <w:tcBorders>
                    <w:bottom w:val="single" w:color="auto" w:sz="12" w:space="0"/>
                  </w:tcBorders>
                  <w:shd w:val="clear" w:color="auto" w:fill="FFFFFF"/>
                  <w:noWrap/>
                  <w:vAlign w:val="center"/>
                </w:tcPr>
                <w:p w14:paraId="48E1ED0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HJ2026-2013及DB32/T5030-2025要求</w:t>
                  </w:r>
                </w:p>
              </w:tc>
            </w:tr>
            <w:tr w14:paraId="2853A0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8" w:type="pct"/>
                  <w:tcBorders>
                    <w:top w:val="single" w:color="auto" w:sz="12" w:space="0"/>
                    <w:tl2br w:val="nil"/>
                    <w:tr2bl w:val="nil"/>
                  </w:tcBorders>
                  <w:noWrap/>
                  <w:vAlign w:val="center"/>
                </w:tcPr>
                <w:p w14:paraId="458BF3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rPr>
                    <w:t>1</w:t>
                  </w:r>
                </w:p>
              </w:tc>
              <w:tc>
                <w:tcPr>
                  <w:tcW w:w="1283" w:type="pct"/>
                  <w:tcBorders>
                    <w:top w:val="single" w:color="auto" w:sz="12" w:space="0"/>
                    <w:tl2br w:val="nil"/>
                    <w:tr2bl w:val="nil"/>
                  </w:tcBorders>
                  <w:noWrap/>
                  <w:vAlign w:val="center"/>
                </w:tcPr>
                <w:p w14:paraId="1CBB181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废气净化方式</w:t>
                  </w:r>
                </w:p>
              </w:tc>
              <w:tc>
                <w:tcPr>
                  <w:tcW w:w="1855" w:type="pct"/>
                  <w:tcBorders>
                    <w:top w:val="single" w:color="auto" w:sz="12" w:space="0"/>
                    <w:tl2br w:val="nil"/>
                    <w:tr2bl w:val="nil"/>
                  </w:tcBorders>
                  <w:noWrap/>
                  <w:vAlign w:val="center"/>
                </w:tcPr>
                <w:p w14:paraId="6026A37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活性炭吸附处理</w:t>
                  </w:r>
                </w:p>
              </w:tc>
              <w:tc>
                <w:tcPr>
                  <w:tcW w:w="1662" w:type="pct"/>
                  <w:tcBorders>
                    <w:top w:val="single" w:color="auto" w:sz="12" w:space="0"/>
                    <w:tl2br w:val="nil"/>
                    <w:tr2bl w:val="nil"/>
                  </w:tcBorders>
                  <w:noWrap/>
                  <w:vAlign w:val="center"/>
                </w:tcPr>
                <w:p w14:paraId="7F7FCE6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w:t>
                  </w:r>
                </w:p>
              </w:tc>
            </w:tr>
            <w:tr w14:paraId="6B2A14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8" w:type="pct"/>
                  <w:tcBorders>
                    <w:tl2br w:val="nil"/>
                    <w:tr2bl w:val="nil"/>
                  </w:tcBorders>
                  <w:noWrap/>
                  <w:vAlign w:val="center"/>
                </w:tcPr>
                <w:p w14:paraId="4662E9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rPr>
                    <w:t>2</w:t>
                  </w:r>
                </w:p>
              </w:tc>
              <w:tc>
                <w:tcPr>
                  <w:tcW w:w="1283" w:type="pct"/>
                  <w:tcBorders>
                    <w:tl2br w:val="nil"/>
                    <w:tr2bl w:val="nil"/>
                  </w:tcBorders>
                  <w:noWrap/>
                  <w:vAlign w:val="center"/>
                </w:tcPr>
                <w:p w14:paraId="659FD865">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风量</w:t>
                  </w:r>
                </w:p>
              </w:tc>
              <w:tc>
                <w:tcPr>
                  <w:tcW w:w="1855" w:type="pct"/>
                  <w:tcBorders>
                    <w:tl2br w:val="nil"/>
                    <w:tr2bl w:val="nil"/>
                  </w:tcBorders>
                  <w:noWrap/>
                  <w:vAlign w:val="center"/>
                </w:tcPr>
                <w:p w14:paraId="7C8D88E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eastAsia" w:cs="Times New Roman"/>
                      <w:snapToGrid w:val="0"/>
                      <w:color w:val="auto"/>
                      <w:kern w:val="0"/>
                      <w:sz w:val="21"/>
                      <w:szCs w:val="21"/>
                      <w:highlight w:val="none"/>
                      <w:lang w:val="en-US" w:eastAsia="zh-CN"/>
                    </w:rPr>
                    <w:t>140</w:t>
                  </w:r>
                  <w:r>
                    <w:rPr>
                      <w:rFonts w:hint="default" w:ascii="Times New Roman" w:hAnsi="Times New Roman" w:eastAsia="宋体" w:cs="Times New Roman"/>
                      <w:snapToGrid w:val="0"/>
                      <w:color w:val="auto"/>
                      <w:kern w:val="0"/>
                      <w:sz w:val="21"/>
                      <w:szCs w:val="21"/>
                      <w:highlight w:val="none"/>
                    </w:rPr>
                    <w:t>00m</w:t>
                  </w:r>
                  <w:r>
                    <w:rPr>
                      <w:rFonts w:hint="default" w:ascii="Times New Roman" w:hAnsi="Times New Roman" w:eastAsia="宋体" w:cs="Times New Roman"/>
                      <w:snapToGrid w:val="0"/>
                      <w:color w:val="auto"/>
                      <w:kern w:val="0"/>
                      <w:sz w:val="21"/>
                      <w:szCs w:val="21"/>
                      <w:highlight w:val="none"/>
                      <w:vertAlign w:val="superscript"/>
                    </w:rPr>
                    <w:t>3</w:t>
                  </w:r>
                  <w:r>
                    <w:rPr>
                      <w:rFonts w:hint="default" w:ascii="Times New Roman" w:hAnsi="Times New Roman" w:eastAsia="宋体" w:cs="Times New Roman"/>
                      <w:snapToGrid w:val="0"/>
                      <w:color w:val="auto"/>
                      <w:kern w:val="0"/>
                      <w:sz w:val="21"/>
                      <w:szCs w:val="21"/>
                      <w:highlight w:val="none"/>
                    </w:rPr>
                    <w:t>/h</w:t>
                  </w:r>
                </w:p>
              </w:tc>
              <w:tc>
                <w:tcPr>
                  <w:tcW w:w="1662" w:type="pct"/>
                  <w:tcBorders>
                    <w:tl2br w:val="nil"/>
                    <w:tr2bl w:val="nil"/>
                  </w:tcBorders>
                  <w:noWrap/>
                  <w:vAlign w:val="center"/>
                </w:tcPr>
                <w:p w14:paraId="222BF59F">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w:t>
                  </w:r>
                </w:p>
              </w:tc>
            </w:tr>
            <w:tr w14:paraId="275498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8" w:type="pct"/>
                  <w:tcBorders>
                    <w:tl2br w:val="nil"/>
                    <w:tr2bl w:val="nil"/>
                  </w:tcBorders>
                  <w:noWrap/>
                  <w:vAlign w:val="center"/>
                </w:tcPr>
                <w:p w14:paraId="789C05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rPr>
                    <w:t>3</w:t>
                  </w:r>
                </w:p>
              </w:tc>
              <w:tc>
                <w:tcPr>
                  <w:tcW w:w="1283" w:type="pct"/>
                  <w:tcBorders>
                    <w:tl2br w:val="nil"/>
                    <w:tr2bl w:val="nil"/>
                  </w:tcBorders>
                  <w:noWrap/>
                  <w:vAlign w:val="center"/>
                </w:tcPr>
                <w:p w14:paraId="41F37115">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废气温度</w:t>
                  </w:r>
                </w:p>
              </w:tc>
              <w:tc>
                <w:tcPr>
                  <w:tcW w:w="1855" w:type="pct"/>
                  <w:tcBorders>
                    <w:tl2br w:val="nil"/>
                    <w:tr2bl w:val="nil"/>
                  </w:tcBorders>
                  <w:noWrap/>
                  <w:vAlign w:val="center"/>
                </w:tcPr>
                <w:p w14:paraId="31633CF3">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≤40℃</w:t>
                  </w:r>
                </w:p>
              </w:tc>
              <w:tc>
                <w:tcPr>
                  <w:tcW w:w="1662" w:type="pct"/>
                  <w:tcBorders>
                    <w:tl2br w:val="nil"/>
                    <w:tr2bl w:val="nil"/>
                  </w:tcBorders>
                  <w:noWrap/>
                  <w:vAlign w:val="center"/>
                </w:tcPr>
                <w:p w14:paraId="57A4E0E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w:t>
                  </w:r>
                </w:p>
              </w:tc>
            </w:tr>
            <w:tr w14:paraId="36963E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8" w:type="pct"/>
                  <w:tcBorders>
                    <w:tl2br w:val="nil"/>
                    <w:tr2bl w:val="nil"/>
                  </w:tcBorders>
                  <w:noWrap/>
                  <w:vAlign w:val="center"/>
                </w:tcPr>
                <w:p w14:paraId="476AE8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rPr>
                    <w:t>4</w:t>
                  </w:r>
                </w:p>
              </w:tc>
              <w:tc>
                <w:tcPr>
                  <w:tcW w:w="1283" w:type="pct"/>
                  <w:tcBorders>
                    <w:tl2br w:val="nil"/>
                    <w:tr2bl w:val="nil"/>
                  </w:tcBorders>
                  <w:noWrap/>
                  <w:vAlign w:val="center"/>
                </w:tcPr>
                <w:p w14:paraId="28DD648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活性炭安装方式</w:t>
                  </w:r>
                </w:p>
              </w:tc>
              <w:tc>
                <w:tcPr>
                  <w:tcW w:w="1855" w:type="pct"/>
                  <w:tcBorders>
                    <w:tl2br w:val="nil"/>
                    <w:tr2bl w:val="nil"/>
                  </w:tcBorders>
                  <w:noWrap/>
                  <w:vAlign w:val="center"/>
                </w:tcPr>
                <w:p w14:paraId="1A2E172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eastAsia" w:cs="Times New Roman"/>
                      <w:snapToGrid w:val="0"/>
                      <w:color w:val="auto"/>
                      <w:kern w:val="0"/>
                      <w:sz w:val="21"/>
                      <w:szCs w:val="21"/>
                      <w:highlight w:val="none"/>
                      <w:lang w:val="en-US" w:eastAsia="zh-CN"/>
                    </w:rPr>
                    <w:t>抽屉</w:t>
                  </w:r>
                  <w:r>
                    <w:rPr>
                      <w:rFonts w:hint="default" w:ascii="Times New Roman" w:hAnsi="Times New Roman" w:eastAsia="宋体" w:cs="Times New Roman"/>
                      <w:snapToGrid w:val="0"/>
                      <w:color w:val="auto"/>
                      <w:kern w:val="0"/>
                      <w:sz w:val="21"/>
                      <w:szCs w:val="21"/>
                      <w:highlight w:val="none"/>
                    </w:rPr>
                    <w:t>式，由活性炭、活性炭托盘、箱体组成</w:t>
                  </w:r>
                </w:p>
              </w:tc>
              <w:tc>
                <w:tcPr>
                  <w:tcW w:w="1662" w:type="pct"/>
                  <w:tcBorders>
                    <w:tl2br w:val="nil"/>
                    <w:tr2bl w:val="nil"/>
                  </w:tcBorders>
                  <w:noWrap/>
                  <w:vAlign w:val="center"/>
                </w:tcPr>
                <w:p w14:paraId="49A107B3">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w:t>
                  </w:r>
                </w:p>
              </w:tc>
            </w:tr>
            <w:tr w14:paraId="12A5E6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8" w:type="pct"/>
                  <w:tcBorders>
                    <w:tl2br w:val="nil"/>
                    <w:tr2bl w:val="nil"/>
                  </w:tcBorders>
                  <w:noWrap/>
                  <w:vAlign w:val="center"/>
                </w:tcPr>
                <w:p w14:paraId="19EA00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rPr>
                    <w:t>5</w:t>
                  </w:r>
                </w:p>
              </w:tc>
              <w:tc>
                <w:tcPr>
                  <w:tcW w:w="1283" w:type="pct"/>
                  <w:tcBorders>
                    <w:tl2br w:val="nil"/>
                    <w:tr2bl w:val="nil"/>
                  </w:tcBorders>
                  <w:noWrap/>
                  <w:vAlign w:val="center"/>
                </w:tcPr>
                <w:p w14:paraId="50D845D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箱体规格（长度×宽度×高度）</w:t>
                  </w:r>
                </w:p>
              </w:tc>
              <w:tc>
                <w:tcPr>
                  <w:tcW w:w="1855" w:type="pct"/>
                  <w:tcBorders>
                    <w:tl2br w:val="nil"/>
                    <w:tr2bl w:val="nil"/>
                  </w:tcBorders>
                  <w:noWrap/>
                  <w:vAlign w:val="center"/>
                </w:tcPr>
                <w:p w14:paraId="35E31E33">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0"/>
                      <w:sz w:val="21"/>
                      <w:szCs w:val="21"/>
                      <w:highlight w:val="none"/>
                    </w:rPr>
                  </w:pPr>
                  <w:r>
                    <w:rPr>
                      <w:rFonts w:hint="eastAsia" w:cs="Times New Roman"/>
                      <w:snapToGrid w:val="0"/>
                      <w:color w:val="auto"/>
                      <w:kern w:val="0"/>
                      <w:sz w:val="21"/>
                      <w:szCs w:val="21"/>
                      <w:highlight w:val="none"/>
                      <w:lang w:val="en-US" w:eastAsia="zh-CN"/>
                    </w:rPr>
                    <w:t>1</w:t>
                  </w:r>
                  <w:r>
                    <w:rPr>
                      <w:rFonts w:hint="eastAsia" w:ascii="Times New Roman" w:hAnsi="Times New Roman" w:eastAsia="宋体" w:cs="Times New Roman"/>
                      <w:snapToGrid w:val="0"/>
                      <w:color w:val="auto"/>
                      <w:kern w:val="0"/>
                      <w:sz w:val="21"/>
                      <w:szCs w:val="21"/>
                      <w:highlight w:val="none"/>
                      <w:lang w:val="en-US" w:eastAsia="zh-CN"/>
                    </w:rPr>
                    <w:t>.0</w:t>
                  </w:r>
                  <w:r>
                    <w:rPr>
                      <w:rFonts w:hint="default" w:ascii="Times New Roman" w:hAnsi="Times New Roman" w:eastAsia="宋体" w:cs="Times New Roman"/>
                      <w:snapToGrid w:val="0"/>
                      <w:color w:val="auto"/>
                      <w:kern w:val="0"/>
                      <w:sz w:val="21"/>
                      <w:szCs w:val="21"/>
                      <w:highlight w:val="none"/>
                    </w:rPr>
                    <w:t>m×</w:t>
                  </w:r>
                  <w:r>
                    <w:rPr>
                      <w:rFonts w:hint="eastAsia" w:cs="Times New Roman"/>
                      <w:snapToGrid w:val="0"/>
                      <w:color w:val="auto"/>
                      <w:kern w:val="0"/>
                      <w:sz w:val="21"/>
                      <w:szCs w:val="21"/>
                      <w:highlight w:val="none"/>
                      <w:lang w:val="en-US" w:eastAsia="zh-CN"/>
                    </w:rPr>
                    <w:t>2.3</w:t>
                  </w:r>
                  <w:r>
                    <w:rPr>
                      <w:rFonts w:hint="default" w:ascii="Times New Roman" w:hAnsi="Times New Roman" w:eastAsia="宋体" w:cs="Times New Roman"/>
                      <w:snapToGrid w:val="0"/>
                      <w:color w:val="auto"/>
                      <w:kern w:val="0"/>
                      <w:sz w:val="21"/>
                      <w:szCs w:val="21"/>
                      <w:highlight w:val="none"/>
                    </w:rPr>
                    <w:t>m×</w:t>
                  </w:r>
                  <w:r>
                    <w:rPr>
                      <w:rFonts w:hint="eastAsia" w:cs="Times New Roman"/>
                      <w:snapToGrid w:val="0"/>
                      <w:color w:val="auto"/>
                      <w:kern w:val="0"/>
                      <w:sz w:val="21"/>
                      <w:szCs w:val="21"/>
                      <w:highlight w:val="none"/>
                      <w:lang w:val="en-US" w:eastAsia="zh-CN"/>
                    </w:rPr>
                    <w:t>2.5</w:t>
                  </w:r>
                  <w:r>
                    <w:rPr>
                      <w:rFonts w:hint="default" w:ascii="Times New Roman" w:hAnsi="Times New Roman" w:eastAsia="宋体" w:cs="Times New Roman"/>
                      <w:snapToGrid w:val="0"/>
                      <w:color w:val="auto"/>
                      <w:kern w:val="0"/>
                      <w:sz w:val="21"/>
                      <w:szCs w:val="21"/>
                      <w:highlight w:val="none"/>
                    </w:rPr>
                    <w:t>m</w:t>
                  </w:r>
                </w:p>
              </w:tc>
              <w:tc>
                <w:tcPr>
                  <w:tcW w:w="1662" w:type="pct"/>
                  <w:tcBorders>
                    <w:tl2br w:val="nil"/>
                    <w:tr2bl w:val="nil"/>
                  </w:tcBorders>
                  <w:noWrap/>
                  <w:vAlign w:val="center"/>
                </w:tcPr>
                <w:p w14:paraId="39E0997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w:t>
                  </w:r>
                </w:p>
              </w:tc>
            </w:tr>
            <w:tr w14:paraId="50055D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8" w:type="pct"/>
                  <w:tcBorders>
                    <w:tl2br w:val="nil"/>
                    <w:tr2bl w:val="nil"/>
                  </w:tcBorders>
                  <w:noWrap/>
                  <w:vAlign w:val="center"/>
                </w:tcPr>
                <w:p w14:paraId="7A1683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lang w:val="en-US" w:eastAsia="zh-CN" w:bidi="ar-SA"/>
                    </w:rPr>
                    <w:t>6</w:t>
                  </w:r>
                </w:p>
              </w:tc>
              <w:tc>
                <w:tcPr>
                  <w:tcW w:w="1283" w:type="pct"/>
                  <w:tcBorders>
                    <w:tl2br w:val="nil"/>
                    <w:tr2bl w:val="nil"/>
                  </w:tcBorders>
                  <w:noWrap/>
                  <w:vAlign w:val="center"/>
                </w:tcPr>
                <w:p w14:paraId="5F28550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活性炭类型</w:t>
                  </w:r>
                </w:p>
              </w:tc>
              <w:tc>
                <w:tcPr>
                  <w:tcW w:w="1855" w:type="pct"/>
                  <w:tcBorders>
                    <w:tl2br w:val="nil"/>
                    <w:tr2bl w:val="nil"/>
                  </w:tcBorders>
                  <w:noWrap/>
                  <w:vAlign w:val="center"/>
                </w:tcPr>
                <w:p w14:paraId="5AB9C51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lang w:val="en-US" w:eastAsia="zh-CN"/>
                    </w:rPr>
                    <w:t>颗粒</w:t>
                  </w:r>
                  <w:r>
                    <w:rPr>
                      <w:rFonts w:hint="default" w:ascii="Times New Roman" w:hAnsi="Times New Roman" w:eastAsia="宋体" w:cs="Times New Roman"/>
                      <w:snapToGrid w:val="0"/>
                      <w:color w:val="auto"/>
                      <w:kern w:val="0"/>
                      <w:sz w:val="21"/>
                      <w:szCs w:val="21"/>
                      <w:highlight w:val="none"/>
                    </w:rPr>
                    <w:t>状活性炭</w:t>
                  </w:r>
                </w:p>
              </w:tc>
              <w:tc>
                <w:tcPr>
                  <w:tcW w:w="1662" w:type="pct"/>
                  <w:tcBorders>
                    <w:tl2br w:val="nil"/>
                    <w:tr2bl w:val="nil"/>
                  </w:tcBorders>
                  <w:noWrap/>
                  <w:vAlign w:val="center"/>
                </w:tcPr>
                <w:p w14:paraId="46A529F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w:t>
                  </w:r>
                </w:p>
              </w:tc>
            </w:tr>
            <w:tr w14:paraId="338A2D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8" w:type="pct"/>
                  <w:tcBorders>
                    <w:tl2br w:val="nil"/>
                    <w:tr2bl w:val="nil"/>
                  </w:tcBorders>
                  <w:noWrap/>
                  <w:vAlign w:val="center"/>
                </w:tcPr>
                <w:p w14:paraId="4863C2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rPr>
                    <w:t>7</w:t>
                  </w:r>
                </w:p>
              </w:tc>
              <w:tc>
                <w:tcPr>
                  <w:tcW w:w="1283" w:type="pct"/>
                  <w:tcBorders>
                    <w:tl2br w:val="nil"/>
                    <w:tr2bl w:val="nil"/>
                  </w:tcBorders>
                  <w:noWrap/>
                  <w:vAlign w:val="center"/>
                </w:tcPr>
                <w:p w14:paraId="607CBC29">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比表面积（m</w:t>
                  </w:r>
                  <w:r>
                    <w:rPr>
                      <w:rFonts w:hint="default" w:ascii="Times New Roman" w:hAnsi="Times New Roman" w:eastAsia="宋体" w:cs="Times New Roman"/>
                      <w:snapToGrid w:val="0"/>
                      <w:color w:val="auto"/>
                      <w:kern w:val="0"/>
                      <w:sz w:val="21"/>
                      <w:szCs w:val="21"/>
                      <w:highlight w:val="none"/>
                      <w:vertAlign w:val="superscript"/>
                    </w:rPr>
                    <w:t>2</w:t>
                  </w:r>
                  <w:r>
                    <w:rPr>
                      <w:rFonts w:hint="default" w:ascii="Times New Roman" w:hAnsi="Times New Roman" w:eastAsia="宋体" w:cs="Times New Roman"/>
                      <w:snapToGrid w:val="0"/>
                      <w:color w:val="auto"/>
                      <w:kern w:val="0"/>
                      <w:sz w:val="21"/>
                      <w:szCs w:val="21"/>
                      <w:highlight w:val="none"/>
                    </w:rPr>
                    <w:t>/g）</w:t>
                  </w:r>
                </w:p>
              </w:tc>
              <w:tc>
                <w:tcPr>
                  <w:tcW w:w="1855" w:type="pct"/>
                  <w:tcBorders>
                    <w:tl2br w:val="nil"/>
                    <w:tr2bl w:val="nil"/>
                  </w:tcBorders>
                  <w:noWrap/>
                  <w:vAlign w:val="center"/>
                </w:tcPr>
                <w:p w14:paraId="48713C19">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900~1600</w:t>
                  </w:r>
                </w:p>
              </w:tc>
              <w:tc>
                <w:tcPr>
                  <w:tcW w:w="1662" w:type="pct"/>
                  <w:tcBorders>
                    <w:tl2br w:val="nil"/>
                    <w:tr2bl w:val="nil"/>
                  </w:tcBorders>
                  <w:noWrap/>
                  <w:vAlign w:val="center"/>
                </w:tcPr>
                <w:p w14:paraId="595DA79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w:t>
                  </w:r>
                  <w:r>
                    <w:rPr>
                      <w:rFonts w:hint="default" w:ascii="Times New Roman" w:hAnsi="Times New Roman" w:eastAsia="宋体" w:cs="Times New Roman"/>
                      <w:snapToGrid w:val="0"/>
                      <w:color w:val="auto"/>
                      <w:kern w:val="0"/>
                      <w:sz w:val="21"/>
                      <w:szCs w:val="21"/>
                      <w:highlight w:val="none"/>
                      <w:lang w:val="en-US" w:eastAsia="zh-CN"/>
                    </w:rPr>
                    <w:t>8</w:t>
                  </w:r>
                  <w:r>
                    <w:rPr>
                      <w:rFonts w:hint="default" w:ascii="Times New Roman" w:hAnsi="Times New Roman" w:eastAsia="宋体" w:cs="Times New Roman"/>
                      <w:snapToGrid w:val="0"/>
                      <w:color w:val="auto"/>
                      <w:kern w:val="0"/>
                      <w:sz w:val="21"/>
                      <w:szCs w:val="21"/>
                      <w:highlight w:val="none"/>
                    </w:rPr>
                    <w:t>50</w:t>
                  </w:r>
                </w:p>
              </w:tc>
            </w:tr>
            <w:tr w14:paraId="3EDAC5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37" w:hRule="atLeast"/>
                <w:jc w:val="center"/>
              </w:trPr>
              <w:tc>
                <w:tcPr>
                  <w:tcW w:w="198" w:type="pct"/>
                  <w:tcBorders>
                    <w:tl2br w:val="nil"/>
                    <w:tr2bl w:val="nil"/>
                  </w:tcBorders>
                  <w:noWrap/>
                  <w:vAlign w:val="center"/>
                </w:tcPr>
                <w:p w14:paraId="6E0A31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rPr>
                    <w:t>8</w:t>
                  </w:r>
                </w:p>
              </w:tc>
              <w:tc>
                <w:tcPr>
                  <w:tcW w:w="1283" w:type="pct"/>
                  <w:tcBorders>
                    <w:tl2br w:val="nil"/>
                    <w:tr2bl w:val="nil"/>
                  </w:tcBorders>
                  <w:noWrap/>
                  <w:vAlign w:val="center"/>
                </w:tcPr>
                <w:p w14:paraId="148F89AC">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孔体积（cm</w:t>
                  </w:r>
                  <w:r>
                    <w:rPr>
                      <w:rFonts w:hint="default" w:ascii="Times New Roman" w:hAnsi="Times New Roman" w:eastAsia="宋体" w:cs="Times New Roman"/>
                      <w:snapToGrid w:val="0"/>
                      <w:color w:val="auto"/>
                      <w:kern w:val="0"/>
                      <w:sz w:val="21"/>
                      <w:szCs w:val="21"/>
                      <w:highlight w:val="none"/>
                      <w:vertAlign w:val="superscript"/>
                    </w:rPr>
                    <w:t>3</w:t>
                  </w:r>
                  <w:r>
                    <w:rPr>
                      <w:rFonts w:hint="default" w:ascii="Times New Roman" w:hAnsi="Times New Roman" w:eastAsia="宋体" w:cs="Times New Roman"/>
                      <w:snapToGrid w:val="0"/>
                      <w:color w:val="auto"/>
                      <w:kern w:val="0"/>
                      <w:sz w:val="21"/>
                      <w:szCs w:val="21"/>
                      <w:highlight w:val="none"/>
                    </w:rPr>
                    <w:t>/g）</w:t>
                  </w:r>
                </w:p>
              </w:tc>
              <w:tc>
                <w:tcPr>
                  <w:tcW w:w="1855" w:type="pct"/>
                  <w:tcBorders>
                    <w:tl2br w:val="nil"/>
                    <w:tr2bl w:val="nil"/>
                  </w:tcBorders>
                  <w:noWrap/>
                  <w:vAlign w:val="center"/>
                </w:tcPr>
                <w:p w14:paraId="3F211B1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0.63</w:t>
                  </w:r>
                </w:p>
              </w:tc>
              <w:tc>
                <w:tcPr>
                  <w:tcW w:w="1662" w:type="pct"/>
                  <w:tcBorders>
                    <w:tl2br w:val="nil"/>
                    <w:tr2bl w:val="nil"/>
                  </w:tcBorders>
                  <w:noWrap/>
                  <w:vAlign w:val="center"/>
                </w:tcPr>
                <w:p w14:paraId="3605E2B5">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w:t>
                  </w:r>
                </w:p>
              </w:tc>
            </w:tr>
            <w:tr w14:paraId="70C0DD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8" w:type="pct"/>
                  <w:tcBorders>
                    <w:tl2br w:val="nil"/>
                    <w:tr2bl w:val="nil"/>
                  </w:tcBorders>
                  <w:noWrap/>
                  <w:vAlign w:val="center"/>
                </w:tcPr>
                <w:p w14:paraId="31C615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rPr>
                    <w:t>9</w:t>
                  </w:r>
                </w:p>
              </w:tc>
              <w:tc>
                <w:tcPr>
                  <w:tcW w:w="1283" w:type="pct"/>
                  <w:tcBorders>
                    <w:tl2br w:val="nil"/>
                    <w:tr2bl w:val="nil"/>
                  </w:tcBorders>
                  <w:noWrap/>
                  <w:vAlign w:val="center"/>
                </w:tcPr>
                <w:p w14:paraId="0489E8F9">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活性炭密度（g/cm</w:t>
                  </w:r>
                  <w:r>
                    <w:rPr>
                      <w:rFonts w:hint="default" w:ascii="Times New Roman" w:hAnsi="Times New Roman" w:eastAsia="宋体" w:cs="Times New Roman"/>
                      <w:snapToGrid w:val="0"/>
                      <w:color w:val="auto"/>
                      <w:kern w:val="0"/>
                      <w:sz w:val="21"/>
                      <w:szCs w:val="21"/>
                      <w:highlight w:val="none"/>
                      <w:vertAlign w:val="superscript"/>
                    </w:rPr>
                    <w:t>3</w:t>
                  </w:r>
                  <w:r>
                    <w:rPr>
                      <w:rFonts w:hint="default" w:ascii="Times New Roman" w:hAnsi="Times New Roman" w:eastAsia="宋体" w:cs="Times New Roman"/>
                      <w:snapToGrid w:val="0"/>
                      <w:color w:val="auto"/>
                      <w:kern w:val="0"/>
                      <w:sz w:val="21"/>
                      <w:szCs w:val="21"/>
                      <w:highlight w:val="none"/>
                    </w:rPr>
                    <w:t>）</w:t>
                  </w:r>
                </w:p>
              </w:tc>
              <w:tc>
                <w:tcPr>
                  <w:tcW w:w="1855" w:type="pct"/>
                  <w:tcBorders>
                    <w:tl2br w:val="nil"/>
                    <w:tr2bl w:val="nil"/>
                  </w:tcBorders>
                  <w:noWrap/>
                  <w:vAlign w:val="center"/>
                </w:tcPr>
                <w:p w14:paraId="3F8C9C0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0.45</w:t>
                  </w:r>
                </w:p>
              </w:tc>
              <w:tc>
                <w:tcPr>
                  <w:tcW w:w="1662" w:type="pct"/>
                  <w:tcBorders>
                    <w:tl2br w:val="nil"/>
                    <w:tr2bl w:val="nil"/>
                  </w:tcBorders>
                  <w:noWrap/>
                  <w:vAlign w:val="center"/>
                </w:tcPr>
                <w:p w14:paraId="2A38FA1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w:t>
                  </w:r>
                </w:p>
              </w:tc>
            </w:tr>
            <w:tr w14:paraId="12ADA3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8" w:type="pct"/>
                  <w:tcBorders>
                    <w:tl2br w:val="nil"/>
                    <w:tr2bl w:val="nil"/>
                  </w:tcBorders>
                  <w:noWrap/>
                  <w:vAlign w:val="center"/>
                </w:tcPr>
                <w:p w14:paraId="1C93CB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rPr>
                    <w:t>10</w:t>
                  </w:r>
                </w:p>
              </w:tc>
              <w:tc>
                <w:tcPr>
                  <w:tcW w:w="1283" w:type="pct"/>
                  <w:tcBorders>
                    <w:tl2br w:val="nil"/>
                    <w:tr2bl w:val="nil"/>
                  </w:tcBorders>
                  <w:noWrap/>
                  <w:vAlign w:val="center"/>
                </w:tcPr>
                <w:p w14:paraId="213C7AF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碘吸附值（mg/g）</w:t>
                  </w:r>
                </w:p>
              </w:tc>
              <w:tc>
                <w:tcPr>
                  <w:tcW w:w="1855" w:type="pct"/>
                  <w:tcBorders>
                    <w:tl2br w:val="nil"/>
                    <w:tr2bl w:val="nil"/>
                  </w:tcBorders>
                  <w:noWrap/>
                  <w:vAlign w:val="center"/>
                </w:tcPr>
                <w:p w14:paraId="5C1DD1D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800</w:t>
                  </w:r>
                </w:p>
              </w:tc>
              <w:tc>
                <w:tcPr>
                  <w:tcW w:w="1662" w:type="pct"/>
                  <w:tcBorders>
                    <w:tl2br w:val="nil"/>
                    <w:tr2bl w:val="nil"/>
                  </w:tcBorders>
                  <w:noWrap/>
                  <w:vAlign w:val="center"/>
                </w:tcPr>
                <w:p w14:paraId="1CBD5E4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w:t>
                  </w:r>
                  <w:r>
                    <w:rPr>
                      <w:rFonts w:hint="default" w:ascii="Times New Roman" w:hAnsi="Times New Roman" w:eastAsia="宋体" w:cs="Times New Roman"/>
                      <w:snapToGrid w:val="0"/>
                      <w:color w:val="auto"/>
                      <w:kern w:val="0"/>
                      <w:sz w:val="21"/>
                      <w:szCs w:val="21"/>
                      <w:highlight w:val="none"/>
                      <w:lang w:val="en-US" w:eastAsia="zh-CN"/>
                    </w:rPr>
                    <w:t>80</w:t>
                  </w:r>
                  <w:r>
                    <w:rPr>
                      <w:rFonts w:hint="default" w:ascii="Times New Roman" w:hAnsi="Times New Roman" w:eastAsia="宋体" w:cs="Times New Roman"/>
                      <w:snapToGrid w:val="0"/>
                      <w:color w:val="auto"/>
                      <w:kern w:val="0"/>
                      <w:sz w:val="21"/>
                      <w:szCs w:val="21"/>
                      <w:highlight w:val="none"/>
                    </w:rPr>
                    <w:t>0</w:t>
                  </w:r>
                </w:p>
              </w:tc>
            </w:tr>
            <w:tr w14:paraId="5A760D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8" w:type="pct"/>
                  <w:tcBorders>
                    <w:tl2br w:val="nil"/>
                    <w:tr2bl w:val="nil"/>
                  </w:tcBorders>
                  <w:noWrap/>
                  <w:vAlign w:val="center"/>
                </w:tcPr>
                <w:p w14:paraId="3DD7D1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rPr>
                    <w:t>11</w:t>
                  </w:r>
                </w:p>
              </w:tc>
              <w:tc>
                <w:tcPr>
                  <w:tcW w:w="1283" w:type="pct"/>
                  <w:tcBorders>
                    <w:tl2br w:val="nil"/>
                    <w:tr2bl w:val="nil"/>
                  </w:tcBorders>
                  <w:noWrap/>
                  <w:vAlign w:val="center"/>
                </w:tcPr>
                <w:p w14:paraId="208E332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停留时间（s）</w:t>
                  </w:r>
                </w:p>
              </w:tc>
              <w:tc>
                <w:tcPr>
                  <w:tcW w:w="1855" w:type="pct"/>
                  <w:tcBorders>
                    <w:tl2br w:val="nil"/>
                    <w:tr2bl w:val="nil"/>
                  </w:tcBorders>
                  <w:noWrap/>
                  <w:vAlign w:val="center"/>
                </w:tcPr>
                <w:p w14:paraId="4CE63E7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4.3</w:t>
                  </w:r>
                </w:p>
              </w:tc>
              <w:tc>
                <w:tcPr>
                  <w:tcW w:w="1662" w:type="pct"/>
                  <w:tcBorders>
                    <w:tl2br w:val="nil"/>
                    <w:tr2bl w:val="nil"/>
                  </w:tcBorders>
                  <w:noWrap/>
                  <w:vAlign w:val="center"/>
                </w:tcPr>
                <w:p w14:paraId="22C4DBA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lang w:eastAsia="zh-CN"/>
                    </w:rPr>
                  </w:pPr>
                  <w:r>
                    <w:rPr>
                      <w:rFonts w:hint="default" w:ascii="Times New Roman" w:hAnsi="Times New Roman" w:eastAsia="宋体" w:cs="Times New Roman"/>
                      <w:snapToGrid w:val="0"/>
                      <w:color w:val="auto"/>
                      <w:kern w:val="0"/>
                      <w:sz w:val="21"/>
                      <w:szCs w:val="21"/>
                      <w:highlight w:val="none"/>
                      <w:lang w:val="en-US" w:eastAsia="zh-CN"/>
                    </w:rPr>
                    <w:t>/</w:t>
                  </w:r>
                </w:p>
              </w:tc>
            </w:tr>
            <w:tr w14:paraId="37835A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8" w:type="pct"/>
                  <w:tcBorders>
                    <w:tl2br w:val="nil"/>
                    <w:tr2bl w:val="nil"/>
                  </w:tcBorders>
                  <w:noWrap/>
                  <w:vAlign w:val="center"/>
                </w:tcPr>
                <w:p w14:paraId="40F90D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rPr>
                    <w:t>12</w:t>
                  </w:r>
                </w:p>
              </w:tc>
              <w:tc>
                <w:tcPr>
                  <w:tcW w:w="1283" w:type="pct"/>
                  <w:tcBorders>
                    <w:tl2br w:val="nil"/>
                    <w:tr2bl w:val="nil"/>
                  </w:tcBorders>
                  <w:noWrap/>
                  <w:vAlign w:val="center"/>
                </w:tcPr>
                <w:p w14:paraId="382508B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气流速度（m/s）</w:t>
                  </w:r>
                </w:p>
              </w:tc>
              <w:tc>
                <w:tcPr>
                  <w:tcW w:w="1855" w:type="pct"/>
                  <w:tcBorders>
                    <w:tl2br w:val="nil"/>
                    <w:tr2bl w:val="nil"/>
                  </w:tcBorders>
                  <w:noWrap/>
                  <w:vAlign w:val="center"/>
                </w:tcPr>
                <w:p w14:paraId="52B93DD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0.58</w:t>
                  </w:r>
                </w:p>
              </w:tc>
              <w:tc>
                <w:tcPr>
                  <w:tcW w:w="1662" w:type="pct"/>
                  <w:tcBorders>
                    <w:tl2br w:val="nil"/>
                    <w:tr2bl w:val="nil"/>
                  </w:tcBorders>
                  <w:noWrap/>
                  <w:vAlign w:val="center"/>
                </w:tcPr>
                <w:p w14:paraId="72E35F9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rPr>
                    <w:t>≤</w:t>
                  </w:r>
                  <w:r>
                    <w:rPr>
                      <w:rFonts w:hint="default" w:ascii="Times New Roman" w:hAnsi="Times New Roman" w:eastAsia="宋体" w:cs="Times New Roman"/>
                      <w:snapToGrid w:val="0"/>
                      <w:color w:val="auto"/>
                      <w:kern w:val="0"/>
                      <w:sz w:val="21"/>
                      <w:szCs w:val="21"/>
                      <w:highlight w:val="none"/>
                      <w:lang w:val="en-US" w:eastAsia="zh-CN"/>
                    </w:rPr>
                    <w:t>0.60</w:t>
                  </w:r>
                </w:p>
              </w:tc>
            </w:tr>
            <w:tr w14:paraId="11BD90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8" w:type="pct"/>
                  <w:tcBorders>
                    <w:tl2br w:val="nil"/>
                    <w:tr2bl w:val="nil"/>
                  </w:tcBorders>
                  <w:noWrap/>
                  <w:vAlign w:val="center"/>
                </w:tcPr>
                <w:p w14:paraId="4AFBAD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rPr>
                    <w:t>13</w:t>
                  </w:r>
                </w:p>
              </w:tc>
              <w:tc>
                <w:tcPr>
                  <w:tcW w:w="1283" w:type="pct"/>
                  <w:tcBorders>
                    <w:tl2br w:val="nil"/>
                    <w:tr2bl w:val="nil"/>
                  </w:tcBorders>
                  <w:noWrap/>
                  <w:vAlign w:val="center"/>
                </w:tcPr>
                <w:p w14:paraId="3C93700C">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填充量</w:t>
                  </w:r>
                </w:p>
              </w:tc>
              <w:tc>
                <w:tcPr>
                  <w:tcW w:w="1855" w:type="pct"/>
                  <w:tcBorders>
                    <w:tl2br w:val="nil"/>
                    <w:tr2bl w:val="nil"/>
                  </w:tcBorders>
                  <w:noWrap/>
                  <w:vAlign w:val="center"/>
                </w:tcPr>
                <w:p w14:paraId="5E4E661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lang w:val="en-US" w:eastAsia="zh-CN"/>
                    </w:rPr>
                    <w:t>0.</w:t>
                  </w:r>
                  <w:r>
                    <w:rPr>
                      <w:rFonts w:hint="eastAsia" w:cs="Times New Roman"/>
                      <w:snapToGrid w:val="0"/>
                      <w:color w:val="auto"/>
                      <w:kern w:val="0"/>
                      <w:sz w:val="21"/>
                      <w:szCs w:val="21"/>
                      <w:highlight w:val="none"/>
                      <w:lang w:val="en-US" w:eastAsia="zh-CN"/>
                    </w:rPr>
                    <w:t>2</w:t>
                  </w:r>
                  <w:r>
                    <w:rPr>
                      <w:rFonts w:hint="default" w:ascii="Times New Roman" w:hAnsi="Times New Roman" w:eastAsia="宋体" w:cs="Times New Roman"/>
                      <w:snapToGrid w:val="0"/>
                      <w:color w:val="auto"/>
                      <w:kern w:val="0"/>
                      <w:sz w:val="21"/>
                      <w:szCs w:val="21"/>
                      <w:highlight w:val="none"/>
                    </w:rPr>
                    <w:t>t*2</w:t>
                  </w:r>
                </w:p>
              </w:tc>
              <w:tc>
                <w:tcPr>
                  <w:tcW w:w="1662" w:type="pct"/>
                  <w:tcBorders>
                    <w:tl2br w:val="nil"/>
                    <w:tr2bl w:val="nil"/>
                  </w:tcBorders>
                  <w:noWrap/>
                  <w:vAlign w:val="center"/>
                </w:tcPr>
                <w:p w14:paraId="02B1AC3D">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w:t>
                  </w:r>
                </w:p>
              </w:tc>
            </w:tr>
            <w:tr w14:paraId="5A99F5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8" w:type="pct"/>
                  <w:tcBorders>
                    <w:tl2br w:val="nil"/>
                    <w:tr2bl w:val="nil"/>
                  </w:tcBorders>
                  <w:noWrap/>
                  <w:vAlign w:val="center"/>
                </w:tcPr>
                <w:p w14:paraId="0DF98A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rPr>
                    <w:t>14</w:t>
                  </w:r>
                </w:p>
              </w:tc>
              <w:tc>
                <w:tcPr>
                  <w:tcW w:w="1283" w:type="pct"/>
                  <w:tcBorders>
                    <w:tl2br w:val="nil"/>
                    <w:tr2bl w:val="nil"/>
                  </w:tcBorders>
                  <w:noWrap/>
                  <w:vAlign w:val="center"/>
                </w:tcPr>
                <w:p w14:paraId="1075E99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lang w:eastAsia="zh-CN"/>
                    </w:rPr>
                  </w:pPr>
                  <w:r>
                    <w:rPr>
                      <w:rFonts w:hint="default" w:ascii="Times New Roman" w:hAnsi="Times New Roman" w:eastAsia="宋体" w:cs="Times New Roman"/>
                      <w:snapToGrid w:val="0"/>
                      <w:color w:val="auto"/>
                      <w:kern w:val="0"/>
                      <w:sz w:val="21"/>
                      <w:szCs w:val="21"/>
                      <w:highlight w:val="none"/>
                    </w:rPr>
                    <w:t>更换</w:t>
                  </w:r>
                  <w:r>
                    <w:rPr>
                      <w:rFonts w:hint="default" w:ascii="Times New Roman" w:hAnsi="Times New Roman" w:eastAsia="宋体" w:cs="Times New Roman"/>
                      <w:snapToGrid w:val="0"/>
                      <w:color w:val="auto"/>
                      <w:kern w:val="0"/>
                      <w:sz w:val="21"/>
                      <w:szCs w:val="21"/>
                      <w:highlight w:val="none"/>
                      <w:lang w:val="en-US" w:eastAsia="zh-CN"/>
                    </w:rPr>
                    <w:t>周期</w:t>
                  </w:r>
                </w:p>
              </w:tc>
              <w:tc>
                <w:tcPr>
                  <w:tcW w:w="1855" w:type="pct"/>
                  <w:tcBorders>
                    <w:tl2br w:val="nil"/>
                    <w:tr2bl w:val="nil"/>
                  </w:tcBorders>
                  <w:noWrap/>
                  <w:vAlign w:val="center"/>
                </w:tcPr>
                <w:p w14:paraId="63E3E49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75</w:t>
                  </w:r>
                  <w:r>
                    <w:rPr>
                      <w:rFonts w:hint="eastAsia" w:ascii="Times New Roman" w:hAnsi="Times New Roman" w:eastAsia="宋体" w:cs="Times New Roman"/>
                      <w:snapToGrid w:val="0"/>
                      <w:color w:val="auto"/>
                      <w:kern w:val="0"/>
                      <w:sz w:val="21"/>
                      <w:szCs w:val="21"/>
                      <w:highlight w:val="none"/>
                      <w:lang w:val="en-US" w:eastAsia="zh-CN"/>
                    </w:rPr>
                    <w:t>个工作日</w:t>
                  </w:r>
                </w:p>
              </w:tc>
              <w:tc>
                <w:tcPr>
                  <w:tcW w:w="1662" w:type="pct"/>
                  <w:tcBorders>
                    <w:tl2br w:val="nil"/>
                    <w:tr2bl w:val="nil"/>
                  </w:tcBorders>
                  <w:noWrap/>
                  <w:vAlign w:val="center"/>
                </w:tcPr>
                <w:p w14:paraId="1072C3AD">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w:t>
                  </w:r>
                </w:p>
              </w:tc>
            </w:tr>
            <w:tr w14:paraId="0CEFE4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8" w:type="pct"/>
                  <w:tcBorders>
                    <w:tl2br w:val="nil"/>
                    <w:tr2bl w:val="nil"/>
                  </w:tcBorders>
                  <w:noWrap/>
                  <w:vAlign w:val="center"/>
                </w:tcPr>
                <w:p w14:paraId="33A842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lang w:val="en-US" w:eastAsia="zh-CN"/>
                    </w:rPr>
                    <w:t>15</w:t>
                  </w:r>
                </w:p>
              </w:tc>
              <w:tc>
                <w:tcPr>
                  <w:tcW w:w="1283" w:type="pct"/>
                  <w:tcBorders>
                    <w:tl2br w:val="nil"/>
                    <w:tr2bl w:val="nil"/>
                  </w:tcBorders>
                  <w:noWrap/>
                  <w:vAlign w:val="center"/>
                </w:tcPr>
                <w:p w14:paraId="2F0B6723">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更换频次</w:t>
                  </w:r>
                </w:p>
              </w:tc>
              <w:tc>
                <w:tcPr>
                  <w:tcW w:w="1855" w:type="pct"/>
                  <w:tcBorders>
                    <w:tl2br w:val="nil"/>
                    <w:tr2bl w:val="nil"/>
                  </w:tcBorders>
                  <w:noWrap/>
                  <w:vAlign w:val="center"/>
                </w:tcPr>
                <w:p w14:paraId="630CA963">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4</w:t>
                  </w:r>
                  <w:r>
                    <w:rPr>
                      <w:rFonts w:hint="default" w:ascii="Times New Roman" w:hAnsi="Times New Roman" w:eastAsia="宋体" w:cs="Times New Roman"/>
                      <w:snapToGrid w:val="0"/>
                      <w:color w:val="auto"/>
                      <w:kern w:val="0"/>
                      <w:sz w:val="21"/>
                      <w:szCs w:val="21"/>
                      <w:highlight w:val="none"/>
                      <w:lang w:val="en-US" w:eastAsia="zh-CN"/>
                    </w:rPr>
                    <w:t>次/年</w:t>
                  </w:r>
                </w:p>
              </w:tc>
              <w:tc>
                <w:tcPr>
                  <w:tcW w:w="1662" w:type="pct"/>
                  <w:tcBorders>
                    <w:tl2br w:val="nil"/>
                    <w:tr2bl w:val="nil"/>
                  </w:tcBorders>
                  <w:noWrap/>
                  <w:vAlign w:val="center"/>
                </w:tcPr>
                <w:p w14:paraId="4742101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w:t>
                  </w:r>
                </w:p>
              </w:tc>
            </w:tr>
            <w:tr w14:paraId="3163B5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8" w:type="pct"/>
                  <w:tcBorders>
                    <w:tl2br w:val="nil"/>
                    <w:tr2bl w:val="nil"/>
                  </w:tcBorders>
                  <w:noWrap/>
                  <w:vAlign w:val="center"/>
                </w:tcPr>
                <w:p w14:paraId="38490D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rPr>
                    <w:t>16</w:t>
                  </w:r>
                </w:p>
              </w:tc>
              <w:tc>
                <w:tcPr>
                  <w:tcW w:w="1283" w:type="pct"/>
                  <w:tcBorders>
                    <w:tl2br w:val="nil"/>
                    <w:tr2bl w:val="nil"/>
                  </w:tcBorders>
                  <w:noWrap/>
                  <w:vAlign w:val="center"/>
                </w:tcPr>
                <w:p w14:paraId="101F93F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活性炭风阻力</w:t>
                  </w:r>
                </w:p>
              </w:tc>
              <w:tc>
                <w:tcPr>
                  <w:tcW w:w="1855" w:type="pct"/>
                  <w:tcBorders>
                    <w:tl2br w:val="nil"/>
                    <w:tr2bl w:val="nil"/>
                  </w:tcBorders>
                  <w:noWrap/>
                  <w:vAlign w:val="center"/>
                </w:tcPr>
                <w:p w14:paraId="3C47097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500pa</w:t>
                  </w:r>
                </w:p>
              </w:tc>
              <w:tc>
                <w:tcPr>
                  <w:tcW w:w="1662" w:type="pct"/>
                  <w:tcBorders>
                    <w:tl2br w:val="nil"/>
                    <w:tr2bl w:val="nil"/>
                  </w:tcBorders>
                  <w:noWrap/>
                  <w:vAlign w:val="center"/>
                </w:tcPr>
                <w:p w14:paraId="1ACEE6E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w:t>
                  </w:r>
                </w:p>
              </w:tc>
            </w:tr>
            <w:tr w14:paraId="0A2E21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8" w:type="pct"/>
                  <w:tcBorders>
                    <w:tl2br w:val="nil"/>
                    <w:tr2bl w:val="nil"/>
                  </w:tcBorders>
                  <w:noWrap/>
                  <w:vAlign w:val="center"/>
                </w:tcPr>
                <w:p w14:paraId="14D529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rPr>
                    <w:t>17</w:t>
                  </w:r>
                </w:p>
              </w:tc>
              <w:tc>
                <w:tcPr>
                  <w:tcW w:w="1283" w:type="pct"/>
                  <w:tcBorders>
                    <w:tl2br w:val="nil"/>
                    <w:tr2bl w:val="nil"/>
                  </w:tcBorders>
                  <w:noWrap/>
                  <w:vAlign w:val="center"/>
                </w:tcPr>
                <w:p w14:paraId="6E887D2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设计处理效率</w:t>
                  </w:r>
                </w:p>
              </w:tc>
              <w:tc>
                <w:tcPr>
                  <w:tcW w:w="1855" w:type="pct"/>
                  <w:tcBorders>
                    <w:tl2br w:val="nil"/>
                    <w:tr2bl w:val="nil"/>
                  </w:tcBorders>
                  <w:noWrap/>
                  <w:vAlign w:val="center"/>
                </w:tcPr>
                <w:p w14:paraId="27D1FF2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rPr>
                    <w:t>≥</w:t>
                  </w:r>
                  <w:r>
                    <w:rPr>
                      <w:rFonts w:hint="default" w:ascii="Times New Roman" w:hAnsi="Times New Roman" w:eastAsia="宋体" w:cs="Times New Roman"/>
                      <w:snapToGrid w:val="0"/>
                      <w:color w:val="auto"/>
                      <w:kern w:val="0"/>
                      <w:sz w:val="21"/>
                      <w:szCs w:val="21"/>
                      <w:highlight w:val="none"/>
                      <w:lang w:val="en-US" w:eastAsia="zh-CN"/>
                    </w:rPr>
                    <w:t>90%</w:t>
                  </w:r>
                </w:p>
              </w:tc>
              <w:tc>
                <w:tcPr>
                  <w:tcW w:w="1662" w:type="pct"/>
                  <w:tcBorders>
                    <w:tl2br w:val="nil"/>
                    <w:tr2bl w:val="nil"/>
                  </w:tcBorders>
                  <w:noWrap/>
                  <w:vAlign w:val="center"/>
                </w:tcPr>
                <w:p w14:paraId="2F65904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w:t>
                  </w:r>
                </w:p>
              </w:tc>
            </w:tr>
            <w:tr w14:paraId="793C74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8" w:type="pct"/>
                  <w:tcBorders>
                    <w:tl2br w:val="nil"/>
                    <w:tr2bl w:val="nil"/>
                  </w:tcBorders>
                  <w:noWrap/>
                  <w:vAlign w:val="center"/>
                </w:tcPr>
                <w:p w14:paraId="0FB25D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lang w:val="en-US" w:eastAsia="zh-CN"/>
                    </w:rPr>
                    <w:t>18</w:t>
                  </w:r>
                </w:p>
              </w:tc>
              <w:tc>
                <w:tcPr>
                  <w:tcW w:w="1283" w:type="pct"/>
                  <w:tcBorders>
                    <w:tl2br w:val="nil"/>
                    <w:tr2bl w:val="nil"/>
                  </w:tcBorders>
                  <w:noWrap/>
                  <w:vAlign w:val="center"/>
                </w:tcPr>
                <w:p w14:paraId="040B58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lang w:val="en-US" w:eastAsia="zh-CN"/>
                    </w:rPr>
                    <w:t>水分含量（%）</w:t>
                  </w:r>
                </w:p>
              </w:tc>
              <w:tc>
                <w:tcPr>
                  <w:tcW w:w="1855" w:type="pct"/>
                  <w:tcBorders>
                    <w:tl2br w:val="nil"/>
                    <w:tr2bl w:val="nil"/>
                  </w:tcBorders>
                  <w:noWrap/>
                  <w:vAlign w:val="center"/>
                </w:tcPr>
                <w:p w14:paraId="370833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lang w:val="en-US" w:eastAsia="zh-CN"/>
                    </w:rPr>
                    <w:t>8</w:t>
                  </w:r>
                </w:p>
              </w:tc>
              <w:tc>
                <w:tcPr>
                  <w:tcW w:w="1662" w:type="pct"/>
                  <w:tcBorders>
                    <w:tl2br w:val="nil"/>
                    <w:tr2bl w:val="nil"/>
                  </w:tcBorders>
                  <w:noWrap/>
                  <w:vAlign w:val="center"/>
                </w:tcPr>
                <w:p w14:paraId="4DEF27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rPr>
                    <w:t>≤</w:t>
                  </w:r>
                  <w:r>
                    <w:rPr>
                      <w:rFonts w:hint="default" w:ascii="Times New Roman" w:hAnsi="Times New Roman" w:eastAsia="宋体" w:cs="Times New Roman"/>
                      <w:smallCaps w:val="0"/>
                      <w:snapToGrid w:val="0"/>
                      <w:color w:val="auto"/>
                      <w:spacing w:val="0"/>
                      <w:kern w:val="0"/>
                      <w:sz w:val="21"/>
                      <w:szCs w:val="21"/>
                      <w:highlight w:val="none"/>
                      <w:lang w:val="en-US" w:eastAsia="zh-CN"/>
                    </w:rPr>
                    <w:t>10</w:t>
                  </w:r>
                </w:p>
              </w:tc>
            </w:tr>
            <w:tr w14:paraId="2E2E7E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8" w:type="pct"/>
                  <w:tcBorders>
                    <w:tl2br w:val="nil"/>
                    <w:tr2bl w:val="nil"/>
                  </w:tcBorders>
                  <w:noWrap w:val="0"/>
                  <w:vAlign w:val="center"/>
                </w:tcPr>
                <w:p w14:paraId="4316B6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lang w:val="en-US" w:eastAsia="zh-CN"/>
                    </w:rPr>
                    <w:t>19</w:t>
                  </w:r>
                </w:p>
              </w:tc>
              <w:tc>
                <w:tcPr>
                  <w:tcW w:w="1283" w:type="pct"/>
                  <w:tcBorders>
                    <w:tl2br w:val="nil"/>
                    <w:tr2bl w:val="nil"/>
                  </w:tcBorders>
                  <w:noWrap w:val="0"/>
                  <w:vAlign w:val="center"/>
                </w:tcPr>
                <w:p w14:paraId="7F88E1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lang w:val="en-US" w:eastAsia="zh-CN"/>
                    </w:rPr>
                    <w:t>耐磨强度（%）</w:t>
                  </w:r>
                </w:p>
              </w:tc>
              <w:tc>
                <w:tcPr>
                  <w:tcW w:w="1855" w:type="pct"/>
                  <w:tcBorders>
                    <w:tl2br w:val="nil"/>
                    <w:tr2bl w:val="nil"/>
                  </w:tcBorders>
                  <w:noWrap w:val="0"/>
                  <w:vAlign w:val="center"/>
                </w:tcPr>
                <w:p w14:paraId="5831FD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lang w:val="en-US" w:eastAsia="zh-CN"/>
                    </w:rPr>
                    <w:t>90</w:t>
                  </w:r>
                </w:p>
              </w:tc>
              <w:tc>
                <w:tcPr>
                  <w:tcW w:w="1662" w:type="pct"/>
                  <w:tcBorders>
                    <w:tl2br w:val="nil"/>
                    <w:tr2bl w:val="nil"/>
                  </w:tcBorders>
                  <w:noWrap w:val="0"/>
                  <w:vAlign w:val="center"/>
                </w:tcPr>
                <w:p w14:paraId="675545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lang w:val="en-US" w:eastAsia="zh-CN"/>
                    </w:rPr>
                    <w:t>/</w:t>
                  </w:r>
                </w:p>
              </w:tc>
            </w:tr>
            <w:tr w14:paraId="425134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8" w:type="pct"/>
                  <w:tcBorders>
                    <w:tl2br w:val="nil"/>
                    <w:tr2bl w:val="nil"/>
                  </w:tcBorders>
                  <w:noWrap w:val="0"/>
                  <w:vAlign w:val="center"/>
                </w:tcPr>
                <w:p w14:paraId="14FA42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lang w:val="en-US" w:eastAsia="zh-CN"/>
                    </w:rPr>
                    <w:t>20</w:t>
                  </w:r>
                </w:p>
              </w:tc>
              <w:tc>
                <w:tcPr>
                  <w:tcW w:w="1283" w:type="pct"/>
                  <w:tcBorders>
                    <w:tl2br w:val="nil"/>
                    <w:tr2bl w:val="nil"/>
                  </w:tcBorders>
                  <w:noWrap w:val="0"/>
                  <w:vAlign w:val="center"/>
                </w:tcPr>
                <w:p w14:paraId="6C97D6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lang w:val="en-US" w:eastAsia="zh-CN"/>
                    </w:rPr>
                    <w:t>断裂强力（N）</w:t>
                  </w:r>
                </w:p>
              </w:tc>
              <w:tc>
                <w:tcPr>
                  <w:tcW w:w="1855" w:type="pct"/>
                  <w:tcBorders>
                    <w:tl2br w:val="nil"/>
                    <w:tr2bl w:val="nil"/>
                  </w:tcBorders>
                  <w:noWrap w:val="0"/>
                  <w:vAlign w:val="center"/>
                </w:tcPr>
                <w:p w14:paraId="115894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lang w:val="en-US" w:eastAsia="zh-CN"/>
                    </w:rPr>
                    <w:t>5</w:t>
                  </w:r>
                </w:p>
              </w:tc>
              <w:tc>
                <w:tcPr>
                  <w:tcW w:w="1662" w:type="pct"/>
                  <w:tcBorders>
                    <w:tl2br w:val="nil"/>
                    <w:tr2bl w:val="nil"/>
                  </w:tcBorders>
                  <w:noWrap w:val="0"/>
                  <w:vAlign w:val="center"/>
                </w:tcPr>
                <w:p w14:paraId="522F8C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lang w:val="en-US" w:eastAsia="zh-CN"/>
                    </w:rPr>
                    <w:t>/</w:t>
                  </w:r>
                </w:p>
              </w:tc>
            </w:tr>
            <w:tr w14:paraId="20E90D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8" w:type="pct"/>
                  <w:tcBorders>
                    <w:tl2br w:val="nil"/>
                    <w:tr2bl w:val="nil"/>
                  </w:tcBorders>
                  <w:noWrap w:val="0"/>
                  <w:vAlign w:val="center"/>
                </w:tcPr>
                <w:p w14:paraId="282F32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lang w:val="en-US" w:eastAsia="zh-CN" w:bidi="ar-SA"/>
                    </w:rPr>
                    <w:t>21</w:t>
                  </w:r>
                </w:p>
              </w:tc>
              <w:tc>
                <w:tcPr>
                  <w:tcW w:w="1283" w:type="pct"/>
                  <w:tcBorders>
                    <w:tl2br w:val="nil"/>
                    <w:tr2bl w:val="nil"/>
                  </w:tcBorders>
                  <w:noWrap w:val="0"/>
                  <w:vAlign w:val="center"/>
                </w:tcPr>
                <w:p w14:paraId="006578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lang w:val="en-US" w:eastAsia="zh-CN"/>
                    </w:rPr>
                    <w:t>着火点</w:t>
                  </w:r>
                </w:p>
              </w:tc>
              <w:tc>
                <w:tcPr>
                  <w:tcW w:w="1855" w:type="pct"/>
                  <w:tcBorders>
                    <w:tl2br w:val="nil"/>
                    <w:tr2bl w:val="nil"/>
                  </w:tcBorders>
                  <w:noWrap w:val="0"/>
                  <w:vAlign w:val="center"/>
                </w:tcPr>
                <w:p w14:paraId="6270FD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lang w:val="en-US" w:eastAsia="zh-CN"/>
                    </w:rPr>
                    <w:t>450</w:t>
                  </w:r>
                </w:p>
              </w:tc>
              <w:tc>
                <w:tcPr>
                  <w:tcW w:w="1662" w:type="pct"/>
                  <w:tcBorders>
                    <w:tl2br w:val="nil"/>
                    <w:tr2bl w:val="nil"/>
                  </w:tcBorders>
                  <w:noWrap w:val="0"/>
                  <w:vAlign w:val="center"/>
                </w:tcPr>
                <w:p w14:paraId="7ADB74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rPr>
                    <w:t>≥</w:t>
                  </w:r>
                  <w:r>
                    <w:rPr>
                      <w:rFonts w:hint="default" w:ascii="Times New Roman" w:hAnsi="Times New Roman" w:eastAsia="宋体" w:cs="Times New Roman"/>
                      <w:smallCaps w:val="0"/>
                      <w:snapToGrid w:val="0"/>
                      <w:color w:val="auto"/>
                      <w:spacing w:val="0"/>
                      <w:kern w:val="0"/>
                      <w:sz w:val="21"/>
                      <w:szCs w:val="21"/>
                      <w:highlight w:val="none"/>
                      <w:lang w:val="en-US" w:eastAsia="zh-CN"/>
                    </w:rPr>
                    <w:t>400</w:t>
                  </w:r>
                </w:p>
              </w:tc>
            </w:tr>
            <w:tr w14:paraId="0B321A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8" w:type="pct"/>
                  <w:tcBorders>
                    <w:tl2br w:val="nil"/>
                    <w:tr2bl w:val="nil"/>
                  </w:tcBorders>
                  <w:noWrap w:val="0"/>
                  <w:vAlign w:val="center"/>
                </w:tcPr>
                <w:p w14:paraId="09E992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eastAsia" w:cs="Times New Roman"/>
                      <w:smallCaps w:val="0"/>
                      <w:snapToGrid w:val="0"/>
                      <w:color w:val="auto"/>
                      <w:spacing w:val="0"/>
                      <w:kern w:val="0"/>
                      <w:sz w:val="21"/>
                      <w:szCs w:val="21"/>
                      <w:highlight w:val="none"/>
                      <w:lang w:val="en-US" w:eastAsia="zh-CN" w:bidi="ar-SA"/>
                    </w:rPr>
                    <w:t>22</w:t>
                  </w:r>
                </w:p>
              </w:tc>
              <w:tc>
                <w:tcPr>
                  <w:tcW w:w="1283" w:type="pct"/>
                  <w:tcBorders>
                    <w:tl2br w:val="nil"/>
                    <w:tr2bl w:val="nil"/>
                  </w:tcBorders>
                  <w:noWrap w:val="0"/>
                  <w:vAlign w:val="center"/>
                </w:tcPr>
                <w:p w14:paraId="327890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rPr>
                  </w:pPr>
                  <w:r>
                    <w:rPr>
                      <w:rFonts w:hint="eastAsia" w:ascii="Times New Roman" w:hAnsi="Times New Roman" w:eastAsia="宋体" w:cs="Times New Roman"/>
                      <w:smallCaps w:val="0"/>
                      <w:snapToGrid w:val="0"/>
                      <w:color w:val="auto"/>
                      <w:spacing w:val="0"/>
                      <w:kern w:val="0"/>
                      <w:sz w:val="21"/>
                      <w:szCs w:val="21"/>
                      <w:highlight w:val="none"/>
                      <w:shd w:val="clear" w:color="auto" w:fill="auto"/>
                      <w:lang w:val="en-US" w:eastAsia="zh-CN"/>
                    </w:rPr>
                    <w:t>四氯化碳吸附率（%）</w:t>
                  </w:r>
                </w:p>
              </w:tc>
              <w:tc>
                <w:tcPr>
                  <w:tcW w:w="1855" w:type="pct"/>
                  <w:tcBorders>
                    <w:tl2br w:val="nil"/>
                    <w:tr2bl w:val="nil"/>
                  </w:tcBorders>
                  <w:noWrap w:val="0"/>
                  <w:vAlign w:val="center"/>
                </w:tcPr>
                <w:p w14:paraId="44E6CA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rPr>
                  </w:pPr>
                  <w:r>
                    <w:rPr>
                      <w:rFonts w:hint="eastAsia" w:ascii="Times New Roman" w:hAnsi="Times New Roman" w:eastAsia="宋体" w:cs="Times New Roman"/>
                      <w:smallCaps w:val="0"/>
                      <w:snapToGrid w:val="0"/>
                      <w:color w:val="auto"/>
                      <w:spacing w:val="0"/>
                      <w:kern w:val="0"/>
                      <w:sz w:val="21"/>
                      <w:szCs w:val="21"/>
                      <w:highlight w:val="none"/>
                      <w:shd w:val="clear" w:color="auto" w:fill="auto"/>
                      <w:lang w:val="en-US" w:eastAsia="zh-CN"/>
                    </w:rPr>
                    <w:t>49</w:t>
                  </w:r>
                </w:p>
              </w:tc>
              <w:tc>
                <w:tcPr>
                  <w:tcW w:w="1662" w:type="pct"/>
                  <w:tcBorders>
                    <w:tl2br w:val="nil"/>
                    <w:tr2bl w:val="nil"/>
                  </w:tcBorders>
                  <w:shd w:val="clear" w:color="auto" w:fill="auto"/>
                  <w:noWrap w:val="0"/>
                  <w:vAlign w:val="center"/>
                </w:tcPr>
                <w:p w14:paraId="3D0A3F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w:t>
                  </w:r>
                  <w:r>
                    <w:rPr>
                      <w:rFonts w:hint="eastAsia" w:ascii="Times New Roman" w:hAnsi="Times New Roman" w:eastAsia="宋体" w:cs="Times New Roman"/>
                      <w:snapToGrid w:val="0"/>
                      <w:color w:val="auto"/>
                      <w:kern w:val="0"/>
                      <w:sz w:val="21"/>
                      <w:szCs w:val="21"/>
                      <w:highlight w:val="none"/>
                      <w:shd w:val="clear" w:color="auto" w:fill="auto"/>
                      <w:lang w:val="en-US" w:eastAsia="zh-CN"/>
                    </w:rPr>
                    <w:t>40</w:t>
                  </w:r>
                </w:p>
              </w:tc>
            </w:tr>
          </w:tbl>
          <w:p w14:paraId="2E2E6328">
            <w:pPr>
              <w:pStyle w:val="40"/>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eastAsia"/>
                <w:color w:val="auto"/>
                <w:sz w:val="24"/>
                <w:szCs w:val="24"/>
                <w:highlight w:val="none"/>
              </w:rPr>
            </w:pPr>
            <w:r>
              <w:rPr>
                <w:rFonts w:hint="eastAsia"/>
                <w:color w:val="auto"/>
                <w:sz w:val="24"/>
                <w:szCs w:val="24"/>
                <w:highlight w:val="none"/>
              </w:rPr>
              <w:t>根据江苏省生态环境厅发布的《省生态环境厅关于将排污单位活性炭使用更换纳入排污许可管理的通知》附件中的公式计算活性炭更换周期：</w:t>
            </w:r>
          </w:p>
          <w:p w14:paraId="0135A4C0">
            <w:pPr>
              <w:pStyle w:val="40"/>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Ansi="宋体"/>
                <w:color w:val="auto"/>
                <w:sz w:val="24"/>
                <w:szCs w:val="24"/>
                <w:highlight w:val="none"/>
              </w:rPr>
            </w:pPr>
            <w:r>
              <w:rPr>
                <w:rFonts w:hAnsi="宋体"/>
                <w:color w:val="auto"/>
                <w:position w:val="-10"/>
                <w:sz w:val="24"/>
                <w:szCs w:val="24"/>
                <w:highlight w:val="none"/>
              </w:rPr>
              <w:object>
                <v:shape id="_x0000_i1026" o:spt="75" type="#_x0000_t75" style="height:18pt;width:134pt;" o:ole="t" filled="f" o:preferrelative="t" stroked="f" coordsize="21600,21600">
                  <v:path/>
                  <v:fill on="f" focussize="0,0"/>
                  <v:stroke on="f"/>
                  <v:imagedata r:id="rId23" o:title=""/>
                  <o:lock v:ext="edit" aspectratio="t"/>
                  <w10:wrap type="none"/>
                  <w10:anchorlock/>
                </v:shape>
                <o:OLEObject Type="Embed" ProgID="Equation.KSEE3" ShapeID="_x0000_i1026" DrawAspect="Content" ObjectID="_1468075726" r:id="rId22">
                  <o:LockedField>false</o:LockedField>
                </o:OLEObject>
              </w:object>
            </w:r>
          </w:p>
          <w:p w14:paraId="34BD4196">
            <w:pPr>
              <w:pStyle w:val="40"/>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eastAsia" w:hAnsi="宋体"/>
                <w:color w:val="auto"/>
                <w:sz w:val="24"/>
                <w:szCs w:val="24"/>
                <w:highlight w:val="none"/>
              </w:rPr>
            </w:pPr>
            <w:r>
              <w:rPr>
                <w:rFonts w:hint="eastAsia" w:hAnsi="宋体"/>
                <w:color w:val="auto"/>
                <w:sz w:val="24"/>
                <w:szCs w:val="24"/>
                <w:highlight w:val="none"/>
              </w:rPr>
              <w:t>式中：T——更换周期，天；</w:t>
            </w:r>
          </w:p>
          <w:p w14:paraId="2F8A19C9">
            <w:pPr>
              <w:pStyle w:val="40"/>
              <w:keepNext w:val="0"/>
              <w:keepLines w:val="0"/>
              <w:pageBreakBefore w:val="0"/>
              <w:widowControl w:val="0"/>
              <w:kinsoku/>
              <w:wordWrap/>
              <w:overflowPunct/>
              <w:topLinePunct w:val="0"/>
              <w:autoSpaceDE/>
              <w:autoSpaceDN/>
              <w:bidi w:val="0"/>
              <w:adjustRightInd/>
              <w:snapToGrid/>
              <w:spacing w:line="500" w:lineRule="exact"/>
              <w:ind w:firstLine="1200" w:firstLineChars="500"/>
              <w:textAlignment w:val="auto"/>
              <w:rPr>
                <w:rFonts w:hint="eastAsia" w:hAnsi="宋体"/>
                <w:color w:val="auto"/>
                <w:sz w:val="24"/>
                <w:szCs w:val="24"/>
                <w:highlight w:val="none"/>
              </w:rPr>
            </w:pPr>
            <w:r>
              <w:rPr>
                <w:rFonts w:hint="eastAsia" w:hAnsi="宋体"/>
                <w:color w:val="auto"/>
                <w:sz w:val="24"/>
                <w:szCs w:val="24"/>
                <w:highlight w:val="none"/>
              </w:rPr>
              <w:t>m——活性炭的用量，kg；</w:t>
            </w:r>
          </w:p>
          <w:p w14:paraId="788103DC">
            <w:pPr>
              <w:pStyle w:val="40"/>
              <w:keepNext w:val="0"/>
              <w:keepLines w:val="0"/>
              <w:pageBreakBefore w:val="0"/>
              <w:widowControl w:val="0"/>
              <w:kinsoku/>
              <w:wordWrap/>
              <w:overflowPunct/>
              <w:topLinePunct w:val="0"/>
              <w:autoSpaceDE/>
              <w:autoSpaceDN/>
              <w:bidi w:val="0"/>
              <w:adjustRightInd/>
              <w:snapToGrid/>
              <w:spacing w:line="500" w:lineRule="exact"/>
              <w:ind w:firstLine="1200" w:firstLineChars="500"/>
              <w:textAlignment w:val="auto"/>
              <w:rPr>
                <w:rFonts w:hint="eastAsia" w:hAnsi="宋体"/>
                <w:color w:val="auto"/>
                <w:sz w:val="24"/>
                <w:szCs w:val="24"/>
                <w:highlight w:val="none"/>
              </w:rPr>
            </w:pPr>
            <w:r>
              <w:rPr>
                <w:rFonts w:hint="eastAsia" w:hAnsi="宋体"/>
                <w:color w:val="auto"/>
                <w:sz w:val="24"/>
                <w:szCs w:val="24"/>
                <w:highlight w:val="none"/>
              </w:rPr>
              <w:t>s——动态吸附量，%；</w:t>
            </w:r>
          </w:p>
          <w:p w14:paraId="3A4840A0">
            <w:pPr>
              <w:pStyle w:val="40"/>
              <w:keepNext w:val="0"/>
              <w:keepLines w:val="0"/>
              <w:pageBreakBefore w:val="0"/>
              <w:widowControl w:val="0"/>
              <w:kinsoku/>
              <w:wordWrap/>
              <w:overflowPunct/>
              <w:topLinePunct w:val="0"/>
              <w:autoSpaceDE/>
              <w:autoSpaceDN/>
              <w:bidi w:val="0"/>
              <w:adjustRightInd/>
              <w:snapToGrid/>
              <w:spacing w:line="500" w:lineRule="exact"/>
              <w:ind w:firstLine="1200" w:firstLineChars="500"/>
              <w:textAlignment w:val="auto"/>
              <w:rPr>
                <w:rFonts w:hint="eastAsia" w:hAnsi="宋体"/>
                <w:color w:val="auto"/>
                <w:sz w:val="24"/>
                <w:szCs w:val="24"/>
                <w:highlight w:val="none"/>
              </w:rPr>
            </w:pPr>
            <w:r>
              <w:rPr>
                <w:rFonts w:hint="eastAsia" w:hAnsi="宋体"/>
                <w:color w:val="auto"/>
                <w:sz w:val="24"/>
                <w:szCs w:val="24"/>
                <w:highlight w:val="none"/>
              </w:rPr>
              <w:t>c——活性炭削减的VOCs浓度，mg/m</w:t>
            </w:r>
            <w:r>
              <w:rPr>
                <w:rFonts w:hint="eastAsia" w:hAnsi="宋体"/>
                <w:color w:val="auto"/>
                <w:sz w:val="24"/>
                <w:szCs w:val="24"/>
                <w:highlight w:val="none"/>
                <w:vertAlign w:val="superscript"/>
              </w:rPr>
              <w:t>3</w:t>
            </w:r>
            <w:r>
              <w:rPr>
                <w:rFonts w:hint="eastAsia" w:hAnsi="宋体"/>
                <w:color w:val="auto"/>
                <w:sz w:val="24"/>
                <w:szCs w:val="24"/>
                <w:highlight w:val="none"/>
              </w:rPr>
              <w:t>；</w:t>
            </w:r>
          </w:p>
          <w:p w14:paraId="2A719070">
            <w:pPr>
              <w:pStyle w:val="40"/>
              <w:keepNext w:val="0"/>
              <w:keepLines w:val="0"/>
              <w:pageBreakBefore w:val="0"/>
              <w:widowControl w:val="0"/>
              <w:kinsoku/>
              <w:wordWrap/>
              <w:overflowPunct/>
              <w:topLinePunct w:val="0"/>
              <w:autoSpaceDE/>
              <w:autoSpaceDN/>
              <w:bidi w:val="0"/>
              <w:adjustRightInd/>
              <w:snapToGrid/>
              <w:spacing w:line="500" w:lineRule="exact"/>
              <w:ind w:firstLine="1200" w:firstLineChars="500"/>
              <w:textAlignment w:val="auto"/>
              <w:rPr>
                <w:rFonts w:hint="default" w:hAnsi="宋体" w:eastAsia="宋体"/>
                <w:color w:val="auto"/>
                <w:sz w:val="24"/>
                <w:szCs w:val="24"/>
                <w:highlight w:val="none"/>
                <w:lang w:val="en-US" w:eastAsia="zh-CN"/>
              </w:rPr>
            </w:pPr>
            <w:r>
              <w:rPr>
                <w:rFonts w:hint="eastAsia" w:hAnsi="宋体"/>
                <w:color w:val="auto"/>
                <w:sz w:val="24"/>
                <w:szCs w:val="24"/>
                <w:highlight w:val="none"/>
              </w:rPr>
              <w:t>Q——风量，单位m</w:t>
            </w:r>
            <w:r>
              <w:rPr>
                <w:rFonts w:hint="eastAsia" w:hAnsi="宋体"/>
                <w:color w:val="auto"/>
                <w:sz w:val="24"/>
                <w:szCs w:val="24"/>
                <w:highlight w:val="none"/>
                <w:vertAlign w:val="superscript"/>
              </w:rPr>
              <w:t>3</w:t>
            </w:r>
            <w:r>
              <w:rPr>
                <w:rFonts w:hint="eastAsia" w:hAnsi="宋体"/>
                <w:color w:val="auto"/>
                <w:sz w:val="24"/>
                <w:szCs w:val="24"/>
                <w:highlight w:val="none"/>
              </w:rPr>
              <w:t>/h；</w:t>
            </w:r>
          </w:p>
          <w:p w14:paraId="27584BBB">
            <w:pPr>
              <w:pStyle w:val="40"/>
              <w:keepNext w:val="0"/>
              <w:keepLines w:val="0"/>
              <w:pageBreakBefore w:val="0"/>
              <w:widowControl w:val="0"/>
              <w:kinsoku/>
              <w:wordWrap/>
              <w:overflowPunct/>
              <w:topLinePunct w:val="0"/>
              <w:autoSpaceDE/>
              <w:autoSpaceDN/>
              <w:bidi w:val="0"/>
              <w:adjustRightInd/>
              <w:snapToGrid/>
              <w:spacing w:line="500" w:lineRule="exact"/>
              <w:ind w:firstLine="1200" w:firstLineChars="500"/>
              <w:textAlignment w:val="auto"/>
              <w:rPr>
                <w:rFonts w:hint="eastAsia" w:hAnsi="宋体"/>
                <w:color w:val="auto"/>
                <w:sz w:val="24"/>
                <w:szCs w:val="24"/>
                <w:highlight w:val="none"/>
              </w:rPr>
            </w:pPr>
            <w:r>
              <w:rPr>
                <w:rFonts w:hint="eastAsia" w:hAnsi="宋体"/>
                <w:color w:val="auto"/>
                <w:sz w:val="24"/>
                <w:szCs w:val="24"/>
                <w:highlight w:val="none"/>
              </w:rPr>
              <w:t>t——运行时间，单位h/d。</w:t>
            </w:r>
          </w:p>
          <w:p w14:paraId="5BD65042">
            <w:pPr>
              <w:pStyle w:val="41"/>
              <w:keepNext w:val="0"/>
              <w:keepLines w:val="0"/>
              <w:pageBreakBefore w:val="0"/>
              <w:widowControl w:val="0"/>
              <w:kinsoku/>
              <w:wordWrap/>
              <w:overflowPunct/>
              <w:topLinePunct w:val="0"/>
              <w:autoSpaceDE/>
              <w:autoSpaceDN/>
              <w:bidi w:val="0"/>
              <w:adjustRightInd/>
              <w:snapToGrid/>
              <w:spacing w:line="400" w:lineRule="exact"/>
              <w:textAlignment w:val="auto"/>
              <w:rPr>
                <w:color w:val="auto"/>
                <w:sz w:val="21"/>
                <w:szCs w:val="21"/>
                <w:highlight w:val="none"/>
              </w:rPr>
            </w:pPr>
            <w:r>
              <w:rPr>
                <w:color w:val="auto"/>
                <w:sz w:val="21"/>
                <w:szCs w:val="21"/>
                <w:highlight w:val="none"/>
              </w:rPr>
              <w:t>表4</w:t>
            </w:r>
            <w:r>
              <w:rPr>
                <w:rFonts w:hint="eastAsia"/>
                <w:color w:val="auto"/>
                <w:sz w:val="21"/>
                <w:szCs w:val="21"/>
                <w:highlight w:val="none"/>
                <w:lang w:val="en-US" w:eastAsia="zh-CN"/>
              </w:rPr>
              <w:t xml:space="preserve">.2-7  </w:t>
            </w:r>
            <w:r>
              <w:rPr>
                <w:color w:val="auto"/>
                <w:sz w:val="21"/>
                <w:szCs w:val="21"/>
                <w:highlight w:val="none"/>
              </w:rPr>
              <w:t>活性炭更换周期一览表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1182"/>
              <w:gridCol w:w="1162"/>
              <w:gridCol w:w="2107"/>
              <w:gridCol w:w="1230"/>
              <w:gridCol w:w="1217"/>
              <w:gridCol w:w="1210"/>
            </w:tblGrid>
            <w:tr w14:paraId="7A3D41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6" w:type="pct"/>
                  <w:tcBorders>
                    <w:tl2br w:val="nil"/>
                    <w:tr2bl w:val="nil"/>
                  </w:tcBorders>
                  <w:noWrap w:val="0"/>
                  <w:vAlign w:val="center"/>
                </w:tcPr>
                <w:p w14:paraId="5A55A577">
                  <w:pPr>
                    <w:pStyle w:val="33"/>
                    <w:keepNext w:val="0"/>
                    <w:keepLines w:val="0"/>
                    <w:pageBreakBefore w:val="0"/>
                    <w:kinsoku/>
                    <w:wordWrap/>
                    <w:overflowPunct/>
                    <w:topLinePunct w:val="0"/>
                    <w:autoSpaceDE/>
                    <w:autoSpaceDN/>
                    <w:bidi w:val="0"/>
                    <w:adjustRightInd/>
                    <w:snapToGrid/>
                    <w:spacing w:line="240" w:lineRule="auto"/>
                    <w:ind w:firstLine="0" w:firstLineChars="0"/>
                    <w:rPr>
                      <w:rFonts w:hint="eastAsia"/>
                      <w:b/>
                      <w:color w:val="auto"/>
                      <w:sz w:val="21"/>
                      <w:szCs w:val="21"/>
                      <w:highlight w:val="none"/>
                    </w:rPr>
                  </w:pPr>
                  <w:r>
                    <w:rPr>
                      <w:rFonts w:hint="eastAsia"/>
                      <w:b/>
                      <w:color w:val="auto"/>
                      <w:sz w:val="21"/>
                      <w:szCs w:val="21"/>
                      <w:highlight w:val="none"/>
                    </w:rPr>
                    <w:t>装置名称</w:t>
                  </w:r>
                </w:p>
              </w:tc>
              <w:tc>
                <w:tcPr>
                  <w:tcW w:w="640" w:type="pct"/>
                  <w:tcBorders>
                    <w:tl2br w:val="nil"/>
                    <w:tr2bl w:val="nil"/>
                  </w:tcBorders>
                  <w:noWrap w:val="0"/>
                  <w:vAlign w:val="center"/>
                </w:tcPr>
                <w:p w14:paraId="4CDCAA79">
                  <w:pPr>
                    <w:pStyle w:val="33"/>
                    <w:keepNext w:val="0"/>
                    <w:keepLines w:val="0"/>
                    <w:pageBreakBefore w:val="0"/>
                    <w:kinsoku/>
                    <w:wordWrap/>
                    <w:overflowPunct/>
                    <w:topLinePunct w:val="0"/>
                    <w:autoSpaceDE/>
                    <w:autoSpaceDN/>
                    <w:bidi w:val="0"/>
                    <w:adjustRightInd/>
                    <w:snapToGrid/>
                    <w:spacing w:line="240" w:lineRule="auto"/>
                    <w:ind w:firstLine="0" w:firstLineChars="0"/>
                    <w:rPr>
                      <w:rFonts w:hint="eastAsia"/>
                      <w:b/>
                      <w:color w:val="auto"/>
                      <w:sz w:val="21"/>
                      <w:szCs w:val="21"/>
                      <w:highlight w:val="none"/>
                    </w:rPr>
                  </w:pPr>
                  <w:r>
                    <w:rPr>
                      <w:rFonts w:hint="eastAsia"/>
                      <w:b/>
                      <w:color w:val="auto"/>
                      <w:sz w:val="21"/>
                      <w:szCs w:val="21"/>
                      <w:highlight w:val="none"/>
                    </w:rPr>
                    <w:t>活性炭用量（kg）</w:t>
                  </w:r>
                </w:p>
              </w:tc>
              <w:tc>
                <w:tcPr>
                  <w:tcW w:w="629" w:type="pct"/>
                  <w:tcBorders>
                    <w:tl2br w:val="nil"/>
                    <w:tr2bl w:val="nil"/>
                  </w:tcBorders>
                  <w:noWrap w:val="0"/>
                  <w:vAlign w:val="center"/>
                </w:tcPr>
                <w:p w14:paraId="4E91DB86">
                  <w:pPr>
                    <w:pStyle w:val="33"/>
                    <w:keepNext w:val="0"/>
                    <w:keepLines w:val="0"/>
                    <w:pageBreakBefore w:val="0"/>
                    <w:kinsoku/>
                    <w:wordWrap/>
                    <w:overflowPunct/>
                    <w:topLinePunct w:val="0"/>
                    <w:autoSpaceDE/>
                    <w:autoSpaceDN/>
                    <w:bidi w:val="0"/>
                    <w:adjustRightInd/>
                    <w:snapToGrid/>
                    <w:spacing w:line="240" w:lineRule="auto"/>
                    <w:ind w:firstLine="0" w:firstLineChars="0"/>
                    <w:rPr>
                      <w:rFonts w:hint="eastAsia"/>
                      <w:b/>
                      <w:color w:val="auto"/>
                      <w:sz w:val="21"/>
                      <w:szCs w:val="21"/>
                      <w:highlight w:val="none"/>
                    </w:rPr>
                  </w:pPr>
                  <w:r>
                    <w:rPr>
                      <w:rFonts w:hint="eastAsia"/>
                      <w:b/>
                      <w:color w:val="auto"/>
                      <w:sz w:val="21"/>
                      <w:szCs w:val="21"/>
                      <w:highlight w:val="none"/>
                    </w:rPr>
                    <w:t>动态吸附量（%）</w:t>
                  </w:r>
                </w:p>
              </w:tc>
              <w:tc>
                <w:tcPr>
                  <w:tcW w:w="1141" w:type="pct"/>
                  <w:tcBorders>
                    <w:tl2br w:val="nil"/>
                    <w:tr2bl w:val="nil"/>
                  </w:tcBorders>
                  <w:noWrap w:val="0"/>
                  <w:vAlign w:val="center"/>
                </w:tcPr>
                <w:p w14:paraId="1164D06C">
                  <w:pPr>
                    <w:pStyle w:val="33"/>
                    <w:keepNext w:val="0"/>
                    <w:keepLines w:val="0"/>
                    <w:pageBreakBefore w:val="0"/>
                    <w:kinsoku/>
                    <w:wordWrap/>
                    <w:overflowPunct/>
                    <w:topLinePunct w:val="0"/>
                    <w:autoSpaceDE/>
                    <w:autoSpaceDN/>
                    <w:bidi w:val="0"/>
                    <w:adjustRightInd/>
                    <w:snapToGrid/>
                    <w:spacing w:line="240" w:lineRule="auto"/>
                    <w:ind w:firstLine="0" w:firstLineChars="0"/>
                    <w:rPr>
                      <w:rFonts w:hint="eastAsia" w:eastAsia="宋体"/>
                      <w:b/>
                      <w:color w:val="auto"/>
                      <w:sz w:val="21"/>
                      <w:szCs w:val="21"/>
                      <w:highlight w:val="none"/>
                      <w:lang w:val="en-US" w:eastAsia="zh-CN"/>
                    </w:rPr>
                  </w:pPr>
                  <w:r>
                    <w:rPr>
                      <w:rFonts w:hint="eastAsia"/>
                      <w:b/>
                      <w:color w:val="auto"/>
                      <w:sz w:val="21"/>
                      <w:szCs w:val="21"/>
                      <w:highlight w:val="none"/>
                    </w:rPr>
                    <w:t>活性炭削减VOCs的浓度（mg/m</w:t>
                  </w:r>
                  <w:r>
                    <w:rPr>
                      <w:rFonts w:hint="eastAsia"/>
                      <w:b/>
                      <w:color w:val="auto"/>
                      <w:sz w:val="21"/>
                      <w:szCs w:val="21"/>
                      <w:highlight w:val="none"/>
                      <w:vertAlign w:val="superscript"/>
                    </w:rPr>
                    <w:t>3</w:t>
                  </w:r>
                  <w:r>
                    <w:rPr>
                      <w:rFonts w:hint="eastAsia"/>
                      <w:b/>
                      <w:color w:val="auto"/>
                      <w:sz w:val="21"/>
                      <w:szCs w:val="21"/>
                      <w:highlight w:val="none"/>
                    </w:rPr>
                    <w:t>）</w:t>
                  </w:r>
                </w:p>
              </w:tc>
              <w:tc>
                <w:tcPr>
                  <w:tcW w:w="666" w:type="pct"/>
                  <w:tcBorders>
                    <w:tl2br w:val="nil"/>
                    <w:tr2bl w:val="nil"/>
                  </w:tcBorders>
                  <w:noWrap w:val="0"/>
                  <w:vAlign w:val="center"/>
                </w:tcPr>
                <w:p w14:paraId="0262D69C">
                  <w:pPr>
                    <w:pStyle w:val="33"/>
                    <w:keepNext w:val="0"/>
                    <w:keepLines w:val="0"/>
                    <w:pageBreakBefore w:val="0"/>
                    <w:kinsoku/>
                    <w:wordWrap/>
                    <w:overflowPunct/>
                    <w:topLinePunct w:val="0"/>
                    <w:autoSpaceDE/>
                    <w:autoSpaceDN/>
                    <w:bidi w:val="0"/>
                    <w:adjustRightInd/>
                    <w:snapToGrid/>
                    <w:spacing w:line="240" w:lineRule="auto"/>
                    <w:ind w:firstLine="0" w:firstLineChars="0"/>
                    <w:rPr>
                      <w:rFonts w:hint="eastAsia"/>
                      <w:b/>
                      <w:color w:val="auto"/>
                      <w:sz w:val="21"/>
                      <w:szCs w:val="21"/>
                      <w:highlight w:val="none"/>
                    </w:rPr>
                  </w:pPr>
                  <w:r>
                    <w:rPr>
                      <w:rFonts w:hint="eastAsia"/>
                      <w:b/>
                      <w:color w:val="auto"/>
                      <w:sz w:val="21"/>
                      <w:szCs w:val="21"/>
                      <w:highlight w:val="none"/>
                    </w:rPr>
                    <w:t>风量（m</w:t>
                  </w:r>
                  <w:r>
                    <w:rPr>
                      <w:rFonts w:hint="eastAsia"/>
                      <w:b/>
                      <w:color w:val="auto"/>
                      <w:sz w:val="21"/>
                      <w:szCs w:val="21"/>
                      <w:highlight w:val="none"/>
                      <w:vertAlign w:val="superscript"/>
                    </w:rPr>
                    <w:t>3</w:t>
                  </w:r>
                  <w:r>
                    <w:rPr>
                      <w:rFonts w:hint="eastAsia"/>
                      <w:b/>
                      <w:color w:val="auto"/>
                      <w:sz w:val="21"/>
                      <w:szCs w:val="21"/>
                      <w:highlight w:val="none"/>
                    </w:rPr>
                    <w:t>/h）</w:t>
                  </w:r>
                </w:p>
              </w:tc>
              <w:tc>
                <w:tcPr>
                  <w:tcW w:w="659" w:type="pct"/>
                  <w:tcBorders>
                    <w:tl2br w:val="nil"/>
                    <w:tr2bl w:val="nil"/>
                  </w:tcBorders>
                  <w:noWrap w:val="0"/>
                  <w:vAlign w:val="center"/>
                </w:tcPr>
                <w:p w14:paraId="6EB3CF5C">
                  <w:pPr>
                    <w:pStyle w:val="33"/>
                    <w:keepNext w:val="0"/>
                    <w:keepLines w:val="0"/>
                    <w:pageBreakBefore w:val="0"/>
                    <w:kinsoku/>
                    <w:wordWrap/>
                    <w:overflowPunct/>
                    <w:topLinePunct w:val="0"/>
                    <w:autoSpaceDE/>
                    <w:autoSpaceDN/>
                    <w:bidi w:val="0"/>
                    <w:adjustRightInd/>
                    <w:snapToGrid/>
                    <w:spacing w:line="240" w:lineRule="auto"/>
                    <w:ind w:firstLine="0" w:firstLineChars="0"/>
                    <w:rPr>
                      <w:rFonts w:hint="eastAsia"/>
                      <w:b/>
                      <w:color w:val="auto"/>
                      <w:sz w:val="21"/>
                      <w:szCs w:val="21"/>
                      <w:highlight w:val="none"/>
                    </w:rPr>
                  </w:pPr>
                  <w:r>
                    <w:rPr>
                      <w:rFonts w:hint="eastAsia"/>
                      <w:b/>
                      <w:color w:val="auto"/>
                      <w:sz w:val="21"/>
                      <w:szCs w:val="21"/>
                      <w:highlight w:val="none"/>
                    </w:rPr>
                    <w:t>运行时间（h/d）</w:t>
                  </w:r>
                </w:p>
              </w:tc>
              <w:tc>
                <w:tcPr>
                  <w:tcW w:w="655" w:type="pct"/>
                  <w:tcBorders>
                    <w:tl2br w:val="nil"/>
                    <w:tr2bl w:val="nil"/>
                  </w:tcBorders>
                  <w:noWrap w:val="0"/>
                  <w:vAlign w:val="center"/>
                </w:tcPr>
                <w:p w14:paraId="3F8C4B49">
                  <w:pPr>
                    <w:pStyle w:val="33"/>
                    <w:keepNext w:val="0"/>
                    <w:keepLines w:val="0"/>
                    <w:pageBreakBefore w:val="0"/>
                    <w:kinsoku/>
                    <w:wordWrap/>
                    <w:overflowPunct/>
                    <w:topLinePunct w:val="0"/>
                    <w:autoSpaceDE/>
                    <w:autoSpaceDN/>
                    <w:bidi w:val="0"/>
                    <w:adjustRightInd/>
                    <w:snapToGrid/>
                    <w:spacing w:line="240" w:lineRule="auto"/>
                    <w:ind w:firstLine="0" w:firstLineChars="0"/>
                    <w:rPr>
                      <w:rFonts w:hint="eastAsia"/>
                      <w:b/>
                      <w:color w:val="auto"/>
                      <w:sz w:val="21"/>
                      <w:szCs w:val="21"/>
                      <w:highlight w:val="none"/>
                    </w:rPr>
                  </w:pPr>
                  <w:r>
                    <w:rPr>
                      <w:rFonts w:hint="eastAsia"/>
                      <w:b/>
                      <w:color w:val="auto"/>
                      <w:sz w:val="21"/>
                      <w:szCs w:val="21"/>
                      <w:highlight w:val="none"/>
                    </w:rPr>
                    <w:t>更换周期（天）</w:t>
                  </w:r>
                </w:p>
              </w:tc>
            </w:tr>
            <w:tr w14:paraId="2160FC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tcBorders>
                    <w:tl2br w:val="nil"/>
                    <w:tr2bl w:val="nil"/>
                  </w:tcBorders>
                  <w:noWrap w:val="0"/>
                  <w:vAlign w:val="center"/>
                </w:tcPr>
                <w:p w14:paraId="67E2AE39">
                  <w:pPr>
                    <w:pStyle w:val="9"/>
                    <w:keepNext w:val="0"/>
                    <w:keepLines w:val="0"/>
                    <w:pageBreakBefore w:val="0"/>
                    <w:kinsoku/>
                    <w:wordWrap/>
                    <w:overflowPunct/>
                    <w:topLinePunct w:val="0"/>
                    <w:autoSpaceDE/>
                    <w:autoSpaceDN/>
                    <w:bidi w:val="0"/>
                    <w:adjustRightInd/>
                    <w:snapToGrid/>
                    <w:spacing w:after="0" w:afterLines="0" w:line="240" w:lineRule="auto"/>
                    <w:ind w:left="0" w:leftChars="0" w:righ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二级活性炭吸附装置</w:t>
                  </w:r>
                </w:p>
              </w:tc>
              <w:tc>
                <w:tcPr>
                  <w:tcW w:w="640" w:type="pct"/>
                  <w:tcBorders>
                    <w:tl2br w:val="nil"/>
                    <w:tr2bl w:val="nil"/>
                  </w:tcBorders>
                  <w:noWrap w:val="0"/>
                  <w:vAlign w:val="center"/>
                </w:tcPr>
                <w:p w14:paraId="4BDFBF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color w:val="auto"/>
                      <w:kern w:val="0"/>
                      <w:sz w:val="21"/>
                      <w:szCs w:val="21"/>
                      <w:highlight w:val="none"/>
                      <w:lang w:val="en-US" w:eastAsia="zh-CN" w:bidi="ar"/>
                    </w:rPr>
                    <w:t>400</w:t>
                  </w:r>
                </w:p>
              </w:tc>
              <w:tc>
                <w:tcPr>
                  <w:tcW w:w="629" w:type="pct"/>
                  <w:tcBorders>
                    <w:tl2br w:val="nil"/>
                    <w:tr2bl w:val="nil"/>
                  </w:tcBorders>
                  <w:noWrap w:val="0"/>
                  <w:vAlign w:val="center"/>
                </w:tcPr>
                <w:p w14:paraId="2696E00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highlight w:val="none"/>
                    </w:rPr>
                  </w:pPr>
                  <w:r>
                    <w:rPr>
                      <w:rFonts w:hint="eastAsia"/>
                      <w:color w:val="auto"/>
                      <w:kern w:val="0"/>
                      <w:sz w:val="21"/>
                      <w:szCs w:val="21"/>
                      <w:highlight w:val="none"/>
                      <w:lang w:bidi="ar"/>
                    </w:rPr>
                    <w:t>2</w:t>
                  </w:r>
                  <w:r>
                    <w:rPr>
                      <w:color w:val="auto"/>
                      <w:kern w:val="0"/>
                      <w:sz w:val="21"/>
                      <w:szCs w:val="21"/>
                      <w:highlight w:val="none"/>
                      <w:lang w:bidi="ar"/>
                    </w:rPr>
                    <w:t>0%</w:t>
                  </w:r>
                </w:p>
              </w:tc>
              <w:tc>
                <w:tcPr>
                  <w:tcW w:w="1141" w:type="pct"/>
                  <w:tcBorders>
                    <w:tl2br w:val="nil"/>
                    <w:tr2bl w:val="nil"/>
                  </w:tcBorders>
                  <w:noWrap w:val="0"/>
                  <w:vAlign w:val="center"/>
                </w:tcPr>
                <w:p w14:paraId="0EAA04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color w:val="auto"/>
                      <w:kern w:val="0"/>
                      <w:sz w:val="21"/>
                      <w:szCs w:val="21"/>
                      <w:highlight w:val="none"/>
                      <w:lang w:val="en-US" w:eastAsia="zh-CN" w:bidi="ar"/>
                    </w:rPr>
                  </w:pPr>
                  <w:r>
                    <w:rPr>
                      <w:rFonts w:hint="eastAsia" w:cs="Times New Roman"/>
                      <w:color w:val="auto"/>
                      <w:kern w:val="0"/>
                      <w:sz w:val="21"/>
                      <w:szCs w:val="21"/>
                      <w:lang w:val="en-US" w:eastAsia="zh-CN" w:bidi="ar"/>
                    </w:rPr>
                    <w:t>9.5</w:t>
                  </w:r>
                </w:p>
              </w:tc>
              <w:tc>
                <w:tcPr>
                  <w:tcW w:w="666" w:type="pct"/>
                  <w:tcBorders>
                    <w:tl2br w:val="nil"/>
                    <w:tr2bl w:val="nil"/>
                  </w:tcBorders>
                  <w:noWrap w:val="0"/>
                  <w:vAlign w:val="center"/>
                </w:tcPr>
                <w:p w14:paraId="203D4DD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lang w:val="en-US"/>
                    </w:rPr>
                  </w:pPr>
                  <w:r>
                    <w:rPr>
                      <w:rFonts w:hint="eastAsia"/>
                      <w:color w:val="auto"/>
                      <w:kern w:val="0"/>
                      <w:sz w:val="21"/>
                      <w:szCs w:val="21"/>
                      <w:highlight w:val="none"/>
                      <w:lang w:val="en-US" w:eastAsia="zh-CN" w:bidi="ar"/>
                    </w:rPr>
                    <w:t>14000</w:t>
                  </w:r>
                </w:p>
              </w:tc>
              <w:tc>
                <w:tcPr>
                  <w:tcW w:w="659" w:type="pct"/>
                  <w:tcBorders>
                    <w:tl2br w:val="nil"/>
                    <w:tr2bl w:val="nil"/>
                  </w:tcBorders>
                  <w:noWrap w:val="0"/>
                  <w:vAlign w:val="center"/>
                </w:tcPr>
                <w:p w14:paraId="737772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eastAsia="zh-CN"/>
                    </w:rPr>
                  </w:pPr>
                  <w:r>
                    <w:rPr>
                      <w:rFonts w:hint="eastAsia"/>
                      <w:color w:val="auto"/>
                      <w:kern w:val="0"/>
                      <w:sz w:val="21"/>
                      <w:szCs w:val="21"/>
                      <w:highlight w:val="none"/>
                      <w:lang w:val="en-US" w:eastAsia="zh-CN" w:bidi="ar"/>
                    </w:rPr>
                    <w:t>8</w:t>
                  </w:r>
                </w:p>
              </w:tc>
              <w:tc>
                <w:tcPr>
                  <w:tcW w:w="655" w:type="pct"/>
                  <w:tcBorders>
                    <w:tl2br w:val="nil"/>
                    <w:tr2bl w:val="nil"/>
                  </w:tcBorders>
                  <w:noWrap w:val="0"/>
                  <w:vAlign w:val="center"/>
                </w:tcPr>
                <w:p w14:paraId="4048F6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T=400*20%/（9.5*14000*8/1000000）=75.2</w:t>
                  </w:r>
                </w:p>
              </w:tc>
            </w:tr>
          </w:tbl>
          <w:p w14:paraId="1D0F6B9C">
            <w:pPr>
              <w:pStyle w:val="42"/>
              <w:spacing w:before="0" w:beforeLines="0" w:after="0" w:afterLines="0" w:line="500" w:lineRule="exact"/>
              <w:ind w:firstLine="482"/>
              <w:rPr>
                <w:rFonts w:hint="eastAsia" w:ascii="Times New Roman" w:hAnsi="Times New Roman" w:eastAsia="宋体" w:cs="Times New Roman"/>
                <w:color w:val="auto"/>
                <w:highlight w:val="none"/>
              </w:rPr>
            </w:pPr>
            <w:r>
              <w:rPr>
                <w:rFonts w:hint="eastAsia" w:ascii="Times New Roman" w:hAnsi="Times New Roman" w:eastAsia="宋体" w:cs="Times New Roman"/>
                <w:color w:val="auto"/>
                <w:sz w:val="24"/>
                <w:szCs w:val="24"/>
                <w:highlight w:val="none"/>
              </w:rPr>
              <w:t>根据计算所得，本项目废气处理设施活性炭更换周期</w:t>
            </w:r>
            <w:r>
              <w:rPr>
                <w:rFonts w:hint="eastAsia" w:eastAsia="宋体" w:cs="Times New Roman"/>
                <w:color w:val="auto"/>
                <w:sz w:val="24"/>
                <w:szCs w:val="24"/>
                <w:highlight w:val="none"/>
                <w:lang w:val="en-US" w:eastAsia="zh-CN"/>
              </w:rPr>
              <w:t>为75个工作日，</w:t>
            </w:r>
            <w:r>
              <w:rPr>
                <w:rFonts w:hint="eastAsia" w:ascii="Times New Roman" w:hAnsi="Times New Roman" w:eastAsia="宋体" w:cs="Times New Roman"/>
                <w:color w:val="auto"/>
                <w:sz w:val="24"/>
                <w:szCs w:val="24"/>
                <w:highlight w:val="none"/>
              </w:rPr>
              <w:t>更换次数约</w:t>
            </w:r>
            <w:r>
              <w:rPr>
                <w:rFonts w:hint="eastAsia"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rPr>
              <w:t>次/a</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根据苏环办﹝2022﹞218号文，针对活性炭充填量的要求，活性炭更换周期一般不应超过累计运行500小时或3个月</w:t>
            </w:r>
            <w:r>
              <w:rPr>
                <w:rFonts w:hint="eastAsia"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符合要求。</w:t>
            </w:r>
          </w:p>
          <w:p w14:paraId="7185DFBC">
            <w:pPr>
              <w:widowControl/>
              <w:tabs>
                <w:tab w:val="left" w:pos="585"/>
                <w:tab w:val="left" w:pos="850"/>
                <w:tab w:val="left" w:pos="1275"/>
                <w:tab w:val="left" w:pos="1700"/>
                <w:tab w:val="left" w:pos="2130"/>
                <w:tab w:val="left" w:pos="2550"/>
                <w:tab w:val="left" w:pos="3195"/>
                <w:tab w:val="left" w:pos="3400"/>
                <w:tab w:val="left" w:pos="3825"/>
                <w:tab w:val="left" w:pos="4250"/>
                <w:tab w:val="left" w:pos="4890"/>
                <w:tab w:val="left" w:pos="6566"/>
              </w:tabs>
              <w:ind w:firstLine="420"/>
              <w:rPr>
                <w:rFonts w:hint="eastAsia"/>
                <w:color w:val="auto"/>
                <w:sz w:val="24"/>
                <w:szCs w:val="24"/>
                <w:lang w:bidi="ar"/>
              </w:rPr>
            </w:pPr>
            <w:r>
              <w:rPr>
                <w:rFonts w:hint="eastAsia"/>
                <w:color w:val="auto"/>
                <w:sz w:val="24"/>
                <w:szCs w:val="24"/>
                <w:lang w:eastAsia="zh-CN" w:bidi="ar"/>
              </w:rPr>
              <w:t>（</w:t>
            </w:r>
            <w:r>
              <w:rPr>
                <w:rFonts w:hint="eastAsia"/>
                <w:color w:val="auto"/>
                <w:sz w:val="24"/>
                <w:szCs w:val="24"/>
                <w:lang w:val="en-US" w:eastAsia="zh-CN" w:bidi="ar"/>
              </w:rPr>
              <w:t>2</w:t>
            </w:r>
            <w:r>
              <w:rPr>
                <w:rFonts w:hint="eastAsia"/>
                <w:color w:val="auto"/>
                <w:sz w:val="24"/>
                <w:szCs w:val="24"/>
                <w:lang w:eastAsia="zh-CN" w:bidi="ar"/>
              </w:rPr>
              <w:t>）</w:t>
            </w:r>
            <w:r>
              <w:rPr>
                <w:rFonts w:hint="eastAsia"/>
                <w:color w:val="auto"/>
                <w:sz w:val="24"/>
                <w:szCs w:val="24"/>
                <w:lang w:bidi="ar"/>
              </w:rPr>
              <w:t>处理可行性及达标分析</w:t>
            </w:r>
          </w:p>
          <w:p w14:paraId="22E180AF">
            <w:pPr>
              <w:widowControl/>
              <w:tabs>
                <w:tab w:val="left" w:pos="585"/>
                <w:tab w:val="left" w:pos="850"/>
                <w:tab w:val="left" w:pos="1275"/>
                <w:tab w:val="left" w:pos="1700"/>
                <w:tab w:val="left" w:pos="2130"/>
                <w:tab w:val="left" w:pos="2550"/>
                <w:tab w:val="left" w:pos="3195"/>
                <w:tab w:val="left" w:pos="3400"/>
                <w:tab w:val="left" w:pos="3825"/>
                <w:tab w:val="left" w:pos="4250"/>
                <w:tab w:val="left" w:pos="4890"/>
                <w:tab w:val="left" w:pos="6566"/>
              </w:tabs>
              <w:ind w:firstLine="420"/>
              <w:rPr>
                <w:color w:val="auto"/>
                <w:sz w:val="24"/>
                <w:szCs w:val="24"/>
                <w:lang w:bidi="ar"/>
              </w:rPr>
            </w:pPr>
            <w:r>
              <w:rPr>
                <w:rFonts w:hint="eastAsia"/>
                <w:color w:val="auto"/>
                <w:sz w:val="24"/>
                <w:szCs w:val="24"/>
                <w:lang w:bidi="ar"/>
              </w:rPr>
              <w:t>本</w:t>
            </w:r>
            <w:r>
              <w:rPr>
                <w:color w:val="auto"/>
                <w:sz w:val="24"/>
                <w:szCs w:val="24"/>
                <w:lang w:bidi="ar"/>
              </w:rPr>
              <w:t>项目</w:t>
            </w:r>
            <w:r>
              <w:rPr>
                <w:rFonts w:hint="eastAsia"/>
                <w:color w:val="auto"/>
                <w:sz w:val="24"/>
                <w:szCs w:val="24"/>
                <w:lang w:val="en-US" w:eastAsia="zh-CN" w:bidi="ar"/>
              </w:rPr>
              <w:t>注塑</w:t>
            </w:r>
            <w:r>
              <w:rPr>
                <w:rFonts w:hint="eastAsia"/>
                <w:color w:val="auto"/>
                <w:sz w:val="24"/>
                <w:szCs w:val="24"/>
                <w:lang w:eastAsia="zh-CN" w:bidi="ar"/>
              </w:rPr>
              <w:t>、</w:t>
            </w:r>
            <w:r>
              <w:rPr>
                <w:rFonts w:hint="eastAsia"/>
                <w:color w:val="auto"/>
                <w:sz w:val="24"/>
                <w:szCs w:val="24"/>
                <w:lang w:val="en-US" w:eastAsia="zh-CN" w:bidi="ar"/>
              </w:rPr>
              <w:t>打印</w:t>
            </w:r>
            <w:r>
              <w:rPr>
                <w:color w:val="auto"/>
                <w:sz w:val="24"/>
                <w:szCs w:val="24"/>
                <w:lang w:bidi="ar"/>
              </w:rPr>
              <w:t>污染源产生的</w:t>
            </w:r>
            <w:r>
              <w:rPr>
                <w:rFonts w:hint="eastAsia"/>
                <w:color w:val="auto"/>
                <w:sz w:val="24"/>
                <w:szCs w:val="24"/>
                <w:lang w:val="en-US" w:eastAsia="zh-CN" w:bidi="ar"/>
              </w:rPr>
              <w:t>有机废气</w:t>
            </w:r>
            <w:r>
              <w:rPr>
                <w:color w:val="auto"/>
                <w:sz w:val="24"/>
                <w:szCs w:val="24"/>
                <w:lang w:bidi="ar"/>
              </w:rPr>
              <w:t>采取</w:t>
            </w:r>
            <w:r>
              <w:rPr>
                <w:rFonts w:hint="eastAsia"/>
                <w:color w:val="auto"/>
                <w:sz w:val="24"/>
                <w:szCs w:val="24"/>
                <w:lang w:val="en-US" w:eastAsia="zh-CN" w:bidi="ar"/>
              </w:rPr>
              <w:t>二级活性炭吸附装置处理，</w:t>
            </w:r>
            <w:r>
              <w:rPr>
                <w:rFonts w:hint="eastAsia"/>
                <w:color w:val="auto"/>
                <w:sz w:val="24"/>
                <w:szCs w:val="24"/>
                <w:lang w:bidi="ar"/>
              </w:rPr>
              <w:t>属于《排污许可证申请与核发技术规范橡胶和塑料制品工业</w:t>
            </w:r>
            <w:r>
              <w:rPr>
                <w:rFonts w:hint="eastAsia"/>
                <w:color w:val="auto"/>
                <w:sz w:val="24"/>
                <w:szCs w:val="24"/>
              </w:rPr>
              <w:t>》（</w:t>
            </w:r>
            <w:r>
              <w:rPr>
                <w:color w:val="auto"/>
                <w:sz w:val="24"/>
                <w:szCs w:val="24"/>
              </w:rPr>
              <w:t>HJ</w:t>
            </w:r>
            <w:r>
              <w:rPr>
                <w:rFonts w:hint="eastAsia"/>
                <w:color w:val="auto"/>
                <w:sz w:val="24"/>
                <w:szCs w:val="24"/>
                <w:lang w:val="en-US" w:eastAsia="zh-CN"/>
              </w:rPr>
              <w:t>1122-</w:t>
            </w:r>
            <w:r>
              <w:rPr>
                <w:color w:val="auto"/>
                <w:sz w:val="24"/>
                <w:szCs w:val="24"/>
              </w:rPr>
              <w:t>20</w:t>
            </w:r>
            <w:r>
              <w:rPr>
                <w:rFonts w:hint="eastAsia"/>
                <w:color w:val="auto"/>
                <w:sz w:val="24"/>
                <w:szCs w:val="24"/>
                <w:lang w:val="en-US" w:eastAsia="zh-CN"/>
              </w:rPr>
              <w:t>20</w:t>
            </w:r>
            <w:r>
              <w:rPr>
                <w:rFonts w:hint="eastAsia"/>
                <w:color w:val="auto"/>
                <w:sz w:val="24"/>
                <w:szCs w:val="24"/>
              </w:rPr>
              <w:t>）</w:t>
            </w:r>
            <w:r>
              <w:rPr>
                <w:rFonts w:hint="eastAsia"/>
                <w:color w:val="auto"/>
                <w:sz w:val="24"/>
                <w:szCs w:val="24"/>
                <w:lang w:bidi="ar"/>
              </w:rPr>
              <w:t>里推荐的可行技术</w:t>
            </w:r>
            <w:r>
              <w:rPr>
                <w:color w:val="auto"/>
                <w:sz w:val="24"/>
                <w:szCs w:val="24"/>
                <w:lang w:bidi="ar"/>
              </w:rPr>
              <w:t>。</w:t>
            </w:r>
          </w:p>
          <w:p w14:paraId="625C10BC">
            <w:pPr>
              <w:widowControl/>
              <w:tabs>
                <w:tab w:val="left" w:pos="585"/>
                <w:tab w:val="left" w:pos="850"/>
                <w:tab w:val="left" w:pos="1275"/>
                <w:tab w:val="left" w:pos="1700"/>
                <w:tab w:val="left" w:pos="2130"/>
                <w:tab w:val="left" w:pos="2550"/>
                <w:tab w:val="left" w:pos="3195"/>
                <w:tab w:val="left" w:pos="3400"/>
                <w:tab w:val="left" w:pos="3825"/>
                <w:tab w:val="left" w:pos="4250"/>
                <w:tab w:val="left" w:pos="4890"/>
                <w:tab w:val="left" w:pos="6566"/>
              </w:tabs>
              <w:ind w:firstLine="420"/>
              <w:rPr>
                <w:rFonts w:hint="default" w:eastAsia="宋体"/>
                <w:color w:val="auto"/>
                <w:sz w:val="24"/>
                <w:szCs w:val="24"/>
                <w:lang w:val="en-US" w:eastAsia="zh-CN"/>
              </w:rPr>
            </w:pPr>
            <w:r>
              <w:rPr>
                <w:rFonts w:hint="default" w:ascii="Times New Roman" w:hAnsi="Times New Roman" w:cs="Times New Roman"/>
                <w:color w:val="auto"/>
                <w:sz w:val="24"/>
                <w:szCs w:val="24"/>
                <w:lang w:bidi="ar"/>
              </w:rPr>
              <w:t>本项目</w:t>
            </w:r>
            <w:r>
              <w:rPr>
                <w:rFonts w:hint="default" w:ascii="Times New Roman" w:hAnsi="Times New Roman" w:cs="Times New Roman"/>
                <w:color w:val="auto"/>
                <w:sz w:val="24"/>
                <w:szCs w:val="24"/>
                <w:lang w:val="en-US" w:eastAsia="zh-CN" w:bidi="ar"/>
              </w:rPr>
              <w:t>采用</w:t>
            </w:r>
            <w:r>
              <w:rPr>
                <w:rFonts w:hint="eastAsia" w:ascii="Times New Roman" w:hAnsi="Times New Roman" w:cs="Times New Roman"/>
                <w:color w:val="auto"/>
                <w:sz w:val="24"/>
                <w:szCs w:val="24"/>
                <w:lang w:eastAsia="zh-CN" w:bidi="ar"/>
              </w:rPr>
              <w:t>二级活性炭吸附装置</w:t>
            </w:r>
            <w:r>
              <w:rPr>
                <w:rFonts w:hint="default" w:ascii="Times New Roman" w:hAnsi="Times New Roman" w:cs="Times New Roman"/>
                <w:color w:val="auto"/>
                <w:sz w:val="24"/>
                <w:szCs w:val="24"/>
                <w:lang w:bidi="ar"/>
              </w:rPr>
              <w:t>处理有机废气，进入处理装置的废气温度低于40°C，风机、电机和现场的电气仪表应不低于现场的防爆等级。</w:t>
            </w:r>
          </w:p>
          <w:p w14:paraId="315A80B8">
            <w:pPr>
              <w:widowControl/>
              <w:tabs>
                <w:tab w:val="left" w:pos="585"/>
                <w:tab w:val="left" w:pos="850"/>
                <w:tab w:val="left" w:pos="1275"/>
                <w:tab w:val="left" w:pos="1700"/>
                <w:tab w:val="left" w:pos="2130"/>
                <w:tab w:val="left" w:pos="2550"/>
                <w:tab w:val="left" w:pos="3195"/>
                <w:tab w:val="left" w:pos="3400"/>
                <w:tab w:val="left" w:pos="3825"/>
                <w:tab w:val="left" w:pos="4250"/>
                <w:tab w:val="left" w:pos="4890"/>
              </w:tabs>
              <w:ind w:firstLine="420" w:firstLineChars="0"/>
              <w:rPr>
                <w:rFonts w:hint="default" w:ascii="Times New Roman" w:hAnsi="Times New Roman" w:eastAsia="宋体" w:cs="Times New Roman"/>
                <w:color w:val="auto"/>
                <w:sz w:val="24"/>
                <w:szCs w:val="24"/>
                <w:lang w:val="en-US" w:eastAsia="zh-CN" w:bidi="ar"/>
              </w:rPr>
            </w:pPr>
            <w:r>
              <w:rPr>
                <w:rFonts w:hint="eastAsia" w:ascii="Times New Roman" w:hAnsi="Times New Roman" w:eastAsia="宋体" w:cs="Times New Roman"/>
                <w:color w:val="auto"/>
                <w:sz w:val="24"/>
                <w:szCs w:val="24"/>
                <w:lang w:val="en-US" w:eastAsia="zh-CN" w:bidi="ar"/>
              </w:rPr>
              <w:t>根据《活性炭吸附操作》（柳柱材编，石油工业出版社，1960年第1版），一级活性炭对烃类气体的吸附能力为70%~80%，在合理控制废气流量、及时更换吸附饱和的活性炭的前提下，有机废气中的污染物均可以得到有效去除；同时，根据2014年国家科技部和环保部发布的《大气污染防治先进技术汇编》，活性炭吸附处理低浓度有机废气，净化效率可达到90%以上。本项目采用“二级活性炭吸附装置”吸附有机废气，故有机废气处理效率保守取90%，具有可行性。</w:t>
            </w:r>
          </w:p>
          <w:p w14:paraId="40CBF448">
            <w:pPr>
              <w:widowControl/>
              <w:tabs>
                <w:tab w:val="left" w:pos="585"/>
                <w:tab w:val="left" w:pos="850"/>
                <w:tab w:val="left" w:pos="1275"/>
                <w:tab w:val="left" w:pos="1700"/>
                <w:tab w:val="left" w:pos="2130"/>
                <w:tab w:val="left" w:pos="2550"/>
                <w:tab w:val="left" w:pos="3195"/>
                <w:tab w:val="left" w:pos="3400"/>
                <w:tab w:val="left" w:pos="3825"/>
                <w:tab w:val="left" w:pos="4250"/>
                <w:tab w:val="left" w:pos="4890"/>
              </w:tabs>
              <w:ind w:firstLine="0" w:firstLineChars="0"/>
              <w:rPr>
                <w:b/>
                <w:bCs/>
                <w:color w:val="auto"/>
                <w:sz w:val="24"/>
                <w:szCs w:val="24"/>
              </w:rPr>
            </w:pPr>
            <w:r>
              <w:rPr>
                <w:b/>
                <w:bCs/>
                <w:color w:val="auto"/>
                <w:sz w:val="24"/>
                <w:szCs w:val="24"/>
              </w:rPr>
              <w:t>2.2.1.</w:t>
            </w:r>
            <w:r>
              <w:rPr>
                <w:rFonts w:hint="eastAsia"/>
                <w:b/>
                <w:bCs/>
                <w:color w:val="auto"/>
                <w:sz w:val="24"/>
                <w:szCs w:val="24"/>
                <w:lang w:val="en-US" w:eastAsia="zh-CN"/>
              </w:rPr>
              <w:t>3</w:t>
            </w:r>
            <w:r>
              <w:rPr>
                <w:b/>
                <w:bCs/>
                <w:color w:val="auto"/>
                <w:sz w:val="24"/>
                <w:szCs w:val="24"/>
              </w:rPr>
              <w:t>排气筒设置合理性分析</w:t>
            </w:r>
          </w:p>
          <w:p w14:paraId="440499F6">
            <w:pPr>
              <w:widowControl/>
              <w:tabs>
                <w:tab w:val="left" w:pos="585"/>
                <w:tab w:val="left" w:pos="850"/>
                <w:tab w:val="left" w:pos="1275"/>
                <w:tab w:val="left" w:pos="1700"/>
                <w:tab w:val="left" w:pos="2130"/>
                <w:tab w:val="left" w:pos="2550"/>
                <w:tab w:val="left" w:pos="3195"/>
                <w:tab w:val="left" w:pos="3400"/>
                <w:tab w:val="left" w:pos="3825"/>
                <w:tab w:val="left" w:pos="4250"/>
                <w:tab w:val="left" w:pos="4890"/>
              </w:tabs>
              <w:ind w:firstLine="420"/>
              <w:rPr>
                <w:color w:val="auto"/>
                <w:sz w:val="24"/>
                <w:szCs w:val="24"/>
              </w:rPr>
            </w:pPr>
            <w:r>
              <w:rPr>
                <w:color w:val="auto"/>
                <w:sz w:val="24"/>
                <w:szCs w:val="24"/>
              </w:rPr>
              <w:t>本项目排气筒设置情况详见下表。</w:t>
            </w:r>
          </w:p>
          <w:p w14:paraId="65F3BA96">
            <w:pPr>
              <w:spacing w:line="240" w:lineRule="auto"/>
              <w:ind w:firstLine="0" w:firstLineChars="0"/>
              <w:jc w:val="center"/>
              <w:rPr>
                <w:b/>
                <w:bCs/>
                <w:color w:val="auto"/>
                <w:sz w:val="21"/>
                <w:szCs w:val="21"/>
              </w:rPr>
            </w:pPr>
            <w:r>
              <w:rPr>
                <w:b/>
                <w:bCs/>
                <w:color w:val="auto"/>
                <w:sz w:val="21"/>
                <w:szCs w:val="21"/>
              </w:rPr>
              <w:t>表4</w:t>
            </w:r>
            <w:r>
              <w:rPr>
                <w:rFonts w:hint="eastAsia"/>
                <w:b/>
                <w:bCs/>
                <w:color w:val="auto"/>
                <w:sz w:val="21"/>
                <w:szCs w:val="21"/>
                <w:lang w:val="en-US" w:eastAsia="zh-CN"/>
              </w:rPr>
              <w:t>.2</w:t>
            </w:r>
            <w:r>
              <w:rPr>
                <w:b/>
                <w:bCs/>
                <w:color w:val="auto"/>
                <w:sz w:val="21"/>
                <w:szCs w:val="21"/>
              </w:rPr>
              <w:t>-</w:t>
            </w:r>
            <w:r>
              <w:rPr>
                <w:rFonts w:hint="eastAsia"/>
                <w:b/>
                <w:bCs/>
                <w:color w:val="auto"/>
                <w:sz w:val="21"/>
                <w:szCs w:val="21"/>
                <w:lang w:val="en-US" w:eastAsia="zh-CN"/>
              </w:rPr>
              <w:t>8</w:t>
            </w:r>
            <w:r>
              <w:rPr>
                <w:b/>
                <w:bCs/>
                <w:color w:val="auto"/>
                <w:sz w:val="21"/>
                <w:szCs w:val="21"/>
              </w:rPr>
              <w:t xml:space="preserve"> 项目排气筒设置情况一览表</w:t>
            </w:r>
          </w:p>
          <w:tbl>
            <w:tblPr>
              <w:tblStyle w:val="17"/>
              <w:tblW w:w="93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48"/>
              <w:gridCol w:w="2908"/>
              <w:gridCol w:w="2675"/>
              <w:gridCol w:w="1058"/>
              <w:gridCol w:w="1058"/>
              <w:gridCol w:w="873"/>
            </w:tblGrid>
            <w:tr w14:paraId="1E8344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48" w:type="dxa"/>
                  <w:noWrap w:val="0"/>
                  <w:vAlign w:val="center"/>
                </w:tcPr>
                <w:p w14:paraId="758CD1C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b/>
                      <w:bCs/>
                      <w:color w:val="auto"/>
                      <w:kern w:val="2"/>
                      <w:sz w:val="21"/>
                      <w:szCs w:val="21"/>
                      <w:lang w:val="en-US" w:eastAsia="zh-CN" w:bidi="ar-SA"/>
                    </w:rPr>
                  </w:pPr>
                  <w:r>
                    <w:rPr>
                      <w:b/>
                      <w:bCs/>
                      <w:color w:val="auto"/>
                      <w:sz w:val="21"/>
                      <w:szCs w:val="21"/>
                    </w:rPr>
                    <w:t>排气筒编号</w:t>
                  </w:r>
                </w:p>
              </w:tc>
              <w:tc>
                <w:tcPr>
                  <w:tcW w:w="2908" w:type="dxa"/>
                  <w:noWrap w:val="0"/>
                  <w:vAlign w:val="center"/>
                </w:tcPr>
                <w:p w14:paraId="11EBE8C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b/>
                      <w:bCs/>
                      <w:color w:val="auto"/>
                      <w:kern w:val="2"/>
                      <w:sz w:val="21"/>
                      <w:szCs w:val="21"/>
                      <w:lang w:val="en-US" w:eastAsia="zh-CN" w:bidi="ar-SA"/>
                    </w:rPr>
                  </w:pPr>
                  <w:r>
                    <w:rPr>
                      <w:b/>
                      <w:bCs/>
                      <w:color w:val="auto"/>
                      <w:sz w:val="21"/>
                      <w:szCs w:val="21"/>
                    </w:rPr>
                    <w:t>污染防治措施</w:t>
                  </w:r>
                </w:p>
              </w:tc>
              <w:tc>
                <w:tcPr>
                  <w:tcW w:w="2675" w:type="dxa"/>
                  <w:noWrap w:val="0"/>
                  <w:vAlign w:val="center"/>
                </w:tcPr>
                <w:p w14:paraId="1F6760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地理坐标</w:t>
                  </w:r>
                </w:p>
              </w:tc>
              <w:tc>
                <w:tcPr>
                  <w:tcW w:w="1058" w:type="dxa"/>
                  <w:noWrap w:val="0"/>
                  <w:vAlign w:val="center"/>
                </w:tcPr>
                <w:p w14:paraId="64791D8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b/>
                      <w:bCs/>
                      <w:color w:val="auto"/>
                      <w:sz w:val="21"/>
                      <w:szCs w:val="21"/>
                    </w:rPr>
                  </w:pPr>
                  <w:r>
                    <w:rPr>
                      <w:b/>
                      <w:bCs/>
                      <w:color w:val="auto"/>
                      <w:sz w:val="21"/>
                      <w:szCs w:val="21"/>
                    </w:rPr>
                    <w:t>排气筒高度（m）</w:t>
                  </w:r>
                </w:p>
              </w:tc>
              <w:tc>
                <w:tcPr>
                  <w:tcW w:w="1058" w:type="dxa"/>
                  <w:noWrap w:val="0"/>
                  <w:vAlign w:val="center"/>
                </w:tcPr>
                <w:p w14:paraId="7E2CD56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b/>
                      <w:bCs/>
                      <w:color w:val="auto"/>
                      <w:sz w:val="21"/>
                      <w:szCs w:val="21"/>
                    </w:rPr>
                  </w:pPr>
                  <w:r>
                    <w:rPr>
                      <w:b/>
                      <w:bCs/>
                      <w:color w:val="auto"/>
                      <w:sz w:val="21"/>
                      <w:szCs w:val="21"/>
                    </w:rPr>
                    <w:t>排气筒直径（m）</w:t>
                  </w:r>
                </w:p>
              </w:tc>
              <w:tc>
                <w:tcPr>
                  <w:tcW w:w="873" w:type="dxa"/>
                  <w:noWrap w:val="0"/>
                  <w:vAlign w:val="center"/>
                </w:tcPr>
                <w:p w14:paraId="65AA946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b/>
                      <w:bCs/>
                      <w:color w:val="auto"/>
                      <w:kern w:val="2"/>
                      <w:sz w:val="21"/>
                      <w:szCs w:val="21"/>
                      <w:lang w:val="en-US" w:eastAsia="zh-CN" w:bidi="ar-SA"/>
                    </w:rPr>
                  </w:pPr>
                  <w:r>
                    <w:rPr>
                      <w:b/>
                      <w:bCs/>
                      <w:color w:val="auto"/>
                      <w:sz w:val="21"/>
                      <w:szCs w:val="21"/>
                    </w:rPr>
                    <w:t>烟气流速(m/s)</w:t>
                  </w:r>
                </w:p>
              </w:tc>
            </w:tr>
            <w:tr w14:paraId="22FF05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48" w:type="dxa"/>
                  <w:noWrap w:val="0"/>
                  <w:vAlign w:val="center"/>
                </w:tcPr>
                <w:p w14:paraId="485C4FA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auto"/>
                      <w:kern w:val="2"/>
                      <w:sz w:val="21"/>
                      <w:szCs w:val="21"/>
                      <w:lang w:val="en-US" w:eastAsia="zh-CN" w:bidi="ar-SA"/>
                    </w:rPr>
                  </w:pPr>
                  <w:r>
                    <w:rPr>
                      <w:rFonts w:hint="eastAsia"/>
                      <w:color w:val="auto"/>
                      <w:sz w:val="21"/>
                      <w:szCs w:val="21"/>
                      <w:lang w:val="en-US" w:eastAsia="zh-CN"/>
                    </w:rPr>
                    <w:t>DA</w:t>
                  </w:r>
                  <w:r>
                    <w:rPr>
                      <w:color w:val="auto"/>
                      <w:sz w:val="21"/>
                      <w:szCs w:val="21"/>
                    </w:rPr>
                    <w:t>001</w:t>
                  </w:r>
                </w:p>
              </w:tc>
              <w:tc>
                <w:tcPr>
                  <w:tcW w:w="2908" w:type="dxa"/>
                  <w:noWrap w:val="0"/>
                  <w:vAlign w:val="center"/>
                </w:tcPr>
                <w:p w14:paraId="005E91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二级活性炭吸附装置</w:t>
                  </w:r>
                </w:p>
              </w:tc>
              <w:tc>
                <w:tcPr>
                  <w:tcW w:w="2675" w:type="dxa"/>
                  <w:noWrap w:val="0"/>
                  <w:vAlign w:val="center"/>
                </w:tcPr>
                <w:p w14:paraId="0B06AA8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rPr>
                    <w:t>119.63509</w:t>
                  </w:r>
                  <w:r>
                    <w:rPr>
                      <w:rFonts w:hint="eastAsia"/>
                      <w:color w:val="auto"/>
                      <w:sz w:val="21"/>
                      <w:szCs w:val="21"/>
                      <w:lang w:val="en-US" w:eastAsia="zh-CN"/>
                    </w:rPr>
                    <w:t>8</w:t>
                  </w:r>
                  <w:r>
                    <w:rPr>
                      <w:rFonts w:hint="eastAsia"/>
                      <w:color w:val="auto"/>
                      <w:sz w:val="21"/>
                      <w:szCs w:val="21"/>
                      <w:lang w:eastAsia="zh-CN"/>
                    </w:rPr>
                    <w:t>，</w:t>
                  </w:r>
                  <w:r>
                    <w:rPr>
                      <w:rFonts w:hint="eastAsia"/>
                      <w:color w:val="auto"/>
                      <w:sz w:val="21"/>
                      <w:szCs w:val="21"/>
                    </w:rPr>
                    <w:t>31.76307</w:t>
                  </w:r>
                  <w:r>
                    <w:rPr>
                      <w:rFonts w:hint="eastAsia"/>
                      <w:color w:val="auto"/>
                      <w:sz w:val="21"/>
                      <w:szCs w:val="21"/>
                      <w:lang w:val="en-US" w:eastAsia="zh-CN"/>
                    </w:rPr>
                    <w:t>5</w:t>
                  </w:r>
                </w:p>
              </w:tc>
              <w:tc>
                <w:tcPr>
                  <w:tcW w:w="1058" w:type="dxa"/>
                  <w:noWrap w:val="0"/>
                  <w:vAlign w:val="center"/>
                </w:tcPr>
                <w:p w14:paraId="23AC9C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20</w:t>
                  </w:r>
                </w:p>
              </w:tc>
              <w:tc>
                <w:tcPr>
                  <w:tcW w:w="1058" w:type="dxa"/>
                  <w:noWrap w:val="0"/>
                  <w:vAlign w:val="center"/>
                </w:tcPr>
                <w:p w14:paraId="3255ECE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highlight w:val="none"/>
                      <w:lang w:val="en-US" w:eastAsia="zh-CN"/>
                    </w:rPr>
                    <w:t>0.58</w:t>
                  </w:r>
                </w:p>
              </w:tc>
              <w:tc>
                <w:tcPr>
                  <w:tcW w:w="873" w:type="dxa"/>
                  <w:noWrap w:val="0"/>
                  <w:vAlign w:val="center"/>
                </w:tcPr>
                <w:p w14:paraId="076A5D5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eastAsia="宋体"/>
                      <w:color w:val="auto"/>
                      <w:kern w:val="2"/>
                      <w:sz w:val="21"/>
                      <w:szCs w:val="21"/>
                      <w:lang w:val="en-US" w:eastAsia="zh-CN" w:bidi="ar-SA"/>
                    </w:rPr>
                  </w:pPr>
                  <w:r>
                    <w:rPr>
                      <w:color w:val="auto"/>
                      <w:sz w:val="21"/>
                      <w:szCs w:val="21"/>
                    </w:rPr>
                    <w:t>15</w:t>
                  </w:r>
                </w:p>
              </w:tc>
            </w:tr>
          </w:tbl>
          <w:p w14:paraId="1EBD0D93">
            <w:pPr>
              <w:ind w:firstLine="420"/>
              <w:jc w:val="left"/>
              <w:rPr>
                <w:color w:val="auto"/>
                <w:sz w:val="24"/>
                <w:szCs w:val="24"/>
              </w:rPr>
            </w:pPr>
            <w:r>
              <w:rPr>
                <w:color w:val="auto"/>
                <w:sz w:val="24"/>
                <w:szCs w:val="24"/>
              </w:rPr>
              <w:t>结合工程设计</w:t>
            </w:r>
            <w:r>
              <w:rPr>
                <w:color w:val="auto"/>
                <w:sz w:val="24"/>
                <w:szCs w:val="24"/>
                <w:highlight w:val="none"/>
              </w:rPr>
              <w:t>和《合成树脂工业污染物排放标准》(GB31572-2015</w:t>
            </w:r>
            <w:r>
              <w:rPr>
                <w:rFonts w:hint="eastAsia"/>
                <w:color w:val="auto"/>
                <w:sz w:val="24"/>
                <w:szCs w:val="24"/>
                <w:highlight w:val="none"/>
                <w:lang w:eastAsia="zh-CN"/>
              </w:rPr>
              <w:t>，</w:t>
            </w:r>
            <w:r>
              <w:rPr>
                <w:rFonts w:hint="eastAsia"/>
                <w:color w:val="auto"/>
                <w:sz w:val="24"/>
                <w:szCs w:val="24"/>
                <w:highlight w:val="none"/>
                <w:lang w:val="en-US" w:eastAsia="zh-CN"/>
              </w:rPr>
              <w:t>含修改清单</w:t>
            </w:r>
            <w:r>
              <w:rPr>
                <w:color w:val="auto"/>
                <w:sz w:val="24"/>
                <w:szCs w:val="24"/>
                <w:highlight w:val="none"/>
              </w:rPr>
              <w:t>)中要求，排气筒高度不应低于15米</w:t>
            </w:r>
            <w:r>
              <w:rPr>
                <w:rFonts w:hint="eastAsia"/>
                <w:color w:val="auto"/>
                <w:sz w:val="24"/>
                <w:szCs w:val="24"/>
                <w:highlight w:val="none"/>
                <w:lang w:eastAsia="zh-CN"/>
              </w:rPr>
              <w:t>，《印刷工业大气污染物排放标准》（DB32 4438-2022）</w:t>
            </w:r>
            <w:r>
              <w:rPr>
                <w:rFonts w:hint="eastAsia"/>
                <w:color w:val="auto"/>
                <w:sz w:val="24"/>
                <w:szCs w:val="24"/>
                <w:highlight w:val="none"/>
                <w:lang w:val="en-US" w:eastAsia="zh-CN"/>
              </w:rPr>
              <w:t>中未对排气筒作要求</w:t>
            </w:r>
            <w:r>
              <w:rPr>
                <w:rFonts w:hint="eastAsia"/>
                <w:color w:val="auto"/>
                <w:sz w:val="24"/>
                <w:szCs w:val="24"/>
                <w:highlight w:val="none"/>
                <w:lang w:eastAsia="zh-CN"/>
              </w:rPr>
              <w:t>。</w:t>
            </w:r>
            <w:r>
              <w:rPr>
                <w:color w:val="auto"/>
                <w:sz w:val="24"/>
                <w:szCs w:val="24"/>
              </w:rPr>
              <w:t>排气筒的出口直径应根据出口流速确定，流速宜取15m/s左右。本项目排气筒高度满足要求，本项目排气筒废气排放流速约</w:t>
            </w:r>
            <w:r>
              <w:rPr>
                <w:rFonts w:hint="eastAsia"/>
                <w:color w:val="auto"/>
                <w:sz w:val="24"/>
                <w:szCs w:val="24"/>
                <w:lang w:val="en-US" w:eastAsia="zh-CN"/>
              </w:rPr>
              <w:t>15</w:t>
            </w:r>
            <w:r>
              <w:rPr>
                <w:color w:val="auto"/>
                <w:sz w:val="24"/>
                <w:szCs w:val="24"/>
              </w:rPr>
              <w:t>m/s，因此排气筒设置是合理的。</w:t>
            </w:r>
          </w:p>
          <w:p w14:paraId="53FACE15">
            <w:pPr>
              <w:widowControl/>
              <w:tabs>
                <w:tab w:val="left" w:pos="585"/>
                <w:tab w:val="left" w:pos="850"/>
                <w:tab w:val="left" w:pos="1275"/>
                <w:tab w:val="left" w:pos="1700"/>
                <w:tab w:val="left" w:pos="2130"/>
                <w:tab w:val="left" w:pos="2550"/>
                <w:tab w:val="left" w:pos="3195"/>
                <w:tab w:val="left" w:pos="3400"/>
                <w:tab w:val="left" w:pos="3825"/>
                <w:tab w:val="left" w:pos="4250"/>
                <w:tab w:val="left" w:pos="4890"/>
              </w:tabs>
              <w:ind w:firstLine="0" w:firstLineChars="0"/>
              <w:rPr>
                <w:b/>
                <w:bCs/>
                <w:color w:val="auto"/>
                <w:sz w:val="24"/>
                <w:szCs w:val="24"/>
              </w:rPr>
            </w:pPr>
            <w:r>
              <w:rPr>
                <w:b/>
                <w:bCs/>
                <w:color w:val="auto"/>
                <w:sz w:val="24"/>
                <w:szCs w:val="24"/>
              </w:rPr>
              <w:t>2.2.2无组织废气控制措施</w:t>
            </w:r>
          </w:p>
          <w:p w14:paraId="3A22DA3F">
            <w:pPr>
              <w:widowControl/>
              <w:tabs>
                <w:tab w:val="left" w:pos="585"/>
                <w:tab w:val="left" w:pos="850"/>
                <w:tab w:val="left" w:pos="1275"/>
                <w:tab w:val="left" w:pos="1700"/>
                <w:tab w:val="left" w:pos="2130"/>
                <w:tab w:val="left" w:pos="2550"/>
                <w:tab w:val="left" w:pos="3195"/>
                <w:tab w:val="left" w:pos="3400"/>
                <w:tab w:val="left" w:pos="3825"/>
                <w:tab w:val="left" w:pos="4250"/>
                <w:tab w:val="left" w:pos="4890"/>
              </w:tabs>
              <w:ind w:firstLine="420"/>
              <w:rPr>
                <w:color w:val="auto"/>
                <w:sz w:val="24"/>
                <w:szCs w:val="24"/>
              </w:rPr>
            </w:pPr>
            <w:r>
              <w:rPr>
                <w:color w:val="auto"/>
                <w:sz w:val="24"/>
                <w:szCs w:val="24"/>
              </w:rPr>
              <w:t>本项目</w:t>
            </w:r>
            <w:r>
              <w:rPr>
                <w:rFonts w:hint="eastAsia"/>
                <w:color w:val="auto"/>
                <w:sz w:val="24"/>
                <w:szCs w:val="24"/>
                <w:lang w:val="en-US" w:eastAsia="zh-CN"/>
              </w:rPr>
              <w:t>无散装物料，ABS、PC、PP、PE、PA、UV油墨、脱脂粉、煤油、切削液</w:t>
            </w:r>
            <w:r>
              <w:rPr>
                <w:color w:val="auto"/>
                <w:sz w:val="24"/>
                <w:szCs w:val="24"/>
              </w:rPr>
              <w:t>等采购的原辅材料全部均</w:t>
            </w:r>
            <w:r>
              <w:rPr>
                <w:rFonts w:hint="eastAsia"/>
                <w:color w:val="auto"/>
                <w:sz w:val="24"/>
                <w:szCs w:val="24"/>
                <w:lang w:val="en-US" w:eastAsia="zh-CN"/>
              </w:rPr>
              <w:t>密闭</w:t>
            </w:r>
            <w:r>
              <w:rPr>
                <w:color w:val="auto"/>
                <w:sz w:val="24"/>
                <w:szCs w:val="24"/>
              </w:rPr>
              <w:t>包装于相应包装物内，能够有效避免</w:t>
            </w:r>
            <w:r>
              <w:rPr>
                <w:rFonts w:hint="eastAsia"/>
                <w:color w:val="auto"/>
                <w:sz w:val="24"/>
                <w:szCs w:val="24"/>
                <w:lang w:val="en-US" w:eastAsia="zh-CN"/>
              </w:rPr>
              <w:t>有机废气运输过程中无组织排放</w:t>
            </w:r>
            <w:r>
              <w:rPr>
                <w:color w:val="auto"/>
                <w:sz w:val="24"/>
                <w:szCs w:val="24"/>
              </w:rPr>
              <w:t>。</w:t>
            </w:r>
            <w:r>
              <w:rPr>
                <w:rFonts w:hint="eastAsia"/>
                <w:color w:val="auto"/>
                <w:sz w:val="24"/>
                <w:szCs w:val="24"/>
                <w:lang w:val="en-US" w:eastAsia="zh-CN"/>
              </w:rPr>
              <w:t>园</w:t>
            </w:r>
            <w:r>
              <w:rPr>
                <w:color w:val="auto"/>
                <w:sz w:val="24"/>
                <w:szCs w:val="24"/>
              </w:rPr>
              <w:t>区道路均进行了绿化并采取清扫、洒水等措施，保持清洁。</w:t>
            </w:r>
            <w:r>
              <w:rPr>
                <w:rFonts w:hint="eastAsia"/>
                <w:color w:val="auto"/>
                <w:sz w:val="24"/>
                <w:szCs w:val="24"/>
                <w:lang w:val="en-US" w:eastAsia="zh-CN"/>
              </w:rPr>
              <w:t>园区及厂区安装</w:t>
            </w:r>
            <w:r>
              <w:rPr>
                <w:color w:val="auto"/>
                <w:sz w:val="24"/>
                <w:szCs w:val="24"/>
              </w:rPr>
              <w:t>有高清视频监控设施，主要生产设施和污染治理设施进行分表计电，建设有门禁系统和视频监控系统，监控运输车辆的进出厂区情况，视频监控数据保存三个月以上。</w:t>
            </w:r>
          </w:p>
          <w:p w14:paraId="33CD7597">
            <w:pPr>
              <w:widowControl/>
              <w:tabs>
                <w:tab w:val="left" w:pos="585"/>
                <w:tab w:val="left" w:pos="850"/>
                <w:tab w:val="left" w:pos="1275"/>
                <w:tab w:val="left" w:pos="1700"/>
                <w:tab w:val="left" w:pos="2130"/>
                <w:tab w:val="left" w:pos="2550"/>
                <w:tab w:val="left" w:pos="3195"/>
                <w:tab w:val="left" w:pos="3400"/>
                <w:tab w:val="left" w:pos="3825"/>
                <w:tab w:val="left" w:pos="4250"/>
                <w:tab w:val="left" w:pos="4890"/>
              </w:tabs>
              <w:ind w:firstLine="420"/>
              <w:rPr>
                <w:rFonts w:hint="eastAsia"/>
                <w:color w:val="auto"/>
                <w:sz w:val="24"/>
                <w:szCs w:val="24"/>
              </w:rPr>
            </w:pPr>
            <w:r>
              <w:rPr>
                <w:color w:val="auto"/>
                <w:sz w:val="24"/>
                <w:szCs w:val="24"/>
              </w:rPr>
              <w:t>根据不同废气来源，车间</w:t>
            </w:r>
            <w:r>
              <w:rPr>
                <w:rFonts w:hint="eastAsia"/>
                <w:color w:val="auto"/>
                <w:sz w:val="24"/>
                <w:szCs w:val="24"/>
                <w:lang w:val="en-US" w:eastAsia="zh-CN"/>
              </w:rPr>
              <w:t>废气产生</w:t>
            </w:r>
            <w:r>
              <w:rPr>
                <w:color w:val="auto"/>
                <w:sz w:val="24"/>
                <w:szCs w:val="24"/>
              </w:rPr>
              <w:t>点均配备有效的收集措施，主要包括</w:t>
            </w:r>
            <w:r>
              <w:rPr>
                <w:rFonts w:hint="eastAsia"/>
                <w:color w:val="auto"/>
                <w:sz w:val="24"/>
                <w:szCs w:val="24"/>
                <w:lang w:val="en-US" w:eastAsia="zh-CN"/>
              </w:rPr>
              <w:t>集气罩、设备密闭、车间密闭</w:t>
            </w:r>
            <w:r>
              <w:rPr>
                <w:color w:val="auto"/>
                <w:sz w:val="24"/>
                <w:szCs w:val="24"/>
              </w:rPr>
              <w:t>等，类比同类工程，在采取上述同样捕集措施的情况下，捕集效率较好。经分析可知，拟建工程在各个废气</w:t>
            </w:r>
            <w:r>
              <w:rPr>
                <w:rFonts w:hint="eastAsia"/>
                <w:color w:val="auto"/>
                <w:sz w:val="24"/>
                <w:szCs w:val="24"/>
                <w:lang w:val="en-US" w:eastAsia="zh-CN"/>
              </w:rPr>
              <w:t>产生点</w:t>
            </w:r>
            <w:r>
              <w:rPr>
                <w:color w:val="auto"/>
                <w:sz w:val="24"/>
                <w:szCs w:val="24"/>
              </w:rPr>
              <w:t>捕集效率均大于等于90%，且无组织废气均能达标排放，因此拟建工程采取的捕集措施可行。</w:t>
            </w:r>
          </w:p>
          <w:p w14:paraId="337EAD32">
            <w:pPr>
              <w:widowControl/>
              <w:tabs>
                <w:tab w:val="left" w:pos="585"/>
                <w:tab w:val="left" w:pos="850"/>
                <w:tab w:val="left" w:pos="1275"/>
                <w:tab w:val="left" w:pos="1700"/>
                <w:tab w:val="left" w:pos="2130"/>
                <w:tab w:val="left" w:pos="2550"/>
                <w:tab w:val="left" w:pos="3195"/>
                <w:tab w:val="left" w:pos="3400"/>
                <w:tab w:val="left" w:pos="3825"/>
                <w:tab w:val="left" w:pos="4250"/>
                <w:tab w:val="left" w:pos="4890"/>
              </w:tabs>
              <w:ind w:firstLine="420"/>
              <w:rPr>
                <w:b/>
                <w:bCs/>
                <w:color w:val="auto"/>
                <w:sz w:val="24"/>
                <w:szCs w:val="24"/>
              </w:rPr>
            </w:pPr>
            <w:r>
              <w:rPr>
                <w:color w:val="auto"/>
                <w:sz w:val="24"/>
                <w:szCs w:val="24"/>
              </w:rPr>
              <w:t>严格执行以上措施后，本项目厂界污染物浓度符合《大气污染物综合排放标准》（DB32/4041-2021）表3浓度限值要求</w:t>
            </w:r>
            <w:r>
              <w:rPr>
                <w:rFonts w:hint="eastAsia"/>
                <w:color w:val="auto"/>
                <w:sz w:val="24"/>
                <w:szCs w:val="24"/>
                <w:lang w:val="en-US" w:eastAsia="zh-CN"/>
              </w:rPr>
              <w:t>、《合成树脂工业污染物排放标准》（GB31572-2015，含2024年修改单）中表9</w:t>
            </w:r>
            <w:r>
              <w:rPr>
                <w:color w:val="auto"/>
                <w:sz w:val="24"/>
                <w:szCs w:val="24"/>
              </w:rPr>
              <w:t>浓度限值要求</w:t>
            </w:r>
            <w:r>
              <w:rPr>
                <w:rFonts w:hint="eastAsia"/>
                <w:color w:val="auto"/>
                <w:sz w:val="24"/>
                <w:szCs w:val="24"/>
                <w:lang w:val="en-US" w:eastAsia="zh-CN"/>
              </w:rPr>
              <w:t>和</w:t>
            </w:r>
            <w:r>
              <w:rPr>
                <w:rFonts w:hint="eastAsia"/>
                <w:color w:val="auto"/>
                <w:sz w:val="24"/>
                <w:szCs w:val="24"/>
              </w:rPr>
              <w:t>《恶臭污染物排放标准》（GB14554-93）表1</w:t>
            </w:r>
            <w:r>
              <w:rPr>
                <w:color w:val="auto"/>
                <w:sz w:val="24"/>
                <w:szCs w:val="24"/>
              </w:rPr>
              <w:t>浓度限值要求。</w:t>
            </w:r>
          </w:p>
          <w:p w14:paraId="32C222E6">
            <w:pPr>
              <w:ind w:firstLine="0" w:firstLineChars="0"/>
              <w:rPr>
                <w:b/>
                <w:bCs/>
                <w:color w:val="auto"/>
                <w:sz w:val="24"/>
                <w:szCs w:val="24"/>
              </w:rPr>
            </w:pPr>
            <w:r>
              <w:rPr>
                <w:b/>
                <w:bCs/>
                <w:color w:val="auto"/>
                <w:sz w:val="24"/>
                <w:szCs w:val="24"/>
              </w:rPr>
              <w:t>2.3非正常工况污染源强分析</w:t>
            </w:r>
          </w:p>
          <w:p w14:paraId="54450644">
            <w:pPr>
              <w:ind w:firstLine="420"/>
              <w:rPr>
                <w:color w:val="auto"/>
                <w:sz w:val="24"/>
                <w:szCs w:val="24"/>
              </w:rPr>
            </w:pPr>
            <w:r>
              <w:rPr>
                <w:color w:val="auto"/>
                <w:sz w:val="24"/>
                <w:szCs w:val="24"/>
              </w:rPr>
              <w:t>非正常工况包括开停机、设备故障和检修、生产装置达不到设计参数、政策影响因素等情况下的排污，不包括恶性事故排放。</w:t>
            </w:r>
          </w:p>
          <w:p w14:paraId="5C28F3F0">
            <w:pPr>
              <w:ind w:firstLine="420"/>
              <w:rPr>
                <w:color w:val="auto"/>
                <w:sz w:val="24"/>
                <w:szCs w:val="24"/>
              </w:rPr>
            </w:pPr>
            <w:r>
              <w:rPr>
                <w:color w:val="auto"/>
                <w:sz w:val="24"/>
                <w:szCs w:val="24"/>
              </w:rPr>
              <w:t>（1）开、停机污染源强分析</w:t>
            </w:r>
          </w:p>
          <w:p w14:paraId="6211FEAC">
            <w:pPr>
              <w:ind w:firstLine="420"/>
              <w:rPr>
                <w:color w:val="auto"/>
                <w:sz w:val="24"/>
                <w:szCs w:val="24"/>
              </w:rPr>
            </w:pPr>
            <w:r>
              <w:rPr>
                <w:color w:val="auto"/>
                <w:sz w:val="24"/>
                <w:szCs w:val="24"/>
              </w:rPr>
              <w:t>对于开、停机，企业需做到：</w:t>
            </w:r>
          </w:p>
          <w:p w14:paraId="5A97E829">
            <w:pPr>
              <w:ind w:firstLine="420"/>
              <w:rPr>
                <w:color w:val="auto"/>
                <w:sz w:val="24"/>
                <w:szCs w:val="24"/>
              </w:rPr>
            </w:pPr>
            <w:r>
              <w:rPr>
                <w:rFonts w:hint="eastAsia" w:ascii="宋体" w:hAnsi="宋体" w:cs="宋体"/>
                <w:color w:val="auto"/>
                <w:sz w:val="24"/>
                <w:szCs w:val="24"/>
              </w:rPr>
              <w:t>①</w:t>
            </w:r>
            <w:r>
              <w:rPr>
                <w:color w:val="auto"/>
                <w:sz w:val="24"/>
                <w:szCs w:val="24"/>
              </w:rPr>
              <w:t>车间开工时，首先运行对应的废气处理装置，然后再进行人工或机械操作。</w:t>
            </w:r>
          </w:p>
          <w:p w14:paraId="50B2D08A">
            <w:pPr>
              <w:ind w:firstLine="420"/>
              <w:rPr>
                <w:color w:val="auto"/>
                <w:sz w:val="24"/>
                <w:szCs w:val="24"/>
              </w:rPr>
            </w:pPr>
            <w:r>
              <w:rPr>
                <w:rFonts w:hint="eastAsia" w:ascii="宋体" w:hAnsi="宋体" w:cs="宋体"/>
                <w:color w:val="auto"/>
                <w:sz w:val="24"/>
                <w:szCs w:val="24"/>
              </w:rPr>
              <w:t>②</w:t>
            </w:r>
            <w:r>
              <w:rPr>
                <w:color w:val="auto"/>
                <w:sz w:val="24"/>
                <w:szCs w:val="24"/>
              </w:rPr>
              <w:t>车间停工时，所有的废气处理装置继续运转，待产生的废气排出之后才逐台关闭。</w:t>
            </w:r>
          </w:p>
          <w:p w14:paraId="7E3B4978">
            <w:pPr>
              <w:ind w:firstLine="420"/>
              <w:rPr>
                <w:color w:val="auto"/>
                <w:sz w:val="24"/>
                <w:szCs w:val="24"/>
              </w:rPr>
            </w:pPr>
            <w:r>
              <w:rPr>
                <w:color w:val="auto"/>
                <w:sz w:val="24"/>
                <w:szCs w:val="24"/>
              </w:rPr>
              <w:t>车间在开、停机时排出污染物均得到有效处理，经排放口排出的污染物浓度比正常生产时小。</w:t>
            </w:r>
          </w:p>
          <w:p w14:paraId="65AB38B9">
            <w:pPr>
              <w:ind w:firstLine="420"/>
              <w:rPr>
                <w:color w:val="auto"/>
                <w:sz w:val="24"/>
                <w:szCs w:val="24"/>
              </w:rPr>
            </w:pPr>
            <w:r>
              <w:rPr>
                <w:color w:val="auto"/>
                <w:sz w:val="24"/>
                <w:szCs w:val="24"/>
              </w:rPr>
              <w:t>（2）生产设备故障和检修</w:t>
            </w:r>
          </w:p>
          <w:p w14:paraId="37E3632F">
            <w:pPr>
              <w:ind w:firstLine="420"/>
              <w:rPr>
                <w:color w:val="auto"/>
                <w:sz w:val="24"/>
                <w:szCs w:val="24"/>
              </w:rPr>
            </w:pPr>
            <w:r>
              <w:rPr>
                <w:color w:val="auto"/>
                <w:sz w:val="24"/>
                <w:szCs w:val="24"/>
              </w:rPr>
              <w:t>设备故障时则立即停止作业，环保设施继续运行，经污染物得到充分处理后再关闭环保设施，可以确保废气排放情况达标排放。</w:t>
            </w:r>
          </w:p>
          <w:p w14:paraId="19C07D49">
            <w:pPr>
              <w:ind w:firstLine="420"/>
              <w:rPr>
                <w:color w:val="auto"/>
                <w:sz w:val="24"/>
                <w:szCs w:val="24"/>
              </w:rPr>
            </w:pPr>
            <w:r>
              <w:rPr>
                <w:color w:val="auto"/>
                <w:sz w:val="24"/>
                <w:szCs w:val="24"/>
              </w:rPr>
              <w:t>设备检修时停止作业，不会有额外污染物产生。</w:t>
            </w:r>
          </w:p>
          <w:p w14:paraId="279EEFF6">
            <w:pPr>
              <w:ind w:firstLine="420"/>
              <w:rPr>
                <w:color w:val="auto"/>
                <w:sz w:val="24"/>
                <w:szCs w:val="24"/>
              </w:rPr>
            </w:pPr>
            <w:r>
              <w:rPr>
                <w:color w:val="auto"/>
                <w:sz w:val="24"/>
                <w:szCs w:val="24"/>
              </w:rPr>
              <w:t>（3）环保设施出现故障</w:t>
            </w:r>
          </w:p>
          <w:p w14:paraId="7CFACE43">
            <w:pPr>
              <w:ind w:firstLine="420"/>
              <w:rPr>
                <w:color w:val="auto"/>
                <w:sz w:val="24"/>
                <w:szCs w:val="24"/>
              </w:rPr>
            </w:pPr>
            <w:r>
              <w:rPr>
                <w:color w:val="auto"/>
                <w:sz w:val="24"/>
                <w:szCs w:val="24"/>
              </w:rPr>
              <w:t>在开工前要求先运行对应的废气处理装置，检查风机以及处理设施是否正常，在确保废气处理设施正常情况下再进行作业。</w:t>
            </w:r>
          </w:p>
          <w:p w14:paraId="2FE8C096">
            <w:pPr>
              <w:keepNext w:val="0"/>
              <w:keepLines w:val="0"/>
              <w:widowControl w:val="0"/>
              <w:suppressLineNumbers w:val="0"/>
              <w:spacing w:before="0" w:beforeAutospacing="0" w:after="0" w:afterAutospacing="0" w:line="480" w:lineRule="exact"/>
              <w:ind w:left="0" w:right="0" w:firstLine="480" w:firstLineChars="200"/>
              <w:jc w:val="both"/>
              <w:rPr>
                <w:color w:val="auto"/>
                <w:sz w:val="24"/>
                <w:szCs w:val="24"/>
              </w:rPr>
            </w:pPr>
            <w:r>
              <w:rPr>
                <w:color w:val="auto"/>
                <w:sz w:val="24"/>
                <w:szCs w:val="24"/>
              </w:rPr>
              <w:t>本项目以</w:t>
            </w:r>
            <w:r>
              <w:rPr>
                <w:rFonts w:hint="eastAsia"/>
                <w:color w:val="auto"/>
                <w:sz w:val="24"/>
                <w:szCs w:val="24"/>
                <w:lang w:val="en-US" w:eastAsia="zh-CN"/>
              </w:rPr>
              <w:t>废气</w:t>
            </w:r>
            <w:r>
              <w:rPr>
                <w:color w:val="auto"/>
                <w:sz w:val="24"/>
                <w:szCs w:val="24"/>
              </w:rPr>
              <w:t>处理设施的</w:t>
            </w:r>
            <w:r>
              <w:rPr>
                <w:rFonts w:hint="eastAsia"/>
                <w:color w:val="auto"/>
                <w:sz w:val="24"/>
                <w:szCs w:val="24"/>
                <w:lang w:val="en-US" w:eastAsia="zh-CN"/>
              </w:rPr>
              <w:t>处理</w:t>
            </w:r>
            <w:r>
              <w:rPr>
                <w:color w:val="auto"/>
                <w:sz w:val="24"/>
                <w:szCs w:val="24"/>
              </w:rPr>
              <w:t>效率</w:t>
            </w:r>
            <w:r>
              <w:rPr>
                <w:rFonts w:hint="eastAsia"/>
                <w:color w:val="auto"/>
                <w:sz w:val="24"/>
                <w:szCs w:val="24"/>
                <w:lang w:val="en-US" w:eastAsia="zh-CN"/>
              </w:rPr>
              <w:t>为0</w:t>
            </w:r>
            <w:r>
              <w:rPr>
                <w:color w:val="auto"/>
                <w:sz w:val="24"/>
                <w:szCs w:val="24"/>
              </w:rPr>
              <w:t>为例，计算废气非正常排放量。拟建项目</w:t>
            </w:r>
            <w:r>
              <w:rPr>
                <w:rFonts w:hint="eastAsia"/>
                <w:color w:val="auto"/>
                <w:sz w:val="24"/>
                <w:szCs w:val="24"/>
                <w:lang w:val="en-US" w:eastAsia="zh-CN"/>
              </w:rPr>
              <w:t>注塑、打印废气</w:t>
            </w:r>
            <w:r>
              <w:rPr>
                <w:color w:val="auto"/>
                <w:sz w:val="24"/>
                <w:szCs w:val="24"/>
              </w:rPr>
              <w:t>处理设施采用</w:t>
            </w:r>
            <w:r>
              <w:rPr>
                <w:rFonts w:hint="eastAsia" w:ascii="宋体" w:hAnsi="宋体" w:eastAsia="宋体" w:cs="宋体"/>
                <w:color w:val="auto"/>
                <w:kern w:val="2"/>
                <w:sz w:val="24"/>
                <w:szCs w:val="24"/>
                <w:lang w:val="en-US" w:eastAsia="zh-CN" w:bidi="ar"/>
              </w:rPr>
              <w:t>二级活性炭吸附装置处理</w:t>
            </w:r>
            <w:r>
              <w:rPr>
                <w:color w:val="auto"/>
                <w:sz w:val="24"/>
                <w:szCs w:val="24"/>
              </w:rPr>
              <w:t>，风量为</w:t>
            </w:r>
            <w:r>
              <w:rPr>
                <w:rFonts w:hint="eastAsia"/>
                <w:color w:val="auto"/>
                <w:sz w:val="24"/>
                <w:szCs w:val="24"/>
                <w:lang w:val="en-US" w:eastAsia="zh-CN"/>
              </w:rPr>
              <w:t>14000</w:t>
            </w:r>
            <w:r>
              <w:rPr>
                <w:color w:val="auto"/>
                <w:sz w:val="24"/>
                <w:szCs w:val="24"/>
              </w:rPr>
              <w:t>m</w:t>
            </w:r>
            <w:r>
              <w:rPr>
                <w:color w:val="auto"/>
                <w:sz w:val="24"/>
                <w:szCs w:val="24"/>
                <w:vertAlign w:val="superscript"/>
              </w:rPr>
              <w:t>3</w:t>
            </w:r>
            <w:r>
              <w:rPr>
                <w:color w:val="auto"/>
                <w:sz w:val="24"/>
                <w:szCs w:val="24"/>
              </w:rPr>
              <w:t>/h，经</w:t>
            </w:r>
            <w:r>
              <w:rPr>
                <w:rFonts w:hint="eastAsia"/>
                <w:color w:val="auto"/>
                <w:sz w:val="24"/>
                <w:szCs w:val="24"/>
                <w:lang w:val="en-US" w:eastAsia="zh-CN"/>
              </w:rPr>
              <w:t>过滤吸附</w:t>
            </w:r>
            <w:r>
              <w:rPr>
                <w:color w:val="auto"/>
                <w:sz w:val="24"/>
                <w:szCs w:val="24"/>
              </w:rPr>
              <w:t>后，外排废气</w:t>
            </w:r>
            <w:r>
              <w:rPr>
                <w:rFonts w:hint="eastAsia"/>
                <w:color w:val="auto"/>
                <w:sz w:val="24"/>
                <w:szCs w:val="24"/>
                <w:lang w:val="en-US" w:eastAsia="zh-CN"/>
              </w:rPr>
              <w:t>非甲烷总烃</w:t>
            </w:r>
            <w:r>
              <w:rPr>
                <w:color w:val="auto"/>
                <w:sz w:val="24"/>
                <w:szCs w:val="24"/>
              </w:rPr>
              <w:t>浓度为</w:t>
            </w:r>
            <w:r>
              <w:rPr>
                <w:rFonts w:hint="eastAsia"/>
                <w:color w:val="auto"/>
                <w:sz w:val="24"/>
                <w:szCs w:val="24"/>
                <w:lang w:val="en-US" w:eastAsia="zh-CN"/>
              </w:rPr>
              <w:t>1.06</w:t>
            </w:r>
            <w:r>
              <w:rPr>
                <w:color w:val="auto"/>
                <w:sz w:val="24"/>
                <w:szCs w:val="24"/>
              </w:rPr>
              <w:t>mg/m</w:t>
            </w:r>
            <w:r>
              <w:rPr>
                <w:color w:val="auto"/>
                <w:sz w:val="24"/>
                <w:szCs w:val="24"/>
                <w:vertAlign w:val="superscript"/>
              </w:rPr>
              <w:t>3</w:t>
            </w:r>
            <w:r>
              <w:rPr>
                <w:color w:val="auto"/>
                <w:sz w:val="24"/>
                <w:szCs w:val="24"/>
              </w:rPr>
              <w:t>；当</w:t>
            </w:r>
            <w:r>
              <w:rPr>
                <w:rFonts w:hint="eastAsia"/>
                <w:color w:val="auto"/>
                <w:sz w:val="24"/>
                <w:szCs w:val="24"/>
                <w:lang w:val="en-US" w:eastAsia="zh-CN"/>
              </w:rPr>
              <w:t>活性炭</w:t>
            </w:r>
            <w:r>
              <w:rPr>
                <w:color w:val="auto"/>
                <w:sz w:val="24"/>
                <w:szCs w:val="24"/>
              </w:rPr>
              <w:t>使用时间长或</w:t>
            </w:r>
            <w:r>
              <w:rPr>
                <w:rFonts w:hint="eastAsia"/>
                <w:color w:val="auto"/>
                <w:sz w:val="24"/>
                <w:szCs w:val="24"/>
                <w:lang w:val="en-US" w:eastAsia="zh-CN"/>
              </w:rPr>
              <w:t>受潮</w:t>
            </w:r>
            <w:r>
              <w:rPr>
                <w:color w:val="auto"/>
                <w:sz w:val="24"/>
                <w:szCs w:val="24"/>
              </w:rPr>
              <w:t>而未及时更换时，其</w:t>
            </w:r>
            <w:r>
              <w:rPr>
                <w:rFonts w:hint="eastAsia"/>
                <w:color w:val="auto"/>
                <w:sz w:val="24"/>
                <w:szCs w:val="24"/>
                <w:lang w:val="en-US" w:eastAsia="zh-CN"/>
              </w:rPr>
              <w:t>处理</w:t>
            </w:r>
            <w:r>
              <w:rPr>
                <w:color w:val="auto"/>
                <w:sz w:val="24"/>
                <w:szCs w:val="24"/>
              </w:rPr>
              <w:t>效率会有所下降，但企业日常生产中都会定期对</w:t>
            </w:r>
            <w:r>
              <w:rPr>
                <w:rFonts w:hint="eastAsia"/>
                <w:color w:val="auto"/>
                <w:sz w:val="24"/>
                <w:szCs w:val="24"/>
                <w:lang w:val="en-US" w:eastAsia="zh-CN"/>
              </w:rPr>
              <w:t>废气处理</w:t>
            </w:r>
            <w:r>
              <w:rPr>
                <w:color w:val="auto"/>
                <w:sz w:val="24"/>
                <w:szCs w:val="24"/>
              </w:rPr>
              <w:t>设施进行检查、维护和更换，假设</w:t>
            </w:r>
            <w:r>
              <w:rPr>
                <w:rFonts w:hint="eastAsia"/>
                <w:color w:val="auto"/>
                <w:sz w:val="24"/>
                <w:szCs w:val="24"/>
                <w:lang w:val="en-US" w:eastAsia="zh-CN"/>
              </w:rPr>
              <w:t>活性炭</w:t>
            </w:r>
            <w:r>
              <w:rPr>
                <w:color w:val="auto"/>
                <w:sz w:val="24"/>
                <w:szCs w:val="24"/>
              </w:rPr>
              <w:t>使用时间长或</w:t>
            </w:r>
            <w:r>
              <w:rPr>
                <w:rFonts w:hint="eastAsia"/>
                <w:color w:val="auto"/>
                <w:sz w:val="24"/>
                <w:szCs w:val="24"/>
                <w:lang w:val="en-US" w:eastAsia="zh-CN"/>
              </w:rPr>
              <w:t>受潮</w:t>
            </w:r>
            <w:r>
              <w:rPr>
                <w:color w:val="auto"/>
                <w:sz w:val="24"/>
                <w:szCs w:val="24"/>
              </w:rPr>
              <w:t>，</w:t>
            </w:r>
            <w:r>
              <w:rPr>
                <w:rFonts w:hint="eastAsia"/>
                <w:color w:val="auto"/>
                <w:sz w:val="24"/>
                <w:szCs w:val="24"/>
                <w:lang w:val="en-US" w:eastAsia="zh-CN"/>
              </w:rPr>
              <w:t>处理效率为0</w:t>
            </w:r>
            <w:r>
              <w:rPr>
                <w:color w:val="auto"/>
                <w:sz w:val="24"/>
                <w:szCs w:val="24"/>
              </w:rPr>
              <w:t>，导致外排废气</w:t>
            </w:r>
            <w:r>
              <w:rPr>
                <w:rFonts w:hint="eastAsia"/>
                <w:color w:val="auto"/>
                <w:sz w:val="24"/>
                <w:szCs w:val="24"/>
                <w:lang w:val="en-US" w:eastAsia="zh-CN"/>
              </w:rPr>
              <w:t>非甲烷总烃</w:t>
            </w:r>
            <w:r>
              <w:rPr>
                <w:color w:val="auto"/>
                <w:sz w:val="24"/>
                <w:szCs w:val="24"/>
              </w:rPr>
              <w:t>浓度达到</w:t>
            </w:r>
            <w:r>
              <w:rPr>
                <w:rFonts w:hint="eastAsia"/>
                <w:color w:val="auto"/>
                <w:sz w:val="24"/>
                <w:szCs w:val="24"/>
                <w:lang w:val="en-US" w:eastAsia="zh-CN"/>
              </w:rPr>
              <w:t>10.56</w:t>
            </w:r>
            <w:r>
              <w:rPr>
                <w:color w:val="auto"/>
                <w:sz w:val="24"/>
                <w:szCs w:val="24"/>
              </w:rPr>
              <w:t>mg/m</w:t>
            </w:r>
            <w:r>
              <w:rPr>
                <w:color w:val="auto"/>
                <w:sz w:val="24"/>
                <w:szCs w:val="24"/>
                <w:vertAlign w:val="superscript"/>
              </w:rPr>
              <w:t>3</w:t>
            </w:r>
            <w:r>
              <w:rPr>
                <w:color w:val="auto"/>
                <w:sz w:val="24"/>
                <w:szCs w:val="24"/>
              </w:rPr>
              <w:t>，则</w:t>
            </w:r>
            <w:r>
              <w:rPr>
                <w:rFonts w:hint="eastAsia"/>
                <w:color w:val="auto"/>
                <w:sz w:val="24"/>
                <w:szCs w:val="24"/>
                <w:lang w:val="en-US" w:eastAsia="zh-CN"/>
              </w:rPr>
              <w:t>注塑、打印废气</w:t>
            </w:r>
            <w:r>
              <w:rPr>
                <w:color w:val="auto"/>
                <w:sz w:val="24"/>
                <w:szCs w:val="24"/>
              </w:rPr>
              <w:t>中</w:t>
            </w:r>
            <w:r>
              <w:rPr>
                <w:rFonts w:hint="eastAsia"/>
                <w:color w:val="auto"/>
                <w:sz w:val="24"/>
                <w:szCs w:val="24"/>
                <w:lang w:val="en-US" w:eastAsia="zh-CN"/>
              </w:rPr>
              <w:t>非甲烷总烃</w:t>
            </w:r>
            <w:r>
              <w:rPr>
                <w:color w:val="auto"/>
                <w:sz w:val="24"/>
                <w:szCs w:val="24"/>
              </w:rPr>
              <w:t>非正常工况排放量为</w:t>
            </w:r>
            <w:r>
              <w:rPr>
                <w:rFonts w:hint="eastAsia"/>
                <w:color w:val="auto"/>
                <w:sz w:val="24"/>
                <w:szCs w:val="24"/>
                <w:lang w:val="en-US" w:eastAsia="zh-CN"/>
              </w:rPr>
              <w:t>0.1479</w:t>
            </w:r>
            <w:r>
              <w:rPr>
                <w:color w:val="auto"/>
                <w:sz w:val="24"/>
                <w:szCs w:val="24"/>
              </w:rPr>
              <w:t>kg/h，预计发现非正常情况后立即停产，10min内实现主体装置停工。</w:t>
            </w:r>
          </w:p>
          <w:p w14:paraId="5B3C59DD">
            <w:pPr>
              <w:rPr>
                <w:rFonts w:hint="eastAsia"/>
                <w:color w:val="auto"/>
                <w:sz w:val="24"/>
                <w:szCs w:val="24"/>
                <w:lang w:val="en-US" w:eastAsia="zh-CN"/>
              </w:rPr>
            </w:pPr>
            <w:r>
              <w:rPr>
                <w:color w:val="auto"/>
                <w:sz w:val="24"/>
                <w:szCs w:val="24"/>
              </w:rPr>
              <w:t>根据上述非正常情景分析，拟建工程非正常排放时的源强见下表。</w:t>
            </w:r>
          </w:p>
          <w:p w14:paraId="0480DE37">
            <w:pPr>
              <w:spacing w:line="240" w:lineRule="auto"/>
              <w:ind w:firstLine="0" w:firstLineChars="0"/>
              <w:jc w:val="center"/>
              <w:rPr>
                <w:b/>
                <w:bCs/>
                <w:color w:val="auto"/>
                <w:sz w:val="21"/>
                <w:szCs w:val="21"/>
              </w:rPr>
            </w:pPr>
            <w:r>
              <w:rPr>
                <w:b/>
                <w:bCs/>
                <w:color w:val="auto"/>
                <w:sz w:val="21"/>
                <w:szCs w:val="21"/>
              </w:rPr>
              <w:t>表4</w:t>
            </w:r>
            <w:r>
              <w:rPr>
                <w:rFonts w:hint="eastAsia"/>
                <w:b/>
                <w:bCs/>
                <w:color w:val="auto"/>
                <w:sz w:val="21"/>
                <w:szCs w:val="21"/>
                <w:lang w:val="en-US" w:eastAsia="zh-CN"/>
              </w:rPr>
              <w:t>.2</w:t>
            </w:r>
            <w:r>
              <w:rPr>
                <w:b/>
                <w:bCs/>
                <w:color w:val="auto"/>
                <w:sz w:val="21"/>
                <w:szCs w:val="21"/>
              </w:rPr>
              <w:t>-</w:t>
            </w:r>
            <w:r>
              <w:rPr>
                <w:rFonts w:hint="eastAsia"/>
                <w:b/>
                <w:bCs/>
                <w:color w:val="auto"/>
                <w:sz w:val="21"/>
                <w:szCs w:val="21"/>
                <w:lang w:val="en-US" w:eastAsia="zh-CN"/>
              </w:rPr>
              <w:t>9</w:t>
            </w:r>
            <w:r>
              <w:rPr>
                <w:b/>
                <w:bCs/>
                <w:color w:val="auto"/>
                <w:sz w:val="21"/>
                <w:szCs w:val="21"/>
              </w:rPr>
              <w:t xml:space="preserve">  非正常工况排气筒污染物情况表</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34"/>
              <w:gridCol w:w="1033"/>
              <w:gridCol w:w="928"/>
              <w:gridCol w:w="1295"/>
              <w:gridCol w:w="968"/>
              <w:gridCol w:w="1285"/>
              <w:gridCol w:w="1377"/>
            </w:tblGrid>
            <w:tr w14:paraId="4FF1A9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4" w:type="dxa"/>
                  <w:noWrap w:val="0"/>
                  <w:vAlign w:val="center"/>
                </w:tcPr>
                <w:p w14:paraId="65D1F863">
                  <w:pPr>
                    <w:spacing w:line="240" w:lineRule="auto"/>
                    <w:ind w:firstLine="0" w:firstLineChars="0"/>
                    <w:jc w:val="center"/>
                    <w:rPr>
                      <w:b/>
                      <w:bCs/>
                      <w:color w:val="auto"/>
                      <w:kern w:val="0"/>
                      <w:sz w:val="21"/>
                      <w:szCs w:val="21"/>
                    </w:rPr>
                  </w:pPr>
                  <w:r>
                    <w:rPr>
                      <w:b/>
                      <w:bCs/>
                      <w:color w:val="auto"/>
                      <w:kern w:val="0"/>
                      <w:sz w:val="21"/>
                      <w:szCs w:val="21"/>
                    </w:rPr>
                    <w:t>项目</w:t>
                  </w:r>
                </w:p>
              </w:tc>
              <w:tc>
                <w:tcPr>
                  <w:tcW w:w="1033" w:type="dxa"/>
                  <w:noWrap w:val="0"/>
                  <w:vAlign w:val="center"/>
                </w:tcPr>
                <w:p w14:paraId="156FBC3E">
                  <w:pPr>
                    <w:spacing w:line="240" w:lineRule="auto"/>
                    <w:ind w:firstLine="0" w:firstLineChars="0"/>
                    <w:jc w:val="center"/>
                    <w:rPr>
                      <w:b/>
                      <w:bCs/>
                      <w:color w:val="auto"/>
                      <w:kern w:val="0"/>
                      <w:sz w:val="21"/>
                      <w:szCs w:val="21"/>
                    </w:rPr>
                  </w:pPr>
                  <w:r>
                    <w:rPr>
                      <w:b/>
                      <w:bCs/>
                      <w:color w:val="auto"/>
                      <w:kern w:val="0"/>
                      <w:sz w:val="21"/>
                      <w:szCs w:val="21"/>
                    </w:rPr>
                    <w:t>持续时间（min）</w:t>
                  </w:r>
                </w:p>
              </w:tc>
              <w:tc>
                <w:tcPr>
                  <w:tcW w:w="928" w:type="dxa"/>
                  <w:noWrap w:val="0"/>
                  <w:vAlign w:val="center"/>
                </w:tcPr>
                <w:p w14:paraId="72DC2FE8">
                  <w:pPr>
                    <w:spacing w:line="240" w:lineRule="auto"/>
                    <w:ind w:firstLine="0" w:firstLineChars="0"/>
                    <w:jc w:val="center"/>
                    <w:rPr>
                      <w:b/>
                      <w:bCs/>
                      <w:color w:val="auto"/>
                      <w:kern w:val="0"/>
                      <w:sz w:val="21"/>
                      <w:szCs w:val="21"/>
                    </w:rPr>
                  </w:pPr>
                  <w:r>
                    <w:rPr>
                      <w:b/>
                      <w:bCs/>
                      <w:color w:val="auto"/>
                      <w:kern w:val="0"/>
                      <w:sz w:val="21"/>
                      <w:szCs w:val="21"/>
                    </w:rPr>
                    <w:t>发生频次</w:t>
                  </w:r>
                </w:p>
              </w:tc>
              <w:tc>
                <w:tcPr>
                  <w:tcW w:w="1295" w:type="dxa"/>
                  <w:noWrap w:val="0"/>
                  <w:vAlign w:val="center"/>
                </w:tcPr>
                <w:p w14:paraId="778ED757">
                  <w:pPr>
                    <w:spacing w:line="240" w:lineRule="auto"/>
                    <w:ind w:firstLine="0" w:firstLineChars="0"/>
                    <w:jc w:val="center"/>
                    <w:rPr>
                      <w:b/>
                      <w:bCs/>
                      <w:color w:val="auto"/>
                      <w:kern w:val="0"/>
                      <w:sz w:val="21"/>
                      <w:szCs w:val="21"/>
                    </w:rPr>
                  </w:pPr>
                  <w:r>
                    <w:rPr>
                      <w:b/>
                      <w:bCs/>
                      <w:color w:val="auto"/>
                      <w:kern w:val="0"/>
                      <w:sz w:val="21"/>
                      <w:szCs w:val="21"/>
                    </w:rPr>
                    <w:t>放散量</w:t>
                  </w:r>
                </w:p>
              </w:tc>
              <w:tc>
                <w:tcPr>
                  <w:tcW w:w="968" w:type="dxa"/>
                  <w:noWrap w:val="0"/>
                  <w:vAlign w:val="center"/>
                </w:tcPr>
                <w:p w14:paraId="078E3CA1">
                  <w:pPr>
                    <w:spacing w:line="240" w:lineRule="auto"/>
                    <w:ind w:firstLine="0" w:firstLineChars="0"/>
                    <w:jc w:val="center"/>
                    <w:rPr>
                      <w:rFonts w:hint="default" w:eastAsia="宋体"/>
                      <w:b/>
                      <w:bCs/>
                      <w:color w:val="auto"/>
                      <w:kern w:val="0"/>
                      <w:sz w:val="21"/>
                      <w:szCs w:val="21"/>
                      <w:lang w:val="en-US" w:eastAsia="zh-CN"/>
                    </w:rPr>
                  </w:pPr>
                  <w:r>
                    <w:rPr>
                      <w:rFonts w:hint="eastAsia"/>
                      <w:b/>
                      <w:bCs/>
                      <w:color w:val="auto"/>
                      <w:kern w:val="0"/>
                      <w:sz w:val="21"/>
                      <w:szCs w:val="21"/>
                      <w:lang w:val="en-US" w:eastAsia="zh-CN"/>
                    </w:rPr>
                    <w:t>污染物名称</w:t>
                  </w:r>
                </w:p>
              </w:tc>
              <w:tc>
                <w:tcPr>
                  <w:tcW w:w="1285" w:type="dxa"/>
                  <w:noWrap w:val="0"/>
                  <w:vAlign w:val="center"/>
                </w:tcPr>
                <w:p w14:paraId="6E3D92AD">
                  <w:pPr>
                    <w:spacing w:line="240" w:lineRule="auto"/>
                    <w:ind w:firstLine="0" w:firstLineChars="0"/>
                    <w:jc w:val="center"/>
                    <w:rPr>
                      <w:rFonts w:hint="default" w:eastAsia="宋体"/>
                      <w:b/>
                      <w:bCs/>
                      <w:color w:val="auto"/>
                      <w:kern w:val="0"/>
                      <w:sz w:val="21"/>
                      <w:szCs w:val="21"/>
                      <w:lang w:val="en-US" w:eastAsia="zh-CN"/>
                    </w:rPr>
                  </w:pPr>
                  <w:r>
                    <w:rPr>
                      <w:rFonts w:hint="eastAsia"/>
                      <w:b/>
                      <w:bCs/>
                      <w:color w:val="auto"/>
                      <w:kern w:val="0"/>
                      <w:sz w:val="21"/>
                      <w:szCs w:val="21"/>
                      <w:lang w:val="en-US" w:eastAsia="zh-CN"/>
                    </w:rPr>
                    <w:t>排放浓度（mg/m</w:t>
                  </w:r>
                  <w:r>
                    <w:rPr>
                      <w:rFonts w:hint="eastAsia"/>
                      <w:b/>
                      <w:bCs/>
                      <w:color w:val="auto"/>
                      <w:kern w:val="0"/>
                      <w:sz w:val="21"/>
                      <w:szCs w:val="21"/>
                      <w:vertAlign w:val="superscript"/>
                      <w:lang w:val="en-US" w:eastAsia="zh-CN"/>
                    </w:rPr>
                    <w:t>3</w:t>
                  </w:r>
                  <w:r>
                    <w:rPr>
                      <w:rFonts w:hint="eastAsia"/>
                      <w:b/>
                      <w:bCs/>
                      <w:color w:val="auto"/>
                      <w:kern w:val="0"/>
                      <w:sz w:val="21"/>
                      <w:szCs w:val="21"/>
                      <w:lang w:val="en-US" w:eastAsia="zh-CN"/>
                    </w:rPr>
                    <w:t>）</w:t>
                  </w:r>
                </w:p>
              </w:tc>
              <w:tc>
                <w:tcPr>
                  <w:tcW w:w="1377" w:type="dxa"/>
                  <w:noWrap w:val="0"/>
                  <w:vAlign w:val="center"/>
                </w:tcPr>
                <w:p w14:paraId="5853DEF1">
                  <w:pPr>
                    <w:spacing w:line="240" w:lineRule="auto"/>
                    <w:ind w:firstLine="0" w:firstLineChars="0"/>
                    <w:jc w:val="center"/>
                    <w:rPr>
                      <w:b/>
                      <w:bCs/>
                      <w:color w:val="auto"/>
                      <w:kern w:val="0"/>
                      <w:sz w:val="21"/>
                      <w:szCs w:val="21"/>
                    </w:rPr>
                  </w:pPr>
                  <w:r>
                    <w:rPr>
                      <w:rFonts w:hint="eastAsia"/>
                      <w:b/>
                      <w:bCs/>
                      <w:color w:val="auto"/>
                      <w:kern w:val="0"/>
                      <w:sz w:val="21"/>
                      <w:szCs w:val="21"/>
                      <w:lang w:val="en-US" w:eastAsia="zh-CN"/>
                    </w:rPr>
                    <w:t>排放速率</w:t>
                  </w:r>
                  <w:r>
                    <w:rPr>
                      <w:b/>
                      <w:bCs/>
                      <w:color w:val="auto"/>
                      <w:kern w:val="0"/>
                      <w:sz w:val="21"/>
                      <w:szCs w:val="21"/>
                    </w:rPr>
                    <w:t>（kg/h）</w:t>
                  </w:r>
                </w:p>
              </w:tc>
            </w:tr>
            <w:tr w14:paraId="2306ED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434" w:type="dxa"/>
                  <w:noWrap w:val="0"/>
                  <w:vAlign w:val="center"/>
                </w:tcPr>
                <w:p w14:paraId="3DF9ECF0">
                  <w:pPr>
                    <w:spacing w:line="240" w:lineRule="auto"/>
                    <w:ind w:firstLine="0" w:firstLineChars="0"/>
                    <w:jc w:val="center"/>
                    <w:rPr>
                      <w:rFonts w:hint="default" w:eastAsia="宋体"/>
                      <w:color w:val="auto"/>
                      <w:kern w:val="0"/>
                      <w:sz w:val="21"/>
                      <w:szCs w:val="21"/>
                      <w:lang w:val="en-US" w:eastAsia="zh-CN"/>
                    </w:rPr>
                  </w:pPr>
                  <w:r>
                    <w:rPr>
                      <w:rFonts w:hint="eastAsia"/>
                      <w:color w:val="auto"/>
                      <w:sz w:val="21"/>
                      <w:szCs w:val="21"/>
                      <w:lang w:val="en-US" w:eastAsia="zh-CN"/>
                    </w:rPr>
                    <w:t>活性炭</w:t>
                  </w:r>
                  <w:r>
                    <w:rPr>
                      <w:color w:val="auto"/>
                      <w:sz w:val="21"/>
                      <w:szCs w:val="21"/>
                    </w:rPr>
                    <w:t>使用时间长或</w:t>
                  </w:r>
                  <w:r>
                    <w:rPr>
                      <w:rFonts w:hint="eastAsia"/>
                      <w:color w:val="auto"/>
                      <w:sz w:val="21"/>
                      <w:szCs w:val="21"/>
                      <w:lang w:val="en-US" w:eastAsia="zh-CN"/>
                    </w:rPr>
                    <w:t>受潮</w:t>
                  </w:r>
                </w:p>
              </w:tc>
              <w:tc>
                <w:tcPr>
                  <w:tcW w:w="1033" w:type="dxa"/>
                  <w:noWrap w:val="0"/>
                  <w:vAlign w:val="center"/>
                </w:tcPr>
                <w:p w14:paraId="4ED62E40">
                  <w:pPr>
                    <w:spacing w:line="240" w:lineRule="auto"/>
                    <w:ind w:firstLine="0" w:firstLineChars="0"/>
                    <w:jc w:val="center"/>
                    <w:rPr>
                      <w:color w:val="auto"/>
                      <w:kern w:val="0"/>
                      <w:sz w:val="21"/>
                      <w:szCs w:val="21"/>
                    </w:rPr>
                  </w:pPr>
                  <w:r>
                    <w:rPr>
                      <w:color w:val="auto"/>
                      <w:kern w:val="0"/>
                      <w:sz w:val="21"/>
                      <w:szCs w:val="21"/>
                    </w:rPr>
                    <w:t>10</w:t>
                  </w:r>
                </w:p>
              </w:tc>
              <w:tc>
                <w:tcPr>
                  <w:tcW w:w="928" w:type="dxa"/>
                  <w:noWrap w:val="0"/>
                  <w:vAlign w:val="center"/>
                </w:tcPr>
                <w:p w14:paraId="262609C9">
                  <w:pPr>
                    <w:spacing w:line="240" w:lineRule="auto"/>
                    <w:ind w:firstLine="0" w:firstLineChars="0"/>
                    <w:jc w:val="center"/>
                    <w:rPr>
                      <w:color w:val="auto"/>
                      <w:kern w:val="0"/>
                      <w:sz w:val="21"/>
                      <w:szCs w:val="21"/>
                    </w:rPr>
                  </w:pPr>
                  <w:r>
                    <w:rPr>
                      <w:color w:val="auto"/>
                      <w:kern w:val="0"/>
                      <w:sz w:val="21"/>
                      <w:szCs w:val="21"/>
                    </w:rPr>
                    <w:t>1次/年</w:t>
                  </w:r>
                </w:p>
              </w:tc>
              <w:tc>
                <w:tcPr>
                  <w:tcW w:w="1295" w:type="dxa"/>
                  <w:noWrap w:val="0"/>
                  <w:vAlign w:val="center"/>
                </w:tcPr>
                <w:p w14:paraId="7C0405E0">
                  <w:pPr>
                    <w:spacing w:line="240" w:lineRule="auto"/>
                    <w:ind w:firstLine="0" w:firstLineChars="0"/>
                    <w:jc w:val="center"/>
                    <w:rPr>
                      <w:color w:val="auto"/>
                      <w:kern w:val="0"/>
                      <w:sz w:val="21"/>
                      <w:szCs w:val="21"/>
                    </w:rPr>
                  </w:pPr>
                  <w:r>
                    <w:rPr>
                      <w:rFonts w:hint="eastAsia"/>
                      <w:color w:val="auto"/>
                      <w:kern w:val="0"/>
                      <w:sz w:val="21"/>
                      <w:szCs w:val="21"/>
                      <w:lang w:val="en-US" w:eastAsia="zh-CN"/>
                    </w:rPr>
                    <w:t>14000</w:t>
                  </w:r>
                  <w:r>
                    <w:rPr>
                      <w:color w:val="auto"/>
                      <w:kern w:val="0"/>
                      <w:sz w:val="21"/>
                      <w:szCs w:val="21"/>
                    </w:rPr>
                    <w:t>m</w:t>
                  </w:r>
                  <w:r>
                    <w:rPr>
                      <w:color w:val="auto"/>
                      <w:kern w:val="0"/>
                      <w:sz w:val="21"/>
                      <w:szCs w:val="21"/>
                      <w:vertAlign w:val="superscript"/>
                    </w:rPr>
                    <w:t>3</w:t>
                  </w:r>
                  <w:r>
                    <w:rPr>
                      <w:color w:val="auto"/>
                      <w:kern w:val="0"/>
                      <w:sz w:val="21"/>
                      <w:szCs w:val="21"/>
                    </w:rPr>
                    <w:t>/h</w:t>
                  </w:r>
                </w:p>
              </w:tc>
              <w:tc>
                <w:tcPr>
                  <w:tcW w:w="968" w:type="dxa"/>
                  <w:noWrap w:val="0"/>
                  <w:vAlign w:val="center"/>
                </w:tcPr>
                <w:p w14:paraId="4621CB8D">
                  <w:pPr>
                    <w:spacing w:line="240" w:lineRule="auto"/>
                    <w:ind w:firstLine="0" w:firstLineChars="0"/>
                    <w:jc w:val="center"/>
                    <w:rPr>
                      <w:rFonts w:hint="eastAsia" w:eastAsia="宋体"/>
                      <w:color w:val="auto"/>
                      <w:kern w:val="0"/>
                      <w:sz w:val="21"/>
                      <w:szCs w:val="21"/>
                      <w:lang w:val="en-US" w:eastAsia="zh-CN"/>
                    </w:rPr>
                  </w:pPr>
                  <w:r>
                    <w:rPr>
                      <w:rFonts w:hint="eastAsia"/>
                      <w:color w:val="auto"/>
                      <w:kern w:val="0"/>
                      <w:sz w:val="21"/>
                      <w:szCs w:val="21"/>
                      <w:lang w:val="en-US" w:eastAsia="zh-CN"/>
                    </w:rPr>
                    <w:t>非甲烷总烃</w:t>
                  </w:r>
                </w:p>
              </w:tc>
              <w:tc>
                <w:tcPr>
                  <w:tcW w:w="1285" w:type="dxa"/>
                  <w:noWrap w:val="0"/>
                  <w:vAlign w:val="center"/>
                </w:tcPr>
                <w:p w14:paraId="721F1B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olor w:val="auto"/>
                      <w:kern w:val="0"/>
                      <w:sz w:val="21"/>
                      <w:szCs w:val="21"/>
                      <w:lang w:val="en-US" w:eastAsia="zh-CN"/>
                    </w:rPr>
                  </w:pPr>
                  <w:r>
                    <w:rPr>
                      <w:rFonts w:hint="eastAsia" w:cs="Times New Roman"/>
                      <w:i w:val="0"/>
                      <w:iCs w:val="0"/>
                      <w:color w:val="auto"/>
                      <w:kern w:val="0"/>
                      <w:sz w:val="21"/>
                      <w:szCs w:val="21"/>
                      <w:u w:val="none"/>
                      <w:lang w:val="en-US" w:eastAsia="zh-CN" w:bidi="ar"/>
                    </w:rPr>
                    <w:t>10.56</w:t>
                  </w:r>
                </w:p>
              </w:tc>
              <w:tc>
                <w:tcPr>
                  <w:tcW w:w="1377" w:type="dxa"/>
                  <w:noWrap w:val="0"/>
                  <w:vAlign w:val="center"/>
                </w:tcPr>
                <w:p w14:paraId="1C7F34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auto"/>
                      <w:kern w:val="0"/>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1479</w:t>
                  </w:r>
                </w:p>
              </w:tc>
            </w:tr>
          </w:tbl>
          <w:p w14:paraId="53B2C680">
            <w:pPr>
              <w:ind w:firstLine="420"/>
              <w:rPr>
                <w:color w:val="auto"/>
                <w:sz w:val="24"/>
                <w:szCs w:val="24"/>
              </w:rPr>
            </w:pPr>
            <w:r>
              <w:rPr>
                <w:color w:val="auto"/>
                <w:sz w:val="24"/>
                <w:szCs w:val="24"/>
              </w:rPr>
              <w:t>根据上述分析，废气处理设施的</w:t>
            </w:r>
            <w:r>
              <w:rPr>
                <w:rFonts w:hint="eastAsia"/>
                <w:color w:val="auto"/>
                <w:sz w:val="24"/>
                <w:szCs w:val="24"/>
                <w:lang w:val="en-US" w:eastAsia="zh-CN"/>
              </w:rPr>
              <w:t>活性炭</w:t>
            </w:r>
            <w:r>
              <w:rPr>
                <w:color w:val="auto"/>
                <w:sz w:val="24"/>
                <w:szCs w:val="24"/>
              </w:rPr>
              <w:t>使用时间长或</w:t>
            </w:r>
            <w:r>
              <w:rPr>
                <w:rFonts w:hint="eastAsia"/>
                <w:color w:val="auto"/>
                <w:sz w:val="24"/>
                <w:szCs w:val="24"/>
                <w:lang w:val="en-US" w:eastAsia="zh-CN"/>
              </w:rPr>
              <w:t>受潮</w:t>
            </w:r>
            <w:r>
              <w:rPr>
                <w:color w:val="auto"/>
                <w:sz w:val="24"/>
                <w:szCs w:val="24"/>
              </w:rPr>
              <w:t>情况下，</w:t>
            </w:r>
            <w:r>
              <w:rPr>
                <w:rFonts w:hint="eastAsia"/>
                <w:color w:val="auto"/>
                <w:sz w:val="24"/>
                <w:szCs w:val="24"/>
                <w:lang w:val="en-US" w:eastAsia="zh-CN"/>
              </w:rPr>
              <w:t>非甲烷总烃</w:t>
            </w:r>
            <w:r>
              <w:rPr>
                <w:color w:val="auto"/>
                <w:sz w:val="24"/>
                <w:szCs w:val="24"/>
              </w:rPr>
              <w:t>排放量</w:t>
            </w:r>
            <w:r>
              <w:rPr>
                <w:rFonts w:hint="eastAsia"/>
                <w:color w:val="auto"/>
                <w:sz w:val="24"/>
                <w:szCs w:val="24"/>
                <w:lang w:val="en-US" w:eastAsia="zh-CN"/>
              </w:rPr>
              <w:t>变</w:t>
            </w:r>
            <w:r>
              <w:rPr>
                <w:color w:val="auto"/>
                <w:sz w:val="24"/>
                <w:szCs w:val="24"/>
              </w:rPr>
              <w:t>大。</w:t>
            </w:r>
          </w:p>
          <w:p w14:paraId="339C248B">
            <w:pPr>
              <w:ind w:firstLine="420"/>
              <w:rPr>
                <w:color w:val="auto"/>
                <w:sz w:val="24"/>
                <w:szCs w:val="24"/>
              </w:rPr>
            </w:pPr>
            <w:r>
              <w:rPr>
                <w:color w:val="auto"/>
                <w:sz w:val="24"/>
                <w:szCs w:val="24"/>
              </w:rPr>
              <w:t>在生产过程中采取以下措施以有效防控环保措施失效，避免非正常工况。</w:t>
            </w:r>
          </w:p>
          <w:p w14:paraId="2AE0B4E9">
            <w:pPr>
              <w:ind w:firstLine="420"/>
              <w:rPr>
                <w:color w:val="auto"/>
                <w:sz w:val="24"/>
                <w:szCs w:val="24"/>
              </w:rPr>
            </w:pPr>
            <w:r>
              <w:rPr>
                <w:color w:val="auto"/>
                <w:sz w:val="24"/>
                <w:szCs w:val="24"/>
              </w:rPr>
              <w:t>（1）根据同类企业的生产运行经验，企业对环保设备进行每周一次和每月一次的例行检查。</w:t>
            </w:r>
          </w:p>
          <w:p w14:paraId="7078CD82">
            <w:pPr>
              <w:ind w:firstLine="420"/>
              <w:rPr>
                <w:color w:val="auto"/>
                <w:sz w:val="24"/>
                <w:szCs w:val="24"/>
              </w:rPr>
            </w:pPr>
            <w:r>
              <w:rPr>
                <w:color w:val="auto"/>
                <w:sz w:val="24"/>
                <w:szCs w:val="24"/>
              </w:rPr>
              <w:t>（2）</w:t>
            </w:r>
            <w:r>
              <w:rPr>
                <w:rFonts w:hint="eastAsia"/>
                <w:color w:val="auto"/>
                <w:sz w:val="24"/>
                <w:szCs w:val="24"/>
                <w:lang w:val="en-US" w:eastAsia="zh-CN"/>
              </w:rPr>
              <w:t>二级活性炭吸附装置</w:t>
            </w:r>
            <w:r>
              <w:rPr>
                <w:color w:val="auto"/>
                <w:sz w:val="24"/>
                <w:szCs w:val="24"/>
              </w:rPr>
              <w:t>定期维护。</w:t>
            </w:r>
          </w:p>
          <w:p w14:paraId="495620F1">
            <w:pPr>
              <w:ind w:firstLine="0" w:firstLineChars="0"/>
              <w:rPr>
                <w:b/>
                <w:bCs/>
                <w:color w:val="auto"/>
                <w:sz w:val="24"/>
                <w:szCs w:val="24"/>
              </w:rPr>
            </w:pPr>
            <w:r>
              <w:rPr>
                <w:b/>
                <w:bCs/>
                <w:color w:val="auto"/>
                <w:sz w:val="24"/>
                <w:szCs w:val="24"/>
              </w:rPr>
              <w:t>2.4正常工况废气达标分析</w:t>
            </w:r>
          </w:p>
          <w:p w14:paraId="3E20FF7F">
            <w:pPr>
              <w:ind w:firstLine="0" w:firstLineChars="0"/>
              <w:rPr>
                <w:b/>
                <w:bCs/>
                <w:color w:val="auto"/>
                <w:sz w:val="24"/>
                <w:szCs w:val="24"/>
              </w:rPr>
            </w:pPr>
            <w:r>
              <w:rPr>
                <w:b/>
                <w:bCs/>
                <w:color w:val="auto"/>
                <w:sz w:val="24"/>
                <w:szCs w:val="24"/>
              </w:rPr>
              <w:t>2.4.1排气筒排放废气达标分析</w:t>
            </w:r>
          </w:p>
          <w:p w14:paraId="56DBF02F">
            <w:pPr>
              <w:ind w:firstLine="420"/>
              <w:rPr>
                <w:color w:val="auto"/>
                <w:sz w:val="24"/>
                <w:szCs w:val="24"/>
              </w:rPr>
            </w:pPr>
            <w:r>
              <w:rPr>
                <w:color w:val="auto"/>
                <w:sz w:val="24"/>
                <w:szCs w:val="24"/>
              </w:rPr>
              <w:t>本项目有组织废气排放达标情况详见表4</w:t>
            </w:r>
            <w:r>
              <w:rPr>
                <w:rFonts w:hint="eastAsia"/>
                <w:color w:val="auto"/>
                <w:sz w:val="24"/>
                <w:szCs w:val="24"/>
                <w:lang w:val="en-US" w:eastAsia="zh-CN"/>
              </w:rPr>
              <w:t>.2</w:t>
            </w:r>
            <w:r>
              <w:rPr>
                <w:color w:val="auto"/>
                <w:sz w:val="24"/>
                <w:szCs w:val="24"/>
              </w:rPr>
              <w:t>-</w:t>
            </w:r>
            <w:r>
              <w:rPr>
                <w:rFonts w:hint="eastAsia"/>
                <w:color w:val="auto"/>
                <w:sz w:val="24"/>
                <w:szCs w:val="24"/>
                <w:lang w:val="en-US" w:eastAsia="zh-CN"/>
              </w:rPr>
              <w:t>10</w:t>
            </w:r>
            <w:r>
              <w:rPr>
                <w:color w:val="auto"/>
                <w:sz w:val="24"/>
                <w:szCs w:val="24"/>
              </w:rPr>
              <w:t>。</w:t>
            </w:r>
          </w:p>
          <w:p w14:paraId="49E2D959">
            <w:pPr>
              <w:spacing w:line="240" w:lineRule="auto"/>
              <w:ind w:firstLine="0" w:firstLineChars="0"/>
              <w:jc w:val="center"/>
              <w:rPr>
                <w:b/>
                <w:bCs/>
                <w:color w:val="auto"/>
                <w:sz w:val="21"/>
                <w:szCs w:val="21"/>
              </w:rPr>
            </w:pPr>
            <w:r>
              <w:rPr>
                <w:b/>
                <w:bCs/>
                <w:color w:val="auto"/>
                <w:sz w:val="21"/>
                <w:szCs w:val="21"/>
              </w:rPr>
              <w:t>表4</w:t>
            </w:r>
            <w:r>
              <w:rPr>
                <w:rFonts w:hint="eastAsia"/>
                <w:b/>
                <w:bCs/>
                <w:color w:val="auto"/>
                <w:sz w:val="21"/>
                <w:szCs w:val="21"/>
                <w:lang w:val="en-US" w:eastAsia="zh-CN"/>
              </w:rPr>
              <w:t>.2</w:t>
            </w:r>
            <w:r>
              <w:rPr>
                <w:b/>
                <w:bCs/>
                <w:color w:val="auto"/>
                <w:sz w:val="21"/>
                <w:szCs w:val="21"/>
              </w:rPr>
              <w:t>-</w:t>
            </w:r>
            <w:r>
              <w:rPr>
                <w:rFonts w:hint="eastAsia"/>
                <w:b/>
                <w:bCs/>
                <w:color w:val="auto"/>
                <w:sz w:val="21"/>
                <w:szCs w:val="21"/>
                <w:lang w:val="en-US" w:eastAsia="zh-CN"/>
              </w:rPr>
              <w:t>10</w:t>
            </w:r>
            <w:r>
              <w:rPr>
                <w:b/>
                <w:bCs/>
                <w:color w:val="auto"/>
                <w:sz w:val="21"/>
                <w:szCs w:val="21"/>
              </w:rPr>
              <w:t xml:space="preserve">  排气筒排放废气达标排放情况</w:t>
            </w:r>
          </w:p>
          <w:tbl>
            <w:tblPr>
              <w:tblStyle w:val="17"/>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04"/>
              <w:gridCol w:w="423"/>
              <w:gridCol w:w="533"/>
              <w:gridCol w:w="622"/>
              <w:gridCol w:w="622"/>
              <w:gridCol w:w="653"/>
              <w:gridCol w:w="943"/>
              <w:gridCol w:w="439"/>
              <w:gridCol w:w="602"/>
              <w:gridCol w:w="555"/>
              <w:gridCol w:w="629"/>
              <w:gridCol w:w="622"/>
              <w:gridCol w:w="496"/>
              <w:gridCol w:w="1054"/>
              <w:gridCol w:w="520"/>
            </w:tblGrid>
            <w:tr w14:paraId="03D3BD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73" w:type="pct"/>
                  <w:vMerge w:val="restart"/>
                  <w:tcBorders>
                    <w:tl2br w:val="nil"/>
                    <w:tr2bl w:val="nil"/>
                  </w:tcBorders>
                  <w:noWrap w:val="0"/>
                  <w:vAlign w:val="center"/>
                </w:tcPr>
                <w:p w14:paraId="06A9FA66">
                  <w:pPr>
                    <w:keepNext w:val="0"/>
                    <w:keepLines w:val="0"/>
                    <w:pageBreakBefore w:val="0"/>
                    <w:widowControl w:val="0"/>
                    <w:kinsoku/>
                    <w:wordWrap/>
                    <w:overflowPunct/>
                    <w:topLinePunct w:val="0"/>
                    <w:autoSpaceDE/>
                    <w:autoSpaceDN/>
                    <w:bidi w:val="0"/>
                    <w:adjustRightInd/>
                    <w:ind w:firstLine="0" w:firstLineChars="0"/>
                    <w:contextualSpacing/>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污染源</w:t>
                  </w:r>
                </w:p>
              </w:tc>
              <w:tc>
                <w:tcPr>
                  <w:tcW w:w="229" w:type="pct"/>
                  <w:vMerge w:val="restart"/>
                  <w:tcBorders>
                    <w:tl2br w:val="nil"/>
                    <w:tr2bl w:val="nil"/>
                  </w:tcBorders>
                  <w:noWrap w:val="0"/>
                  <w:vAlign w:val="center"/>
                </w:tcPr>
                <w:p w14:paraId="644AAED0">
                  <w:pPr>
                    <w:keepNext w:val="0"/>
                    <w:keepLines w:val="0"/>
                    <w:pageBreakBefore w:val="0"/>
                    <w:widowControl w:val="0"/>
                    <w:kinsoku/>
                    <w:wordWrap/>
                    <w:overflowPunct/>
                    <w:topLinePunct w:val="0"/>
                    <w:autoSpaceDE/>
                    <w:autoSpaceDN/>
                    <w:bidi w:val="0"/>
                    <w:adjustRightInd/>
                    <w:ind w:firstLine="0" w:firstLineChars="0"/>
                    <w:contextualSpacing/>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废气量m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/h</w:t>
                  </w:r>
                </w:p>
              </w:tc>
              <w:tc>
                <w:tcPr>
                  <w:tcW w:w="289" w:type="pct"/>
                  <w:vMerge w:val="restart"/>
                  <w:tcBorders>
                    <w:tl2br w:val="nil"/>
                    <w:tr2bl w:val="nil"/>
                  </w:tcBorders>
                  <w:noWrap w:val="0"/>
                  <w:vAlign w:val="center"/>
                </w:tcPr>
                <w:p w14:paraId="6E4B4E43">
                  <w:pPr>
                    <w:keepNext w:val="0"/>
                    <w:keepLines w:val="0"/>
                    <w:pageBreakBefore w:val="0"/>
                    <w:widowControl w:val="0"/>
                    <w:kinsoku/>
                    <w:wordWrap/>
                    <w:overflowPunct/>
                    <w:topLinePunct w:val="0"/>
                    <w:autoSpaceDE/>
                    <w:autoSpaceDN/>
                    <w:bidi w:val="0"/>
                    <w:adjustRightInd/>
                    <w:ind w:firstLine="0" w:firstLineChars="0"/>
                    <w:contextualSpacing/>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p w14:paraId="1FA94876">
                  <w:pPr>
                    <w:keepNext w:val="0"/>
                    <w:keepLines w:val="0"/>
                    <w:pageBreakBefore w:val="0"/>
                    <w:widowControl w:val="0"/>
                    <w:kinsoku/>
                    <w:wordWrap/>
                    <w:overflowPunct/>
                    <w:topLinePunct w:val="0"/>
                    <w:autoSpaceDE/>
                    <w:autoSpaceDN/>
                    <w:bidi w:val="0"/>
                    <w:adjustRightInd/>
                    <w:ind w:firstLine="0" w:firstLineChars="0"/>
                    <w:contextualSpacing/>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1028" w:type="pct"/>
                  <w:gridSpan w:val="3"/>
                  <w:tcBorders>
                    <w:tl2br w:val="nil"/>
                    <w:tr2bl w:val="nil"/>
                  </w:tcBorders>
                  <w:noWrap w:val="0"/>
                  <w:vAlign w:val="center"/>
                </w:tcPr>
                <w:p w14:paraId="0374F55F">
                  <w:pPr>
                    <w:keepNext w:val="0"/>
                    <w:keepLines w:val="0"/>
                    <w:pageBreakBefore w:val="0"/>
                    <w:widowControl w:val="0"/>
                    <w:kinsoku/>
                    <w:wordWrap/>
                    <w:overflowPunct/>
                    <w:topLinePunct w:val="0"/>
                    <w:autoSpaceDE/>
                    <w:autoSpaceDN/>
                    <w:bidi w:val="0"/>
                    <w:adjustRightInd/>
                    <w:ind w:firstLine="0" w:firstLineChars="0"/>
                    <w:contextualSpacing/>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产生情况</w:t>
                  </w:r>
                </w:p>
              </w:tc>
              <w:tc>
                <w:tcPr>
                  <w:tcW w:w="511" w:type="pct"/>
                  <w:vMerge w:val="restart"/>
                  <w:tcBorders>
                    <w:tl2br w:val="nil"/>
                    <w:tr2bl w:val="nil"/>
                  </w:tcBorders>
                  <w:noWrap w:val="0"/>
                  <w:vAlign w:val="center"/>
                </w:tcPr>
                <w:p w14:paraId="5BFB0917">
                  <w:pPr>
                    <w:keepNext w:val="0"/>
                    <w:keepLines w:val="0"/>
                    <w:pageBreakBefore w:val="0"/>
                    <w:widowControl w:val="0"/>
                    <w:kinsoku/>
                    <w:wordWrap/>
                    <w:overflowPunct/>
                    <w:topLinePunct w:val="0"/>
                    <w:autoSpaceDE/>
                    <w:autoSpaceDN/>
                    <w:bidi w:val="0"/>
                    <w:adjustRightInd/>
                    <w:ind w:firstLine="0" w:firstLineChars="0"/>
                    <w:contextualSpacing/>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治理措施</w:t>
                  </w:r>
                </w:p>
              </w:tc>
              <w:tc>
                <w:tcPr>
                  <w:tcW w:w="238" w:type="pct"/>
                  <w:vMerge w:val="restart"/>
                  <w:tcBorders>
                    <w:tl2br w:val="nil"/>
                    <w:tr2bl w:val="nil"/>
                  </w:tcBorders>
                  <w:noWrap w:val="0"/>
                  <w:vAlign w:val="center"/>
                </w:tcPr>
                <w:p w14:paraId="5213108B">
                  <w:pPr>
                    <w:keepNext w:val="0"/>
                    <w:keepLines w:val="0"/>
                    <w:pageBreakBefore w:val="0"/>
                    <w:widowControl w:val="0"/>
                    <w:kinsoku/>
                    <w:wordWrap/>
                    <w:overflowPunct/>
                    <w:topLinePunct w:val="0"/>
                    <w:autoSpaceDE/>
                    <w:autoSpaceDN/>
                    <w:bidi w:val="0"/>
                    <w:adjustRightInd/>
                    <w:ind w:firstLine="0" w:firstLineChars="0"/>
                    <w:contextualSpacing/>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去除率％</w:t>
                  </w:r>
                </w:p>
              </w:tc>
              <w:tc>
                <w:tcPr>
                  <w:tcW w:w="968" w:type="pct"/>
                  <w:gridSpan w:val="3"/>
                  <w:tcBorders>
                    <w:tl2br w:val="nil"/>
                    <w:tr2bl w:val="nil"/>
                  </w:tcBorders>
                  <w:noWrap w:val="0"/>
                  <w:vAlign w:val="center"/>
                </w:tcPr>
                <w:p w14:paraId="056A0D8C">
                  <w:pPr>
                    <w:keepNext w:val="0"/>
                    <w:keepLines w:val="0"/>
                    <w:pageBreakBefore w:val="0"/>
                    <w:widowControl w:val="0"/>
                    <w:kinsoku/>
                    <w:wordWrap/>
                    <w:overflowPunct/>
                    <w:topLinePunct w:val="0"/>
                    <w:autoSpaceDE/>
                    <w:autoSpaceDN/>
                    <w:bidi w:val="0"/>
                    <w:adjustRightInd/>
                    <w:ind w:firstLine="0" w:firstLineChars="0"/>
                    <w:contextualSpacing/>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排放情况</w:t>
                  </w:r>
                </w:p>
              </w:tc>
              <w:tc>
                <w:tcPr>
                  <w:tcW w:w="606" w:type="pct"/>
                  <w:gridSpan w:val="2"/>
                  <w:tcBorders>
                    <w:tl2br w:val="nil"/>
                    <w:tr2bl w:val="nil"/>
                  </w:tcBorders>
                  <w:noWrap w:val="0"/>
                  <w:vAlign w:val="center"/>
                </w:tcPr>
                <w:p w14:paraId="18C32F5C">
                  <w:pPr>
                    <w:keepNext w:val="0"/>
                    <w:keepLines w:val="0"/>
                    <w:pageBreakBefore w:val="0"/>
                    <w:widowControl w:val="0"/>
                    <w:kinsoku/>
                    <w:wordWrap/>
                    <w:overflowPunct/>
                    <w:topLinePunct w:val="0"/>
                    <w:autoSpaceDE/>
                    <w:autoSpaceDN/>
                    <w:bidi w:val="0"/>
                    <w:adjustRightInd/>
                    <w:ind w:firstLine="0" w:firstLineChars="0"/>
                    <w:contextualSpacing/>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执行标准</w:t>
                  </w:r>
                </w:p>
              </w:tc>
              <w:tc>
                <w:tcPr>
                  <w:tcW w:w="571" w:type="pct"/>
                  <w:vMerge w:val="restart"/>
                  <w:tcBorders>
                    <w:tl2br w:val="nil"/>
                    <w:tr2bl w:val="nil"/>
                  </w:tcBorders>
                  <w:noWrap w:val="0"/>
                  <w:vAlign w:val="center"/>
                </w:tcPr>
                <w:p w14:paraId="6FB8C37A">
                  <w:pPr>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排气筒名称及编号</w:t>
                  </w:r>
                </w:p>
              </w:tc>
              <w:tc>
                <w:tcPr>
                  <w:tcW w:w="282" w:type="pct"/>
                  <w:vMerge w:val="restart"/>
                  <w:tcBorders>
                    <w:tl2br w:val="nil"/>
                    <w:tr2bl w:val="nil"/>
                  </w:tcBorders>
                  <w:noWrap w:val="0"/>
                  <w:vAlign w:val="center"/>
                </w:tcPr>
                <w:p w14:paraId="1793D41B">
                  <w:pPr>
                    <w:keepNext w:val="0"/>
                    <w:keepLines w:val="0"/>
                    <w:pageBreakBefore w:val="0"/>
                    <w:widowControl w:val="0"/>
                    <w:kinsoku/>
                    <w:wordWrap/>
                    <w:overflowPunct/>
                    <w:topLinePunct w:val="0"/>
                    <w:autoSpaceDE/>
                    <w:autoSpaceDN/>
                    <w:bidi w:val="0"/>
                    <w:adjustRightInd/>
                    <w:ind w:firstLine="0" w:firstLineChars="0"/>
                    <w:contextualSpacing/>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w:t>
                  </w:r>
                </w:p>
                <w:p w14:paraId="141A5046">
                  <w:pPr>
                    <w:keepNext w:val="0"/>
                    <w:keepLines w:val="0"/>
                    <w:pageBreakBefore w:val="0"/>
                    <w:widowControl w:val="0"/>
                    <w:kinsoku/>
                    <w:wordWrap/>
                    <w:overflowPunct/>
                    <w:topLinePunct w:val="0"/>
                    <w:autoSpaceDE/>
                    <w:autoSpaceDN/>
                    <w:bidi w:val="0"/>
                    <w:adjustRightInd/>
                    <w:ind w:firstLine="0" w:firstLineChars="0"/>
                    <w:contextualSpacing/>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方式</w:t>
                  </w:r>
                </w:p>
              </w:tc>
            </w:tr>
            <w:tr w14:paraId="67C744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73" w:type="pct"/>
                  <w:vMerge w:val="continue"/>
                  <w:tcBorders>
                    <w:tl2br w:val="nil"/>
                    <w:tr2bl w:val="nil"/>
                  </w:tcBorders>
                  <w:noWrap w:val="0"/>
                  <w:vAlign w:val="center"/>
                </w:tcPr>
                <w:p w14:paraId="55CA5BB9">
                  <w:pPr>
                    <w:keepNext w:val="0"/>
                    <w:keepLines w:val="0"/>
                    <w:pageBreakBefore w:val="0"/>
                    <w:widowControl w:val="0"/>
                    <w:kinsoku/>
                    <w:wordWrap/>
                    <w:overflowPunct/>
                    <w:topLinePunct w:val="0"/>
                    <w:autoSpaceDE/>
                    <w:autoSpaceDN/>
                    <w:bidi w:val="0"/>
                    <w:adjustRightInd/>
                    <w:ind w:firstLine="0" w:firstLineChars="0"/>
                    <w:contextualSpacing/>
                    <w:jc w:val="center"/>
                    <w:textAlignment w:val="auto"/>
                    <w:rPr>
                      <w:rFonts w:hint="default" w:ascii="Times New Roman" w:hAnsi="Times New Roman" w:eastAsia="宋体" w:cs="Times New Roman"/>
                      <w:b/>
                      <w:bCs/>
                      <w:color w:val="auto"/>
                      <w:sz w:val="21"/>
                      <w:szCs w:val="21"/>
                      <w:highlight w:val="none"/>
                    </w:rPr>
                  </w:pPr>
                </w:p>
              </w:tc>
              <w:tc>
                <w:tcPr>
                  <w:tcW w:w="229" w:type="pct"/>
                  <w:vMerge w:val="continue"/>
                  <w:tcBorders>
                    <w:tl2br w:val="nil"/>
                    <w:tr2bl w:val="nil"/>
                  </w:tcBorders>
                  <w:noWrap w:val="0"/>
                  <w:vAlign w:val="center"/>
                </w:tcPr>
                <w:p w14:paraId="7DFA6A7B">
                  <w:pPr>
                    <w:keepNext w:val="0"/>
                    <w:keepLines w:val="0"/>
                    <w:pageBreakBefore w:val="0"/>
                    <w:widowControl w:val="0"/>
                    <w:kinsoku/>
                    <w:wordWrap/>
                    <w:overflowPunct/>
                    <w:topLinePunct w:val="0"/>
                    <w:autoSpaceDE/>
                    <w:autoSpaceDN/>
                    <w:bidi w:val="0"/>
                    <w:adjustRightInd/>
                    <w:ind w:firstLine="0" w:firstLineChars="0"/>
                    <w:contextualSpacing/>
                    <w:jc w:val="center"/>
                    <w:textAlignment w:val="auto"/>
                    <w:rPr>
                      <w:rFonts w:hint="default" w:ascii="Times New Roman" w:hAnsi="Times New Roman" w:eastAsia="宋体" w:cs="Times New Roman"/>
                      <w:b/>
                      <w:bCs/>
                      <w:color w:val="auto"/>
                      <w:sz w:val="21"/>
                      <w:szCs w:val="21"/>
                      <w:highlight w:val="none"/>
                    </w:rPr>
                  </w:pPr>
                </w:p>
              </w:tc>
              <w:tc>
                <w:tcPr>
                  <w:tcW w:w="289" w:type="pct"/>
                  <w:vMerge w:val="continue"/>
                  <w:tcBorders>
                    <w:tl2br w:val="nil"/>
                    <w:tr2bl w:val="nil"/>
                  </w:tcBorders>
                  <w:noWrap w:val="0"/>
                  <w:vAlign w:val="center"/>
                </w:tcPr>
                <w:p w14:paraId="490469B9">
                  <w:pPr>
                    <w:keepNext w:val="0"/>
                    <w:keepLines w:val="0"/>
                    <w:pageBreakBefore w:val="0"/>
                    <w:widowControl w:val="0"/>
                    <w:kinsoku/>
                    <w:wordWrap/>
                    <w:overflowPunct/>
                    <w:topLinePunct w:val="0"/>
                    <w:autoSpaceDE/>
                    <w:autoSpaceDN/>
                    <w:bidi w:val="0"/>
                    <w:adjustRightInd/>
                    <w:ind w:firstLine="0" w:firstLineChars="0"/>
                    <w:contextualSpacing/>
                    <w:jc w:val="center"/>
                    <w:textAlignment w:val="auto"/>
                    <w:rPr>
                      <w:rFonts w:hint="default" w:ascii="Times New Roman" w:hAnsi="Times New Roman" w:eastAsia="宋体" w:cs="Times New Roman"/>
                      <w:b/>
                      <w:bCs/>
                      <w:color w:val="auto"/>
                      <w:sz w:val="21"/>
                      <w:szCs w:val="21"/>
                      <w:highlight w:val="none"/>
                    </w:rPr>
                  </w:pPr>
                </w:p>
              </w:tc>
              <w:tc>
                <w:tcPr>
                  <w:tcW w:w="337" w:type="pct"/>
                  <w:tcBorders>
                    <w:tl2br w:val="nil"/>
                    <w:tr2bl w:val="nil"/>
                  </w:tcBorders>
                  <w:noWrap w:val="0"/>
                  <w:tcMar>
                    <w:top w:w="0" w:type="dxa"/>
                    <w:left w:w="28" w:type="dxa"/>
                    <w:bottom w:w="0" w:type="dxa"/>
                    <w:right w:w="28" w:type="dxa"/>
                  </w:tcMar>
                  <w:vAlign w:val="center"/>
                </w:tcPr>
                <w:p w14:paraId="730582BF">
                  <w:pPr>
                    <w:keepNext w:val="0"/>
                    <w:keepLines w:val="0"/>
                    <w:pageBreakBefore w:val="0"/>
                    <w:widowControl w:val="0"/>
                    <w:kinsoku/>
                    <w:wordWrap/>
                    <w:overflowPunct/>
                    <w:topLinePunct w:val="0"/>
                    <w:autoSpaceDE/>
                    <w:autoSpaceDN/>
                    <w:bidi w:val="0"/>
                    <w:adjustRightInd/>
                    <w:ind w:firstLine="0" w:firstLineChars="0"/>
                    <w:contextualSpacing/>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产生量t/a</w:t>
                  </w:r>
                </w:p>
              </w:tc>
              <w:tc>
                <w:tcPr>
                  <w:tcW w:w="337" w:type="pct"/>
                  <w:tcBorders>
                    <w:tl2br w:val="nil"/>
                    <w:tr2bl w:val="nil"/>
                  </w:tcBorders>
                  <w:noWrap w:val="0"/>
                  <w:tcMar>
                    <w:top w:w="0" w:type="dxa"/>
                    <w:left w:w="28" w:type="dxa"/>
                    <w:bottom w:w="0" w:type="dxa"/>
                    <w:right w:w="28" w:type="dxa"/>
                  </w:tcMar>
                  <w:vAlign w:val="center"/>
                </w:tcPr>
                <w:p w14:paraId="6E4CBA5C">
                  <w:pPr>
                    <w:keepNext w:val="0"/>
                    <w:keepLines w:val="0"/>
                    <w:pageBreakBefore w:val="0"/>
                    <w:widowControl w:val="0"/>
                    <w:kinsoku/>
                    <w:wordWrap/>
                    <w:overflowPunct/>
                    <w:topLinePunct w:val="0"/>
                    <w:autoSpaceDE/>
                    <w:autoSpaceDN/>
                    <w:bidi w:val="0"/>
                    <w:adjustRightInd/>
                    <w:ind w:firstLine="0" w:firstLineChars="0"/>
                    <w:contextualSpacing/>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速率kg/h</w:t>
                  </w:r>
                </w:p>
              </w:tc>
              <w:tc>
                <w:tcPr>
                  <w:tcW w:w="352" w:type="pct"/>
                  <w:tcBorders>
                    <w:tl2br w:val="nil"/>
                    <w:tr2bl w:val="nil"/>
                  </w:tcBorders>
                  <w:noWrap w:val="0"/>
                  <w:vAlign w:val="center"/>
                </w:tcPr>
                <w:p w14:paraId="05492DF1">
                  <w:pPr>
                    <w:keepNext w:val="0"/>
                    <w:keepLines w:val="0"/>
                    <w:pageBreakBefore w:val="0"/>
                    <w:widowControl w:val="0"/>
                    <w:kinsoku/>
                    <w:wordWrap/>
                    <w:overflowPunct/>
                    <w:topLinePunct w:val="0"/>
                    <w:autoSpaceDE/>
                    <w:autoSpaceDN/>
                    <w:bidi w:val="0"/>
                    <w:adjustRightInd/>
                    <w:ind w:firstLine="0" w:firstLineChars="0"/>
                    <w:contextualSpacing/>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浓度mg/m</w:t>
                  </w:r>
                  <w:r>
                    <w:rPr>
                      <w:rFonts w:hint="default" w:ascii="Times New Roman" w:hAnsi="Times New Roman" w:eastAsia="宋体" w:cs="Times New Roman"/>
                      <w:b/>
                      <w:bCs/>
                      <w:color w:val="auto"/>
                      <w:sz w:val="21"/>
                      <w:szCs w:val="21"/>
                      <w:highlight w:val="none"/>
                      <w:vertAlign w:val="superscript"/>
                    </w:rPr>
                    <w:t>3</w:t>
                  </w:r>
                </w:p>
              </w:tc>
              <w:tc>
                <w:tcPr>
                  <w:tcW w:w="511" w:type="pct"/>
                  <w:vMerge w:val="continue"/>
                  <w:tcBorders>
                    <w:tl2br w:val="nil"/>
                    <w:tr2bl w:val="nil"/>
                  </w:tcBorders>
                  <w:noWrap w:val="0"/>
                  <w:vAlign w:val="center"/>
                </w:tcPr>
                <w:p w14:paraId="3B7BA822">
                  <w:pPr>
                    <w:keepNext w:val="0"/>
                    <w:keepLines w:val="0"/>
                    <w:pageBreakBefore w:val="0"/>
                    <w:widowControl w:val="0"/>
                    <w:kinsoku/>
                    <w:wordWrap/>
                    <w:overflowPunct/>
                    <w:topLinePunct w:val="0"/>
                    <w:autoSpaceDE/>
                    <w:autoSpaceDN/>
                    <w:bidi w:val="0"/>
                    <w:adjustRightInd/>
                    <w:ind w:firstLine="0" w:firstLineChars="0"/>
                    <w:contextualSpacing/>
                    <w:jc w:val="center"/>
                    <w:textAlignment w:val="auto"/>
                    <w:rPr>
                      <w:rFonts w:hint="default" w:ascii="Times New Roman" w:hAnsi="Times New Roman" w:eastAsia="宋体" w:cs="Times New Roman"/>
                      <w:b/>
                      <w:bCs/>
                      <w:color w:val="auto"/>
                      <w:sz w:val="21"/>
                      <w:szCs w:val="21"/>
                      <w:highlight w:val="none"/>
                    </w:rPr>
                  </w:pPr>
                </w:p>
              </w:tc>
              <w:tc>
                <w:tcPr>
                  <w:tcW w:w="238" w:type="pct"/>
                  <w:vMerge w:val="continue"/>
                  <w:tcBorders>
                    <w:tl2br w:val="nil"/>
                    <w:tr2bl w:val="nil"/>
                  </w:tcBorders>
                  <w:noWrap w:val="0"/>
                  <w:vAlign w:val="center"/>
                </w:tcPr>
                <w:p w14:paraId="20186562">
                  <w:pPr>
                    <w:keepNext w:val="0"/>
                    <w:keepLines w:val="0"/>
                    <w:pageBreakBefore w:val="0"/>
                    <w:widowControl w:val="0"/>
                    <w:kinsoku/>
                    <w:wordWrap/>
                    <w:overflowPunct/>
                    <w:topLinePunct w:val="0"/>
                    <w:autoSpaceDE/>
                    <w:autoSpaceDN/>
                    <w:bidi w:val="0"/>
                    <w:adjustRightInd/>
                    <w:ind w:firstLine="0" w:firstLineChars="0"/>
                    <w:contextualSpacing/>
                    <w:jc w:val="center"/>
                    <w:textAlignment w:val="auto"/>
                    <w:rPr>
                      <w:rFonts w:hint="default" w:ascii="Times New Roman" w:hAnsi="Times New Roman" w:eastAsia="宋体" w:cs="Times New Roman"/>
                      <w:b/>
                      <w:bCs/>
                      <w:color w:val="auto"/>
                      <w:sz w:val="21"/>
                      <w:szCs w:val="21"/>
                      <w:highlight w:val="none"/>
                    </w:rPr>
                  </w:pPr>
                </w:p>
              </w:tc>
              <w:tc>
                <w:tcPr>
                  <w:tcW w:w="326" w:type="pct"/>
                  <w:tcBorders>
                    <w:tl2br w:val="nil"/>
                    <w:tr2bl w:val="nil"/>
                  </w:tcBorders>
                  <w:noWrap w:val="0"/>
                  <w:vAlign w:val="center"/>
                </w:tcPr>
                <w:p w14:paraId="243C7343">
                  <w:pPr>
                    <w:keepNext w:val="0"/>
                    <w:keepLines w:val="0"/>
                    <w:pageBreakBefore w:val="0"/>
                    <w:widowControl w:val="0"/>
                    <w:kinsoku/>
                    <w:wordWrap/>
                    <w:overflowPunct/>
                    <w:topLinePunct w:val="0"/>
                    <w:autoSpaceDE/>
                    <w:autoSpaceDN/>
                    <w:bidi w:val="0"/>
                    <w:adjustRightInd/>
                    <w:ind w:firstLine="0" w:firstLineChars="0"/>
                    <w:contextualSpacing/>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排放量t/a</w:t>
                  </w:r>
                </w:p>
              </w:tc>
              <w:tc>
                <w:tcPr>
                  <w:tcW w:w="301" w:type="pct"/>
                  <w:tcBorders>
                    <w:tl2br w:val="nil"/>
                    <w:tr2bl w:val="nil"/>
                  </w:tcBorders>
                  <w:noWrap w:val="0"/>
                  <w:vAlign w:val="center"/>
                </w:tcPr>
                <w:p w14:paraId="280F98A1">
                  <w:pPr>
                    <w:keepNext w:val="0"/>
                    <w:keepLines w:val="0"/>
                    <w:pageBreakBefore w:val="0"/>
                    <w:widowControl w:val="0"/>
                    <w:kinsoku/>
                    <w:wordWrap/>
                    <w:overflowPunct/>
                    <w:topLinePunct w:val="0"/>
                    <w:autoSpaceDE/>
                    <w:autoSpaceDN/>
                    <w:bidi w:val="0"/>
                    <w:adjustRightInd/>
                    <w:ind w:firstLine="0" w:firstLineChars="0"/>
                    <w:contextualSpacing/>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速率kg/h</w:t>
                  </w:r>
                </w:p>
              </w:tc>
              <w:tc>
                <w:tcPr>
                  <w:tcW w:w="341" w:type="pct"/>
                  <w:tcBorders>
                    <w:tl2br w:val="nil"/>
                    <w:tr2bl w:val="nil"/>
                  </w:tcBorders>
                  <w:noWrap w:val="0"/>
                  <w:vAlign w:val="center"/>
                </w:tcPr>
                <w:p w14:paraId="7E05D02E">
                  <w:pPr>
                    <w:keepNext w:val="0"/>
                    <w:keepLines w:val="0"/>
                    <w:pageBreakBefore w:val="0"/>
                    <w:widowControl w:val="0"/>
                    <w:kinsoku/>
                    <w:wordWrap/>
                    <w:overflowPunct/>
                    <w:topLinePunct w:val="0"/>
                    <w:autoSpaceDE/>
                    <w:autoSpaceDN/>
                    <w:bidi w:val="0"/>
                    <w:adjustRightInd/>
                    <w:ind w:firstLine="0" w:firstLineChars="0"/>
                    <w:contextualSpacing/>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浓度mg/m</w:t>
                  </w:r>
                  <w:r>
                    <w:rPr>
                      <w:rFonts w:hint="default" w:ascii="Times New Roman" w:hAnsi="Times New Roman" w:eastAsia="宋体" w:cs="Times New Roman"/>
                      <w:b/>
                      <w:bCs/>
                      <w:color w:val="auto"/>
                      <w:sz w:val="21"/>
                      <w:szCs w:val="21"/>
                      <w:highlight w:val="none"/>
                      <w:vertAlign w:val="superscript"/>
                    </w:rPr>
                    <w:t>3</w:t>
                  </w:r>
                </w:p>
              </w:tc>
              <w:tc>
                <w:tcPr>
                  <w:tcW w:w="337" w:type="pct"/>
                  <w:tcBorders>
                    <w:tl2br w:val="nil"/>
                    <w:tr2bl w:val="nil"/>
                  </w:tcBorders>
                  <w:noWrap w:val="0"/>
                  <w:vAlign w:val="center"/>
                </w:tcPr>
                <w:p w14:paraId="43CA6232">
                  <w:pPr>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浓度mg/m</w:t>
                  </w:r>
                  <w:r>
                    <w:rPr>
                      <w:rFonts w:hint="default" w:ascii="Times New Roman" w:hAnsi="Times New Roman" w:eastAsia="宋体" w:cs="Times New Roman"/>
                      <w:b/>
                      <w:bCs/>
                      <w:color w:val="auto"/>
                      <w:sz w:val="21"/>
                      <w:szCs w:val="21"/>
                      <w:highlight w:val="none"/>
                      <w:vertAlign w:val="superscript"/>
                    </w:rPr>
                    <w:t>3</w:t>
                  </w:r>
                </w:p>
              </w:tc>
              <w:tc>
                <w:tcPr>
                  <w:tcW w:w="269" w:type="pct"/>
                  <w:tcBorders>
                    <w:tl2br w:val="nil"/>
                    <w:tr2bl w:val="nil"/>
                  </w:tcBorders>
                  <w:noWrap w:val="0"/>
                  <w:vAlign w:val="center"/>
                </w:tcPr>
                <w:p w14:paraId="74091F2F">
                  <w:pPr>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速率kg/h</w:t>
                  </w:r>
                </w:p>
              </w:tc>
              <w:tc>
                <w:tcPr>
                  <w:tcW w:w="571" w:type="pct"/>
                  <w:vMerge w:val="continue"/>
                  <w:tcBorders>
                    <w:tl2br w:val="nil"/>
                    <w:tr2bl w:val="nil"/>
                  </w:tcBorders>
                  <w:noWrap w:val="0"/>
                  <w:vAlign w:val="center"/>
                </w:tcPr>
                <w:p w14:paraId="7C5D8D4C">
                  <w:pPr>
                    <w:keepNext w:val="0"/>
                    <w:keepLines w:val="0"/>
                    <w:pageBreakBefore w:val="0"/>
                    <w:widowControl w:val="0"/>
                    <w:kinsoku/>
                    <w:wordWrap/>
                    <w:overflowPunct/>
                    <w:topLinePunct w:val="0"/>
                    <w:autoSpaceDE/>
                    <w:autoSpaceDN/>
                    <w:bidi w:val="0"/>
                    <w:adjustRightInd/>
                    <w:ind w:firstLine="0" w:firstLineChars="0"/>
                    <w:jc w:val="center"/>
                    <w:textAlignment w:val="auto"/>
                    <w:rPr>
                      <w:rFonts w:hint="default" w:ascii="Times New Roman" w:hAnsi="Times New Roman" w:eastAsia="宋体" w:cs="Times New Roman"/>
                      <w:b/>
                      <w:bCs/>
                      <w:color w:val="auto"/>
                      <w:sz w:val="21"/>
                      <w:szCs w:val="21"/>
                      <w:highlight w:val="none"/>
                    </w:rPr>
                  </w:pPr>
                </w:p>
              </w:tc>
              <w:tc>
                <w:tcPr>
                  <w:tcW w:w="282" w:type="pct"/>
                  <w:vMerge w:val="continue"/>
                  <w:tcBorders>
                    <w:tl2br w:val="nil"/>
                    <w:tr2bl w:val="nil"/>
                  </w:tcBorders>
                  <w:noWrap w:val="0"/>
                  <w:vAlign w:val="center"/>
                </w:tcPr>
                <w:p w14:paraId="1CCF6DA7">
                  <w:pPr>
                    <w:keepNext w:val="0"/>
                    <w:keepLines w:val="0"/>
                    <w:pageBreakBefore w:val="0"/>
                    <w:widowControl w:val="0"/>
                    <w:kinsoku/>
                    <w:wordWrap/>
                    <w:overflowPunct/>
                    <w:topLinePunct w:val="0"/>
                    <w:autoSpaceDE/>
                    <w:autoSpaceDN/>
                    <w:bidi w:val="0"/>
                    <w:adjustRightInd/>
                    <w:ind w:firstLine="0" w:firstLineChars="0"/>
                    <w:contextualSpacing/>
                    <w:textAlignment w:val="auto"/>
                    <w:rPr>
                      <w:rFonts w:hint="default" w:ascii="Times New Roman" w:hAnsi="Times New Roman" w:eastAsia="宋体" w:cs="Times New Roman"/>
                      <w:b/>
                      <w:bCs/>
                      <w:color w:val="auto"/>
                      <w:sz w:val="21"/>
                      <w:szCs w:val="21"/>
                      <w:highlight w:val="none"/>
                    </w:rPr>
                  </w:pPr>
                </w:p>
              </w:tc>
            </w:tr>
            <w:tr w14:paraId="3F6001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273" w:type="pct"/>
                  <w:vMerge w:val="restart"/>
                  <w:tcBorders>
                    <w:tl2br w:val="nil"/>
                    <w:tr2bl w:val="nil"/>
                  </w:tcBorders>
                  <w:noWrap w:val="0"/>
                  <w:vAlign w:val="center"/>
                </w:tcPr>
                <w:p w14:paraId="25074E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注塑、打印</w:t>
                  </w:r>
                </w:p>
              </w:tc>
              <w:tc>
                <w:tcPr>
                  <w:tcW w:w="229" w:type="pct"/>
                  <w:vMerge w:val="restart"/>
                  <w:tcBorders>
                    <w:tl2br w:val="nil"/>
                    <w:tr2bl w:val="nil"/>
                  </w:tcBorders>
                  <w:noWrap w:val="0"/>
                  <w:vAlign w:val="center"/>
                </w:tcPr>
                <w:p w14:paraId="0FB4DB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14000</w:t>
                  </w:r>
                </w:p>
              </w:tc>
              <w:tc>
                <w:tcPr>
                  <w:tcW w:w="289" w:type="pct"/>
                  <w:vMerge w:val="restart"/>
                  <w:tcBorders>
                    <w:tl2br w:val="nil"/>
                    <w:tr2bl w:val="nil"/>
                  </w:tcBorders>
                  <w:noWrap w:val="0"/>
                  <w:vAlign w:val="center"/>
                </w:tcPr>
                <w:p w14:paraId="242576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非甲烷总烃</w:t>
                  </w:r>
                </w:p>
              </w:tc>
              <w:tc>
                <w:tcPr>
                  <w:tcW w:w="634" w:type="dxa"/>
                  <w:vMerge w:val="restart"/>
                  <w:tcBorders>
                    <w:tl2br w:val="nil"/>
                    <w:tr2bl w:val="nil"/>
                  </w:tcBorders>
                  <w:noWrap w:val="0"/>
                  <w:tcMar>
                    <w:top w:w="0" w:type="dxa"/>
                    <w:left w:w="28" w:type="dxa"/>
                    <w:bottom w:w="0" w:type="dxa"/>
                    <w:right w:w="28" w:type="dxa"/>
                  </w:tcMar>
                  <w:vAlign w:val="center"/>
                </w:tcPr>
                <w:p w14:paraId="7564F5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color w:val="auto"/>
                      <w:sz w:val="21"/>
                      <w:szCs w:val="21"/>
                      <w:lang w:val="en-US" w:eastAsia="zh-CN"/>
                    </w:rPr>
                    <w:t>0.3549</w:t>
                  </w:r>
                </w:p>
              </w:tc>
              <w:tc>
                <w:tcPr>
                  <w:tcW w:w="634" w:type="dxa"/>
                  <w:vMerge w:val="restart"/>
                  <w:tcBorders>
                    <w:tl2br w:val="nil"/>
                    <w:tr2bl w:val="nil"/>
                  </w:tcBorders>
                  <w:noWrap w:val="0"/>
                  <w:tcMar>
                    <w:top w:w="0" w:type="dxa"/>
                    <w:left w:w="28" w:type="dxa"/>
                    <w:bottom w:w="0" w:type="dxa"/>
                    <w:right w:w="28" w:type="dxa"/>
                  </w:tcMar>
                  <w:vAlign w:val="center"/>
                </w:tcPr>
                <w:p w14:paraId="65821C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1479</w:t>
                  </w:r>
                </w:p>
              </w:tc>
              <w:tc>
                <w:tcPr>
                  <w:tcW w:w="664" w:type="dxa"/>
                  <w:vMerge w:val="restart"/>
                  <w:tcBorders>
                    <w:tl2br w:val="nil"/>
                    <w:tr2bl w:val="nil"/>
                  </w:tcBorders>
                  <w:noWrap w:val="0"/>
                  <w:vAlign w:val="center"/>
                </w:tcPr>
                <w:p w14:paraId="5359E4A6">
                  <w:pPr>
                    <w:widowControl/>
                    <w:spacing w:line="240" w:lineRule="auto"/>
                    <w:ind w:firstLine="0" w:firstLineChars="0"/>
                    <w:jc w:val="center"/>
                    <w:textAlignment w:val="center"/>
                    <w:rPr>
                      <w:rFonts w:hint="default"/>
                      <w:color w:val="auto"/>
                      <w:lang w:val="en-US" w:eastAsia="zh-CN"/>
                    </w:rPr>
                  </w:pPr>
                  <w:r>
                    <w:rPr>
                      <w:rFonts w:hint="eastAsia" w:cs="Times New Roman"/>
                      <w:i w:val="0"/>
                      <w:iCs w:val="0"/>
                      <w:color w:val="auto"/>
                      <w:kern w:val="0"/>
                      <w:sz w:val="21"/>
                      <w:szCs w:val="21"/>
                      <w:u w:val="none"/>
                      <w:lang w:val="en-US" w:eastAsia="zh-CN" w:bidi="ar"/>
                    </w:rPr>
                    <w:t>10.56</w:t>
                  </w:r>
                </w:p>
              </w:tc>
              <w:tc>
                <w:tcPr>
                  <w:tcW w:w="511" w:type="pct"/>
                  <w:vMerge w:val="restart"/>
                  <w:tcBorders>
                    <w:tl2br w:val="nil"/>
                    <w:tr2bl w:val="nil"/>
                  </w:tcBorders>
                  <w:noWrap w:val="0"/>
                  <w:vAlign w:val="center"/>
                </w:tcPr>
                <w:p w14:paraId="01A3DE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二级活性炭吸附装置</w:t>
                  </w:r>
                </w:p>
              </w:tc>
              <w:tc>
                <w:tcPr>
                  <w:tcW w:w="238" w:type="pct"/>
                  <w:vMerge w:val="restart"/>
                  <w:tcBorders>
                    <w:tl2br w:val="nil"/>
                    <w:tr2bl w:val="nil"/>
                  </w:tcBorders>
                  <w:noWrap w:val="0"/>
                  <w:vAlign w:val="center"/>
                </w:tcPr>
                <w:p w14:paraId="0356F4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90</w:t>
                  </w:r>
                </w:p>
              </w:tc>
              <w:tc>
                <w:tcPr>
                  <w:tcW w:w="612" w:type="dxa"/>
                  <w:vMerge w:val="restart"/>
                  <w:tcBorders>
                    <w:tl2br w:val="nil"/>
                    <w:tr2bl w:val="nil"/>
                  </w:tcBorders>
                  <w:noWrap w:val="0"/>
                  <w:vAlign w:val="center"/>
                </w:tcPr>
                <w:p w14:paraId="7F84D5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0.0355</w:t>
                  </w:r>
                </w:p>
              </w:tc>
              <w:tc>
                <w:tcPr>
                  <w:tcW w:w="565" w:type="dxa"/>
                  <w:vMerge w:val="restart"/>
                  <w:tcBorders>
                    <w:tl2br w:val="nil"/>
                    <w:tr2bl w:val="nil"/>
                  </w:tcBorders>
                  <w:noWrap w:val="0"/>
                  <w:vAlign w:val="center"/>
                </w:tcPr>
                <w:p w14:paraId="4D42FE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148</w:t>
                  </w:r>
                </w:p>
              </w:tc>
              <w:tc>
                <w:tcPr>
                  <w:tcW w:w="640" w:type="dxa"/>
                  <w:vMerge w:val="restart"/>
                  <w:tcBorders>
                    <w:tl2br w:val="nil"/>
                    <w:tr2bl w:val="nil"/>
                  </w:tcBorders>
                  <w:noWrap w:val="0"/>
                  <w:vAlign w:val="center"/>
                </w:tcPr>
                <w:p w14:paraId="71D3AE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1.06</w:t>
                  </w:r>
                </w:p>
              </w:tc>
              <w:tc>
                <w:tcPr>
                  <w:tcW w:w="624" w:type="dxa"/>
                  <w:vMerge w:val="restart"/>
                  <w:tcBorders>
                    <w:tl2br w:val="nil"/>
                    <w:tr2bl w:val="nil"/>
                  </w:tcBorders>
                  <w:noWrap w:val="0"/>
                  <w:vAlign w:val="center"/>
                </w:tcPr>
                <w:p w14:paraId="682A5E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i w:val="0"/>
                      <w:iCs w:val="0"/>
                      <w:color w:val="auto"/>
                      <w:kern w:val="0"/>
                      <w:sz w:val="21"/>
                      <w:szCs w:val="21"/>
                      <w:u w:val="none"/>
                      <w:lang w:val="en-US" w:eastAsia="zh-CN" w:bidi="ar"/>
                    </w:rPr>
                  </w:pPr>
                  <w:r>
                    <w:rPr>
                      <w:rFonts w:hint="eastAsia" w:cs="Times New Roman"/>
                      <w:color w:val="auto"/>
                      <w:sz w:val="21"/>
                      <w:szCs w:val="21"/>
                      <w:highlight w:val="none"/>
                      <w:lang w:val="en-US" w:eastAsia="zh-CN"/>
                    </w:rPr>
                    <w:t>50</w:t>
                  </w:r>
                </w:p>
              </w:tc>
              <w:tc>
                <w:tcPr>
                  <w:tcW w:w="498" w:type="dxa"/>
                  <w:vMerge w:val="restart"/>
                  <w:tcBorders>
                    <w:tl2br w:val="nil"/>
                    <w:tr2bl w:val="nil"/>
                  </w:tcBorders>
                  <w:noWrap w:val="0"/>
                  <w:vAlign w:val="center"/>
                </w:tcPr>
                <w:p w14:paraId="6E169A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color w:val="auto"/>
                      <w:kern w:val="2"/>
                      <w:sz w:val="21"/>
                      <w:szCs w:val="21"/>
                      <w:highlight w:val="none"/>
                      <w:lang w:val="en-US" w:eastAsia="zh-CN" w:bidi="ar-SA"/>
                    </w:rPr>
                    <w:t>1.8</w:t>
                  </w:r>
                </w:p>
              </w:tc>
              <w:tc>
                <w:tcPr>
                  <w:tcW w:w="571" w:type="pct"/>
                  <w:vMerge w:val="restart"/>
                  <w:tcBorders>
                    <w:tl2br w:val="nil"/>
                    <w:tr2bl w:val="nil"/>
                  </w:tcBorders>
                  <w:noWrap w:val="0"/>
                  <w:vAlign w:val="center"/>
                </w:tcPr>
                <w:p w14:paraId="43AAB1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20</w:t>
                  </w:r>
                  <w:r>
                    <w:rPr>
                      <w:rFonts w:hint="default" w:cs="Times New Roman"/>
                      <w:i w:val="0"/>
                      <w:iCs w:val="0"/>
                      <w:color w:val="auto"/>
                      <w:kern w:val="0"/>
                      <w:sz w:val="21"/>
                      <w:szCs w:val="21"/>
                      <w:u w:val="none"/>
                      <w:lang w:val="en-US" w:eastAsia="zh-CN" w:bidi="ar"/>
                    </w:rPr>
                    <w:t>m高排气筒DA00</w:t>
                  </w:r>
                  <w:r>
                    <w:rPr>
                      <w:rFonts w:hint="eastAsia" w:cs="Times New Roman"/>
                      <w:i w:val="0"/>
                      <w:iCs w:val="0"/>
                      <w:color w:val="auto"/>
                      <w:kern w:val="0"/>
                      <w:sz w:val="21"/>
                      <w:szCs w:val="21"/>
                      <w:u w:val="none"/>
                      <w:lang w:val="en-US" w:eastAsia="zh-CN" w:bidi="ar"/>
                    </w:rPr>
                    <w:t>1</w:t>
                  </w:r>
                </w:p>
              </w:tc>
              <w:tc>
                <w:tcPr>
                  <w:tcW w:w="282" w:type="pct"/>
                  <w:vMerge w:val="restart"/>
                  <w:tcBorders>
                    <w:tl2br w:val="nil"/>
                    <w:tr2bl w:val="nil"/>
                  </w:tcBorders>
                  <w:noWrap w:val="0"/>
                  <w:vAlign w:val="center"/>
                </w:tcPr>
                <w:p w14:paraId="571171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24</w:t>
                  </w:r>
                  <w:r>
                    <w:rPr>
                      <w:rFonts w:hint="default" w:cs="Times New Roman"/>
                      <w:i w:val="0"/>
                      <w:iCs w:val="0"/>
                      <w:color w:val="auto"/>
                      <w:kern w:val="0"/>
                      <w:sz w:val="21"/>
                      <w:szCs w:val="21"/>
                      <w:u w:val="none"/>
                      <w:lang w:val="en-US" w:eastAsia="zh-CN" w:bidi="ar"/>
                    </w:rPr>
                    <w:t>00h</w:t>
                  </w:r>
                </w:p>
              </w:tc>
            </w:tr>
            <w:tr w14:paraId="5E58FC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273" w:type="pct"/>
                  <w:vMerge w:val="continue"/>
                  <w:tcBorders>
                    <w:tl2br w:val="nil"/>
                    <w:tr2bl w:val="nil"/>
                  </w:tcBorders>
                  <w:noWrap w:val="0"/>
                  <w:vAlign w:val="center"/>
                </w:tcPr>
                <w:p w14:paraId="5E9D03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p>
              </w:tc>
              <w:tc>
                <w:tcPr>
                  <w:tcW w:w="229" w:type="pct"/>
                  <w:vMerge w:val="continue"/>
                  <w:tcBorders>
                    <w:tl2br w:val="nil"/>
                    <w:tr2bl w:val="nil"/>
                  </w:tcBorders>
                  <w:noWrap w:val="0"/>
                  <w:vAlign w:val="center"/>
                </w:tcPr>
                <w:p w14:paraId="533B54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p>
              </w:tc>
              <w:tc>
                <w:tcPr>
                  <w:tcW w:w="289" w:type="pct"/>
                  <w:vMerge w:val="continue"/>
                  <w:tcBorders>
                    <w:tl2br w:val="nil"/>
                    <w:tr2bl w:val="nil"/>
                  </w:tcBorders>
                  <w:noWrap w:val="0"/>
                  <w:vAlign w:val="center"/>
                </w:tcPr>
                <w:p w14:paraId="09B92E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p>
              </w:tc>
              <w:tc>
                <w:tcPr>
                  <w:tcW w:w="337" w:type="pct"/>
                  <w:vMerge w:val="continue"/>
                  <w:tcBorders>
                    <w:tl2br w:val="nil"/>
                    <w:tr2bl w:val="nil"/>
                  </w:tcBorders>
                  <w:noWrap w:val="0"/>
                  <w:tcMar>
                    <w:top w:w="0" w:type="dxa"/>
                    <w:left w:w="28" w:type="dxa"/>
                    <w:bottom w:w="0" w:type="dxa"/>
                    <w:right w:w="28" w:type="dxa"/>
                  </w:tcMar>
                  <w:vAlign w:val="center"/>
                </w:tcPr>
                <w:p w14:paraId="15F630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015</w:t>
                  </w:r>
                </w:p>
              </w:tc>
              <w:tc>
                <w:tcPr>
                  <w:tcW w:w="337" w:type="pct"/>
                  <w:vMerge w:val="continue"/>
                  <w:tcBorders>
                    <w:tl2br w:val="nil"/>
                    <w:tr2bl w:val="nil"/>
                  </w:tcBorders>
                  <w:noWrap w:val="0"/>
                  <w:tcMar>
                    <w:top w:w="0" w:type="dxa"/>
                    <w:left w:w="28" w:type="dxa"/>
                    <w:bottom w:w="0" w:type="dxa"/>
                    <w:right w:w="28" w:type="dxa"/>
                  </w:tcMar>
                  <w:vAlign w:val="center"/>
                </w:tcPr>
                <w:p w14:paraId="3ADA87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0.0063</w:t>
                  </w:r>
                </w:p>
              </w:tc>
              <w:tc>
                <w:tcPr>
                  <w:tcW w:w="352" w:type="pct"/>
                  <w:vMerge w:val="continue"/>
                  <w:tcBorders>
                    <w:tl2br w:val="nil"/>
                    <w:tr2bl w:val="nil"/>
                  </w:tcBorders>
                  <w:noWrap w:val="0"/>
                  <w:vAlign w:val="center"/>
                </w:tcPr>
                <w:p w14:paraId="6242B7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1.4</w:t>
                  </w:r>
                </w:p>
              </w:tc>
              <w:tc>
                <w:tcPr>
                  <w:tcW w:w="511" w:type="pct"/>
                  <w:vMerge w:val="continue"/>
                  <w:tcBorders>
                    <w:tl2br w:val="nil"/>
                    <w:tr2bl w:val="nil"/>
                  </w:tcBorders>
                  <w:noWrap w:val="0"/>
                  <w:vAlign w:val="center"/>
                </w:tcPr>
                <w:p w14:paraId="4E912F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p>
              </w:tc>
              <w:tc>
                <w:tcPr>
                  <w:tcW w:w="238" w:type="pct"/>
                  <w:vMerge w:val="continue"/>
                  <w:tcBorders>
                    <w:tl2br w:val="nil"/>
                    <w:tr2bl w:val="nil"/>
                  </w:tcBorders>
                  <w:noWrap w:val="0"/>
                  <w:vAlign w:val="center"/>
                </w:tcPr>
                <w:p w14:paraId="2BF8C5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p>
              </w:tc>
              <w:tc>
                <w:tcPr>
                  <w:tcW w:w="326" w:type="pct"/>
                  <w:vMerge w:val="continue"/>
                  <w:tcBorders>
                    <w:tl2br w:val="nil"/>
                    <w:tr2bl w:val="nil"/>
                  </w:tcBorders>
                  <w:noWrap w:val="0"/>
                  <w:vAlign w:val="center"/>
                </w:tcPr>
                <w:p w14:paraId="575D05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p>
              </w:tc>
              <w:tc>
                <w:tcPr>
                  <w:tcW w:w="301" w:type="pct"/>
                  <w:vMerge w:val="continue"/>
                  <w:tcBorders>
                    <w:tl2br w:val="nil"/>
                    <w:tr2bl w:val="nil"/>
                  </w:tcBorders>
                  <w:noWrap w:val="0"/>
                  <w:vAlign w:val="center"/>
                </w:tcPr>
                <w:p w14:paraId="2DBCF9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p>
              </w:tc>
              <w:tc>
                <w:tcPr>
                  <w:tcW w:w="341" w:type="pct"/>
                  <w:vMerge w:val="continue"/>
                  <w:tcBorders>
                    <w:tl2br w:val="nil"/>
                    <w:tr2bl w:val="nil"/>
                  </w:tcBorders>
                  <w:noWrap w:val="0"/>
                  <w:vAlign w:val="center"/>
                </w:tcPr>
                <w:p w14:paraId="1BF5CE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p>
              </w:tc>
              <w:tc>
                <w:tcPr>
                  <w:tcW w:w="337" w:type="pct"/>
                  <w:vMerge w:val="continue"/>
                  <w:tcBorders>
                    <w:tl2br w:val="nil"/>
                    <w:tr2bl w:val="nil"/>
                  </w:tcBorders>
                  <w:noWrap w:val="0"/>
                  <w:vAlign w:val="center"/>
                </w:tcPr>
                <w:p w14:paraId="777246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p>
              </w:tc>
              <w:tc>
                <w:tcPr>
                  <w:tcW w:w="269" w:type="pct"/>
                  <w:vMerge w:val="continue"/>
                  <w:tcBorders>
                    <w:tl2br w:val="nil"/>
                    <w:tr2bl w:val="nil"/>
                  </w:tcBorders>
                  <w:noWrap w:val="0"/>
                  <w:vAlign w:val="center"/>
                </w:tcPr>
                <w:p w14:paraId="5FF0AE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p>
              </w:tc>
              <w:tc>
                <w:tcPr>
                  <w:tcW w:w="571" w:type="pct"/>
                  <w:vMerge w:val="continue"/>
                  <w:tcBorders>
                    <w:tl2br w:val="nil"/>
                    <w:tr2bl w:val="nil"/>
                  </w:tcBorders>
                  <w:noWrap w:val="0"/>
                  <w:vAlign w:val="center"/>
                </w:tcPr>
                <w:p w14:paraId="367885B0">
                  <w:pPr>
                    <w:keepNext w:val="0"/>
                    <w:keepLines w:val="0"/>
                    <w:pageBreakBefore w:val="0"/>
                    <w:widowControl w:val="0"/>
                    <w:kinsoku/>
                    <w:wordWrap/>
                    <w:overflowPunct/>
                    <w:topLinePunct w:val="0"/>
                    <w:autoSpaceDE/>
                    <w:autoSpaceDN/>
                    <w:bidi w:val="0"/>
                    <w:adjustRightInd/>
                    <w:ind w:firstLine="0" w:firstLineChars="0"/>
                    <w:contextualSpacing/>
                    <w:jc w:val="center"/>
                    <w:textAlignment w:val="auto"/>
                    <w:rPr>
                      <w:rFonts w:hint="eastAsia" w:ascii="Times New Roman" w:hAnsi="Times New Roman" w:eastAsia="宋体" w:cs="Times New Roman"/>
                      <w:color w:val="auto"/>
                      <w:sz w:val="21"/>
                      <w:szCs w:val="21"/>
                      <w:highlight w:val="none"/>
                      <w:lang w:val="en-US" w:eastAsia="zh-CN"/>
                    </w:rPr>
                  </w:pPr>
                </w:p>
              </w:tc>
              <w:tc>
                <w:tcPr>
                  <w:tcW w:w="282" w:type="pct"/>
                  <w:vMerge w:val="continue"/>
                  <w:tcBorders>
                    <w:tl2br w:val="nil"/>
                    <w:tr2bl w:val="nil"/>
                  </w:tcBorders>
                  <w:noWrap w:val="0"/>
                  <w:vAlign w:val="center"/>
                </w:tcPr>
                <w:p w14:paraId="4AA79344">
                  <w:pPr>
                    <w:keepNext w:val="0"/>
                    <w:keepLines w:val="0"/>
                    <w:pageBreakBefore w:val="0"/>
                    <w:widowControl w:val="0"/>
                    <w:kinsoku/>
                    <w:wordWrap/>
                    <w:overflowPunct/>
                    <w:topLinePunct w:val="0"/>
                    <w:autoSpaceDE/>
                    <w:autoSpaceDN/>
                    <w:bidi w:val="0"/>
                    <w:adjustRightInd/>
                    <w:ind w:firstLine="0" w:firstLineChars="0"/>
                    <w:contextualSpacing/>
                    <w:jc w:val="center"/>
                    <w:textAlignment w:val="auto"/>
                    <w:rPr>
                      <w:rFonts w:hint="default" w:ascii="Times New Roman" w:hAnsi="Times New Roman" w:eastAsia="宋体" w:cs="Times New Roman"/>
                      <w:bCs/>
                      <w:color w:val="auto"/>
                      <w:sz w:val="21"/>
                      <w:szCs w:val="21"/>
                      <w:highlight w:val="none"/>
                    </w:rPr>
                  </w:pPr>
                </w:p>
              </w:tc>
            </w:tr>
            <w:tr w14:paraId="4BDF70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119" w:hRule="atLeast"/>
                <w:jc w:val="center"/>
              </w:trPr>
              <w:tc>
                <w:tcPr>
                  <w:tcW w:w="273" w:type="pct"/>
                  <w:vMerge w:val="continue"/>
                  <w:tcBorders>
                    <w:tl2br w:val="nil"/>
                    <w:tr2bl w:val="nil"/>
                  </w:tcBorders>
                  <w:noWrap w:val="0"/>
                  <w:vAlign w:val="center"/>
                </w:tcPr>
                <w:p w14:paraId="39D738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p>
              </w:tc>
              <w:tc>
                <w:tcPr>
                  <w:tcW w:w="229" w:type="pct"/>
                  <w:vMerge w:val="continue"/>
                  <w:tcBorders>
                    <w:tl2br w:val="nil"/>
                    <w:tr2bl w:val="nil"/>
                  </w:tcBorders>
                  <w:noWrap w:val="0"/>
                  <w:vAlign w:val="center"/>
                </w:tcPr>
                <w:p w14:paraId="102285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p>
              </w:tc>
              <w:tc>
                <w:tcPr>
                  <w:tcW w:w="289" w:type="pct"/>
                  <w:vMerge w:val="continue"/>
                  <w:tcBorders>
                    <w:tl2br w:val="nil"/>
                    <w:tr2bl w:val="nil"/>
                  </w:tcBorders>
                  <w:noWrap w:val="0"/>
                  <w:vAlign w:val="center"/>
                </w:tcPr>
                <w:p w14:paraId="45B886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p>
              </w:tc>
              <w:tc>
                <w:tcPr>
                  <w:tcW w:w="337" w:type="pct"/>
                  <w:vMerge w:val="continue"/>
                  <w:tcBorders>
                    <w:tl2br w:val="nil"/>
                    <w:tr2bl w:val="nil"/>
                  </w:tcBorders>
                  <w:noWrap w:val="0"/>
                  <w:tcMar>
                    <w:top w:w="0" w:type="dxa"/>
                    <w:left w:w="28" w:type="dxa"/>
                    <w:bottom w:w="0" w:type="dxa"/>
                    <w:right w:w="28" w:type="dxa"/>
                  </w:tcMar>
                  <w:vAlign w:val="center"/>
                </w:tcPr>
                <w:p w14:paraId="67515F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0.0126</w:t>
                  </w:r>
                </w:p>
              </w:tc>
              <w:tc>
                <w:tcPr>
                  <w:tcW w:w="337" w:type="pct"/>
                  <w:vMerge w:val="continue"/>
                  <w:tcBorders>
                    <w:tl2br w:val="nil"/>
                    <w:tr2bl w:val="nil"/>
                  </w:tcBorders>
                  <w:noWrap w:val="0"/>
                  <w:tcMar>
                    <w:top w:w="0" w:type="dxa"/>
                    <w:left w:w="28" w:type="dxa"/>
                    <w:bottom w:w="0" w:type="dxa"/>
                    <w:right w:w="28" w:type="dxa"/>
                  </w:tcMar>
                  <w:vAlign w:val="center"/>
                </w:tcPr>
                <w:p w14:paraId="19CD85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0.0053</w:t>
                  </w:r>
                </w:p>
              </w:tc>
              <w:tc>
                <w:tcPr>
                  <w:tcW w:w="352" w:type="pct"/>
                  <w:vMerge w:val="continue"/>
                  <w:tcBorders>
                    <w:tl2br w:val="nil"/>
                    <w:tr2bl w:val="nil"/>
                  </w:tcBorders>
                  <w:noWrap w:val="0"/>
                  <w:vAlign w:val="center"/>
                </w:tcPr>
                <w:p w14:paraId="36D06A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1.18</w:t>
                  </w:r>
                </w:p>
              </w:tc>
              <w:tc>
                <w:tcPr>
                  <w:tcW w:w="511" w:type="pct"/>
                  <w:vMerge w:val="continue"/>
                  <w:tcBorders>
                    <w:tl2br w:val="nil"/>
                    <w:tr2bl w:val="nil"/>
                  </w:tcBorders>
                  <w:noWrap w:val="0"/>
                  <w:vAlign w:val="center"/>
                </w:tcPr>
                <w:p w14:paraId="49C889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p>
              </w:tc>
              <w:tc>
                <w:tcPr>
                  <w:tcW w:w="238" w:type="pct"/>
                  <w:vMerge w:val="continue"/>
                  <w:tcBorders>
                    <w:tl2br w:val="nil"/>
                    <w:tr2bl w:val="nil"/>
                  </w:tcBorders>
                  <w:noWrap w:val="0"/>
                  <w:vAlign w:val="center"/>
                </w:tcPr>
                <w:p w14:paraId="71C988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p>
              </w:tc>
              <w:tc>
                <w:tcPr>
                  <w:tcW w:w="326" w:type="pct"/>
                  <w:vMerge w:val="continue"/>
                  <w:tcBorders>
                    <w:tl2br w:val="nil"/>
                    <w:tr2bl w:val="nil"/>
                  </w:tcBorders>
                  <w:noWrap w:val="0"/>
                  <w:vAlign w:val="center"/>
                </w:tcPr>
                <w:p w14:paraId="3B85A7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p>
              </w:tc>
              <w:tc>
                <w:tcPr>
                  <w:tcW w:w="301" w:type="pct"/>
                  <w:vMerge w:val="continue"/>
                  <w:tcBorders>
                    <w:tl2br w:val="nil"/>
                    <w:tr2bl w:val="nil"/>
                  </w:tcBorders>
                  <w:noWrap w:val="0"/>
                  <w:vAlign w:val="center"/>
                </w:tcPr>
                <w:p w14:paraId="6419CA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p>
              </w:tc>
              <w:tc>
                <w:tcPr>
                  <w:tcW w:w="341" w:type="pct"/>
                  <w:vMerge w:val="continue"/>
                  <w:tcBorders>
                    <w:tl2br w:val="nil"/>
                    <w:tr2bl w:val="nil"/>
                  </w:tcBorders>
                  <w:noWrap w:val="0"/>
                  <w:vAlign w:val="center"/>
                </w:tcPr>
                <w:p w14:paraId="340F27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p>
              </w:tc>
              <w:tc>
                <w:tcPr>
                  <w:tcW w:w="337" w:type="pct"/>
                  <w:vMerge w:val="continue"/>
                  <w:tcBorders>
                    <w:tl2br w:val="nil"/>
                    <w:tr2bl w:val="nil"/>
                  </w:tcBorders>
                  <w:noWrap w:val="0"/>
                  <w:vAlign w:val="center"/>
                </w:tcPr>
                <w:p w14:paraId="631706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p>
              </w:tc>
              <w:tc>
                <w:tcPr>
                  <w:tcW w:w="269" w:type="pct"/>
                  <w:vMerge w:val="continue"/>
                  <w:tcBorders>
                    <w:tl2br w:val="nil"/>
                    <w:tr2bl w:val="nil"/>
                  </w:tcBorders>
                  <w:noWrap w:val="0"/>
                  <w:vAlign w:val="center"/>
                </w:tcPr>
                <w:p w14:paraId="79082D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p>
              </w:tc>
              <w:tc>
                <w:tcPr>
                  <w:tcW w:w="571" w:type="pct"/>
                  <w:vMerge w:val="continue"/>
                  <w:tcBorders>
                    <w:tl2br w:val="nil"/>
                    <w:tr2bl w:val="nil"/>
                  </w:tcBorders>
                  <w:noWrap w:val="0"/>
                  <w:vAlign w:val="center"/>
                </w:tcPr>
                <w:p w14:paraId="79FB7DDA">
                  <w:pPr>
                    <w:keepNext w:val="0"/>
                    <w:keepLines w:val="0"/>
                    <w:pageBreakBefore w:val="0"/>
                    <w:widowControl w:val="0"/>
                    <w:kinsoku/>
                    <w:wordWrap/>
                    <w:overflowPunct/>
                    <w:topLinePunct w:val="0"/>
                    <w:autoSpaceDE/>
                    <w:autoSpaceDN/>
                    <w:bidi w:val="0"/>
                    <w:adjustRightInd/>
                    <w:ind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p>
              </w:tc>
              <w:tc>
                <w:tcPr>
                  <w:tcW w:w="282" w:type="pct"/>
                  <w:vMerge w:val="continue"/>
                  <w:tcBorders>
                    <w:tl2br w:val="nil"/>
                    <w:tr2bl w:val="nil"/>
                  </w:tcBorders>
                  <w:noWrap w:val="0"/>
                  <w:vAlign w:val="center"/>
                </w:tcPr>
                <w:p w14:paraId="47DC58C0">
                  <w:pPr>
                    <w:keepNext w:val="0"/>
                    <w:keepLines w:val="0"/>
                    <w:pageBreakBefore w:val="0"/>
                    <w:widowControl w:val="0"/>
                    <w:kinsoku/>
                    <w:wordWrap/>
                    <w:overflowPunct/>
                    <w:topLinePunct w:val="0"/>
                    <w:autoSpaceDE/>
                    <w:autoSpaceDN/>
                    <w:bidi w:val="0"/>
                    <w:adjustRightInd/>
                    <w:ind w:firstLine="0" w:firstLineChars="0"/>
                    <w:contextualSpacing/>
                    <w:jc w:val="center"/>
                    <w:textAlignment w:val="auto"/>
                    <w:rPr>
                      <w:rFonts w:hint="default" w:ascii="Times New Roman" w:hAnsi="Times New Roman" w:eastAsia="宋体" w:cs="Times New Roman"/>
                      <w:bCs/>
                      <w:color w:val="auto"/>
                      <w:sz w:val="21"/>
                      <w:szCs w:val="21"/>
                      <w:highlight w:val="none"/>
                    </w:rPr>
                  </w:pPr>
                </w:p>
              </w:tc>
            </w:tr>
          </w:tbl>
          <w:p w14:paraId="66917EDB">
            <w:pPr>
              <w:keepNext/>
              <w:keepLines/>
              <w:ind w:firstLine="0" w:firstLineChars="0"/>
              <w:outlineLvl w:val="1"/>
              <w:rPr>
                <w:b/>
                <w:bCs/>
                <w:color w:val="auto"/>
                <w:sz w:val="24"/>
                <w:szCs w:val="24"/>
              </w:rPr>
            </w:pPr>
            <w:r>
              <w:rPr>
                <w:b/>
                <w:bCs/>
                <w:color w:val="auto"/>
                <w:sz w:val="24"/>
                <w:szCs w:val="24"/>
              </w:rPr>
              <w:t>2.4.2厂界废气达标分析</w:t>
            </w:r>
          </w:p>
          <w:p w14:paraId="2148FD95">
            <w:pPr>
              <w:numPr>
                <w:ilvl w:val="0"/>
                <w:numId w:val="0"/>
              </w:numPr>
              <w:ind w:left="420" w:leftChars="0"/>
              <w:rPr>
                <w:color w:val="auto"/>
                <w:sz w:val="24"/>
                <w:szCs w:val="24"/>
              </w:rPr>
            </w:pPr>
            <w:r>
              <w:rPr>
                <w:rFonts w:hint="eastAsia"/>
                <w:color w:val="auto"/>
                <w:sz w:val="24"/>
                <w:szCs w:val="24"/>
                <w:lang w:val="en-US" w:eastAsia="zh-CN"/>
              </w:rPr>
              <w:t>本项目无组织</w:t>
            </w:r>
            <w:r>
              <w:rPr>
                <w:color w:val="auto"/>
                <w:sz w:val="24"/>
                <w:szCs w:val="24"/>
              </w:rPr>
              <w:t>废气</w:t>
            </w:r>
            <w:r>
              <w:rPr>
                <w:rFonts w:hint="default" w:ascii="Times New Roman" w:hAnsi="Times New Roman" w:eastAsia="宋体" w:cs="Times New Roman"/>
                <w:bCs/>
                <w:color w:val="auto"/>
                <w:sz w:val="24"/>
                <w:highlight w:val="none"/>
              </w:rPr>
              <w:t>排放情况</w:t>
            </w:r>
            <w:r>
              <w:rPr>
                <w:color w:val="auto"/>
                <w:sz w:val="24"/>
                <w:szCs w:val="24"/>
              </w:rPr>
              <w:t>见下表</w:t>
            </w:r>
          </w:p>
          <w:p w14:paraId="6CC66910">
            <w:pPr>
              <w:spacing w:line="240" w:lineRule="auto"/>
              <w:ind w:firstLine="0" w:firstLineChars="0"/>
              <w:jc w:val="center"/>
              <w:rPr>
                <w:b/>
                <w:bCs/>
                <w:color w:val="auto"/>
                <w:sz w:val="21"/>
                <w:szCs w:val="21"/>
              </w:rPr>
            </w:pPr>
            <w:r>
              <w:rPr>
                <w:b/>
                <w:bCs/>
                <w:color w:val="auto"/>
                <w:sz w:val="21"/>
                <w:szCs w:val="21"/>
              </w:rPr>
              <w:t>表4</w:t>
            </w:r>
            <w:r>
              <w:rPr>
                <w:rFonts w:hint="eastAsia"/>
                <w:b/>
                <w:bCs/>
                <w:color w:val="auto"/>
                <w:sz w:val="21"/>
                <w:szCs w:val="21"/>
                <w:lang w:val="en-US" w:eastAsia="zh-CN"/>
              </w:rPr>
              <w:t>.2</w:t>
            </w:r>
            <w:r>
              <w:rPr>
                <w:b/>
                <w:bCs/>
                <w:color w:val="auto"/>
                <w:sz w:val="21"/>
                <w:szCs w:val="21"/>
              </w:rPr>
              <w:t>-</w:t>
            </w:r>
            <w:r>
              <w:rPr>
                <w:rFonts w:hint="eastAsia"/>
                <w:b/>
                <w:bCs/>
                <w:color w:val="auto"/>
                <w:sz w:val="21"/>
                <w:szCs w:val="21"/>
                <w:lang w:val="en-US" w:eastAsia="zh-CN"/>
              </w:rPr>
              <w:t xml:space="preserve">11 </w:t>
            </w:r>
            <w:r>
              <w:rPr>
                <w:b/>
                <w:bCs/>
                <w:color w:val="auto"/>
                <w:sz w:val="21"/>
                <w:szCs w:val="21"/>
              </w:rPr>
              <w:t xml:space="preserve"> </w:t>
            </w:r>
            <w:r>
              <w:rPr>
                <w:rFonts w:hint="eastAsia"/>
                <w:b/>
                <w:bCs/>
                <w:color w:val="auto"/>
                <w:sz w:val="21"/>
                <w:szCs w:val="21"/>
                <w:lang w:val="en-US" w:eastAsia="zh-CN"/>
              </w:rPr>
              <w:t>无组织</w:t>
            </w:r>
            <w:r>
              <w:rPr>
                <w:b/>
                <w:bCs/>
                <w:color w:val="auto"/>
                <w:sz w:val="21"/>
                <w:szCs w:val="21"/>
              </w:rPr>
              <w:t>废气</w:t>
            </w:r>
            <w:r>
              <w:rPr>
                <w:rFonts w:hint="default"/>
                <w:b/>
                <w:bCs/>
                <w:color w:val="auto"/>
                <w:sz w:val="21"/>
                <w:szCs w:val="21"/>
              </w:rPr>
              <w:t>排放情况</w:t>
            </w:r>
            <w:r>
              <w:rPr>
                <w:b/>
                <w:bCs/>
                <w:color w:val="auto"/>
                <w:sz w:val="21"/>
                <w:szCs w:val="21"/>
              </w:rPr>
              <w:t>一览表</w:t>
            </w:r>
            <w:r>
              <w:rPr>
                <w:rFonts w:hint="eastAsia"/>
                <w:b/>
                <w:bCs/>
                <w:color w:val="auto"/>
                <w:sz w:val="21"/>
                <w:szCs w:val="21"/>
                <w:lang w:eastAsia="zh-CN"/>
              </w:rPr>
              <w:t>（</w:t>
            </w:r>
            <w:r>
              <w:rPr>
                <w:rFonts w:hint="eastAsia"/>
                <w:b/>
                <w:bCs/>
                <w:color w:val="auto"/>
                <w:sz w:val="21"/>
                <w:szCs w:val="21"/>
                <w:lang w:val="en-US" w:eastAsia="zh-CN"/>
              </w:rPr>
              <w:t>面</w:t>
            </w:r>
            <w:r>
              <w:rPr>
                <w:b/>
                <w:bCs/>
                <w:color w:val="auto"/>
                <w:sz w:val="21"/>
                <w:szCs w:val="21"/>
              </w:rPr>
              <w:t>源</w:t>
            </w:r>
            <w:r>
              <w:rPr>
                <w:rFonts w:hint="eastAsia"/>
                <w:b/>
                <w:bCs/>
                <w:color w:val="auto"/>
                <w:sz w:val="21"/>
                <w:szCs w:val="21"/>
                <w:lang w:eastAsia="zh-CN"/>
              </w:rPr>
              <w:t>）</w:t>
            </w:r>
          </w:p>
          <w:tbl>
            <w:tblPr>
              <w:tblStyle w:val="17"/>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84"/>
              <w:gridCol w:w="1369"/>
              <w:gridCol w:w="860"/>
              <w:gridCol w:w="1061"/>
              <w:gridCol w:w="1013"/>
              <w:gridCol w:w="939"/>
              <w:gridCol w:w="1065"/>
              <w:gridCol w:w="1063"/>
              <w:gridCol w:w="1063"/>
            </w:tblGrid>
            <w:tr w14:paraId="493324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654" w:hRule="atLeast"/>
              </w:trPr>
              <w:tc>
                <w:tcPr>
                  <w:tcW w:w="425" w:type="pct"/>
                  <w:noWrap w:val="0"/>
                  <w:vAlign w:val="center"/>
                </w:tcPr>
                <w:p w14:paraId="77518A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面源名称</w:t>
                  </w:r>
                </w:p>
              </w:tc>
              <w:tc>
                <w:tcPr>
                  <w:tcW w:w="742" w:type="pct"/>
                  <w:noWrap w:val="0"/>
                  <w:vAlign w:val="center"/>
                </w:tcPr>
                <w:p w14:paraId="4AFB6E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污染物产生环节</w:t>
                  </w:r>
                </w:p>
              </w:tc>
              <w:tc>
                <w:tcPr>
                  <w:tcW w:w="466" w:type="pct"/>
                  <w:noWrap w:val="0"/>
                  <w:vAlign w:val="center"/>
                </w:tcPr>
                <w:p w14:paraId="62FE6A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污染物</w:t>
                  </w:r>
                </w:p>
                <w:p w14:paraId="63071E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名称</w:t>
                  </w:r>
                </w:p>
              </w:tc>
              <w:tc>
                <w:tcPr>
                  <w:tcW w:w="575" w:type="pct"/>
                  <w:noWrap w:val="0"/>
                  <w:vAlign w:val="center"/>
                </w:tcPr>
                <w:p w14:paraId="6E7FE2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污染物产生量t/a</w:t>
                  </w:r>
                </w:p>
              </w:tc>
              <w:tc>
                <w:tcPr>
                  <w:tcW w:w="549" w:type="pct"/>
                  <w:noWrap w:val="0"/>
                  <w:vAlign w:val="center"/>
                </w:tcPr>
                <w:p w14:paraId="634E3B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治理措施</w:t>
                  </w:r>
                </w:p>
              </w:tc>
              <w:tc>
                <w:tcPr>
                  <w:tcW w:w="509" w:type="pct"/>
                  <w:noWrap w:val="0"/>
                  <w:vAlign w:val="center"/>
                </w:tcPr>
                <w:p w14:paraId="7F97CF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污染物排放量t/a</w:t>
                  </w:r>
                </w:p>
              </w:tc>
              <w:tc>
                <w:tcPr>
                  <w:tcW w:w="577" w:type="pct"/>
                  <w:noWrap w:val="0"/>
                  <w:vAlign w:val="center"/>
                </w:tcPr>
                <w:p w14:paraId="1E2756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排放速率kg/h</w:t>
                  </w:r>
                </w:p>
              </w:tc>
              <w:tc>
                <w:tcPr>
                  <w:tcW w:w="576" w:type="pct"/>
                  <w:noWrap w:val="0"/>
                  <w:vAlign w:val="center"/>
                </w:tcPr>
                <w:p w14:paraId="551E53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面源面积（m</w:t>
                  </w:r>
                  <w:r>
                    <w:rPr>
                      <w:rFonts w:hint="default" w:cs="Times New Roman"/>
                      <w:i w:val="0"/>
                      <w:iCs w:val="0"/>
                      <w:color w:val="auto"/>
                      <w:kern w:val="0"/>
                      <w:sz w:val="21"/>
                      <w:szCs w:val="21"/>
                      <w:u w:val="none"/>
                      <w:vertAlign w:val="superscript"/>
                      <w:lang w:val="en-US" w:eastAsia="zh-CN" w:bidi="ar"/>
                    </w:rPr>
                    <w:t>2</w:t>
                  </w:r>
                  <w:r>
                    <w:rPr>
                      <w:rFonts w:hint="default" w:cs="Times New Roman"/>
                      <w:i w:val="0"/>
                      <w:iCs w:val="0"/>
                      <w:color w:val="auto"/>
                      <w:kern w:val="0"/>
                      <w:sz w:val="21"/>
                      <w:szCs w:val="21"/>
                      <w:u w:val="none"/>
                      <w:lang w:val="en-US" w:eastAsia="zh-CN" w:bidi="ar"/>
                    </w:rPr>
                    <w:t>）</w:t>
                  </w:r>
                </w:p>
              </w:tc>
              <w:tc>
                <w:tcPr>
                  <w:tcW w:w="576" w:type="pct"/>
                  <w:noWrap w:val="0"/>
                  <w:vAlign w:val="center"/>
                </w:tcPr>
                <w:p w14:paraId="2404EF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面源高度</w:t>
                  </w:r>
                  <w:r>
                    <w:rPr>
                      <w:rFonts w:hint="default" w:cs="Times New Roman"/>
                      <w:i w:val="0"/>
                      <w:iCs w:val="0"/>
                      <w:color w:val="auto"/>
                      <w:kern w:val="0"/>
                      <w:sz w:val="21"/>
                      <w:szCs w:val="21"/>
                      <w:u w:val="none"/>
                      <w:lang w:val="en-US" w:eastAsia="zh-CN" w:bidi="ar"/>
                    </w:rPr>
                    <w:t>（m）</w:t>
                  </w:r>
                </w:p>
              </w:tc>
            </w:tr>
            <w:tr w14:paraId="319636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37" w:hRule="atLeast"/>
              </w:trPr>
              <w:tc>
                <w:tcPr>
                  <w:tcW w:w="425" w:type="pct"/>
                  <w:vMerge w:val="restart"/>
                  <w:noWrap w:val="0"/>
                  <w:vAlign w:val="center"/>
                </w:tcPr>
                <w:p w14:paraId="6DBE3F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1F</w:t>
                  </w:r>
                  <w:r>
                    <w:rPr>
                      <w:rFonts w:hint="default" w:cs="Times New Roman"/>
                      <w:i w:val="0"/>
                      <w:iCs w:val="0"/>
                      <w:color w:val="auto"/>
                      <w:kern w:val="0"/>
                      <w:sz w:val="21"/>
                      <w:szCs w:val="21"/>
                      <w:u w:val="none"/>
                      <w:lang w:val="en-US" w:eastAsia="zh-CN" w:bidi="ar"/>
                    </w:rPr>
                    <w:t>生产车间</w:t>
                  </w:r>
                </w:p>
              </w:tc>
              <w:tc>
                <w:tcPr>
                  <w:tcW w:w="742" w:type="pct"/>
                  <w:noWrap w:val="0"/>
                  <w:vAlign w:val="center"/>
                </w:tcPr>
                <w:p w14:paraId="1F2AE9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未被捕集的注塑废气</w:t>
                  </w:r>
                </w:p>
              </w:tc>
              <w:tc>
                <w:tcPr>
                  <w:tcW w:w="466" w:type="pct"/>
                  <w:noWrap w:val="0"/>
                  <w:vAlign w:val="center"/>
                </w:tcPr>
                <w:p w14:paraId="413123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非甲烷总烃</w:t>
                  </w:r>
                </w:p>
              </w:tc>
              <w:tc>
                <w:tcPr>
                  <w:tcW w:w="575" w:type="pct"/>
                  <w:noWrap w:val="0"/>
                  <w:vAlign w:val="center"/>
                </w:tcPr>
                <w:p w14:paraId="5FFFF5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0.0391</w:t>
                  </w:r>
                </w:p>
              </w:tc>
              <w:tc>
                <w:tcPr>
                  <w:tcW w:w="549" w:type="pct"/>
                  <w:vMerge w:val="restart"/>
                  <w:noWrap w:val="0"/>
                  <w:vAlign w:val="center"/>
                </w:tcPr>
                <w:p w14:paraId="06E3CD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源头治理，加强管理</w:t>
                  </w:r>
                </w:p>
              </w:tc>
              <w:tc>
                <w:tcPr>
                  <w:tcW w:w="949" w:type="dxa"/>
                  <w:noWrap w:val="0"/>
                  <w:vAlign w:val="center"/>
                </w:tcPr>
                <w:p w14:paraId="0B800F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0.0391</w:t>
                  </w:r>
                </w:p>
              </w:tc>
              <w:tc>
                <w:tcPr>
                  <w:tcW w:w="577" w:type="pct"/>
                  <w:noWrap w:val="0"/>
                  <w:vAlign w:val="center"/>
                </w:tcPr>
                <w:p w14:paraId="6DE794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0.0163</w:t>
                  </w:r>
                </w:p>
              </w:tc>
              <w:tc>
                <w:tcPr>
                  <w:tcW w:w="576" w:type="pct"/>
                  <w:noWrap w:val="0"/>
                  <w:vAlign w:val="center"/>
                </w:tcPr>
                <w:p w14:paraId="3FA523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1080</w:t>
                  </w:r>
                </w:p>
              </w:tc>
              <w:tc>
                <w:tcPr>
                  <w:tcW w:w="576" w:type="pct"/>
                  <w:noWrap w:val="0"/>
                  <w:vAlign w:val="center"/>
                </w:tcPr>
                <w:p w14:paraId="220004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8</w:t>
                  </w:r>
                </w:p>
              </w:tc>
            </w:tr>
            <w:tr w14:paraId="69D029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37" w:hRule="atLeast"/>
              </w:trPr>
              <w:tc>
                <w:tcPr>
                  <w:tcW w:w="425" w:type="pct"/>
                  <w:vMerge w:val="continue"/>
                  <w:noWrap w:val="0"/>
                  <w:vAlign w:val="center"/>
                </w:tcPr>
                <w:p w14:paraId="22EE4A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p>
              </w:tc>
              <w:tc>
                <w:tcPr>
                  <w:tcW w:w="742" w:type="pct"/>
                  <w:shd w:val="clear" w:color="auto" w:fill="auto"/>
                  <w:noWrap w:val="0"/>
                  <w:vAlign w:val="center"/>
                </w:tcPr>
                <w:p w14:paraId="751671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未被捕集的打印废气</w:t>
                  </w:r>
                </w:p>
              </w:tc>
              <w:tc>
                <w:tcPr>
                  <w:tcW w:w="466" w:type="pct"/>
                  <w:shd w:val="clear" w:color="auto" w:fill="auto"/>
                  <w:noWrap w:val="0"/>
                  <w:vAlign w:val="center"/>
                </w:tcPr>
                <w:p w14:paraId="066B3D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非甲烷总烃</w:t>
                  </w:r>
                </w:p>
              </w:tc>
              <w:tc>
                <w:tcPr>
                  <w:tcW w:w="575" w:type="pct"/>
                  <w:shd w:val="clear" w:color="auto" w:fill="auto"/>
                  <w:noWrap w:val="0"/>
                  <w:vAlign w:val="center"/>
                </w:tcPr>
                <w:p w14:paraId="0D3E4A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0.0003</w:t>
                  </w:r>
                </w:p>
              </w:tc>
              <w:tc>
                <w:tcPr>
                  <w:tcW w:w="549" w:type="pct"/>
                  <w:vMerge w:val="continue"/>
                  <w:shd w:val="clear" w:color="auto" w:fill="auto"/>
                  <w:noWrap w:val="0"/>
                  <w:vAlign w:val="center"/>
                </w:tcPr>
                <w:p w14:paraId="5A5366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949" w:type="dxa"/>
                  <w:shd w:val="clear" w:color="auto" w:fill="auto"/>
                  <w:noWrap w:val="0"/>
                  <w:vAlign w:val="center"/>
                </w:tcPr>
                <w:p w14:paraId="2EABB3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0.0003</w:t>
                  </w:r>
                </w:p>
              </w:tc>
              <w:tc>
                <w:tcPr>
                  <w:tcW w:w="577" w:type="pct"/>
                  <w:shd w:val="clear" w:color="auto" w:fill="auto"/>
                  <w:noWrap w:val="0"/>
                  <w:vAlign w:val="center"/>
                </w:tcPr>
                <w:p w14:paraId="4270F0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0.0001</w:t>
                  </w:r>
                </w:p>
              </w:tc>
              <w:tc>
                <w:tcPr>
                  <w:tcW w:w="576" w:type="pct"/>
                  <w:shd w:val="clear" w:color="auto" w:fill="auto"/>
                  <w:noWrap w:val="0"/>
                  <w:vAlign w:val="center"/>
                </w:tcPr>
                <w:p w14:paraId="6E3468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1080</w:t>
                  </w:r>
                </w:p>
              </w:tc>
              <w:tc>
                <w:tcPr>
                  <w:tcW w:w="576" w:type="pct"/>
                  <w:shd w:val="clear" w:color="auto" w:fill="auto"/>
                  <w:noWrap w:val="0"/>
                  <w:vAlign w:val="center"/>
                </w:tcPr>
                <w:p w14:paraId="792A33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8</w:t>
                  </w:r>
                </w:p>
              </w:tc>
            </w:tr>
          </w:tbl>
          <w:p w14:paraId="35E3667D">
            <w:pPr>
              <w:ind w:firstLine="0" w:firstLineChars="0"/>
              <w:rPr>
                <w:rFonts w:hint="default" w:eastAsia="宋体"/>
                <w:b/>
                <w:bCs/>
                <w:color w:val="auto"/>
                <w:sz w:val="24"/>
                <w:szCs w:val="24"/>
                <w:lang w:val="en-US" w:eastAsia="zh-CN"/>
              </w:rPr>
            </w:pPr>
            <w:r>
              <w:rPr>
                <w:rFonts w:hint="eastAsia"/>
                <w:b/>
                <w:bCs/>
                <w:color w:val="auto"/>
                <w:sz w:val="24"/>
                <w:szCs w:val="24"/>
                <w:lang w:val="en-US" w:eastAsia="zh-CN"/>
              </w:rPr>
              <w:t>2.5卫生防护距离</w:t>
            </w:r>
          </w:p>
          <w:p w14:paraId="3451907C">
            <w:pPr>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根据《大气有害物质无组织排放卫生防护距离推导技术导则》（GB/T39499-2020）规定中制定的卫生防护距离制定方法，计算本项目卫生防护距离。卫生防护距离按下式计算：</w:t>
            </w:r>
          </w:p>
          <w:p w14:paraId="69A67CB1">
            <w:pPr>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object>
                <v:shape id="_x0000_i1027" o:spt="75" type="#_x0000_t75" style="height:34.4pt;width:143.2pt;" o:ole="t" filled="f" o:preferrelative="t" stroked="f" coordsize="21600,21600">
                  <v:path/>
                  <v:fill on="f" focussize="0,0"/>
                  <v:stroke on="f"/>
                  <v:imagedata r:id="rId25" o:title=""/>
                  <o:lock v:ext="edit" aspectratio="t"/>
                  <w10:wrap type="none"/>
                  <w10:anchorlock/>
                </v:shape>
                <o:OLEObject Type="Embed" ProgID="Equation.2" ShapeID="_x0000_i1027" DrawAspect="Content" ObjectID="_1468075727" r:id="rId24">
                  <o:LockedField>false</o:LockedField>
                </o:OLEObject>
              </w:object>
            </w:r>
          </w:p>
          <w:p w14:paraId="6FE3B5DD">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式中：Cm—环境一次浓度标准限值（mg/m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p w14:paraId="28BD1CAA">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L—工业企业所需的防护距离（m）；</w:t>
            </w:r>
          </w:p>
          <w:p w14:paraId="474D9727">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Qc—有害气体无组织排放量可以达到的控制水平（kg/h）；</w:t>
            </w:r>
          </w:p>
          <w:p w14:paraId="0887C90A">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r—有害气体无组织排放源所在生产单元的等效半径（m）；根据生产单元的占地面积S</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计算，r=</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S/</w:t>
            </w:r>
            <w:r>
              <w:rPr>
                <w:rFonts w:hint="default" w:ascii="Times New Roman" w:hAnsi="Times New Roman" w:eastAsia="宋体" w:cs="Times New Roman"/>
                <w:color w:val="auto"/>
                <w:sz w:val="24"/>
                <w:szCs w:val="24"/>
                <w:lang w:val="en-US" w:eastAsia="zh-CN"/>
              </w:rPr>
              <w:t>Π</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vertAlign w:val="superscript"/>
              </w:rPr>
              <w:t>0.5</w:t>
            </w:r>
            <w:r>
              <w:rPr>
                <w:rFonts w:hint="default" w:ascii="Times New Roman" w:hAnsi="Times New Roman" w:eastAsia="宋体" w:cs="Times New Roman"/>
                <w:color w:val="auto"/>
                <w:sz w:val="24"/>
                <w:szCs w:val="24"/>
              </w:rPr>
              <w:t>。</w:t>
            </w:r>
          </w:p>
          <w:p w14:paraId="14B26B4B">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A、B、C、D—卫生防护距离计算系数。</w:t>
            </w:r>
          </w:p>
          <w:p w14:paraId="26756DC7">
            <w:pPr>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b/>
                <w:bCs/>
                <w:color w:val="auto"/>
                <w:sz w:val="21"/>
                <w:szCs w:val="21"/>
              </w:rPr>
              <w:t>4</w:t>
            </w:r>
            <w:r>
              <w:rPr>
                <w:rFonts w:hint="eastAsia"/>
                <w:b/>
                <w:bCs/>
                <w:color w:val="auto"/>
                <w:sz w:val="21"/>
                <w:szCs w:val="21"/>
                <w:lang w:val="en-US" w:eastAsia="zh-CN"/>
              </w:rPr>
              <w:t>.2</w:t>
            </w:r>
            <w:r>
              <w:rPr>
                <w:b/>
                <w:bCs/>
                <w:color w:val="auto"/>
                <w:sz w:val="21"/>
                <w:szCs w:val="21"/>
              </w:rPr>
              <w:t>-</w:t>
            </w:r>
            <w:r>
              <w:rPr>
                <w:rFonts w:hint="eastAsia"/>
                <w:b/>
                <w:bCs/>
                <w:color w:val="auto"/>
                <w:sz w:val="21"/>
                <w:szCs w:val="21"/>
                <w:lang w:val="en-US" w:eastAsia="zh-CN"/>
              </w:rPr>
              <w:t>12</w:t>
            </w:r>
            <w:r>
              <w:rPr>
                <w:rFonts w:hint="default" w:ascii="Times New Roman" w:hAnsi="Times New Roman" w:eastAsia="宋体" w:cs="Times New Roman"/>
                <w:b/>
                <w:bCs/>
                <w:color w:val="auto"/>
                <w:sz w:val="21"/>
                <w:szCs w:val="21"/>
                <w:lang w:val="en-US" w:eastAsia="zh-CN"/>
              </w:rPr>
              <w:t xml:space="preserve">  卫生防护距离初值计算系数</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502"/>
              <w:gridCol w:w="1434"/>
              <w:gridCol w:w="697"/>
              <w:gridCol w:w="697"/>
              <w:gridCol w:w="701"/>
              <w:gridCol w:w="699"/>
              <w:gridCol w:w="699"/>
              <w:gridCol w:w="701"/>
              <w:gridCol w:w="699"/>
              <w:gridCol w:w="700"/>
              <w:gridCol w:w="697"/>
            </w:tblGrid>
            <w:tr w14:paraId="12E255F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814" w:type="pct"/>
                  <w:vMerge w:val="restart"/>
                  <w:tcBorders>
                    <w:top w:val="single" w:color="auto" w:sz="12" w:space="0"/>
                    <w:left w:val="nil"/>
                    <w:bottom w:val="single" w:color="auto" w:sz="2" w:space="0"/>
                    <w:right w:val="single" w:color="auto" w:sz="2" w:space="0"/>
                  </w:tcBorders>
                  <w:noWrap w:val="0"/>
                  <w:vAlign w:val="center"/>
                </w:tcPr>
                <w:p w14:paraId="3B634A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计算系数</w:t>
                  </w:r>
                </w:p>
              </w:tc>
              <w:tc>
                <w:tcPr>
                  <w:tcW w:w="777" w:type="pct"/>
                  <w:vMerge w:val="restart"/>
                  <w:tcBorders>
                    <w:top w:val="single" w:color="auto" w:sz="12" w:space="0"/>
                    <w:left w:val="single" w:color="auto" w:sz="2" w:space="0"/>
                    <w:bottom w:val="single" w:color="auto" w:sz="2" w:space="0"/>
                    <w:right w:val="single" w:color="auto" w:sz="2" w:space="0"/>
                  </w:tcBorders>
                  <w:noWrap w:val="0"/>
                  <w:vAlign w:val="center"/>
                </w:tcPr>
                <w:p w14:paraId="6AF71D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5年平均风速，m/s</w:t>
                  </w:r>
                </w:p>
              </w:tc>
              <w:tc>
                <w:tcPr>
                  <w:tcW w:w="3410" w:type="pct"/>
                  <w:gridSpan w:val="9"/>
                  <w:tcBorders>
                    <w:top w:val="single" w:color="auto" w:sz="12" w:space="0"/>
                    <w:left w:val="single" w:color="auto" w:sz="2" w:space="0"/>
                    <w:bottom w:val="single" w:color="auto" w:sz="2" w:space="0"/>
                    <w:right w:val="nil"/>
                  </w:tcBorders>
                  <w:noWrap w:val="0"/>
                  <w:vAlign w:val="center"/>
                </w:tcPr>
                <w:p w14:paraId="62EFD2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卫生防护距离L（m）</w:t>
                  </w:r>
                </w:p>
              </w:tc>
            </w:tr>
            <w:tr w14:paraId="6446FD2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814" w:type="pct"/>
                  <w:vMerge w:val="continue"/>
                  <w:tcBorders>
                    <w:top w:val="single" w:color="auto" w:sz="12" w:space="0"/>
                    <w:left w:val="nil"/>
                    <w:bottom w:val="single" w:color="auto" w:sz="2" w:space="0"/>
                    <w:right w:val="single" w:color="auto" w:sz="2" w:space="0"/>
                  </w:tcBorders>
                  <w:noWrap w:val="0"/>
                  <w:vAlign w:val="center"/>
                </w:tcPr>
                <w:p w14:paraId="0D285F1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bCs/>
                      <w:color w:val="auto"/>
                      <w:sz w:val="21"/>
                      <w:szCs w:val="21"/>
                    </w:rPr>
                  </w:pPr>
                </w:p>
              </w:tc>
              <w:tc>
                <w:tcPr>
                  <w:tcW w:w="777" w:type="pct"/>
                  <w:vMerge w:val="continue"/>
                  <w:tcBorders>
                    <w:top w:val="single" w:color="auto" w:sz="12" w:space="0"/>
                    <w:left w:val="single" w:color="auto" w:sz="2" w:space="0"/>
                    <w:bottom w:val="single" w:color="auto" w:sz="2" w:space="0"/>
                    <w:right w:val="single" w:color="auto" w:sz="2" w:space="0"/>
                  </w:tcBorders>
                  <w:noWrap w:val="0"/>
                  <w:vAlign w:val="center"/>
                </w:tcPr>
                <w:p w14:paraId="67344DC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bCs/>
                      <w:color w:val="auto"/>
                      <w:sz w:val="21"/>
                      <w:szCs w:val="21"/>
                    </w:rPr>
                  </w:pPr>
                </w:p>
              </w:tc>
              <w:tc>
                <w:tcPr>
                  <w:tcW w:w="1136" w:type="pct"/>
                  <w:gridSpan w:val="3"/>
                  <w:tcBorders>
                    <w:top w:val="single" w:color="auto" w:sz="2" w:space="0"/>
                    <w:left w:val="single" w:color="auto" w:sz="2" w:space="0"/>
                    <w:bottom w:val="single" w:color="auto" w:sz="2" w:space="0"/>
                    <w:right w:val="single" w:color="auto" w:sz="2" w:space="0"/>
                  </w:tcBorders>
                  <w:noWrap w:val="0"/>
                  <w:vAlign w:val="center"/>
                </w:tcPr>
                <w:p w14:paraId="14C3E1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L≤1000</w:t>
                  </w:r>
                </w:p>
              </w:tc>
              <w:tc>
                <w:tcPr>
                  <w:tcW w:w="1138" w:type="pct"/>
                  <w:gridSpan w:val="3"/>
                  <w:tcBorders>
                    <w:top w:val="single" w:color="auto" w:sz="2" w:space="0"/>
                    <w:left w:val="single" w:color="auto" w:sz="2" w:space="0"/>
                    <w:bottom w:val="single" w:color="auto" w:sz="2" w:space="0"/>
                    <w:right w:val="single" w:color="auto" w:sz="2" w:space="0"/>
                  </w:tcBorders>
                  <w:noWrap w:val="0"/>
                  <w:vAlign w:val="center"/>
                </w:tcPr>
                <w:p w14:paraId="2AE1ED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1000＜L≤2000</w:t>
                  </w:r>
                </w:p>
              </w:tc>
              <w:tc>
                <w:tcPr>
                  <w:tcW w:w="1136" w:type="pct"/>
                  <w:gridSpan w:val="3"/>
                  <w:tcBorders>
                    <w:top w:val="single" w:color="auto" w:sz="2" w:space="0"/>
                    <w:left w:val="single" w:color="auto" w:sz="2" w:space="0"/>
                    <w:bottom w:val="single" w:color="auto" w:sz="2" w:space="0"/>
                    <w:right w:val="nil"/>
                  </w:tcBorders>
                  <w:noWrap w:val="0"/>
                  <w:vAlign w:val="center"/>
                </w:tcPr>
                <w:p w14:paraId="54A01C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L＞2000</w:t>
                  </w:r>
                </w:p>
              </w:tc>
            </w:tr>
            <w:tr w14:paraId="5008F9D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814" w:type="pct"/>
                  <w:vMerge w:val="continue"/>
                  <w:tcBorders>
                    <w:top w:val="single" w:color="auto" w:sz="12" w:space="0"/>
                    <w:left w:val="nil"/>
                    <w:bottom w:val="single" w:color="auto" w:sz="2" w:space="0"/>
                    <w:right w:val="single" w:color="auto" w:sz="2" w:space="0"/>
                  </w:tcBorders>
                  <w:noWrap w:val="0"/>
                  <w:vAlign w:val="center"/>
                </w:tcPr>
                <w:p w14:paraId="68B624F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bCs/>
                      <w:color w:val="auto"/>
                      <w:sz w:val="21"/>
                      <w:szCs w:val="21"/>
                    </w:rPr>
                  </w:pPr>
                </w:p>
              </w:tc>
              <w:tc>
                <w:tcPr>
                  <w:tcW w:w="777" w:type="pct"/>
                  <w:vMerge w:val="continue"/>
                  <w:tcBorders>
                    <w:top w:val="single" w:color="auto" w:sz="12" w:space="0"/>
                    <w:left w:val="single" w:color="auto" w:sz="2" w:space="0"/>
                    <w:bottom w:val="single" w:color="auto" w:sz="2" w:space="0"/>
                    <w:right w:val="single" w:color="auto" w:sz="2" w:space="0"/>
                  </w:tcBorders>
                  <w:noWrap w:val="0"/>
                  <w:vAlign w:val="center"/>
                </w:tcPr>
                <w:p w14:paraId="38F1564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bCs/>
                      <w:color w:val="auto"/>
                      <w:sz w:val="21"/>
                      <w:szCs w:val="21"/>
                    </w:rPr>
                  </w:pPr>
                </w:p>
              </w:tc>
              <w:tc>
                <w:tcPr>
                  <w:tcW w:w="3410" w:type="pct"/>
                  <w:gridSpan w:val="9"/>
                  <w:tcBorders>
                    <w:top w:val="single" w:color="auto" w:sz="2" w:space="0"/>
                    <w:left w:val="single" w:color="auto" w:sz="2" w:space="0"/>
                    <w:bottom w:val="single" w:color="auto" w:sz="2" w:space="0"/>
                    <w:right w:val="nil"/>
                  </w:tcBorders>
                  <w:noWrap w:val="0"/>
                  <w:vAlign w:val="center"/>
                </w:tcPr>
                <w:p w14:paraId="14AF38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工业企业大气污染源构成类型</w:t>
                  </w:r>
                </w:p>
              </w:tc>
            </w:tr>
            <w:tr w14:paraId="46C3382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814" w:type="pct"/>
                  <w:vMerge w:val="continue"/>
                  <w:tcBorders>
                    <w:top w:val="single" w:color="auto" w:sz="12" w:space="0"/>
                    <w:left w:val="nil"/>
                    <w:bottom w:val="single" w:color="auto" w:sz="2" w:space="0"/>
                    <w:right w:val="single" w:color="auto" w:sz="2" w:space="0"/>
                  </w:tcBorders>
                  <w:noWrap w:val="0"/>
                  <w:vAlign w:val="center"/>
                </w:tcPr>
                <w:p w14:paraId="24BB617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bCs/>
                      <w:color w:val="auto"/>
                      <w:sz w:val="21"/>
                      <w:szCs w:val="21"/>
                    </w:rPr>
                  </w:pPr>
                </w:p>
              </w:tc>
              <w:tc>
                <w:tcPr>
                  <w:tcW w:w="777" w:type="pct"/>
                  <w:vMerge w:val="continue"/>
                  <w:tcBorders>
                    <w:top w:val="single" w:color="auto" w:sz="12" w:space="0"/>
                    <w:left w:val="single" w:color="auto" w:sz="2" w:space="0"/>
                    <w:bottom w:val="single" w:color="auto" w:sz="2" w:space="0"/>
                    <w:right w:val="single" w:color="auto" w:sz="2" w:space="0"/>
                  </w:tcBorders>
                  <w:noWrap w:val="0"/>
                  <w:vAlign w:val="center"/>
                </w:tcPr>
                <w:p w14:paraId="598C7FC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bCs/>
                      <w:color w:val="auto"/>
                      <w:sz w:val="21"/>
                      <w:szCs w:val="21"/>
                    </w:rPr>
                  </w:pPr>
                </w:p>
              </w:tc>
              <w:tc>
                <w:tcPr>
                  <w:tcW w:w="378" w:type="pct"/>
                  <w:tcBorders>
                    <w:top w:val="single" w:color="auto" w:sz="2" w:space="0"/>
                    <w:left w:val="single" w:color="auto" w:sz="2" w:space="0"/>
                    <w:bottom w:val="single" w:color="auto" w:sz="2" w:space="0"/>
                    <w:right w:val="single" w:color="auto" w:sz="2" w:space="0"/>
                  </w:tcBorders>
                  <w:noWrap w:val="0"/>
                  <w:vAlign w:val="center"/>
                </w:tcPr>
                <w:p w14:paraId="193338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Ⅰ</w:t>
                  </w:r>
                </w:p>
              </w:tc>
              <w:tc>
                <w:tcPr>
                  <w:tcW w:w="378" w:type="pct"/>
                  <w:tcBorders>
                    <w:top w:val="single" w:color="auto" w:sz="2" w:space="0"/>
                    <w:left w:val="single" w:color="auto" w:sz="2" w:space="0"/>
                    <w:bottom w:val="single" w:color="auto" w:sz="2" w:space="0"/>
                    <w:right w:val="single" w:color="auto" w:sz="2" w:space="0"/>
                  </w:tcBorders>
                  <w:noWrap w:val="0"/>
                  <w:vAlign w:val="center"/>
                </w:tcPr>
                <w:p w14:paraId="69783F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Ⅱ</w:t>
                  </w:r>
                </w:p>
              </w:tc>
              <w:tc>
                <w:tcPr>
                  <w:tcW w:w="380" w:type="pct"/>
                  <w:tcBorders>
                    <w:top w:val="single" w:color="auto" w:sz="2" w:space="0"/>
                    <w:left w:val="single" w:color="auto" w:sz="2" w:space="0"/>
                    <w:bottom w:val="single" w:color="auto" w:sz="2" w:space="0"/>
                    <w:right w:val="single" w:color="auto" w:sz="2" w:space="0"/>
                  </w:tcBorders>
                  <w:noWrap w:val="0"/>
                  <w:vAlign w:val="center"/>
                </w:tcPr>
                <w:p w14:paraId="5291A0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2DDE09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Ⅰ</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2355F2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Ⅱ</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005038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4D6537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Ⅰ</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532461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Ⅱ</w:t>
                  </w:r>
                </w:p>
              </w:tc>
              <w:tc>
                <w:tcPr>
                  <w:tcW w:w="378" w:type="pct"/>
                  <w:tcBorders>
                    <w:top w:val="single" w:color="auto" w:sz="2" w:space="0"/>
                    <w:left w:val="single" w:color="auto" w:sz="2" w:space="0"/>
                    <w:bottom w:val="single" w:color="auto" w:sz="2" w:space="0"/>
                    <w:right w:val="nil"/>
                  </w:tcBorders>
                  <w:noWrap w:val="0"/>
                  <w:vAlign w:val="center"/>
                </w:tcPr>
                <w:p w14:paraId="4C3CC3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w:t>
                  </w:r>
                </w:p>
              </w:tc>
            </w:tr>
            <w:tr w14:paraId="391188C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814" w:type="pct"/>
                  <w:vMerge w:val="restart"/>
                  <w:tcBorders>
                    <w:top w:val="single" w:color="auto" w:sz="2" w:space="0"/>
                    <w:left w:val="nil"/>
                    <w:bottom w:val="single" w:color="auto" w:sz="2" w:space="0"/>
                    <w:right w:val="single" w:color="auto" w:sz="2" w:space="0"/>
                  </w:tcBorders>
                  <w:noWrap w:val="0"/>
                  <w:vAlign w:val="center"/>
                </w:tcPr>
                <w:p w14:paraId="67B2E1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w:t>
                  </w:r>
                </w:p>
              </w:tc>
              <w:tc>
                <w:tcPr>
                  <w:tcW w:w="777" w:type="pct"/>
                  <w:tcBorders>
                    <w:top w:val="single" w:color="auto" w:sz="2" w:space="0"/>
                    <w:left w:val="single" w:color="auto" w:sz="2" w:space="0"/>
                    <w:bottom w:val="single" w:color="auto" w:sz="2" w:space="0"/>
                    <w:right w:val="single" w:color="auto" w:sz="2" w:space="0"/>
                  </w:tcBorders>
                  <w:noWrap w:val="0"/>
                  <w:vAlign w:val="center"/>
                </w:tcPr>
                <w:p w14:paraId="4E5C7C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&lt;2</w:t>
                  </w:r>
                </w:p>
              </w:tc>
              <w:tc>
                <w:tcPr>
                  <w:tcW w:w="378" w:type="pct"/>
                  <w:tcBorders>
                    <w:top w:val="single" w:color="auto" w:sz="2" w:space="0"/>
                    <w:left w:val="single" w:color="auto" w:sz="2" w:space="0"/>
                    <w:bottom w:val="single" w:color="auto" w:sz="2" w:space="0"/>
                    <w:right w:val="single" w:color="auto" w:sz="2" w:space="0"/>
                  </w:tcBorders>
                  <w:noWrap w:val="0"/>
                  <w:vAlign w:val="center"/>
                </w:tcPr>
                <w:p w14:paraId="2D6C51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378" w:type="pct"/>
                  <w:tcBorders>
                    <w:top w:val="single" w:color="auto" w:sz="2" w:space="0"/>
                    <w:left w:val="single" w:color="auto" w:sz="2" w:space="0"/>
                    <w:bottom w:val="single" w:color="auto" w:sz="2" w:space="0"/>
                    <w:right w:val="single" w:color="auto" w:sz="2" w:space="0"/>
                  </w:tcBorders>
                  <w:noWrap w:val="0"/>
                  <w:vAlign w:val="center"/>
                </w:tcPr>
                <w:p w14:paraId="31948A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380" w:type="pct"/>
                  <w:tcBorders>
                    <w:top w:val="single" w:color="auto" w:sz="2" w:space="0"/>
                    <w:left w:val="single" w:color="auto" w:sz="2" w:space="0"/>
                    <w:bottom w:val="single" w:color="auto" w:sz="2" w:space="0"/>
                    <w:right w:val="single" w:color="auto" w:sz="2" w:space="0"/>
                  </w:tcBorders>
                  <w:noWrap w:val="0"/>
                  <w:vAlign w:val="center"/>
                </w:tcPr>
                <w:p w14:paraId="52C083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24A51A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28447C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5F0331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41FCFB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4FE2CD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378" w:type="pct"/>
                  <w:tcBorders>
                    <w:top w:val="single" w:color="auto" w:sz="2" w:space="0"/>
                    <w:left w:val="single" w:color="auto" w:sz="2" w:space="0"/>
                    <w:bottom w:val="single" w:color="auto" w:sz="2" w:space="0"/>
                    <w:right w:val="nil"/>
                  </w:tcBorders>
                  <w:noWrap w:val="0"/>
                  <w:vAlign w:val="center"/>
                </w:tcPr>
                <w:p w14:paraId="29F9E6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r>
            <w:tr w14:paraId="1EA9DB6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814" w:type="pct"/>
                  <w:vMerge w:val="continue"/>
                  <w:tcBorders>
                    <w:top w:val="single" w:color="auto" w:sz="2" w:space="0"/>
                    <w:left w:val="nil"/>
                    <w:bottom w:val="single" w:color="auto" w:sz="2" w:space="0"/>
                    <w:right w:val="single" w:color="auto" w:sz="2" w:space="0"/>
                  </w:tcBorders>
                  <w:shd w:val="clear" w:color="auto" w:fill="auto"/>
                  <w:noWrap w:val="0"/>
                  <w:vAlign w:val="center"/>
                </w:tcPr>
                <w:p w14:paraId="08A7063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rPr>
                  </w:pPr>
                </w:p>
              </w:tc>
              <w:tc>
                <w:tcPr>
                  <w:tcW w:w="777" w:type="pct"/>
                  <w:tcBorders>
                    <w:top w:val="single" w:color="auto" w:sz="2" w:space="0"/>
                    <w:left w:val="single" w:color="auto" w:sz="2" w:space="0"/>
                    <w:bottom w:val="single" w:color="auto" w:sz="2" w:space="0"/>
                    <w:right w:val="single" w:color="auto" w:sz="2" w:space="0"/>
                  </w:tcBorders>
                  <w:shd w:val="clear" w:color="auto" w:fill="auto"/>
                  <w:noWrap w:val="0"/>
                  <w:vAlign w:val="center"/>
                </w:tcPr>
                <w:p w14:paraId="1AED2A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78" w:type="pct"/>
                  <w:tcBorders>
                    <w:top w:val="single" w:color="auto" w:sz="2" w:space="0"/>
                    <w:left w:val="single" w:color="auto" w:sz="2" w:space="0"/>
                    <w:bottom w:val="single" w:color="auto" w:sz="2" w:space="0"/>
                    <w:right w:val="single" w:color="auto" w:sz="2" w:space="0"/>
                  </w:tcBorders>
                  <w:shd w:val="clear" w:color="auto" w:fill="auto"/>
                  <w:noWrap w:val="0"/>
                  <w:vAlign w:val="center"/>
                </w:tcPr>
                <w:p w14:paraId="2B3A1B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700</w:t>
                  </w:r>
                </w:p>
              </w:tc>
              <w:tc>
                <w:tcPr>
                  <w:tcW w:w="378" w:type="pct"/>
                  <w:tcBorders>
                    <w:top w:val="single" w:color="auto" w:sz="2" w:space="0"/>
                    <w:left w:val="single" w:color="auto" w:sz="2" w:space="0"/>
                    <w:bottom w:val="single" w:color="auto" w:sz="2" w:space="0"/>
                    <w:right w:val="single" w:color="auto" w:sz="2" w:space="0"/>
                  </w:tcBorders>
                  <w:shd w:val="clear" w:color="auto" w:fill="B3B3B3"/>
                  <w:noWrap w:val="0"/>
                  <w:vAlign w:val="center"/>
                </w:tcPr>
                <w:p w14:paraId="1E6F75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470</w:t>
                  </w:r>
                </w:p>
              </w:tc>
              <w:tc>
                <w:tcPr>
                  <w:tcW w:w="380" w:type="pct"/>
                  <w:tcBorders>
                    <w:top w:val="single" w:color="auto" w:sz="2" w:space="0"/>
                    <w:left w:val="single" w:color="auto" w:sz="2" w:space="0"/>
                    <w:bottom w:val="single" w:color="auto" w:sz="2" w:space="0"/>
                    <w:right w:val="single" w:color="auto" w:sz="2" w:space="0"/>
                  </w:tcBorders>
                  <w:noWrap w:val="0"/>
                  <w:vAlign w:val="center"/>
                </w:tcPr>
                <w:p w14:paraId="21223B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350</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2FB657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700</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466652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470</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7B46FA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350</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3C9142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380</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3956C8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c>
                <w:tcPr>
                  <w:tcW w:w="378" w:type="pct"/>
                  <w:tcBorders>
                    <w:top w:val="single" w:color="auto" w:sz="2" w:space="0"/>
                    <w:left w:val="single" w:color="auto" w:sz="2" w:space="0"/>
                    <w:bottom w:val="single" w:color="auto" w:sz="2" w:space="0"/>
                    <w:right w:val="nil"/>
                  </w:tcBorders>
                  <w:noWrap w:val="0"/>
                  <w:vAlign w:val="center"/>
                </w:tcPr>
                <w:p w14:paraId="101638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190</w:t>
                  </w:r>
                </w:p>
              </w:tc>
            </w:tr>
            <w:tr w14:paraId="037B0AD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814" w:type="pct"/>
                  <w:vMerge w:val="continue"/>
                  <w:tcBorders>
                    <w:top w:val="single" w:color="auto" w:sz="2" w:space="0"/>
                    <w:left w:val="nil"/>
                    <w:bottom w:val="single" w:color="auto" w:sz="2" w:space="0"/>
                    <w:right w:val="single" w:color="auto" w:sz="2" w:space="0"/>
                  </w:tcBorders>
                  <w:noWrap w:val="0"/>
                  <w:vAlign w:val="center"/>
                </w:tcPr>
                <w:p w14:paraId="65D7ED1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rPr>
                  </w:pPr>
                </w:p>
              </w:tc>
              <w:tc>
                <w:tcPr>
                  <w:tcW w:w="777" w:type="pct"/>
                  <w:tcBorders>
                    <w:top w:val="single" w:color="auto" w:sz="2" w:space="0"/>
                    <w:left w:val="single" w:color="auto" w:sz="2" w:space="0"/>
                    <w:bottom w:val="single" w:color="auto" w:sz="2" w:space="0"/>
                    <w:right w:val="single" w:color="auto" w:sz="2" w:space="0"/>
                  </w:tcBorders>
                  <w:noWrap w:val="0"/>
                  <w:vAlign w:val="center"/>
                </w:tcPr>
                <w:p w14:paraId="4A1CE9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&gt;4</w:t>
                  </w:r>
                </w:p>
              </w:tc>
              <w:tc>
                <w:tcPr>
                  <w:tcW w:w="378" w:type="pct"/>
                  <w:tcBorders>
                    <w:top w:val="single" w:color="auto" w:sz="2" w:space="0"/>
                    <w:left w:val="single" w:color="auto" w:sz="2" w:space="0"/>
                    <w:bottom w:val="single" w:color="auto" w:sz="2" w:space="0"/>
                    <w:right w:val="single" w:color="auto" w:sz="2" w:space="0"/>
                  </w:tcBorders>
                  <w:noWrap w:val="0"/>
                  <w:vAlign w:val="center"/>
                </w:tcPr>
                <w:p w14:paraId="143B52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530</w:t>
                  </w:r>
                </w:p>
              </w:tc>
              <w:tc>
                <w:tcPr>
                  <w:tcW w:w="378" w:type="pct"/>
                  <w:tcBorders>
                    <w:top w:val="single" w:color="auto" w:sz="2" w:space="0"/>
                    <w:left w:val="single" w:color="auto" w:sz="2" w:space="0"/>
                    <w:bottom w:val="single" w:color="auto" w:sz="2" w:space="0"/>
                    <w:right w:val="single" w:color="auto" w:sz="2" w:space="0"/>
                  </w:tcBorders>
                  <w:noWrap w:val="0"/>
                  <w:vAlign w:val="center"/>
                </w:tcPr>
                <w:p w14:paraId="24A185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350</w:t>
                  </w:r>
                </w:p>
              </w:tc>
              <w:tc>
                <w:tcPr>
                  <w:tcW w:w="380" w:type="pct"/>
                  <w:tcBorders>
                    <w:top w:val="single" w:color="auto" w:sz="2" w:space="0"/>
                    <w:left w:val="single" w:color="auto" w:sz="2" w:space="0"/>
                    <w:bottom w:val="single" w:color="auto" w:sz="2" w:space="0"/>
                    <w:right w:val="single" w:color="auto" w:sz="2" w:space="0"/>
                  </w:tcBorders>
                  <w:noWrap w:val="0"/>
                  <w:vAlign w:val="center"/>
                </w:tcPr>
                <w:p w14:paraId="58E074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7EA038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530</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5C5B68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350</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0F8403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1FFCE9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290</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086709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190</w:t>
                  </w:r>
                </w:p>
              </w:tc>
              <w:tc>
                <w:tcPr>
                  <w:tcW w:w="378" w:type="pct"/>
                  <w:tcBorders>
                    <w:top w:val="single" w:color="auto" w:sz="2" w:space="0"/>
                    <w:left w:val="single" w:color="auto" w:sz="2" w:space="0"/>
                    <w:bottom w:val="single" w:color="auto" w:sz="2" w:space="0"/>
                    <w:right w:val="nil"/>
                  </w:tcBorders>
                  <w:noWrap w:val="0"/>
                  <w:vAlign w:val="center"/>
                </w:tcPr>
                <w:p w14:paraId="2A5C71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w:t>
                  </w:r>
                </w:p>
              </w:tc>
            </w:tr>
            <w:tr w14:paraId="14C9E07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814" w:type="pct"/>
                  <w:vMerge w:val="restart"/>
                  <w:tcBorders>
                    <w:top w:val="single" w:color="auto" w:sz="2" w:space="0"/>
                    <w:left w:val="nil"/>
                    <w:bottom w:val="single" w:color="auto" w:sz="2" w:space="0"/>
                    <w:right w:val="single" w:color="auto" w:sz="2" w:space="0"/>
                  </w:tcBorders>
                  <w:noWrap w:val="0"/>
                  <w:vAlign w:val="center"/>
                </w:tcPr>
                <w:p w14:paraId="650A8E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w:t>
                  </w:r>
                </w:p>
              </w:tc>
              <w:tc>
                <w:tcPr>
                  <w:tcW w:w="777" w:type="pct"/>
                  <w:tcBorders>
                    <w:top w:val="single" w:color="auto" w:sz="2" w:space="0"/>
                    <w:left w:val="single" w:color="auto" w:sz="2" w:space="0"/>
                    <w:bottom w:val="single" w:color="auto" w:sz="2" w:space="0"/>
                    <w:right w:val="single" w:color="auto" w:sz="2" w:space="0"/>
                  </w:tcBorders>
                  <w:noWrap w:val="0"/>
                  <w:vAlign w:val="center"/>
                </w:tcPr>
                <w:p w14:paraId="048709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&lt;2</w:t>
                  </w:r>
                </w:p>
              </w:tc>
              <w:tc>
                <w:tcPr>
                  <w:tcW w:w="1136" w:type="pct"/>
                  <w:gridSpan w:val="3"/>
                  <w:tcBorders>
                    <w:top w:val="single" w:color="auto" w:sz="2" w:space="0"/>
                    <w:left w:val="single" w:color="auto" w:sz="2" w:space="0"/>
                    <w:bottom w:val="single" w:color="auto" w:sz="2" w:space="0"/>
                    <w:right w:val="single" w:color="auto" w:sz="2" w:space="0"/>
                  </w:tcBorders>
                  <w:noWrap w:val="0"/>
                  <w:vAlign w:val="center"/>
                </w:tcPr>
                <w:p w14:paraId="4B5E0D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1138" w:type="pct"/>
                  <w:gridSpan w:val="3"/>
                  <w:tcBorders>
                    <w:top w:val="single" w:color="auto" w:sz="2" w:space="0"/>
                    <w:left w:val="single" w:color="auto" w:sz="2" w:space="0"/>
                    <w:bottom w:val="single" w:color="auto" w:sz="2" w:space="0"/>
                    <w:right w:val="single" w:color="auto" w:sz="2" w:space="0"/>
                  </w:tcBorders>
                  <w:noWrap w:val="0"/>
                  <w:vAlign w:val="center"/>
                </w:tcPr>
                <w:p w14:paraId="7A5DB3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0.015</w:t>
                  </w:r>
                </w:p>
              </w:tc>
              <w:tc>
                <w:tcPr>
                  <w:tcW w:w="1136" w:type="pct"/>
                  <w:gridSpan w:val="3"/>
                  <w:tcBorders>
                    <w:top w:val="single" w:color="auto" w:sz="2" w:space="0"/>
                    <w:left w:val="single" w:color="auto" w:sz="2" w:space="0"/>
                    <w:bottom w:val="single" w:color="auto" w:sz="2" w:space="0"/>
                    <w:right w:val="nil"/>
                  </w:tcBorders>
                  <w:noWrap w:val="0"/>
                  <w:vAlign w:val="center"/>
                </w:tcPr>
                <w:p w14:paraId="5FE641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0.015</w:t>
                  </w:r>
                </w:p>
              </w:tc>
            </w:tr>
            <w:tr w14:paraId="687DE55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814" w:type="pct"/>
                  <w:vMerge w:val="continue"/>
                  <w:tcBorders>
                    <w:top w:val="single" w:color="auto" w:sz="2" w:space="0"/>
                    <w:left w:val="nil"/>
                    <w:bottom w:val="single" w:color="auto" w:sz="2" w:space="0"/>
                    <w:right w:val="single" w:color="auto" w:sz="2" w:space="0"/>
                  </w:tcBorders>
                  <w:shd w:val="clear" w:color="auto" w:fill="auto"/>
                  <w:noWrap w:val="0"/>
                  <w:vAlign w:val="center"/>
                </w:tcPr>
                <w:p w14:paraId="15A6E42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rPr>
                  </w:pPr>
                </w:p>
              </w:tc>
              <w:tc>
                <w:tcPr>
                  <w:tcW w:w="777" w:type="pct"/>
                  <w:tcBorders>
                    <w:top w:val="single" w:color="auto" w:sz="2" w:space="0"/>
                    <w:left w:val="single" w:color="auto" w:sz="2" w:space="0"/>
                    <w:bottom w:val="single" w:color="auto" w:sz="2" w:space="0"/>
                    <w:right w:val="single" w:color="auto" w:sz="2" w:space="0"/>
                  </w:tcBorders>
                  <w:shd w:val="clear" w:color="auto" w:fill="auto"/>
                  <w:noWrap w:val="0"/>
                  <w:vAlign w:val="center"/>
                </w:tcPr>
                <w:p w14:paraId="595EFA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B3B3B3"/>
                  <w:noWrap w:val="0"/>
                  <w:vAlign w:val="center"/>
                </w:tcPr>
                <w:p w14:paraId="279322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0.021</w:t>
                  </w:r>
                </w:p>
              </w:tc>
              <w:tc>
                <w:tcPr>
                  <w:tcW w:w="1138" w:type="pct"/>
                  <w:gridSpan w:val="3"/>
                  <w:tcBorders>
                    <w:top w:val="single" w:color="auto" w:sz="2" w:space="0"/>
                    <w:left w:val="single" w:color="auto" w:sz="2" w:space="0"/>
                    <w:bottom w:val="single" w:color="auto" w:sz="2" w:space="0"/>
                    <w:right w:val="single" w:color="auto" w:sz="2" w:space="0"/>
                  </w:tcBorders>
                  <w:noWrap w:val="0"/>
                  <w:vAlign w:val="center"/>
                </w:tcPr>
                <w:p w14:paraId="3A1668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0.036</w:t>
                  </w:r>
                </w:p>
              </w:tc>
              <w:tc>
                <w:tcPr>
                  <w:tcW w:w="1136" w:type="pct"/>
                  <w:gridSpan w:val="3"/>
                  <w:tcBorders>
                    <w:top w:val="single" w:color="auto" w:sz="2" w:space="0"/>
                    <w:left w:val="single" w:color="auto" w:sz="2" w:space="0"/>
                    <w:bottom w:val="single" w:color="auto" w:sz="2" w:space="0"/>
                    <w:right w:val="nil"/>
                  </w:tcBorders>
                  <w:noWrap w:val="0"/>
                  <w:vAlign w:val="center"/>
                </w:tcPr>
                <w:p w14:paraId="2781AD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0.036</w:t>
                  </w:r>
                </w:p>
              </w:tc>
            </w:tr>
            <w:tr w14:paraId="35C4E77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814" w:type="pct"/>
                  <w:vMerge w:val="restart"/>
                  <w:tcBorders>
                    <w:top w:val="single" w:color="auto" w:sz="2" w:space="0"/>
                    <w:left w:val="nil"/>
                    <w:bottom w:val="single" w:color="auto" w:sz="2" w:space="0"/>
                    <w:right w:val="single" w:color="auto" w:sz="2" w:space="0"/>
                  </w:tcBorders>
                  <w:noWrap w:val="0"/>
                  <w:vAlign w:val="center"/>
                </w:tcPr>
                <w:p w14:paraId="06A0B8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p>
              </w:tc>
              <w:tc>
                <w:tcPr>
                  <w:tcW w:w="777" w:type="pct"/>
                  <w:tcBorders>
                    <w:top w:val="single" w:color="auto" w:sz="2" w:space="0"/>
                    <w:left w:val="single" w:color="auto" w:sz="2" w:space="0"/>
                    <w:bottom w:val="single" w:color="auto" w:sz="2" w:space="0"/>
                    <w:right w:val="single" w:color="auto" w:sz="2" w:space="0"/>
                  </w:tcBorders>
                  <w:noWrap w:val="0"/>
                  <w:vAlign w:val="center"/>
                </w:tcPr>
                <w:p w14:paraId="77AC1A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&lt;2</w:t>
                  </w:r>
                </w:p>
              </w:tc>
              <w:tc>
                <w:tcPr>
                  <w:tcW w:w="1136" w:type="pct"/>
                  <w:gridSpan w:val="3"/>
                  <w:tcBorders>
                    <w:top w:val="single" w:color="auto" w:sz="2" w:space="0"/>
                    <w:left w:val="single" w:color="auto" w:sz="2" w:space="0"/>
                    <w:bottom w:val="single" w:color="auto" w:sz="2" w:space="0"/>
                    <w:right w:val="single" w:color="auto" w:sz="2" w:space="0"/>
                  </w:tcBorders>
                  <w:noWrap w:val="0"/>
                  <w:vAlign w:val="center"/>
                </w:tcPr>
                <w:p w14:paraId="5AD292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1.85</w:t>
                  </w:r>
                </w:p>
              </w:tc>
              <w:tc>
                <w:tcPr>
                  <w:tcW w:w="1138" w:type="pct"/>
                  <w:gridSpan w:val="3"/>
                  <w:tcBorders>
                    <w:top w:val="single" w:color="auto" w:sz="2" w:space="0"/>
                    <w:left w:val="single" w:color="auto" w:sz="2" w:space="0"/>
                    <w:bottom w:val="single" w:color="auto" w:sz="2" w:space="0"/>
                    <w:right w:val="single" w:color="auto" w:sz="2" w:space="0"/>
                  </w:tcBorders>
                  <w:noWrap w:val="0"/>
                  <w:vAlign w:val="center"/>
                </w:tcPr>
                <w:p w14:paraId="770B80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1.79</w:t>
                  </w:r>
                </w:p>
              </w:tc>
              <w:tc>
                <w:tcPr>
                  <w:tcW w:w="1136" w:type="pct"/>
                  <w:gridSpan w:val="3"/>
                  <w:tcBorders>
                    <w:top w:val="single" w:color="auto" w:sz="2" w:space="0"/>
                    <w:left w:val="single" w:color="auto" w:sz="2" w:space="0"/>
                    <w:bottom w:val="single" w:color="auto" w:sz="2" w:space="0"/>
                    <w:right w:val="nil"/>
                  </w:tcBorders>
                  <w:noWrap w:val="0"/>
                  <w:vAlign w:val="center"/>
                </w:tcPr>
                <w:p w14:paraId="73FD08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1.79</w:t>
                  </w:r>
                </w:p>
              </w:tc>
            </w:tr>
            <w:tr w14:paraId="461DF8F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814" w:type="pct"/>
                  <w:vMerge w:val="continue"/>
                  <w:tcBorders>
                    <w:top w:val="single" w:color="auto" w:sz="2" w:space="0"/>
                    <w:left w:val="nil"/>
                    <w:bottom w:val="single" w:color="auto" w:sz="2" w:space="0"/>
                    <w:right w:val="single" w:color="auto" w:sz="2" w:space="0"/>
                  </w:tcBorders>
                  <w:shd w:val="clear" w:color="auto" w:fill="auto"/>
                  <w:noWrap w:val="0"/>
                  <w:vAlign w:val="center"/>
                </w:tcPr>
                <w:p w14:paraId="3895DD0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rPr>
                  </w:pPr>
                </w:p>
              </w:tc>
              <w:tc>
                <w:tcPr>
                  <w:tcW w:w="777" w:type="pct"/>
                  <w:tcBorders>
                    <w:top w:val="single" w:color="auto" w:sz="2" w:space="0"/>
                    <w:left w:val="single" w:color="auto" w:sz="2" w:space="0"/>
                    <w:bottom w:val="single" w:color="auto" w:sz="2" w:space="0"/>
                    <w:right w:val="single" w:color="auto" w:sz="2" w:space="0"/>
                  </w:tcBorders>
                  <w:shd w:val="clear" w:color="auto" w:fill="auto"/>
                  <w:noWrap w:val="0"/>
                  <w:vAlign w:val="center"/>
                </w:tcPr>
                <w:p w14:paraId="1F848F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B3B3B3"/>
                  <w:noWrap w:val="0"/>
                  <w:vAlign w:val="center"/>
                </w:tcPr>
                <w:p w14:paraId="1D20B2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1.85</w:t>
                  </w:r>
                </w:p>
              </w:tc>
              <w:tc>
                <w:tcPr>
                  <w:tcW w:w="1138" w:type="pct"/>
                  <w:gridSpan w:val="3"/>
                  <w:tcBorders>
                    <w:top w:val="single" w:color="auto" w:sz="2" w:space="0"/>
                    <w:left w:val="single" w:color="auto" w:sz="2" w:space="0"/>
                    <w:bottom w:val="single" w:color="auto" w:sz="2" w:space="0"/>
                    <w:right w:val="single" w:color="auto" w:sz="2" w:space="0"/>
                  </w:tcBorders>
                  <w:noWrap w:val="0"/>
                  <w:vAlign w:val="center"/>
                </w:tcPr>
                <w:p w14:paraId="651A6D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1.77</w:t>
                  </w:r>
                </w:p>
              </w:tc>
              <w:tc>
                <w:tcPr>
                  <w:tcW w:w="1136" w:type="pct"/>
                  <w:gridSpan w:val="3"/>
                  <w:tcBorders>
                    <w:top w:val="single" w:color="auto" w:sz="2" w:space="0"/>
                    <w:left w:val="single" w:color="auto" w:sz="2" w:space="0"/>
                    <w:bottom w:val="single" w:color="auto" w:sz="2" w:space="0"/>
                    <w:right w:val="nil"/>
                  </w:tcBorders>
                  <w:noWrap w:val="0"/>
                  <w:vAlign w:val="center"/>
                </w:tcPr>
                <w:p w14:paraId="78EF00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1.77</w:t>
                  </w:r>
                </w:p>
              </w:tc>
            </w:tr>
            <w:tr w14:paraId="398B003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814" w:type="pct"/>
                  <w:vMerge w:val="restart"/>
                  <w:tcBorders>
                    <w:top w:val="single" w:color="auto" w:sz="2" w:space="0"/>
                    <w:left w:val="nil"/>
                    <w:bottom w:val="single" w:color="auto" w:sz="2" w:space="0"/>
                    <w:right w:val="single" w:color="auto" w:sz="2" w:space="0"/>
                  </w:tcBorders>
                  <w:noWrap w:val="0"/>
                  <w:vAlign w:val="center"/>
                </w:tcPr>
                <w:p w14:paraId="24754D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w:t>
                  </w:r>
                </w:p>
              </w:tc>
              <w:tc>
                <w:tcPr>
                  <w:tcW w:w="777" w:type="pct"/>
                  <w:tcBorders>
                    <w:top w:val="single" w:color="auto" w:sz="2" w:space="0"/>
                    <w:left w:val="single" w:color="auto" w:sz="2" w:space="0"/>
                    <w:bottom w:val="single" w:color="auto" w:sz="2" w:space="0"/>
                    <w:right w:val="single" w:color="auto" w:sz="2" w:space="0"/>
                  </w:tcBorders>
                  <w:noWrap w:val="0"/>
                  <w:vAlign w:val="center"/>
                </w:tcPr>
                <w:p w14:paraId="32DDCE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&lt;2</w:t>
                  </w:r>
                </w:p>
              </w:tc>
              <w:tc>
                <w:tcPr>
                  <w:tcW w:w="1136" w:type="pct"/>
                  <w:gridSpan w:val="3"/>
                  <w:tcBorders>
                    <w:top w:val="single" w:color="auto" w:sz="2" w:space="0"/>
                    <w:left w:val="single" w:color="auto" w:sz="2" w:space="0"/>
                    <w:bottom w:val="single" w:color="auto" w:sz="2" w:space="0"/>
                    <w:right w:val="single" w:color="auto" w:sz="2" w:space="0"/>
                  </w:tcBorders>
                  <w:noWrap w:val="0"/>
                  <w:vAlign w:val="center"/>
                </w:tcPr>
                <w:p w14:paraId="590FC3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0.78</w:t>
                  </w:r>
                </w:p>
              </w:tc>
              <w:tc>
                <w:tcPr>
                  <w:tcW w:w="1138" w:type="pct"/>
                  <w:gridSpan w:val="3"/>
                  <w:tcBorders>
                    <w:top w:val="single" w:color="auto" w:sz="2" w:space="0"/>
                    <w:left w:val="single" w:color="auto" w:sz="2" w:space="0"/>
                    <w:bottom w:val="single" w:color="auto" w:sz="2" w:space="0"/>
                    <w:right w:val="single" w:color="auto" w:sz="2" w:space="0"/>
                  </w:tcBorders>
                  <w:noWrap w:val="0"/>
                  <w:vAlign w:val="center"/>
                </w:tcPr>
                <w:p w14:paraId="2E2334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0.78</w:t>
                  </w:r>
                </w:p>
              </w:tc>
              <w:tc>
                <w:tcPr>
                  <w:tcW w:w="1136" w:type="pct"/>
                  <w:gridSpan w:val="3"/>
                  <w:tcBorders>
                    <w:top w:val="single" w:color="auto" w:sz="2" w:space="0"/>
                    <w:left w:val="single" w:color="auto" w:sz="2" w:space="0"/>
                    <w:bottom w:val="single" w:color="auto" w:sz="2" w:space="0"/>
                    <w:right w:val="nil"/>
                  </w:tcBorders>
                  <w:noWrap w:val="0"/>
                  <w:vAlign w:val="center"/>
                </w:tcPr>
                <w:p w14:paraId="584C00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0.57</w:t>
                  </w:r>
                </w:p>
              </w:tc>
            </w:tr>
            <w:tr w14:paraId="29DBE90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814" w:type="pct"/>
                  <w:vMerge w:val="continue"/>
                  <w:tcBorders>
                    <w:top w:val="single" w:color="auto" w:sz="2" w:space="0"/>
                    <w:left w:val="nil"/>
                    <w:bottom w:val="single" w:color="auto" w:sz="2" w:space="0"/>
                    <w:right w:val="single" w:color="auto" w:sz="2" w:space="0"/>
                  </w:tcBorders>
                  <w:shd w:val="clear" w:color="auto" w:fill="auto"/>
                  <w:noWrap w:val="0"/>
                  <w:vAlign w:val="center"/>
                </w:tcPr>
                <w:p w14:paraId="7AC64E3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rPr>
                  </w:pPr>
                </w:p>
              </w:tc>
              <w:tc>
                <w:tcPr>
                  <w:tcW w:w="777" w:type="pct"/>
                  <w:tcBorders>
                    <w:top w:val="single" w:color="auto" w:sz="2" w:space="0"/>
                    <w:left w:val="single" w:color="auto" w:sz="2" w:space="0"/>
                    <w:bottom w:val="single" w:color="auto" w:sz="2" w:space="0"/>
                    <w:right w:val="single" w:color="auto" w:sz="2" w:space="0"/>
                  </w:tcBorders>
                  <w:shd w:val="clear" w:color="auto" w:fill="auto"/>
                  <w:noWrap w:val="0"/>
                  <w:vAlign w:val="center"/>
                </w:tcPr>
                <w:p w14:paraId="5D8846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B3B3B3"/>
                  <w:noWrap w:val="0"/>
                  <w:vAlign w:val="center"/>
                </w:tcPr>
                <w:p w14:paraId="566F66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0.84</w:t>
                  </w:r>
                </w:p>
              </w:tc>
              <w:tc>
                <w:tcPr>
                  <w:tcW w:w="1138" w:type="pct"/>
                  <w:gridSpan w:val="3"/>
                  <w:tcBorders>
                    <w:top w:val="single" w:color="auto" w:sz="2" w:space="0"/>
                    <w:left w:val="single" w:color="auto" w:sz="2" w:space="0"/>
                    <w:bottom w:val="single" w:color="auto" w:sz="2" w:space="0"/>
                    <w:right w:val="single" w:color="auto" w:sz="2" w:space="0"/>
                  </w:tcBorders>
                  <w:noWrap w:val="0"/>
                  <w:vAlign w:val="center"/>
                </w:tcPr>
                <w:p w14:paraId="0F40B0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0.84</w:t>
                  </w:r>
                </w:p>
              </w:tc>
              <w:tc>
                <w:tcPr>
                  <w:tcW w:w="1136" w:type="pct"/>
                  <w:gridSpan w:val="3"/>
                  <w:tcBorders>
                    <w:top w:val="single" w:color="auto" w:sz="2" w:space="0"/>
                    <w:left w:val="single" w:color="auto" w:sz="2" w:space="0"/>
                    <w:bottom w:val="single" w:color="auto" w:sz="2" w:space="0"/>
                    <w:right w:val="nil"/>
                  </w:tcBorders>
                  <w:noWrap w:val="0"/>
                  <w:vAlign w:val="center"/>
                </w:tcPr>
                <w:p w14:paraId="4DD374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0.76</w:t>
                  </w:r>
                </w:p>
              </w:tc>
            </w:tr>
            <w:tr w14:paraId="0FF32D6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5000" w:type="pct"/>
                  <w:gridSpan w:val="11"/>
                  <w:tcBorders>
                    <w:top w:val="single" w:color="auto" w:sz="2" w:space="0"/>
                    <w:left w:val="nil"/>
                    <w:bottom w:val="single" w:color="auto" w:sz="12" w:space="0"/>
                    <w:right w:val="single" w:color="auto" w:sz="2" w:space="0"/>
                  </w:tcBorders>
                  <w:noWrap w:val="0"/>
                  <w:vAlign w:val="center"/>
                </w:tcPr>
                <w:p w14:paraId="25CC7D1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注：</w:t>
                  </w:r>
                  <w:r>
                    <w:rPr>
                      <w:rFonts w:hint="default" w:ascii="Times New Roman" w:hAnsi="Times New Roman" w:eastAsia="宋体" w:cs="Times New Roman"/>
                      <w:color w:val="auto"/>
                      <w:sz w:val="21"/>
                      <w:szCs w:val="21"/>
                    </w:rPr>
                    <w:t>Ⅰ类：与无组织排放源共存的排放同种有害气体的排气筒的排放量，大于或等于标准规定的允许排放量的1/3者。</w:t>
                  </w:r>
                </w:p>
                <w:p w14:paraId="05556B3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Ⅱ类：与无组织排放源共存的排放同种有害气体的排气筒的排放量，小于规准规定的允许排放量的1/3，或虽无排放同种大气污染物之排气筒共存，但无组织排放的有害物质的容许浓度指标是按急性反应指标确定者。</w:t>
                  </w:r>
                </w:p>
                <w:p w14:paraId="36F219E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1"/>
                      <w:szCs w:val="21"/>
                    </w:rPr>
                    <w:t>Ⅲ类：无排放同种有害物质的排气筒与无组织排放源共存，但无组织排放的有害物质的容许浓度是按慢性反应指标确定者。</w:t>
                  </w:r>
                </w:p>
              </w:tc>
            </w:tr>
          </w:tbl>
          <w:p w14:paraId="60B54CD5">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制定地方大气污染物排放标准的技术方法》（GB/T39449-2020），卫生防护距离在100m以内时，级差为50m；超过100m，但小于或等于1000m时，级差为100m；超过1000m时，级差为200m。当按两种或两种以上的有害气体的Q/Cm值计算的卫生防护距离在同一级别时，该类工业企业的卫生防护距离级别应提高一级。</w:t>
            </w:r>
          </w:p>
          <w:p w14:paraId="71CF6325">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经计算，本项目卫生防护距离计算结果见表4</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13</w:t>
            </w:r>
            <w:r>
              <w:rPr>
                <w:rFonts w:hint="default" w:ascii="Times New Roman" w:hAnsi="Times New Roman" w:eastAsia="宋体" w:cs="Times New Roman"/>
                <w:color w:val="auto"/>
                <w:sz w:val="24"/>
                <w:szCs w:val="24"/>
              </w:rPr>
              <w:t>。</w:t>
            </w:r>
          </w:p>
          <w:p w14:paraId="6EC2603F">
            <w:pPr>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w:t>
            </w:r>
            <w:r>
              <w:rPr>
                <w:rFonts w:hint="eastAsia" w:cs="Times New Roman"/>
                <w:b/>
                <w:bCs/>
                <w:color w:val="auto"/>
                <w:sz w:val="21"/>
                <w:szCs w:val="21"/>
                <w:lang w:val="en-US" w:eastAsia="zh-CN"/>
              </w:rPr>
              <w:t>13</w:t>
            </w:r>
            <w:r>
              <w:rPr>
                <w:rFonts w:hint="default" w:ascii="Times New Roman" w:hAnsi="Times New Roman" w:eastAsia="宋体" w:cs="Times New Roman"/>
                <w:b/>
                <w:bCs/>
                <w:color w:val="auto"/>
                <w:sz w:val="21"/>
                <w:szCs w:val="21"/>
                <w:lang w:val="en-US" w:eastAsia="zh-CN"/>
              </w:rPr>
              <w:t xml:space="preserve">  卫生防护距离计算结果表</w:t>
            </w:r>
          </w:p>
          <w:tbl>
            <w:tblPr>
              <w:tblStyle w:val="17"/>
              <w:tblW w:w="491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
            <w:tblGrid>
              <w:gridCol w:w="566"/>
              <w:gridCol w:w="651"/>
              <w:gridCol w:w="1016"/>
              <w:gridCol w:w="865"/>
              <w:gridCol w:w="1197"/>
              <w:gridCol w:w="530"/>
              <w:gridCol w:w="677"/>
              <w:gridCol w:w="573"/>
              <w:gridCol w:w="591"/>
              <w:gridCol w:w="800"/>
              <w:gridCol w:w="800"/>
              <w:gridCol w:w="801"/>
            </w:tblGrid>
            <w:tr w14:paraId="186D6EE2">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c>
                <w:tcPr>
                  <w:tcW w:w="312" w:type="pct"/>
                  <w:vMerge w:val="restart"/>
                  <w:noWrap w:val="0"/>
                  <w:vAlign w:val="center"/>
                </w:tcPr>
                <w:p w14:paraId="45A7ECF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面源</w:t>
                  </w:r>
                </w:p>
                <w:p w14:paraId="7A960A9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359" w:type="pct"/>
                  <w:vMerge w:val="restart"/>
                  <w:noWrap w:val="0"/>
                  <w:vAlign w:val="center"/>
                </w:tcPr>
                <w:p w14:paraId="31CEBC6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560" w:type="pct"/>
                  <w:vMerge w:val="restart"/>
                  <w:noWrap w:val="0"/>
                  <w:vAlign w:val="center"/>
                </w:tcPr>
                <w:p w14:paraId="54E7889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Qc</w:t>
                  </w:r>
                </w:p>
                <w:p w14:paraId="616FED3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color w:val="auto"/>
                      <w:sz w:val="21"/>
                      <w:szCs w:val="21"/>
                    </w:rPr>
                    <w:t>（kg/h）</w:t>
                  </w:r>
                </w:p>
              </w:tc>
              <w:tc>
                <w:tcPr>
                  <w:tcW w:w="477" w:type="pct"/>
                  <w:vMerge w:val="restart"/>
                  <w:noWrap w:val="0"/>
                  <w:vAlign w:val="center"/>
                </w:tcPr>
                <w:p w14:paraId="2A035C3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面源面积（m</w:t>
                  </w:r>
                  <w:r>
                    <w:rPr>
                      <w:rFonts w:hint="default" w:ascii="Times New Roman" w:hAnsi="Times New Roman" w:eastAsia="宋体" w:cs="Times New Roman"/>
                      <w:b/>
                      <w:bCs/>
                      <w:color w:val="auto"/>
                      <w:sz w:val="21"/>
                      <w:szCs w:val="21"/>
                      <w:vertAlign w:val="superscript"/>
                    </w:rPr>
                    <w:t>2</w:t>
                  </w:r>
                  <w:r>
                    <w:rPr>
                      <w:rFonts w:hint="default" w:ascii="Times New Roman" w:hAnsi="Times New Roman" w:eastAsia="宋体" w:cs="Times New Roman"/>
                      <w:b/>
                      <w:bCs/>
                      <w:color w:val="auto"/>
                      <w:sz w:val="21"/>
                      <w:szCs w:val="21"/>
                    </w:rPr>
                    <w:t>）</w:t>
                  </w:r>
                </w:p>
              </w:tc>
              <w:tc>
                <w:tcPr>
                  <w:tcW w:w="1967" w:type="pct"/>
                  <w:gridSpan w:val="5"/>
                  <w:noWrap w:val="0"/>
                  <w:vAlign w:val="center"/>
                </w:tcPr>
                <w:p w14:paraId="67235A5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计算参数</w:t>
                  </w:r>
                </w:p>
              </w:tc>
              <w:tc>
                <w:tcPr>
                  <w:tcW w:w="1323" w:type="pct"/>
                  <w:gridSpan w:val="3"/>
                  <w:noWrap w:val="0"/>
                  <w:vAlign w:val="center"/>
                </w:tcPr>
                <w:p w14:paraId="18F564A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卫生防护距离</w:t>
                  </w:r>
                </w:p>
              </w:tc>
            </w:tr>
            <w:tr w14:paraId="6267FE4C">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c>
                <w:tcPr>
                  <w:tcW w:w="312" w:type="pct"/>
                  <w:vMerge w:val="continue"/>
                  <w:tcBorders>
                    <w:bottom w:val="single" w:color="auto" w:sz="4" w:space="0"/>
                  </w:tcBorders>
                  <w:noWrap w:val="0"/>
                  <w:vAlign w:val="center"/>
                </w:tcPr>
                <w:p w14:paraId="667A57C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p>
              </w:tc>
              <w:tc>
                <w:tcPr>
                  <w:tcW w:w="359" w:type="pct"/>
                  <w:vMerge w:val="continue"/>
                  <w:noWrap w:val="0"/>
                  <w:vAlign w:val="center"/>
                </w:tcPr>
                <w:p w14:paraId="58474E1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p>
              </w:tc>
              <w:tc>
                <w:tcPr>
                  <w:tcW w:w="560" w:type="pct"/>
                  <w:vMerge w:val="continue"/>
                  <w:noWrap w:val="0"/>
                  <w:vAlign w:val="center"/>
                </w:tcPr>
                <w:p w14:paraId="0B68CA3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p>
              </w:tc>
              <w:tc>
                <w:tcPr>
                  <w:tcW w:w="477" w:type="pct"/>
                  <w:vMerge w:val="continue"/>
                  <w:noWrap w:val="0"/>
                  <w:vAlign w:val="center"/>
                </w:tcPr>
                <w:p w14:paraId="0364AD7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p>
              </w:tc>
              <w:tc>
                <w:tcPr>
                  <w:tcW w:w="660" w:type="pct"/>
                  <w:noWrap w:val="0"/>
                  <w:vAlign w:val="center"/>
                </w:tcPr>
                <w:p w14:paraId="72449DD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Cm（mg/m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292" w:type="pct"/>
                  <w:noWrap w:val="0"/>
                  <w:vAlign w:val="center"/>
                </w:tcPr>
                <w:p w14:paraId="131849E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A</w:t>
                  </w:r>
                </w:p>
              </w:tc>
              <w:tc>
                <w:tcPr>
                  <w:tcW w:w="373" w:type="pct"/>
                  <w:noWrap w:val="0"/>
                  <w:vAlign w:val="center"/>
                </w:tcPr>
                <w:p w14:paraId="7BC7AA0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B</w:t>
                  </w:r>
                </w:p>
              </w:tc>
              <w:tc>
                <w:tcPr>
                  <w:tcW w:w="316" w:type="pct"/>
                  <w:noWrap w:val="0"/>
                  <w:vAlign w:val="center"/>
                </w:tcPr>
                <w:p w14:paraId="7909EBD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C</w:t>
                  </w:r>
                </w:p>
              </w:tc>
              <w:tc>
                <w:tcPr>
                  <w:tcW w:w="325" w:type="pct"/>
                  <w:noWrap w:val="0"/>
                  <w:vAlign w:val="center"/>
                </w:tcPr>
                <w:p w14:paraId="31BC266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D</w:t>
                  </w:r>
                </w:p>
              </w:tc>
              <w:tc>
                <w:tcPr>
                  <w:tcW w:w="441" w:type="pct"/>
                  <w:noWrap w:val="0"/>
                  <w:vAlign w:val="center"/>
                </w:tcPr>
                <w:p w14:paraId="019C18D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L计（m）</w:t>
                  </w:r>
                </w:p>
              </w:tc>
              <w:tc>
                <w:tcPr>
                  <w:tcW w:w="441" w:type="pct"/>
                  <w:noWrap w:val="0"/>
                  <w:vAlign w:val="center"/>
                </w:tcPr>
                <w:p w14:paraId="1360F8C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L卫（m）</w:t>
                  </w:r>
                </w:p>
              </w:tc>
              <w:tc>
                <w:tcPr>
                  <w:tcW w:w="441" w:type="pct"/>
                  <w:noWrap w:val="0"/>
                  <w:vAlign w:val="center"/>
                </w:tcPr>
                <w:p w14:paraId="3C1E939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L</w:t>
                  </w:r>
                  <w:r>
                    <w:rPr>
                      <w:rFonts w:hint="default" w:ascii="Times New Roman" w:hAnsi="Times New Roman" w:eastAsia="宋体" w:cs="Times New Roman"/>
                      <w:b/>
                      <w:bCs/>
                      <w:color w:val="auto"/>
                      <w:sz w:val="21"/>
                      <w:szCs w:val="21"/>
                      <w:lang w:val="en-US" w:eastAsia="zh-CN"/>
                    </w:rPr>
                    <w:t>总</w:t>
                  </w:r>
                  <w:r>
                    <w:rPr>
                      <w:rFonts w:hint="default" w:ascii="Times New Roman" w:hAnsi="Times New Roman" w:eastAsia="宋体" w:cs="Times New Roman"/>
                      <w:b/>
                      <w:bCs/>
                      <w:color w:val="auto"/>
                      <w:sz w:val="21"/>
                      <w:szCs w:val="21"/>
                    </w:rPr>
                    <w:t>（m）</w:t>
                  </w:r>
                </w:p>
              </w:tc>
            </w:tr>
            <w:tr w14:paraId="13CFD6C8">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c>
                <w:tcPr>
                  <w:tcW w:w="312" w:type="pct"/>
                  <w:tcBorders>
                    <w:top w:val="single" w:color="auto" w:sz="4" w:space="0"/>
                  </w:tcBorders>
                  <w:noWrap w:val="0"/>
                  <w:vAlign w:val="center"/>
                </w:tcPr>
                <w:p w14:paraId="024A340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p>
              </w:tc>
              <w:tc>
                <w:tcPr>
                  <w:tcW w:w="359" w:type="pct"/>
                  <w:noWrap w:val="0"/>
                  <w:vAlign w:val="center"/>
                </w:tcPr>
                <w:p w14:paraId="046754A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sz w:val="21"/>
                      <w:szCs w:val="21"/>
                      <w:lang w:val="en-US"/>
                    </w:rPr>
                  </w:pPr>
                  <w:r>
                    <w:rPr>
                      <w:rFonts w:hint="eastAsia" w:ascii="宋体" w:hAnsi="宋体" w:eastAsia="宋体" w:cs="宋体"/>
                      <w:i w:val="0"/>
                      <w:iCs w:val="0"/>
                      <w:snapToGrid w:val="0"/>
                      <w:color w:val="auto"/>
                      <w:kern w:val="0"/>
                      <w:sz w:val="21"/>
                      <w:szCs w:val="21"/>
                      <w:u w:val="none"/>
                      <w:lang w:val="en-US" w:eastAsia="zh-CN" w:bidi="ar"/>
                    </w:rPr>
                    <w:t>非甲烷总烃</w:t>
                  </w:r>
                </w:p>
              </w:tc>
              <w:tc>
                <w:tcPr>
                  <w:tcW w:w="560" w:type="pct"/>
                  <w:noWrap w:val="0"/>
                  <w:vAlign w:val="center"/>
                </w:tcPr>
                <w:p w14:paraId="1D80175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cs="Times New Roman"/>
                      <w:i w:val="0"/>
                      <w:iCs w:val="0"/>
                      <w:snapToGrid w:val="0"/>
                      <w:color w:val="auto"/>
                      <w:kern w:val="0"/>
                      <w:sz w:val="21"/>
                      <w:szCs w:val="21"/>
                      <w:u w:val="none"/>
                      <w:lang w:val="en-US" w:eastAsia="zh-CN" w:bidi="ar"/>
                    </w:rPr>
                    <w:t>0.0164</w:t>
                  </w:r>
                </w:p>
              </w:tc>
              <w:tc>
                <w:tcPr>
                  <w:tcW w:w="477" w:type="pct"/>
                  <w:noWrap w:val="0"/>
                  <w:vAlign w:val="center"/>
                </w:tcPr>
                <w:p w14:paraId="487C688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cs="Times New Roman"/>
                      <w:i w:val="0"/>
                      <w:iCs w:val="0"/>
                      <w:snapToGrid w:val="0"/>
                      <w:color w:val="auto"/>
                      <w:kern w:val="0"/>
                      <w:sz w:val="21"/>
                      <w:szCs w:val="21"/>
                      <w:u w:val="none"/>
                      <w:lang w:val="en-US" w:eastAsia="zh-CN" w:bidi="ar"/>
                    </w:rPr>
                    <w:t>1080</w:t>
                  </w:r>
                </w:p>
              </w:tc>
              <w:tc>
                <w:tcPr>
                  <w:tcW w:w="660" w:type="pct"/>
                  <w:noWrap w:val="0"/>
                  <w:vAlign w:val="center"/>
                </w:tcPr>
                <w:p w14:paraId="1443EC8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2.0</w:t>
                  </w:r>
                </w:p>
              </w:tc>
              <w:tc>
                <w:tcPr>
                  <w:tcW w:w="292" w:type="pct"/>
                  <w:noWrap w:val="0"/>
                  <w:vAlign w:val="center"/>
                </w:tcPr>
                <w:p w14:paraId="6F2133B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470</w:t>
                  </w:r>
                </w:p>
              </w:tc>
              <w:tc>
                <w:tcPr>
                  <w:tcW w:w="373" w:type="pct"/>
                  <w:noWrap w:val="0"/>
                  <w:vAlign w:val="center"/>
                </w:tcPr>
                <w:p w14:paraId="5BB4E22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0.021</w:t>
                  </w:r>
                </w:p>
              </w:tc>
              <w:tc>
                <w:tcPr>
                  <w:tcW w:w="316" w:type="pct"/>
                  <w:noWrap w:val="0"/>
                  <w:vAlign w:val="center"/>
                </w:tcPr>
                <w:p w14:paraId="14653EA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1.85</w:t>
                  </w:r>
                </w:p>
              </w:tc>
              <w:tc>
                <w:tcPr>
                  <w:tcW w:w="325" w:type="pct"/>
                  <w:noWrap w:val="0"/>
                  <w:vAlign w:val="center"/>
                </w:tcPr>
                <w:p w14:paraId="13BA960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0.84</w:t>
                  </w:r>
                </w:p>
              </w:tc>
              <w:tc>
                <w:tcPr>
                  <w:tcW w:w="441" w:type="pct"/>
                  <w:noWrap w:val="0"/>
                  <w:vAlign w:val="center"/>
                </w:tcPr>
                <w:p w14:paraId="7347562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0.35</w:t>
                  </w:r>
                </w:p>
              </w:tc>
              <w:tc>
                <w:tcPr>
                  <w:tcW w:w="441" w:type="pct"/>
                  <w:noWrap w:val="0"/>
                  <w:vAlign w:val="center"/>
                </w:tcPr>
                <w:p w14:paraId="74A33E2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441" w:type="pct"/>
                  <w:noWrap w:val="0"/>
                  <w:vAlign w:val="center"/>
                </w:tcPr>
                <w:p w14:paraId="6E1A3AA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r>
          </w:tbl>
          <w:p w14:paraId="72BCB3AC">
            <w:pPr>
              <w:ind w:firstLine="480" w:firstLineChars="200"/>
              <w:rPr>
                <w:rFonts w:hint="eastAsia" w:eastAsia="宋体"/>
                <w:b/>
                <w:bCs/>
                <w:color w:val="auto"/>
                <w:sz w:val="24"/>
                <w:szCs w:val="24"/>
                <w:lang w:val="en-US" w:eastAsia="zh-CN"/>
              </w:rPr>
            </w:pPr>
            <w:r>
              <w:rPr>
                <w:rFonts w:hint="default" w:ascii="Times New Roman" w:hAnsi="Times New Roman" w:eastAsia="宋体" w:cs="Times New Roman"/>
                <w:color w:val="auto"/>
                <w:sz w:val="24"/>
                <w:szCs w:val="24"/>
              </w:rPr>
              <w:t>根据《大气有害物质无组织排放卫生防护距离推导技术导则》（GB/T 39499-2020）</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考虑到本项目还存在未定量分析的颗粒物、</w:t>
            </w:r>
            <w:r>
              <w:rPr>
                <w:rFonts w:hint="eastAsia"/>
                <w:color w:val="auto"/>
                <w:sz w:val="24"/>
                <w:szCs w:val="24"/>
              </w:rPr>
              <w:t>苯乙烯、1,3-丁二烯</w:t>
            </w:r>
            <w:r>
              <w:rPr>
                <w:rFonts w:hint="eastAsia"/>
                <w:color w:val="auto"/>
                <w:sz w:val="24"/>
                <w:szCs w:val="24"/>
                <w:lang w:eastAsia="zh-CN"/>
              </w:rPr>
              <w:t>、</w:t>
            </w:r>
            <w:r>
              <w:rPr>
                <w:rFonts w:hint="eastAsia"/>
                <w:color w:val="auto"/>
                <w:sz w:val="24"/>
                <w:szCs w:val="24"/>
              </w:rPr>
              <w:t>丙烯腈、甲苯、乙苯</w:t>
            </w:r>
            <w:r>
              <w:rPr>
                <w:rFonts w:hint="eastAsia"/>
                <w:color w:val="auto"/>
                <w:sz w:val="24"/>
                <w:szCs w:val="24"/>
                <w:lang w:eastAsia="zh-CN"/>
              </w:rPr>
              <w:t>、</w:t>
            </w:r>
            <w:r>
              <w:rPr>
                <w:rFonts w:hint="eastAsia"/>
                <w:color w:val="auto"/>
                <w:sz w:val="24"/>
                <w:szCs w:val="24"/>
              </w:rPr>
              <w:t>氯苯类、酚类、二氯甲烷</w:t>
            </w:r>
            <w:r>
              <w:rPr>
                <w:rFonts w:hint="eastAsia"/>
                <w:color w:val="auto"/>
                <w:sz w:val="24"/>
                <w:szCs w:val="24"/>
                <w:lang w:eastAsia="zh-CN"/>
              </w:rPr>
              <w:t>、</w:t>
            </w:r>
            <w:r>
              <w:rPr>
                <w:rFonts w:hint="eastAsia"/>
                <w:color w:val="auto"/>
                <w:sz w:val="24"/>
                <w:szCs w:val="24"/>
              </w:rPr>
              <w:t>氨</w:t>
            </w:r>
            <w:r>
              <w:rPr>
                <w:rFonts w:hint="eastAsia"/>
                <w:color w:val="auto"/>
                <w:sz w:val="24"/>
                <w:szCs w:val="24"/>
                <w:lang w:val="en-US" w:eastAsia="zh-CN"/>
              </w:rPr>
              <w:t>等污染物，</w:t>
            </w:r>
            <w:r>
              <w:rPr>
                <w:rFonts w:hint="default" w:ascii="Times New Roman" w:hAnsi="Times New Roman" w:eastAsia="宋体" w:cs="Times New Roman"/>
                <w:color w:val="auto"/>
                <w:sz w:val="24"/>
                <w:szCs w:val="24"/>
              </w:rPr>
              <w:t>确定本项目卫生防护距离是以</w:t>
            </w:r>
            <w:r>
              <w:rPr>
                <w:rFonts w:hint="eastAsia" w:ascii="Times New Roman" w:hAnsi="Times New Roman" w:eastAsia="宋体" w:cs="Times New Roman"/>
                <w:color w:val="auto"/>
                <w:sz w:val="24"/>
                <w:szCs w:val="24"/>
                <w:lang w:val="en-US" w:eastAsia="zh-CN"/>
              </w:rPr>
              <w:t>生产</w:t>
            </w:r>
            <w:r>
              <w:rPr>
                <w:rFonts w:hint="default" w:ascii="Times New Roman" w:hAnsi="Times New Roman" w:eastAsia="宋体" w:cs="Times New Roman"/>
                <w:color w:val="auto"/>
                <w:sz w:val="24"/>
                <w:szCs w:val="24"/>
                <w:lang w:val="en-US" w:eastAsia="zh-CN"/>
              </w:rPr>
              <w:t>车间</w:t>
            </w:r>
            <w:r>
              <w:rPr>
                <w:rFonts w:hint="default" w:ascii="Times New Roman" w:hAnsi="Times New Roman" w:eastAsia="宋体" w:cs="Times New Roman"/>
                <w:color w:val="auto"/>
                <w:sz w:val="24"/>
                <w:szCs w:val="24"/>
              </w:rPr>
              <w:t>为边界外扩</w:t>
            </w:r>
            <w:r>
              <w:rPr>
                <w:rFonts w:hint="eastAsia" w:cs="Times New Roman"/>
                <w:color w:val="auto"/>
                <w:sz w:val="24"/>
                <w:szCs w:val="24"/>
                <w:lang w:val="en-US" w:eastAsia="zh-CN"/>
              </w:rPr>
              <w:t>10</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米范围</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经实地勘察，项目卫生防护距离内目前无居住、医院、学校等环境敏感点，将来也不得建设环境敏感点，以避免环境纠纷。</w:t>
            </w:r>
          </w:p>
          <w:p w14:paraId="08B5863B">
            <w:pPr>
              <w:ind w:firstLine="0" w:firstLineChars="0"/>
              <w:rPr>
                <w:rFonts w:hint="eastAsia"/>
                <w:b/>
                <w:bCs/>
                <w:color w:val="auto"/>
                <w:sz w:val="24"/>
                <w:szCs w:val="24"/>
                <w:lang w:val="en-US" w:eastAsia="zh-CN"/>
              </w:rPr>
            </w:pPr>
            <w:r>
              <w:rPr>
                <w:rFonts w:hint="eastAsia"/>
                <w:b/>
                <w:bCs/>
                <w:color w:val="auto"/>
                <w:sz w:val="24"/>
                <w:szCs w:val="24"/>
                <w:lang w:val="en-US" w:eastAsia="zh-CN"/>
              </w:rPr>
              <w:t>2.6环境监测计划</w:t>
            </w:r>
          </w:p>
          <w:p w14:paraId="5C3E2C28">
            <w:pPr>
              <w:ind w:firstLine="480" w:firstLineChars="200"/>
              <w:rPr>
                <w:rFonts w:hint="eastAsia"/>
                <w:b/>
                <w:bCs/>
                <w:color w:val="auto"/>
                <w:sz w:val="24"/>
                <w:szCs w:val="24"/>
                <w:lang w:val="en-US" w:eastAsia="zh-CN"/>
              </w:rPr>
            </w:pPr>
            <w:r>
              <w:rPr>
                <w:rFonts w:hint="default" w:ascii="Times New Roman" w:hAnsi="Times New Roman" w:eastAsia="宋体" w:cs="Times New Roman"/>
                <w:color w:val="auto"/>
                <w:sz w:val="24"/>
                <w:highlight w:val="none"/>
                <w:shd w:val="clear" w:color="auto" w:fill="auto"/>
                <w:lang w:val="en-US" w:eastAsia="zh-CN"/>
              </w:rPr>
              <w:t>参照《排污单位自行监测技术指南总则》（HJ819-2017）</w:t>
            </w:r>
            <w:r>
              <w:rPr>
                <w:rFonts w:hint="default" w:ascii="Times New Roman" w:hAnsi="Times New Roman" w:eastAsia="宋体" w:cs="Times New Roman"/>
                <w:color w:val="auto"/>
                <w:sz w:val="24"/>
                <w:szCs w:val="24"/>
                <w:highlight w:val="none"/>
                <w:shd w:val="clear" w:color="auto" w:fill="auto"/>
                <w:lang w:val="en-US" w:eastAsia="zh-CN"/>
              </w:rPr>
              <w:t>、《排污许可证申请与核发技术规范 总则》（HJ 942-2018）</w:t>
            </w:r>
            <w:r>
              <w:rPr>
                <w:rFonts w:hint="default" w:ascii="Times New Roman" w:hAnsi="Times New Roman" w:eastAsia="宋体" w:cs="Times New Roman"/>
                <w:color w:val="auto"/>
                <w:sz w:val="24"/>
                <w:highlight w:val="none"/>
                <w:shd w:val="clear" w:color="auto" w:fill="auto"/>
                <w:lang w:val="en-US" w:eastAsia="zh-CN"/>
              </w:rPr>
              <w:t>中相关要求，项目废气自行监测方案见下表。</w:t>
            </w:r>
          </w:p>
          <w:p w14:paraId="190774BA">
            <w:pPr>
              <w:adjustRightInd w:val="0"/>
              <w:snapToGrid w:val="0"/>
              <w:jc w:val="center"/>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1"/>
                <w:highlight w:val="none"/>
              </w:rPr>
              <w:t>表</w:t>
            </w:r>
            <w:r>
              <w:rPr>
                <w:rFonts w:hint="eastAsia" w:cs="Times New Roman"/>
                <w:b/>
                <w:bCs/>
                <w:color w:val="auto"/>
                <w:sz w:val="21"/>
                <w:highlight w:val="none"/>
                <w:lang w:val="en-US" w:eastAsia="zh-CN"/>
              </w:rPr>
              <w:t>4.2</w:t>
            </w:r>
            <w:r>
              <w:rPr>
                <w:rFonts w:hint="default" w:ascii="Times New Roman" w:hAnsi="Times New Roman" w:eastAsia="宋体" w:cs="Times New Roman"/>
                <w:b/>
                <w:bCs/>
                <w:color w:val="auto"/>
                <w:sz w:val="21"/>
                <w:highlight w:val="none"/>
              </w:rPr>
              <w:t>-</w:t>
            </w:r>
            <w:r>
              <w:rPr>
                <w:rFonts w:hint="default" w:ascii="Times New Roman" w:hAnsi="Times New Roman" w:eastAsia="宋体" w:cs="Times New Roman"/>
                <w:b/>
                <w:bCs/>
                <w:color w:val="auto"/>
                <w:sz w:val="21"/>
                <w:highlight w:val="none"/>
                <w:lang w:val="en-US" w:eastAsia="zh-CN"/>
              </w:rPr>
              <w:t>1</w:t>
            </w:r>
            <w:r>
              <w:rPr>
                <w:rFonts w:hint="eastAsia" w:cs="Times New Roman"/>
                <w:b/>
                <w:bCs/>
                <w:color w:val="auto"/>
                <w:sz w:val="21"/>
                <w:highlight w:val="none"/>
                <w:lang w:val="en-US" w:eastAsia="zh-CN"/>
              </w:rPr>
              <w:t>4</w:t>
            </w:r>
            <w:r>
              <w:rPr>
                <w:rFonts w:hint="default" w:ascii="Times New Roman" w:hAnsi="Times New Roman" w:eastAsia="宋体" w:cs="Times New Roman"/>
                <w:b/>
                <w:bCs/>
                <w:color w:val="auto"/>
                <w:sz w:val="21"/>
                <w:highlight w:val="none"/>
              </w:rPr>
              <w:t xml:space="preserve">  建设项目运营期废气监测计划表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80"/>
              <w:gridCol w:w="680"/>
              <w:gridCol w:w="1365"/>
              <w:gridCol w:w="1182"/>
              <w:gridCol w:w="877"/>
              <w:gridCol w:w="2869"/>
              <w:gridCol w:w="809"/>
              <w:gridCol w:w="764"/>
            </w:tblGrid>
            <w:tr w14:paraId="1B8BBD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68" w:type="pct"/>
                  <w:tcBorders>
                    <w:tl2br w:val="nil"/>
                    <w:tr2bl w:val="nil"/>
                  </w:tcBorders>
                  <w:vAlign w:val="center"/>
                </w:tcPr>
                <w:p w14:paraId="3DB87E15">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时段</w:t>
                  </w:r>
                </w:p>
              </w:tc>
              <w:tc>
                <w:tcPr>
                  <w:tcW w:w="368" w:type="pct"/>
                  <w:tcBorders>
                    <w:tl2br w:val="nil"/>
                    <w:tr2bl w:val="nil"/>
                  </w:tcBorders>
                  <w:shd w:val="clear" w:color="auto" w:fill="auto"/>
                  <w:vAlign w:val="center"/>
                </w:tcPr>
                <w:p w14:paraId="5CBB4F77">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类别</w:t>
                  </w:r>
                </w:p>
              </w:tc>
              <w:tc>
                <w:tcPr>
                  <w:tcW w:w="739" w:type="pct"/>
                  <w:tcBorders>
                    <w:tl2br w:val="nil"/>
                    <w:tr2bl w:val="nil"/>
                  </w:tcBorders>
                  <w:shd w:val="clear" w:color="auto" w:fill="auto"/>
                  <w:vAlign w:val="center"/>
                </w:tcPr>
                <w:p w14:paraId="08020B58">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监测位置</w:t>
                  </w:r>
                </w:p>
              </w:tc>
              <w:tc>
                <w:tcPr>
                  <w:tcW w:w="640" w:type="pct"/>
                  <w:tcBorders>
                    <w:tl2br w:val="nil"/>
                    <w:tr2bl w:val="nil"/>
                  </w:tcBorders>
                  <w:shd w:val="clear" w:color="auto" w:fill="auto"/>
                  <w:vAlign w:val="center"/>
                </w:tcPr>
                <w:p w14:paraId="5D578EBB">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监测项目</w:t>
                  </w:r>
                </w:p>
              </w:tc>
              <w:tc>
                <w:tcPr>
                  <w:tcW w:w="475" w:type="pct"/>
                  <w:tcBorders>
                    <w:tl2br w:val="nil"/>
                    <w:tr2bl w:val="nil"/>
                  </w:tcBorders>
                  <w:shd w:val="clear" w:color="auto" w:fill="auto"/>
                  <w:vAlign w:val="center"/>
                </w:tcPr>
                <w:p w14:paraId="49C1C460">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监测频率</w:t>
                  </w:r>
                </w:p>
              </w:tc>
              <w:tc>
                <w:tcPr>
                  <w:tcW w:w="1554" w:type="pct"/>
                  <w:tcBorders>
                    <w:tl2br w:val="nil"/>
                    <w:tr2bl w:val="nil"/>
                  </w:tcBorders>
                  <w:vAlign w:val="center"/>
                </w:tcPr>
                <w:p w14:paraId="146060EA">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执行标准</w:t>
                  </w:r>
                </w:p>
              </w:tc>
              <w:tc>
                <w:tcPr>
                  <w:tcW w:w="438" w:type="pct"/>
                  <w:tcBorders>
                    <w:tl2br w:val="nil"/>
                    <w:tr2bl w:val="nil"/>
                  </w:tcBorders>
                  <w:shd w:val="clear" w:color="auto" w:fill="auto"/>
                  <w:vAlign w:val="center"/>
                </w:tcPr>
                <w:p w14:paraId="38F898B8">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监测方法</w:t>
                  </w:r>
                </w:p>
              </w:tc>
              <w:tc>
                <w:tcPr>
                  <w:tcW w:w="414" w:type="pct"/>
                  <w:tcBorders>
                    <w:tl2br w:val="nil"/>
                    <w:tr2bl w:val="nil"/>
                  </w:tcBorders>
                  <w:vAlign w:val="center"/>
                </w:tcPr>
                <w:p w14:paraId="35D14A96">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依据</w:t>
                  </w:r>
                </w:p>
              </w:tc>
            </w:tr>
            <w:tr w14:paraId="6155D8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jc w:val="center"/>
              </w:trPr>
              <w:tc>
                <w:tcPr>
                  <w:tcW w:w="368" w:type="pct"/>
                  <w:vMerge w:val="restart"/>
                  <w:tcBorders>
                    <w:tl2br w:val="nil"/>
                    <w:tr2bl w:val="nil"/>
                  </w:tcBorders>
                  <w:vAlign w:val="center"/>
                </w:tcPr>
                <w:p w14:paraId="10A2F261">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营运期</w:t>
                  </w:r>
                </w:p>
              </w:tc>
              <w:tc>
                <w:tcPr>
                  <w:tcW w:w="368" w:type="pct"/>
                  <w:vMerge w:val="restart"/>
                  <w:tcBorders>
                    <w:tl2br w:val="nil"/>
                    <w:tr2bl w:val="nil"/>
                  </w:tcBorders>
                  <w:shd w:val="clear" w:color="auto" w:fill="auto"/>
                  <w:vAlign w:val="center"/>
                </w:tcPr>
                <w:p w14:paraId="1BB09219">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739" w:type="pct"/>
                  <w:vMerge w:val="restart"/>
                  <w:tcBorders>
                    <w:tl2br w:val="nil"/>
                    <w:tr2bl w:val="nil"/>
                  </w:tcBorders>
                  <w:shd w:val="clear" w:color="auto" w:fill="auto"/>
                  <w:vAlign w:val="center"/>
                </w:tcPr>
                <w:p w14:paraId="4B4492FA">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DA001</w:t>
                  </w:r>
                  <w:r>
                    <w:rPr>
                      <w:rFonts w:hint="default" w:ascii="Times New Roman" w:hAnsi="Times New Roman" w:eastAsia="宋体" w:cs="Times New Roman"/>
                      <w:bCs/>
                      <w:color w:val="auto"/>
                      <w:sz w:val="21"/>
                      <w:szCs w:val="21"/>
                      <w:highlight w:val="none"/>
                      <w:lang w:val="en-US" w:eastAsia="zh-CN"/>
                    </w:rPr>
                    <w:t>排气筒</w:t>
                  </w:r>
                </w:p>
              </w:tc>
              <w:tc>
                <w:tcPr>
                  <w:tcW w:w="640" w:type="pct"/>
                  <w:tcBorders>
                    <w:tl2br w:val="nil"/>
                    <w:tr2bl w:val="nil"/>
                  </w:tcBorders>
                  <w:shd w:val="clear" w:color="auto" w:fill="auto"/>
                  <w:vAlign w:val="center"/>
                </w:tcPr>
                <w:p w14:paraId="20016A7E">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非甲烷总烃</w:t>
                  </w:r>
                </w:p>
              </w:tc>
              <w:tc>
                <w:tcPr>
                  <w:tcW w:w="475" w:type="pct"/>
                  <w:tcBorders>
                    <w:tl2br w:val="nil"/>
                    <w:tr2bl w:val="nil"/>
                  </w:tcBorders>
                  <w:shd w:val="clear" w:color="auto" w:fill="auto"/>
                  <w:vAlign w:val="center"/>
                </w:tcPr>
                <w:p w14:paraId="33C1E8A7">
                  <w:pPr>
                    <w:spacing w:line="240" w:lineRule="auto"/>
                    <w:ind w:left="-105" w:leftChars="-50" w:right="-105"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1次/年</w:t>
                  </w:r>
                </w:p>
              </w:tc>
              <w:tc>
                <w:tcPr>
                  <w:tcW w:w="1554" w:type="pct"/>
                  <w:tcBorders>
                    <w:tl2br w:val="nil"/>
                    <w:tr2bl w:val="nil"/>
                  </w:tcBorders>
                  <w:vAlign w:val="center"/>
                </w:tcPr>
                <w:p w14:paraId="06EC284A">
                  <w:pPr>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highlight w:val="none"/>
                    </w:rPr>
                    <w:t>《印刷工业大气污染物排放标准》（DB32 4438-2022）表1</w:t>
                  </w:r>
                </w:p>
              </w:tc>
              <w:tc>
                <w:tcPr>
                  <w:tcW w:w="438" w:type="pct"/>
                  <w:vMerge w:val="restart"/>
                  <w:tcBorders>
                    <w:tl2br w:val="nil"/>
                    <w:tr2bl w:val="nil"/>
                  </w:tcBorders>
                  <w:shd w:val="clear" w:color="auto" w:fill="auto"/>
                  <w:vAlign w:val="center"/>
                </w:tcPr>
                <w:p w14:paraId="183ED536">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Cs/>
                      <w:color w:val="auto"/>
                      <w:sz w:val="21"/>
                      <w:szCs w:val="21"/>
                      <w:highlight w:val="none"/>
                    </w:rPr>
                    <w:t>采用国家规定最新监测方法与标准</w:t>
                  </w:r>
                </w:p>
              </w:tc>
              <w:tc>
                <w:tcPr>
                  <w:tcW w:w="414" w:type="pct"/>
                  <w:vMerge w:val="restart"/>
                  <w:tcBorders>
                    <w:tl2br w:val="nil"/>
                    <w:tr2bl w:val="nil"/>
                  </w:tcBorders>
                  <w:vAlign w:val="center"/>
                </w:tcPr>
                <w:p w14:paraId="0C0CBD1C">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《排污单位自行监测技术指南总则》（HJ819-2017）</w:t>
                  </w:r>
                </w:p>
              </w:tc>
            </w:tr>
            <w:tr w14:paraId="4F8472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7" w:hRule="atLeast"/>
                <w:jc w:val="center"/>
              </w:trPr>
              <w:tc>
                <w:tcPr>
                  <w:tcW w:w="368" w:type="pct"/>
                  <w:vMerge w:val="continue"/>
                  <w:tcBorders>
                    <w:tl2br w:val="nil"/>
                    <w:tr2bl w:val="nil"/>
                  </w:tcBorders>
                  <w:vAlign w:val="center"/>
                </w:tcPr>
                <w:p w14:paraId="6AA2EB8E">
                  <w:pPr>
                    <w:spacing w:line="240" w:lineRule="auto"/>
                    <w:ind w:firstLine="0" w:firstLineChars="0"/>
                    <w:jc w:val="center"/>
                    <w:rPr>
                      <w:rFonts w:hint="default" w:ascii="Times New Roman" w:hAnsi="Times New Roman" w:eastAsia="宋体" w:cs="Times New Roman"/>
                      <w:bCs/>
                      <w:color w:val="auto"/>
                      <w:sz w:val="21"/>
                      <w:szCs w:val="21"/>
                      <w:highlight w:val="none"/>
                    </w:rPr>
                  </w:pPr>
                </w:p>
              </w:tc>
              <w:tc>
                <w:tcPr>
                  <w:tcW w:w="368" w:type="pct"/>
                  <w:vMerge w:val="continue"/>
                  <w:tcBorders>
                    <w:tl2br w:val="nil"/>
                    <w:tr2bl w:val="nil"/>
                  </w:tcBorders>
                  <w:shd w:val="clear" w:color="auto" w:fill="auto"/>
                  <w:vAlign w:val="center"/>
                </w:tcPr>
                <w:p w14:paraId="09708663">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39" w:type="pct"/>
                  <w:vMerge w:val="continue"/>
                  <w:tcBorders>
                    <w:tl2br w:val="nil"/>
                    <w:tr2bl w:val="nil"/>
                  </w:tcBorders>
                  <w:shd w:val="clear" w:color="auto" w:fill="auto"/>
                  <w:vAlign w:val="center"/>
                </w:tcPr>
                <w:p w14:paraId="6EF26664">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640" w:type="pct"/>
                  <w:tcBorders>
                    <w:tl2br w:val="nil"/>
                    <w:tr2bl w:val="nil"/>
                  </w:tcBorders>
                  <w:shd w:val="clear" w:color="auto" w:fill="auto"/>
                  <w:vAlign w:val="center"/>
                </w:tcPr>
                <w:p w14:paraId="081C72D8">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苯乙烯</w:t>
                  </w:r>
                </w:p>
              </w:tc>
              <w:tc>
                <w:tcPr>
                  <w:tcW w:w="475" w:type="pct"/>
                  <w:vMerge w:val="restart"/>
                  <w:tcBorders>
                    <w:tl2br w:val="nil"/>
                    <w:tr2bl w:val="nil"/>
                  </w:tcBorders>
                  <w:shd w:val="clear" w:color="auto" w:fill="auto"/>
                  <w:vAlign w:val="center"/>
                </w:tcPr>
                <w:p w14:paraId="6AC9DCF3">
                  <w:pPr>
                    <w:spacing w:line="240" w:lineRule="auto"/>
                    <w:ind w:left="-105" w:leftChars="-50" w:right="-105"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1次/年</w:t>
                  </w:r>
                </w:p>
              </w:tc>
              <w:tc>
                <w:tcPr>
                  <w:tcW w:w="1554" w:type="pct"/>
                  <w:vMerge w:val="restart"/>
                  <w:tcBorders>
                    <w:tl2br w:val="nil"/>
                    <w:tr2bl w:val="nil"/>
                  </w:tcBorders>
                  <w:shd w:val="clear" w:color="auto" w:fill="auto"/>
                  <w:vAlign w:val="center"/>
                </w:tcPr>
                <w:p w14:paraId="0509B4F6">
                  <w:pPr>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highlight w:val="none"/>
                    </w:rPr>
                    <w:t>《合成树脂工业污染物排放标准》（GB31572-2015）（含2024年修改单）表5</w:t>
                  </w:r>
                </w:p>
              </w:tc>
              <w:tc>
                <w:tcPr>
                  <w:tcW w:w="438" w:type="pct"/>
                  <w:vMerge w:val="continue"/>
                  <w:tcBorders>
                    <w:tl2br w:val="nil"/>
                    <w:tr2bl w:val="nil"/>
                  </w:tcBorders>
                  <w:shd w:val="clear" w:color="auto" w:fill="auto"/>
                  <w:vAlign w:val="center"/>
                </w:tcPr>
                <w:p w14:paraId="0149EE94">
                  <w:pPr>
                    <w:spacing w:line="240" w:lineRule="auto"/>
                    <w:ind w:firstLine="0" w:firstLineChars="0"/>
                    <w:jc w:val="center"/>
                    <w:rPr>
                      <w:rFonts w:hint="default" w:ascii="Times New Roman" w:hAnsi="Times New Roman" w:eastAsia="宋体" w:cs="Times New Roman"/>
                      <w:b/>
                      <w:color w:val="auto"/>
                      <w:sz w:val="21"/>
                      <w:szCs w:val="21"/>
                      <w:highlight w:val="none"/>
                    </w:rPr>
                  </w:pPr>
                </w:p>
              </w:tc>
              <w:tc>
                <w:tcPr>
                  <w:tcW w:w="414" w:type="pct"/>
                  <w:vMerge w:val="continue"/>
                  <w:tcBorders>
                    <w:tl2br w:val="nil"/>
                    <w:tr2bl w:val="nil"/>
                  </w:tcBorders>
                  <w:vAlign w:val="center"/>
                </w:tcPr>
                <w:p w14:paraId="3267F227">
                  <w:pPr>
                    <w:spacing w:line="240" w:lineRule="auto"/>
                    <w:ind w:firstLine="0" w:firstLineChars="0"/>
                    <w:jc w:val="center"/>
                    <w:rPr>
                      <w:rFonts w:hint="default" w:ascii="Times New Roman" w:hAnsi="Times New Roman" w:eastAsia="宋体" w:cs="Times New Roman"/>
                      <w:b/>
                      <w:color w:val="auto"/>
                      <w:sz w:val="21"/>
                      <w:szCs w:val="21"/>
                      <w:highlight w:val="none"/>
                    </w:rPr>
                  </w:pPr>
                </w:p>
              </w:tc>
            </w:tr>
            <w:tr w14:paraId="26757A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7" w:hRule="atLeast"/>
                <w:jc w:val="center"/>
              </w:trPr>
              <w:tc>
                <w:tcPr>
                  <w:tcW w:w="368" w:type="pct"/>
                  <w:vMerge w:val="continue"/>
                  <w:tcBorders>
                    <w:tl2br w:val="nil"/>
                    <w:tr2bl w:val="nil"/>
                  </w:tcBorders>
                  <w:vAlign w:val="center"/>
                </w:tcPr>
                <w:p w14:paraId="4FCBED76">
                  <w:pPr>
                    <w:spacing w:line="240" w:lineRule="auto"/>
                    <w:ind w:firstLine="0" w:firstLineChars="0"/>
                    <w:jc w:val="center"/>
                    <w:rPr>
                      <w:rFonts w:hint="default" w:ascii="Times New Roman" w:hAnsi="Times New Roman" w:eastAsia="宋体" w:cs="Times New Roman"/>
                      <w:color w:val="auto"/>
                    </w:rPr>
                  </w:pPr>
                </w:p>
              </w:tc>
              <w:tc>
                <w:tcPr>
                  <w:tcW w:w="368" w:type="pct"/>
                  <w:vMerge w:val="continue"/>
                  <w:tcBorders>
                    <w:tl2br w:val="nil"/>
                    <w:tr2bl w:val="nil"/>
                  </w:tcBorders>
                  <w:shd w:val="clear" w:color="auto" w:fill="auto"/>
                  <w:vAlign w:val="center"/>
                </w:tcPr>
                <w:p w14:paraId="18DD33D5">
                  <w:pPr>
                    <w:spacing w:line="240" w:lineRule="auto"/>
                    <w:ind w:firstLine="0" w:firstLineChars="0"/>
                    <w:jc w:val="center"/>
                    <w:rPr>
                      <w:rFonts w:hint="default" w:ascii="Times New Roman" w:hAnsi="Times New Roman" w:eastAsia="宋体" w:cs="Times New Roman"/>
                      <w:color w:val="auto"/>
                    </w:rPr>
                  </w:pPr>
                </w:p>
              </w:tc>
              <w:tc>
                <w:tcPr>
                  <w:tcW w:w="739" w:type="pct"/>
                  <w:vMerge w:val="continue"/>
                  <w:tcBorders>
                    <w:tl2br w:val="nil"/>
                    <w:tr2bl w:val="nil"/>
                  </w:tcBorders>
                  <w:shd w:val="clear" w:color="auto" w:fill="auto"/>
                  <w:vAlign w:val="center"/>
                </w:tcPr>
                <w:p w14:paraId="5826154B">
                  <w:pPr>
                    <w:spacing w:line="240" w:lineRule="auto"/>
                    <w:ind w:firstLine="0" w:firstLineChars="0"/>
                    <w:jc w:val="center"/>
                    <w:rPr>
                      <w:rFonts w:hint="default" w:ascii="Times New Roman" w:hAnsi="Times New Roman" w:eastAsia="宋体" w:cs="Times New Roman"/>
                      <w:color w:val="auto"/>
                    </w:rPr>
                  </w:pPr>
                </w:p>
              </w:tc>
              <w:tc>
                <w:tcPr>
                  <w:tcW w:w="640" w:type="pct"/>
                  <w:tcBorders>
                    <w:tl2br w:val="nil"/>
                    <w:tr2bl w:val="nil"/>
                  </w:tcBorders>
                  <w:shd w:val="clear" w:color="auto" w:fill="auto"/>
                  <w:vAlign w:val="center"/>
                </w:tcPr>
                <w:p w14:paraId="3D1B4660">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color w:val="auto"/>
                      <w:highlight w:val="none"/>
                    </w:rPr>
                    <w:t>1,3-丁二烯</w:t>
                  </w:r>
                </w:p>
              </w:tc>
              <w:tc>
                <w:tcPr>
                  <w:tcW w:w="475" w:type="pct"/>
                  <w:vMerge w:val="continue"/>
                  <w:tcBorders>
                    <w:tl2br w:val="nil"/>
                    <w:tr2bl w:val="nil"/>
                  </w:tcBorders>
                  <w:shd w:val="clear" w:color="auto" w:fill="auto"/>
                  <w:vAlign w:val="center"/>
                </w:tcPr>
                <w:p w14:paraId="42475A20">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1554" w:type="pct"/>
                  <w:vMerge w:val="continue"/>
                  <w:tcBorders>
                    <w:tl2br w:val="nil"/>
                    <w:tr2bl w:val="nil"/>
                  </w:tcBorders>
                  <w:shd w:val="clear" w:color="auto" w:fill="auto"/>
                  <w:vAlign w:val="center"/>
                </w:tcPr>
                <w:p w14:paraId="41BA5928">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438" w:type="pct"/>
                  <w:vMerge w:val="continue"/>
                  <w:tcBorders>
                    <w:tl2br w:val="nil"/>
                    <w:tr2bl w:val="nil"/>
                  </w:tcBorders>
                  <w:shd w:val="clear" w:color="auto" w:fill="auto"/>
                  <w:vAlign w:val="center"/>
                </w:tcPr>
                <w:p w14:paraId="087B8C81">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414" w:type="pct"/>
                  <w:vMerge w:val="continue"/>
                  <w:tcBorders>
                    <w:tl2br w:val="nil"/>
                    <w:tr2bl w:val="nil"/>
                  </w:tcBorders>
                  <w:vAlign w:val="center"/>
                </w:tcPr>
                <w:p w14:paraId="215F77B9">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14:paraId="7BB9C2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jc w:val="center"/>
              </w:trPr>
              <w:tc>
                <w:tcPr>
                  <w:tcW w:w="368" w:type="pct"/>
                  <w:vMerge w:val="continue"/>
                  <w:tcBorders>
                    <w:tl2br w:val="nil"/>
                    <w:tr2bl w:val="nil"/>
                  </w:tcBorders>
                  <w:vAlign w:val="center"/>
                </w:tcPr>
                <w:p w14:paraId="3A0EE14C">
                  <w:pPr>
                    <w:spacing w:line="240" w:lineRule="auto"/>
                    <w:ind w:firstLine="0" w:firstLineChars="0"/>
                    <w:jc w:val="center"/>
                    <w:rPr>
                      <w:rFonts w:hint="default" w:ascii="Times New Roman" w:hAnsi="Times New Roman" w:eastAsia="宋体" w:cs="Times New Roman"/>
                      <w:bCs/>
                      <w:color w:val="auto"/>
                      <w:sz w:val="21"/>
                      <w:szCs w:val="21"/>
                      <w:highlight w:val="none"/>
                    </w:rPr>
                  </w:pPr>
                </w:p>
              </w:tc>
              <w:tc>
                <w:tcPr>
                  <w:tcW w:w="368" w:type="pct"/>
                  <w:vMerge w:val="continue"/>
                  <w:tcBorders>
                    <w:tl2br w:val="nil"/>
                    <w:tr2bl w:val="nil"/>
                  </w:tcBorders>
                  <w:shd w:val="clear" w:color="auto" w:fill="auto"/>
                  <w:vAlign w:val="center"/>
                </w:tcPr>
                <w:p w14:paraId="46671F16">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39" w:type="pct"/>
                  <w:vMerge w:val="continue"/>
                  <w:tcBorders>
                    <w:tl2br w:val="nil"/>
                    <w:tr2bl w:val="nil"/>
                  </w:tcBorders>
                  <w:shd w:val="clear" w:color="auto" w:fill="auto"/>
                  <w:vAlign w:val="center"/>
                </w:tcPr>
                <w:p w14:paraId="71E0D89B">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640" w:type="pct"/>
                  <w:tcBorders>
                    <w:tl2br w:val="nil"/>
                    <w:tr2bl w:val="nil"/>
                  </w:tcBorders>
                  <w:shd w:val="clear" w:color="auto" w:fill="auto"/>
                  <w:vAlign w:val="center"/>
                </w:tcPr>
                <w:p w14:paraId="7635AE9C">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丙</w:t>
                  </w:r>
                  <w:r>
                    <w:rPr>
                      <w:rFonts w:hint="default" w:ascii="Times New Roman" w:hAnsi="Times New Roman" w:eastAsia="宋体" w:cs="Times New Roman"/>
                      <w:color w:val="auto"/>
                      <w:sz w:val="21"/>
                      <w:szCs w:val="21"/>
                      <w:highlight w:val="none"/>
                      <w:lang w:val="en-US" w:eastAsia="zh-CN"/>
                    </w:rPr>
                    <w:t>烯腈</w:t>
                  </w:r>
                </w:p>
              </w:tc>
              <w:tc>
                <w:tcPr>
                  <w:tcW w:w="475" w:type="pct"/>
                  <w:tcBorders>
                    <w:tl2br w:val="nil"/>
                    <w:tr2bl w:val="nil"/>
                  </w:tcBorders>
                  <w:shd w:val="clear" w:color="auto" w:fill="auto"/>
                  <w:vAlign w:val="center"/>
                </w:tcPr>
                <w:p w14:paraId="48EFE705">
                  <w:pPr>
                    <w:spacing w:line="240" w:lineRule="auto"/>
                    <w:ind w:left="-105" w:leftChars="-50" w:right="-105"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1次/年</w:t>
                  </w:r>
                </w:p>
              </w:tc>
              <w:tc>
                <w:tcPr>
                  <w:tcW w:w="1554" w:type="pct"/>
                  <w:vMerge w:val="continue"/>
                  <w:tcBorders>
                    <w:tl2br w:val="nil"/>
                    <w:tr2bl w:val="nil"/>
                  </w:tcBorders>
                  <w:shd w:val="clear" w:color="auto" w:fill="auto"/>
                  <w:vAlign w:val="center"/>
                </w:tcPr>
                <w:p w14:paraId="0B0A18FC">
                  <w:pPr>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38" w:type="pct"/>
                  <w:vMerge w:val="continue"/>
                  <w:tcBorders>
                    <w:tl2br w:val="nil"/>
                    <w:tr2bl w:val="nil"/>
                  </w:tcBorders>
                  <w:shd w:val="clear" w:color="auto" w:fill="auto"/>
                  <w:vAlign w:val="center"/>
                </w:tcPr>
                <w:p w14:paraId="450D655C">
                  <w:pPr>
                    <w:spacing w:line="240" w:lineRule="auto"/>
                    <w:ind w:firstLine="0" w:firstLineChars="0"/>
                    <w:jc w:val="center"/>
                    <w:rPr>
                      <w:rFonts w:hint="default" w:ascii="Times New Roman" w:hAnsi="Times New Roman" w:eastAsia="宋体" w:cs="Times New Roman"/>
                      <w:b/>
                      <w:color w:val="auto"/>
                      <w:sz w:val="21"/>
                      <w:szCs w:val="21"/>
                      <w:highlight w:val="none"/>
                    </w:rPr>
                  </w:pPr>
                </w:p>
              </w:tc>
              <w:tc>
                <w:tcPr>
                  <w:tcW w:w="414" w:type="pct"/>
                  <w:vMerge w:val="continue"/>
                  <w:tcBorders>
                    <w:tl2br w:val="nil"/>
                    <w:tr2bl w:val="nil"/>
                  </w:tcBorders>
                  <w:vAlign w:val="center"/>
                </w:tcPr>
                <w:p w14:paraId="07B88FA3">
                  <w:pPr>
                    <w:spacing w:line="240" w:lineRule="auto"/>
                    <w:ind w:firstLine="0" w:firstLineChars="0"/>
                    <w:jc w:val="center"/>
                    <w:rPr>
                      <w:rFonts w:hint="default" w:ascii="Times New Roman" w:hAnsi="Times New Roman" w:eastAsia="宋体" w:cs="Times New Roman"/>
                      <w:b/>
                      <w:color w:val="auto"/>
                      <w:sz w:val="21"/>
                      <w:szCs w:val="21"/>
                      <w:highlight w:val="none"/>
                    </w:rPr>
                  </w:pPr>
                </w:p>
              </w:tc>
            </w:tr>
            <w:tr w14:paraId="4266A1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8" w:type="pct"/>
                  <w:vMerge w:val="continue"/>
                  <w:tcBorders>
                    <w:tl2br w:val="nil"/>
                    <w:tr2bl w:val="nil"/>
                  </w:tcBorders>
                  <w:vAlign w:val="center"/>
                </w:tcPr>
                <w:p w14:paraId="140B9FC5">
                  <w:pPr>
                    <w:spacing w:line="240" w:lineRule="auto"/>
                    <w:ind w:firstLine="0" w:firstLineChars="0"/>
                    <w:jc w:val="center"/>
                    <w:rPr>
                      <w:rFonts w:hint="default" w:ascii="Times New Roman" w:hAnsi="Times New Roman" w:eastAsia="宋体" w:cs="Times New Roman"/>
                      <w:bCs/>
                      <w:color w:val="auto"/>
                      <w:sz w:val="21"/>
                      <w:szCs w:val="21"/>
                      <w:highlight w:val="none"/>
                    </w:rPr>
                  </w:pPr>
                </w:p>
              </w:tc>
              <w:tc>
                <w:tcPr>
                  <w:tcW w:w="368" w:type="pct"/>
                  <w:vMerge w:val="continue"/>
                  <w:tcBorders>
                    <w:tl2br w:val="nil"/>
                    <w:tr2bl w:val="nil"/>
                  </w:tcBorders>
                  <w:shd w:val="clear" w:color="auto" w:fill="auto"/>
                  <w:vAlign w:val="center"/>
                </w:tcPr>
                <w:p w14:paraId="4E409EB4">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39" w:type="pct"/>
                  <w:vMerge w:val="continue"/>
                  <w:tcBorders>
                    <w:tl2br w:val="nil"/>
                    <w:tr2bl w:val="nil"/>
                  </w:tcBorders>
                  <w:shd w:val="clear" w:color="auto" w:fill="auto"/>
                  <w:vAlign w:val="center"/>
                </w:tcPr>
                <w:p w14:paraId="3B5A4346">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40" w:type="pct"/>
                  <w:tcBorders>
                    <w:tl2br w:val="nil"/>
                    <w:tr2bl w:val="nil"/>
                  </w:tcBorders>
                  <w:shd w:val="clear" w:color="auto" w:fill="auto"/>
                  <w:vAlign w:val="center"/>
                </w:tcPr>
                <w:p w14:paraId="6D5F136F">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甲苯</w:t>
                  </w:r>
                </w:p>
              </w:tc>
              <w:tc>
                <w:tcPr>
                  <w:tcW w:w="475" w:type="pct"/>
                  <w:tcBorders>
                    <w:tl2br w:val="nil"/>
                    <w:tr2bl w:val="nil"/>
                  </w:tcBorders>
                  <w:shd w:val="clear" w:color="auto" w:fill="auto"/>
                  <w:vAlign w:val="center"/>
                </w:tcPr>
                <w:p w14:paraId="6B90DCF6">
                  <w:pPr>
                    <w:spacing w:line="240" w:lineRule="auto"/>
                    <w:ind w:left="-105" w:leftChars="-50" w:right="-105"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1次/年</w:t>
                  </w:r>
                </w:p>
              </w:tc>
              <w:tc>
                <w:tcPr>
                  <w:tcW w:w="1554" w:type="pct"/>
                  <w:vMerge w:val="continue"/>
                  <w:tcBorders>
                    <w:tl2br w:val="nil"/>
                    <w:tr2bl w:val="nil"/>
                  </w:tcBorders>
                  <w:vAlign w:val="center"/>
                </w:tcPr>
                <w:p w14:paraId="2D458A93">
                  <w:pPr>
                    <w:snapToGrid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38" w:type="pct"/>
                  <w:vMerge w:val="continue"/>
                  <w:tcBorders>
                    <w:tl2br w:val="nil"/>
                    <w:tr2bl w:val="nil"/>
                  </w:tcBorders>
                  <w:shd w:val="clear" w:color="auto" w:fill="auto"/>
                  <w:vAlign w:val="center"/>
                </w:tcPr>
                <w:p w14:paraId="2C734197">
                  <w:pPr>
                    <w:spacing w:line="240" w:lineRule="auto"/>
                    <w:ind w:firstLine="0" w:firstLineChars="0"/>
                    <w:jc w:val="center"/>
                    <w:rPr>
                      <w:rFonts w:hint="default" w:ascii="Times New Roman" w:hAnsi="Times New Roman" w:eastAsia="宋体" w:cs="Times New Roman"/>
                      <w:bCs/>
                      <w:color w:val="auto"/>
                      <w:sz w:val="21"/>
                      <w:szCs w:val="21"/>
                      <w:highlight w:val="none"/>
                    </w:rPr>
                  </w:pPr>
                </w:p>
              </w:tc>
              <w:tc>
                <w:tcPr>
                  <w:tcW w:w="414" w:type="pct"/>
                  <w:vMerge w:val="continue"/>
                  <w:tcBorders>
                    <w:tl2br w:val="nil"/>
                    <w:tr2bl w:val="nil"/>
                  </w:tcBorders>
                  <w:vAlign w:val="center"/>
                </w:tcPr>
                <w:p w14:paraId="407EB723">
                  <w:pPr>
                    <w:spacing w:line="240" w:lineRule="auto"/>
                    <w:ind w:firstLine="0" w:firstLineChars="0"/>
                    <w:jc w:val="center"/>
                    <w:rPr>
                      <w:rFonts w:hint="default" w:ascii="Times New Roman" w:hAnsi="Times New Roman" w:eastAsia="宋体" w:cs="Times New Roman"/>
                      <w:bCs/>
                      <w:color w:val="auto"/>
                      <w:sz w:val="21"/>
                      <w:szCs w:val="21"/>
                      <w:highlight w:val="none"/>
                    </w:rPr>
                  </w:pPr>
                </w:p>
              </w:tc>
            </w:tr>
            <w:tr w14:paraId="227ADF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8" w:type="pct"/>
                  <w:vMerge w:val="continue"/>
                  <w:tcBorders>
                    <w:tl2br w:val="nil"/>
                    <w:tr2bl w:val="nil"/>
                  </w:tcBorders>
                  <w:vAlign w:val="center"/>
                </w:tcPr>
                <w:p w14:paraId="00567EB6">
                  <w:pPr>
                    <w:spacing w:line="240" w:lineRule="auto"/>
                    <w:ind w:firstLine="0" w:firstLineChars="0"/>
                    <w:jc w:val="center"/>
                    <w:rPr>
                      <w:rFonts w:hint="default" w:ascii="Times New Roman" w:hAnsi="Times New Roman" w:eastAsia="宋体" w:cs="Times New Roman"/>
                      <w:bCs/>
                      <w:color w:val="auto"/>
                      <w:sz w:val="21"/>
                      <w:szCs w:val="21"/>
                      <w:highlight w:val="none"/>
                    </w:rPr>
                  </w:pPr>
                </w:p>
              </w:tc>
              <w:tc>
                <w:tcPr>
                  <w:tcW w:w="368" w:type="pct"/>
                  <w:vMerge w:val="continue"/>
                  <w:tcBorders>
                    <w:tl2br w:val="nil"/>
                    <w:tr2bl w:val="nil"/>
                  </w:tcBorders>
                  <w:shd w:val="clear" w:color="auto" w:fill="auto"/>
                  <w:vAlign w:val="center"/>
                </w:tcPr>
                <w:p w14:paraId="3A0C243A">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39" w:type="pct"/>
                  <w:vMerge w:val="continue"/>
                  <w:tcBorders>
                    <w:tl2br w:val="nil"/>
                    <w:tr2bl w:val="nil"/>
                  </w:tcBorders>
                  <w:shd w:val="clear" w:color="auto" w:fill="auto"/>
                  <w:vAlign w:val="center"/>
                </w:tcPr>
                <w:p w14:paraId="25123771">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40" w:type="pct"/>
                  <w:tcBorders>
                    <w:tl2br w:val="nil"/>
                    <w:tr2bl w:val="nil"/>
                  </w:tcBorders>
                  <w:shd w:val="clear" w:color="auto" w:fill="auto"/>
                  <w:vAlign w:val="center"/>
                </w:tcPr>
                <w:p w14:paraId="6DF0125F">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乙苯</w:t>
                  </w:r>
                </w:p>
              </w:tc>
              <w:tc>
                <w:tcPr>
                  <w:tcW w:w="475" w:type="pct"/>
                  <w:tcBorders>
                    <w:tl2br w:val="nil"/>
                    <w:tr2bl w:val="nil"/>
                  </w:tcBorders>
                  <w:shd w:val="clear" w:color="auto" w:fill="auto"/>
                  <w:vAlign w:val="center"/>
                </w:tcPr>
                <w:p w14:paraId="6B7CC3A5">
                  <w:pPr>
                    <w:spacing w:line="240" w:lineRule="auto"/>
                    <w:ind w:left="-105" w:leftChars="-50" w:right="-105"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1次/年</w:t>
                  </w:r>
                </w:p>
              </w:tc>
              <w:tc>
                <w:tcPr>
                  <w:tcW w:w="1554" w:type="pct"/>
                  <w:vMerge w:val="continue"/>
                  <w:tcBorders>
                    <w:tl2br w:val="nil"/>
                    <w:tr2bl w:val="nil"/>
                  </w:tcBorders>
                  <w:vAlign w:val="center"/>
                </w:tcPr>
                <w:p w14:paraId="54C84FA8">
                  <w:pPr>
                    <w:snapToGrid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38" w:type="pct"/>
                  <w:vMerge w:val="continue"/>
                  <w:tcBorders>
                    <w:tl2br w:val="nil"/>
                    <w:tr2bl w:val="nil"/>
                  </w:tcBorders>
                  <w:shd w:val="clear" w:color="auto" w:fill="auto"/>
                  <w:vAlign w:val="center"/>
                </w:tcPr>
                <w:p w14:paraId="1F85190E">
                  <w:pPr>
                    <w:spacing w:line="240" w:lineRule="auto"/>
                    <w:ind w:firstLine="0" w:firstLineChars="0"/>
                    <w:jc w:val="center"/>
                    <w:rPr>
                      <w:rFonts w:hint="default" w:ascii="Times New Roman" w:hAnsi="Times New Roman" w:eastAsia="宋体" w:cs="Times New Roman"/>
                      <w:bCs/>
                      <w:color w:val="auto"/>
                      <w:sz w:val="21"/>
                      <w:szCs w:val="21"/>
                      <w:highlight w:val="none"/>
                    </w:rPr>
                  </w:pPr>
                </w:p>
              </w:tc>
              <w:tc>
                <w:tcPr>
                  <w:tcW w:w="414" w:type="pct"/>
                  <w:vMerge w:val="continue"/>
                  <w:tcBorders>
                    <w:tl2br w:val="nil"/>
                    <w:tr2bl w:val="nil"/>
                  </w:tcBorders>
                  <w:vAlign w:val="center"/>
                </w:tcPr>
                <w:p w14:paraId="54CD474B">
                  <w:pPr>
                    <w:spacing w:line="240" w:lineRule="auto"/>
                    <w:ind w:firstLine="0" w:firstLineChars="0"/>
                    <w:jc w:val="center"/>
                    <w:rPr>
                      <w:rFonts w:hint="default" w:ascii="Times New Roman" w:hAnsi="Times New Roman" w:eastAsia="宋体" w:cs="Times New Roman"/>
                      <w:bCs/>
                      <w:color w:val="auto"/>
                      <w:sz w:val="21"/>
                      <w:szCs w:val="21"/>
                      <w:highlight w:val="none"/>
                    </w:rPr>
                  </w:pPr>
                </w:p>
              </w:tc>
            </w:tr>
            <w:tr w14:paraId="223EFA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8" w:type="pct"/>
                  <w:vMerge w:val="continue"/>
                  <w:tcBorders>
                    <w:tl2br w:val="nil"/>
                    <w:tr2bl w:val="nil"/>
                  </w:tcBorders>
                  <w:vAlign w:val="center"/>
                </w:tcPr>
                <w:p w14:paraId="7919B62C">
                  <w:pPr>
                    <w:spacing w:line="240" w:lineRule="auto"/>
                    <w:ind w:firstLine="0" w:firstLineChars="0"/>
                    <w:jc w:val="center"/>
                    <w:rPr>
                      <w:rFonts w:hint="default" w:ascii="Times New Roman" w:hAnsi="Times New Roman" w:eastAsia="宋体" w:cs="Times New Roman"/>
                      <w:bCs/>
                      <w:color w:val="auto"/>
                      <w:sz w:val="21"/>
                      <w:szCs w:val="21"/>
                      <w:highlight w:val="none"/>
                    </w:rPr>
                  </w:pPr>
                </w:p>
              </w:tc>
              <w:tc>
                <w:tcPr>
                  <w:tcW w:w="368" w:type="pct"/>
                  <w:vMerge w:val="continue"/>
                  <w:tcBorders>
                    <w:tl2br w:val="nil"/>
                    <w:tr2bl w:val="nil"/>
                  </w:tcBorders>
                  <w:shd w:val="clear" w:color="auto" w:fill="auto"/>
                  <w:vAlign w:val="center"/>
                </w:tcPr>
                <w:p w14:paraId="442C1D9C">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39" w:type="pct"/>
                  <w:vMerge w:val="continue"/>
                  <w:tcBorders>
                    <w:tl2br w:val="nil"/>
                    <w:tr2bl w:val="nil"/>
                  </w:tcBorders>
                  <w:shd w:val="clear" w:color="auto" w:fill="auto"/>
                  <w:vAlign w:val="center"/>
                </w:tcPr>
                <w:p w14:paraId="5ECCE35A">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40" w:type="pct"/>
                  <w:tcBorders>
                    <w:tl2br w:val="nil"/>
                    <w:tr2bl w:val="nil"/>
                  </w:tcBorders>
                  <w:shd w:val="clear" w:color="auto" w:fill="auto"/>
                  <w:vAlign w:val="center"/>
                </w:tcPr>
                <w:p w14:paraId="155994FD">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highlight w:val="none"/>
                      <w:lang w:val="en-US" w:eastAsia="zh-CN"/>
                    </w:rPr>
                    <w:t>氯苯类</w:t>
                  </w:r>
                </w:p>
              </w:tc>
              <w:tc>
                <w:tcPr>
                  <w:tcW w:w="475" w:type="pct"/>
                  <w:tcBorders>
                    <w:tl2br w:val="nil"/>
                    <w:tr2bl w:val="nil"/>
                  </w:tcBorders>
                  <w:shd w:val="clear" w:color="auto" w:fill="auto"/>
                  <w:vAlign w:val="center"/>
                </w:tcPr>
                <w:p w14:paraId="1B93AE02">
                  <w:pPr>
                    <w:spacing w:line="240" w:lineRule="auto"/>
                    <w:ind w:left="-105" w:leftChars="-50" w:right="-105"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1次/年</w:t>
                  </w:r>
                </w:p>
              </w:tc>
              <w:tc>
                <w:tcPr>
                  <w:tcW w:w="1554" w:type="pct"/>
                  <w:vMerge w:val="continue"/>
                  <w:tcBorders>
                    <w:tl2br w:val="nil"/>
                    <w:tr2bl w:val="nil"/>
                  </w:tcBorders>
                  <w:vAlign w:val="center"/>
                </w:tcPr>
                <w:p w14:paraId="242F131D">
                  <w:pPr>
                    <w:snapToGrid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38" w:type="pct"/>
                  <w:vMerge w:val="continue"/>
                  <w:tcBorders>
                    <w:tl2br w:val="nil"/>
                    <w:tr2bl w:val="nil"/>
                  </w:tcBorders>
                  <w:shd w:val="clear" w:color="auto" w:fill="auto"/>
                  <w:vAlign w:val="center"/>
                </w:tcPr>
                <w:p w14:paraId="2D3F8114">
                  <w:pPr>
                    <w:spacing w:line="240" w:lineRule="auto"/>
                    <w:ind w:firstLine="0" w:firstLineChars="0"/>
                    <w:jc w:val="center"/>
                    <w:rPr>
                      <w:rFonts w:hint="default" w:ascii="Times New Roman" w:hAnsi="Times New Roman" w:eastAsia="宋体" w:cs="Times New Roman"/>
                      <w:bCs/>
                      <w:color w:val="auto"/>
                      <w:sz w:val="21"/>
                      <w:szCs w:val="21"/>
                      <w:highlight w:val="none"/>
                    </w:rPr>
                  </w:pPr>
                </w:p>
              </w:tc>
              <w:tc>
                <w:tcPr>
                  <w:tcW w:w="414" w:type="pct"/>
                  <w:vMerge w:val="continue"/>
                  <w:tcBorders>
                    <w:tl2br w:val="nil"/>
                    <w:tr2bl w:val="nil"/>
                  </w:tcBorders>
                  <w:vAlign w:val="center"/>
                </w:tcPr>
                <w:p w14:paraId="758FE963">
                  <w:pPr>
                    <w:spacing w:line="240" w:lineRule="auto"/>
                    <w:ind w:firstLine="0" w:firstLineChars="0"/>
                    <w:jc w:val="center"/>
                    <w:rPr>
                      <w:rFonts w:hint="default" w:ascii="Times New Roman" w:hAnsi="Times New Roman" w:eastAsia="宋体" w:cs="Times New Roman"/>
                      <w:bCs/>
                      <w:color w:val="auto"/>
                      <w:sz w:val="21"/>
                      <w:szCs w:val="21"/>
                      <w:highlight w:val="none"/>
                    </w:rPr>
                  </w:pPr>
                </w:p>
              </w:tc>
            </w:tr>
            <w:tr w14:paraId="75E553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8" w:type="pct"/>
                  <w:vMerge w:val="continue"/>
                  <w:tcBorders>
                    <w:tl2br w:val="nil"/>
                    <w:tr2bl w:val="nil"/>
                  </w:tcBorders>
                  <w:vAlign w:val="center"/>
                </w:tcPr>
                <w:p w14:paraId="34F5C16F">
                  <w:pPr>
                    <w:spacing w:line="240" w:lineRule="auto"/>
                    <w:ind w:firstLine="0" w:firstLineChars="0"/>
                    <w:jc w:val="center"/>
                    <w:rPr>
                      <w:rFonts w:hint="default" w:ascii="Times New Roman" w:hAnsi="Times New Roman" w:eastAsia="宋体" w:cs="Times New Roman"/>
                      <w:bCs/>
                      <w:color w:val="auto"/>
                      <w:sz w:val="21"/>
                      <w:szCs w:val="21"/>
                      <w:highlight w:val="none"/>
                    </w:rPr>
                  </w:pPr>
                </w:p>
              </w:tc>
              <w:tc>
                <w:tcPr>
                  <w:tcW w:w="368" w:type="pct"/>
                  <w:vMerge w:val="continue"/>
                  <w:tcBorders>
                    <w:tl2br w:val="nil"/>
                    <w:tr2bl w:val="nil"/>
                  </w:tcBorders>
                  <w:shd w:val="clear" w:color="auto" w:fill="auto"/>
                  <w:vAlign w:val="center"/>
                </w:tcPr>
                <w:p w14:paraId="43FB2489">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39" w:type="pct"/>
                  <w:vMerge w:val="continue"/>
                  <w:tcBorders>
                    <w:tl2br w:val="nil"/>
                    <w:tr2bl w:val="nil"/>
                  </w:tcBorders>
                  <w:shd w:val="clear" w:color="auto" w:fill="auto"/>
                  <w:vAlign w:val="center"/>
                </w:tcPr>
                <w:p w14:paraId="5EEB286F">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40" w:type="pct"/>
                  <w:tcBorders>
                    <w:tl2br w:val="nil"/>
                    <w:tr2bl w:val="nil"/>
                  </w:tcBorders>
                  <w:shd w:val="clear" w:color="auto" w:fill="auto"/>
                  <w:vAlign w:val="center"/>
                </w:tcPr>
                <w:p w14:paraId="02C9DF6F">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highlight w:val="none"/>
                      <w:lang w:val="en-US" w:eastAsia="zh-CN"/>
                    </w:rPr>
                    <w:t>酚类</w:t>
                  </w:r>
                </w:p>
              </w:tc>
              <w:tc>
                <w:tcPr>
                  <w:tcW w:w="475" w:type="pct"/>
                  <w:tcBorders>
                    <w:tl2br w:val="nil"/>
                    <w:tr2bl w:val="nil"/>
                  </w:tcBorders>
                  <w:shd w:val="clear" w:color="auto" w:fill="auto"/>
                  <w:vAlign w:val="center"/>
                </w:tcPr>
                <w:p w14:paraId="0EDD3670">
                  <w:pPr>
                    <w:spacing w:line="240" w:lineRule="auto"/>
                    <w:ind w:left="-105" w:leftChars="-50" w:right="-105"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1次/年</w:t>
                  </w:r>
                </w:p>
              </w:tc>
              <w:tc>
                <w:tcPr>
                  <w:tcW w:w="1554" w:type="pct"/>
                  <w:vMerge w:val="continue"/>
                  <w:tcBorders>
                    <w:tl2br w:val="nil"/>
                    <w:tr2bl w:val="nil"/>
                  </w:tcBorders>
                  <w:vAlign w:val="center"/>
                </w:tcPr>
                <w:p w14:paraId="4D75F642">
                  <w:pPr>
                    <w:snapToGrid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38" w:type="pct"/>
                  <w:vMerge w:val="continue"/>
                  <w:tcBorders>
                    <w:tl2br w:val="nil"/>
                    <w:tr2bl w:val="nil"/>
                  </w:tcBorders>
                  <w:shd w:val="clear" w:color="auto" w:fill="auto"/>
                  <w:vAlign w:val="center"/>
                </w:tcPr>
                <w:p w14:paraId="6C5C55CE">
                  <w:pPr>
                    <w:spacing w:line="240" w:lineRule="auto"/>
                    <w:ind w:firstLine="0" w:firstLineChars="0"/>
                    <w:jc w:val="center"/>
                    <w:rPr>
                      <w:rFonts w:hint="default" w:ascii="Times New Roman" w:hAnsi="Times New Roman" w:eastAsia="宋体" w:cs="Times New Roman"/>
                      <w:bCs/>
                      <w:color w:val="auto"/>
                      <w:sz w:val="21"/>
                      <w:szCs w:val="21"/>
                      <w:highlight w:val="none"/>
                    </w:rPr>
                  </w:pPr>
                </w:p>
              </w:tc>
              <w:tc>
                <w:tcPr>
                  <w:tcW w:w="414" w:type="pct"/>
                  <w:vMerge w:val="continue"/>
                  <w:tcBorders>
                    <w:tl2br w:val="nil"/>
                    <w:tr2bl w:val="nil"/>
                  </w:tcBorders>
                  <w:vAlign w:val="center"/>
                </w:tcPr>
                <w:p w14:paraId="205CCBE9">
                  <w:pPr>
                    <w:spacing w:line="240" w:lineRule="auto"/>
                    <w:ind w:firstLine="0" w:firstLineChars="0"/>
                    <w:jc w:val="center"/>
                    <w:rPr>
                      <w:rFonts w:hint="default" w:ascii="Times New Roman" w:hAnsi="Times New Roman" w:eastAsia="宋体" w:cs="Times New Roman"/>
                      <w:bCs/>
                      <w:color w:val="auto"/>
                      <w:sz w:val="21"/>
                      <w:szCs w:val="21"/>
                      <w:highlight w:val="none"/>
                    </w:rPr>
                  </w:pPr>
                </w:p>
              </w:tc>
            </w:tr>
            <w:tr w14:paraId="0DAF7B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jc w:val="center"/>
              </w:trPr>
              <w:tc>
                <w:tcPr>
                  <w:tcW w:w="368" w:type="pct"/>
                  <w:vMerge w:val="continue"/>
                  <w:tcBorders>
                    <w:tl2br w:val="nil"/>
                    <w:tr2bl w:val="nil"/>
                  </w:tcBorders>
                  <w:vAlign w:val="center"/>
                </w:tcPr>
                <w:p w14:paraId="0406FACB">
                  <w:pPr>
                    <w:spacing w:line="240" w:lineRule="auto"/>
                    <w:ind w:firstLine="0" w:firstLineChars="0"/>
                    <w:jc w:val="center"/>
                    <w:rPr>
                      <w:rFonts w:hint="default" w:ascii="Times New Roman" w:hAnsi="Times New Roman" w:eastAsia="宋体" w:cs="Times New Roman"/>
                      <w:bCs/>
                      <w:color w:val="auto"/>
                      <w:sz w:val="21"/>
                      <w:szCs w:val="21"/>
                      <w:highlight w:val="none"/>
                    </w:rPr>
                  </w:pPr>
                </w:p>
              </w:tc>
              <w:tc>
                <w:tcPr>
                  <w:tcW w:w="368" w:type="pct"/>
                  <w:vMerge w:val="continue"/>
                  <w:tcBorders>
                    <w:tl2br w:val="nil"/>
                    <w:tr2bl w:val="nil"/>
                  </w:tcBorders>
                  <w:shd w:val="clear" w:color="auto" w:fill="auto"/>
                  <w:vAlign w:val="center"/>
                </w:tcPr>
                <w:p w14:paraId="16B2B0E8">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39" w:type="pct"/>
                  <w:vMerge w:val="continue"/>
                  <w:tcBorders>
                    <w:tl2br w:val="nil"/>
                    <w:tr2bl w:val="nil"/>
                  </w:tcBorders>
                  <w:shd w:val="clear" w:color="auto" w:fill="auto"/>
                  <w:vAlign w:val="center"/>
                </w:tcPr>
                <w:p w14:paraId="5A77C479">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640" w:type="pct"/>
                  <w:tcBorders>
                    <w:tl2br w:val="nil"/>
                    <w:tr2bl w:val="nil"/>
                  </w:tcBorders>
                  <w:shd w:val="clear" w:color="auto" w:fill="auto"/>
                  <w:vAlign w:val="center"/>
                </w:tcPr>
                <w:p w14:paraId="78313E5F">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二氯甲烷</w:t>
                  </w:r>
                </w:p>
              </w:tc>
              <w:tc>
                <w:tcPr>
                  <w:tcW w:w="475" w:type="pct"/>
                  <w:tcBorders>
                    <w:tl2br w:val="nil"/>
                    <w:tr2bl w:val="nil"/>
                  </w:tcBorders>
                  <w:shd w:val="clear" w:color="auto" w:fill="auto"/>
                  <w:vAlign w:val="center"/>
                </w:tcPr>
                <w:p w14:paraId="5F68F11D">
                  <w:pPr>
                    <w:spacing w:line="240" w:lineRule="auto"/>
                    <w:ind w:left="-105" w:leftChars="-50" w:right="-105"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1次/年</w:t>
                  </w:r>
                </w:p>
              </w:tc>
              <w:tc>
                <w:tcPr>
                  <w:tcW w:w="1554" w:type="pct"/>
                  <w:vMerge w:val="continue"/>
                  <w:tcBorders>
                    <w:tl2br w:val="nil"/>
                    <w:tr2bl w:val="nil"/>
                  </w:tcBorders>
                  <w:shd w:val="clear" w:color="auto" w:fill="auto"/>
                  <w:vAlign w:val="center"/>
                </w:tcPr>
                <w:p w14:paraId="03DB0BB4">
                  <w:pPr>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38" w:type="pct"/>
                  <w:vMerge w:val="continue"/>
                  <w:tcBorders>
                    <w:tl2br w:val="nil"/>
                    <w:tr2bl w:val="nil"/>
                  </w:tcBorders>
                  <w:shd w:val="clear" w:color="auto" w:fill="auto"/>
                  <w:vAlign w:val="center"/>
                </w:tcPr>
                <w:p w14:paraId="4AC820DF">
                  <w:pPr>
                    <w:spacing w:line="240" w:lineRule="auto"/>
                    <w:ind w:firstLine="0" w:firstLineChars="0"/>
                    <w:jc w:val="center"/>
                    <w:rPr>
                      <w:rFonts w:hint="default" w:ascii="Times New Roman" w:hAnsi="Times New Roman" w:eastAsia="宋体" w:cs="Times New Roman"/>
                      <w:bCs/>
                      <w:color w:val="auto"/>
                      <w:sz w:val="21"/>
                      <w:szCs w:val="21"/>
                      <w:highlight w:val="none"/>
                    </w:rPr>
                  </w:pPr>
                </w:p>
              </w:tc>
              <w:tc>
                <w:tcPr>
                  <w:tcW w:w="414" w:type="pct"/>
                  <w:vMerge w:val="continue"/>
                  <w:tcBorders>
                    <w:tl2br w:val="nil"/>
                    <w:tr2bl w:val="nil"/>
                  </w:tcBorders>
                  <w:vAlign w:val="center"/>
                </w:tcPr>
                <w:p w14:paraId="66AAC97C">
                  <w:pPr>
                    <w:spacing w:line="240" w:lineRule="auto"/>
                    <w:ind w:firstLine="0" w:firstLineChars="0"/>
                    <w:jc w:val="center"/>
                    <w:rPr>
                      <w:rFonts w:hint="default" w:ascii="Times New Roman" w:hAnsi="Times New Roman" w:eastAsia="宋体" w:cs="Times New Roman"/>
                      <w:bCs/>
                      <w:color w:val="auto"/>
                      <w:sz w:val="21"/>
                      <w:szCs w:val="21"/>
                      <w:highlight w:val="none"/>
                    </w:rPr>
                  </w:pPr>
                </w:p>
              </w:tc>
            </w:tr>
            <w:tr w14:paraId="6D7F64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8" w:type="pct"/>
                  <w:vMerge w:val="continue"/>
                  <w:tcBorders>
                    <w:tl2br w:val="nil"/>
                    <w:tr2bl w:val="nil"/>
                  </w:tcBorders>
                  <w:vAlign w:val="center"/>
                </w:tcPr>
                <w:p w14:paraId="61F5C538">
                  <w:pPr>
                    <w:spacing w:line="240" w:lineRule="auto"/>
                    <w:ind w:firstLine="0" w:firstLineChars="0"/>
                    <w:jc w:val="center"/>
                    <w:rPr>
                      <w:rFonts w:hint="default" w:ascii="Times New Roman" w:hAnsi="Times New Roman" w:eastAsia="宋体" w:cs="Times New Roman"/>
                      <w:bCs/>
                      <w:color w:val="auto"/>
                      <w:sz w:val="21"/>
                      <w:szCs w:val="21"/>
                      <w:highlight w:val="none"/>
                    </w:rPr>
                  </w:pPr>
                </w:p>
              </w:tc>
              <w:tc>
                <w:tcPr>
                  <w:tcW w:w="368" w:type="pct"/>
                  <w:vMerge w:val="continue"/>
                  <w:tcBorders>
                    <w:tl2br w:val="nil"/>
                    <w:tr2bl w:val="nil"/>
                  </w:tcBorders>
                  <w:shd w:val="clear" w:color="auto" w:fill="auto"/>
                  <w:vAlign w:val="center"/>
                </w:tcPr>
                <w:p w14:paraId="2348F3E4">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39" w:type="pct"/>
                  <w:vMerge w:val="continue"/>
                  <w:tcBorders>
                    <w:tl2br w:val="nil"/>
                    <w:tr2bl w:val="nil"/>
                  </w:tcBorders>
                  <w:shd w:val="clear" w:color="auto" w:fill="auto"/>
                  <w:vAlign w:val="center"/>
                </w:tcPr>
                <w:p w14:paraId="25BFCACC">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640" w:type="pct"/>
                  <w:tcBorders>
                    <w:tl2br w:val="nil"/>
                    <w:tr2bl w:val="nil"/>
                  </w:tcBorders>
                  <w:shd w:val="clear" w:color="auto" w:fill="auto"/>
                  <w:vAlign w:val="center"/>
                </w:tcPr>
                <w:p w14:paraId="3EDF0621">
                  <w:pPr>
                    <w:spacing w:line="240" w:lineRule="auto"/>
                    <w:ind w:firstLine="0" w:firstLineChars="0"/>
                    <w:jc w:val="center"/>
                    <w:rPr>
                      <w:rFonts w:hint="default" w:ascii="Times New Roman" w:hAnsi="Times New Roman" w:eastAsia="宋体" w:cs="Times New Roman"/>
                      <w:color w:val="auto"/>
                      <w:kern w:val="2"/>
                      <w:sz w:val="21"/>
                      <w:szCs w:val="21"/>
                      <w:u w:val="none"/>
                      <w:shd w:val="clear"/>
                      <w:lang w:val="en-US" w:eastAsia="zh-CN" w:bidi="ar-SA"/>
                    </w:rPr>
                  </w:pPr>
                  <w:r>
                    <w:rPr>
                      <w:rFonts w:hint="eastAsia"/>
                      <w:color w:val="auto"/>
                      <w:sz w:val="21"/>
                      <w:szCs w:val="21"/>
                      <w:lang w:val="en-US" w:eastAsia="zh-CN"/>
                    </w:rPr>
                    <w:t>氨</w:t>
                  </w:r>
                </w:p>
              </w:tc>
              <w:tc>
                <w:tcPr>
                  <w:tcW w:w="475" w:type="pct"/>
                  <w:tcBorders>
                    <w:tl2br w:val="nil"/>
                    <w:tr2bl w:val="nil"/>
                  </w:tcBorders>
                  <w:shd w:val="clear" w:color="auto" w:fill="auto"/>
                  <w:vAlign w:val="center"/>
                </w:tcPr>
                <w:p w14:paraId="4A8F76CA">
                  <w:pPr>
                    <w:spacing w:line="240" w:lineRule="auto"/>
                    <w:ind w:left="-105" w:leftChars="-50" w:right="-105"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1次/年</w:t>
                  </w:r>
                </w:p>
              </w:tc>
              <w:tc>
                <w:tcPr>
                  <w:tcW w:w="1554" w:type="pct"/>
                  <w:vMerge w:val="continue"/>
                  <w:tcBorders>
                    <w:tl2br w:val="nil"/>
                    <w:tr2bl w:val="nil"/>
                  </w:tcBorders>
                  <w:vAlign w:val="center"/>
                </w:tcPr>
                <w:p w14:paraId="1694E1BE">
                  <w:pPr>
                    <w:snapToGrid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38" w:type="pct"/>
                  <w:vMerge w:val="continue"/>
                  <w:tcBorders>
                    <w:tl2br w:val="nil"/>
                    <w:tr2bl w:val="nil"/>
                  </w:tcBorders>
                  <w:shd w:val="clear" w:color="auto" w:fill="auto"/>
                  <w:vAlign w:val="center"/>
                </w:tcPr>
                <w:p w14:paraId="7081C27A">
                  <w:pPr>
                    <w:spacing w:line="240" w:lineRule="auto"/>
                    <w:ind w:firstLine="0" w:firstLineChars="0"/>
                    <w:jc w:val="center"/>
                    <w:rPr>
                      <w:rFonts w:hint="default" w:ascii="Times New Roman" w:hAnsi="Times New Roman" w:eastAsia="宋体" w:cs="Times New Roman"/>
                      <w:bCs/>
                      <w:color w:val="auto"/>
                      <w:sz w:val="21"/>
                      <w:szCs w:val="21"/>
                      <w:highlight w:val="none"/>
                    </w:rPr>
                  </w:pPr>
                </w:p>
              </w:tc>
              <w:tc>
                <w:tcPr>
                  <w:tcW w:w="414" w:type="pct"/>
                  <w:vMerge w:val="continue"/>
                  <w:tcBorders>
                    <w:tl2br w:val="nil"/>
                    <w:tr2bl w:val="nil"/>
                  </w:tcBorders>
                  <w:vAlign w:val="center"/>
                </w:tcPr>
                <w:p w14:paraId="29FFB9C2">
                  <w:pPr>
                    <w:spacing w:line="240" w:lineRule="auto"/>
                    <w:ind w:firstLine="0" w:firstLineChars="0"/>
                    <w:jc w:val="center"/>
                    <w:rPr>
                      <w:rFonts w:hint="default" w:ascii="Times New Roman" w:hAnsi="Times New Roman" w:eastAsia="宋体" w:cs="Times New Roman"/>
                      <w:bCs/>
                      <w:color w:val="auto"/>
                      <w:sz w:val="21"/>
                      <w:szCs w:val="21"/>
                      <w:highlight w:val="none"/>
                    </w:rPr>
                  </w:pPr>
                </w:p>
              </w:tc>
            </w:tr>
            <w:tr w14:paraId="0DC60D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40" w:hRule="atLeast"/>
                <w:jc w:val="center"/>
              </w:trPr>
              <w:tc>
                <w:tcPr>
                  <w:tcW w:w="368" w:type="pct"/>
                  <w:vMerge w:val="continue"/>
                  <w:tcBorders>
                    <w:tl2br w:val="nil"/>
                    <w:tr2bl w:val="nil"/>
                  </w:tcBorders>
                  <w:vAlign w:val="center"/>
                </w:tcPr>
                <w:p w14:paraId="41CF1A7F">
                  <w:pPr>
                    <w:snapToGrid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368" w:type="pct"/>
                  <w:vMerge w:val="continue"/>
                  <w:tcBorders>
                    <w:tl2br w:val="nil"/>
                    <w:tr2bl w:val="nil"/>
                  </w:tcBorders>
                  <w:shd w:val="clear" w:color="auto" w:fill="auto"/>
                  <w:vAlign w:val="center"/>
                </w:tcPr>
                <w:p w14:paraId="2A85FD84">
                  <w:pPr>
                    <w:snapToGrid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39" w:type="pct"/>
                  <w:vMerge w:val="restart"/>
                  <w:tcBorders>
                    <w:tl2br w:val="nil"/>
                    <w:tr2bl w:val="nil"/>
                  </w:tcBorders>
                  <w:shd w:val="clear" w:color="auto" w:fill="auto"/>
                  <w:vAlign w:val="center"/>
                </w:tcPr>
                <w:p w14:paraId="4E23F8D0">
                  <w:pPr>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厂界外1m范围内上风向1个点，下风向3个点</w:t>
                  </w:r>
                </w:p>
              </w:tc>
              <w:tc>
                <w:tcPr>
                  <w:tcW w:w="640" w:type="pct"/>
                  <w:tcBorders>
                    <w:tl2br w:val="nil"/>
                    <w:tr2bl w:val="nil"/>
                  </w:tcBorders>
                  <w:shd w:val="clear" w:color="auto" w:fill="auto"/>
                  <w:vAlign w:val="center"/>
                </w:tcPr>
                <w:p w14:paraId="4FE5E928">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甲苯</w:t>
                  </w:r>
                </w:p>
              </w:tc>
              <w:tc>
                <w:tcPr>
                  <w:tcW w:w="475" w:type="pct"/>
                  <w:tcBorders>
                    <w:tl2br w:val="nil"/>
                    <w:tr2bl w:val="nil"/>
                  </w:tcBorders>
                  <w:shd w:val="clear" w:color="auto" w:fill="auto"/>
                  <w:vAlign w:val="center"/>
                </w:tcPr>
                <w:p w14:paraId="70F1DF38">
                  <w:pPr>
                    <w:spacing w:line="240" w:lineRule="auto"/>
                    <w:ind w:left="-105" w:leftChars="-50" w:right="-105"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1次/年</w:t>
                  </w:r>
                </w:p>
              </w:tc>
              <w:tc>
                <w:tcPr>
                  <w:tcW w:w="1554" w:type="pct"/>
                  <w:vMerge w:val="restart"/>
                  <w:tcBorders>
                    <w:tl2br w:val="nil"/>
                    <w:tr2bl w:val="nil"/>
                  </w:tcBorders>
                  <w:shd w:val="clear" w:color="auto" w:fill="auto"/>
                  <w:vAlign w:val="center"/>
                </w:tcPr>
                <w:p w14:paraId="4FD0729C">
                  <w:pPr>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《合成树脂工业污染物排放标准》（GB31572-2015）（含2024年修改单）表9</w:t>
                  </w:r>
                </w:p>
              </w:tc>
              <w:tc>
                <w:tcPr>
                  <w:tcW w:w="438" w:type="pct"/>
                  <w:vMerge w:val="continue"/>
                  <w:tcBorders>
                    <w:tl2br w:val="nil"/>
                    <w:tr2bl w:val="nil"/>
                  </w:tcBorders>
                  <w:shd w:val="clear" w:color="auto" w:fill="auto"/>
                  <w:vAlign w:val="center"/>
                </w:tcPr>
                <w:p w14:paraId="7D823F55">
                  <w:pPr>
                    <w:snapToGrid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14" w:type="pct"/>
                  <w:vMerge w:val="continue"/>
                  <w:tcBorders>
                    <w:tl2br w:val="nil"/>
                    <w:tr2bl w:val="nil"/>
                  </w:tcBorders>
                  <w:vAlign w:val="center"/>
                </w:tcPr>
                <w:p w14:paraId="09265B44">
                  <w:pPr>
                    <w:snapToGrid w:val="0"/>
                    <w:spacing w:line="240" w:lineRule="auto"/>
                    <w:ind w:firstLine="0" w:firstLineChars="0"/>
                    <w:jc w:val="center"/>
                    <w:rPr>
                      <w:rFonts w:hint="default" w:ascii="Times New Roman" w:hAnsi="Times New Roman" w:eastAsia="宋体" w:cs="Times New Roman"/>
                      <w:color w:val="auto"/>
                      <w:sz w:val="21"/>
                      <w:szCs w:val="21"/>
                      <w:highlight w:val="none"/>
                    </w:rPr>
                  </w:pPr>
                </w:p>
              </w:tc>
            </w:tr>
            <w:tr w14:paraId="071442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8" w:type="pct"/>
                  <w:vMerge w:val="continue"/>
                  <w:tcBorders>
                    <w:tl2br w:val="nil"/>
                    <w:tr2bl w:val="nil"/>
                  </w:tcBorders>
                  <w:vAlign w:val="center"/>
                </w:tcPr>
                <w:p w14:paraId="38F1EAFF">
                  <w:pPr>
                    <w:spacing w:line="240" w:lineRule="auto"/>
                    <w:ind w:firstLine="0" w:firstLineChars="0"/>
                    <w:jc w:val="center"/>
                    <w:rPr>
                      <w:rFonts w:hint="default" w:ascii="Times New Roman" w:hAnsi="Times New Roman" w:eastAsia="宋体" w:cs="Times New Roman"/>
                      <w:bCs/>
                      <w:color w:val="auto"/>
                      <w:sz w:val="21"/>
                      <w:szCs w:val="21"/>
                      <w:highlight w:val="none"/>
                    </w:rPr>
                  </w:pPr>
                </w:p>
              </w:tc>
              <w:tc>
                <w:tcPr>
                  <w:tcW w:w="368" w:type="pct"/>
                  <w:vMerge w:val="continue"/>
                  <w:tcBorders>
                    <w:tl2br w:val="nil"/>
                    <w:tr2bl w:val="nil"/>
                  </w:tcBorders>
                  <w:shd w:val="clear" w:color="auto" w:fill="auto"/>
                  <w:vAlign w:val="center"/>
                </w:tcPr>
                <w:p w14:paraId="0B053A99">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39" w:type="pct"/>
                  <w:vMerge w:val="continue"/>
                  <w:tcBorders>
                    <w:tl2br w:val="nil"/>
                    <w:tr2bl w:val="nil"/>
                  </w:tcBorders>
                  <w:shd w:val="clear" w:color="auto" w:fill="auto"/>
                  <w:vAlign w:val="center"/>
                </w:tcPr>
                <w:p w14:paraId="3B8B19B5">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40" w:type="pct"/>
                  <w:tcBorders>
                    <w:tl2br w:val="nil"/>
                    <w:tr2bl w:val="nil"/>
                  </w:tcBorders>
                  <w:shd w:val="clear" w:color="auto" w:fill="auto"/>
                  <w:vAlign w:val="center"/>
                </w:tcPr>
                <w:p w14:paraId="77585D2F">
                  <w:pPr>
                    <w:spacing w:line="240" w:lineRule="auto"/>
                    <w:ind w:firstLine="0" w:firstLineChars="0"/>
                    <w:jc w:val="center"/>
                    <w:rPr>
                      <w:rFonts w:hint="default" w:ascii="Times New Roman" w:hAnsi="Times New Roman" w:eastAsia="宋体" w:cs="Times New Roman"/>
                      <w:color w:val="auto"/>
                      <w:sz w:val="21"/>
                      <w:szCs w:val="21"/>
                    </w:rPr>
                  </w:pPr>
                  <w:r>
                    <w:rPr>
                      <w:color w:val="auto"/>
                      <w:sz w:val="21"/>
                      <w:szCs w:val="21"/>
                    </w:rPr>
                    <w:t>非甲烷总烃</w:t>
                  </w:r>
                </w:p>
              </w:tc>
              <w:tc>
                <w:tcPr>
                  <w:tcW w:w="475" w:type="pct"/>
                  <w:tcBorders>
                    <w:tl2br w:val="nil"/>
                    <w:tr2bl w:val="nil"/>
                  </w:tcBorders>
                  <w:shd w:val="clear" w:color="auto" w:fill="auto"/>
                  <w:vAlign w:val="center"/>
                </w:tcPr>
                <w:p w14:paraId="11733BED">
                  <w:pPr>
                    <w:spacing w:line="240" w:lineRule="auto"/>
                    <w:ind w:left="-105" w:leftChars="-50" w:right="-105" w:rightChars="-5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1次/年</w:t>
                  </w:r>
                </w:p>
              </w:tc>
              <w:tc>
                <w:tcPr>
                  <w:tcW w:w="1554" w:type="pct"/>
                  <w:vMerge w:val="continue"/>
                  <w:tcBorders>
                    <w:tl2br w:val="nil"/>
                    <w:tr2bl w:val="nil"/>
                  </w:tcBorders>
                  <w:vAlign w:val="center"/>
                </w:tcPr>
                <w:p w14:paraId="5CF941E4">
                  <w:pPr>
                    <w:snapToGrid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38" w:type="pct"/>
                  <w:vMerge w:val="continue"/>
                  <w:tcBorders>
                    <w:tl2br w:val="nil"/>
                    <w:tr2bl w:val="nil"/>
                  </w:tcBorders>
                  <w:shd w:val="clear" w:color="auto" w:fill="auto"/>
                  <w:vAlign w:val="center"/>
                </w:tcPr>
                <w:p w14:paraId="28A7D95D">
                  <w:pPr>
                    <w:spacing w:line="240" w:lineRule="auto"/>
                    <w:ind w:firstLine="0" w:firstLineChars="0"/>
                    <w:jc w:val="center"/>
                    <w:rPr>
                      <w:rFonts w:hint="default" w:ascii="Times New Roman" w:hAnsi="Times New Roman" w:eastAsia="宋体" w:cs="Times New Roman"/>
                      <w:bCs/>
                      <w:color w:val="auto"/>
                      <w:sz w:val="21"/>
                      <w:szCs w:val="21"/>
                      <w:highlight w:val="none"/>
                    </w:rPr>
                  </w:pPr>
                </w:p>
              </w:tc>
              <w:tc>
                <w:tcPr>
                  <w:tcW w:w="414" w:type="pct"/>
                  <w:vMerge w:val="continue"/>
                  <w:tcBorders>
                    <w:tl2br w:val="nil"/>
                    <w:tr2bl w:val="nil"/>
                  </w:tcBorders>
                  <w:vAlign w:val="center"/>
                </w:tcPr>
                <w:p w14:paraId="225317EB">
                  <w:pPr>
                    <w:spacing w:line="240" w:lineRule="auto"/>
                    <w:ind w:firstLine="0" w:firstLineChars="0"/>
                    <w:jc w:val="center"/>
                    <w:rPr>
                      <w:rFonts w:hint="default" w:ascii="Times New Roman" w:hAnsi="Times New Roman" w:eastAsia="宋体" w:cs="Times New Roman"/>
                      <w:bCs/>
                      <w:color w:val="auto"/>
                      <w:sz w:val="21"/>
                      <w:szCs w:val="21"/>
                      <w:highlight w:val="none"/>
                    </w:rPr>
                  </w:pPr>
                </w:p>
              </w:tc>
            </w:tr>
            <w:tr w14:paraId="7ABDBF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8" w:type="pct"/>
                  <w:vMerge w:val="continue"/>
                  <w:tcBorders>
                    <w:tl2br w:val="nil"/>
                    <w:tr2bl w:val="nil"/>
                  </w:tcBorders>
                  <w:vAlign w:val="center"/>
                </w:tcPr>
                <w:p w14:paraId="7540D11D">
                  <w:pPr>
                    <w:spacing w:line="240" w:lineRule="auto"/>
                    <w:ind w:firstLine="0" w:firstLineChars="0"/>
                    <w:jc w:val="center"/>
                    <w:rPr>
                      <w:rFonts w:hint="default" w:ascii="Times New Roman" w:hAnsi="Times New Roman" w:eastAsia="宋体" w:cs="Times New Roman"/>
                      <w:bCs/>
                      <w:color w:val="auto"/>
                      <w:sz w:val="21"/>
                      <w:szCs w:val="21"/>
                      <w:highlight w:val="none"/>
                    </w:rPr>
                  </w:pPr>
                </w:p>
              </w:tc>
              <w:tc>
                <w:tcPr>
                  <w:tcW w:w="368" w:type="pct"/>
                  <w:vMerge w:val="continue"/>
                  <w:tcBorders>
                    <w:tl2br w:val="nil"/>
                    <w:tr2bl w:val="nil"/>
                  </w:tcBorders>
                  <w:shd w:val="clear" w:color="auto" w:fill="auto"/>
                  <w:vAlign w:val="center"/>
                </w:tcPr>
                <w:p w14:paraId="1008CF24">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39" w:type="pct"/>
                  <w:vMerge w:val="continue"/>
                  <w:tcBorders>
                    <w:tl2br w:val="nil"/>
                    <w:tr2bl w:val="nil"/>
                  </w:tcBorders>
                  <w:shd w:val="clear" w:color="auto" w:fill="auto"/>
                  <w:vAlign w:val="center"/>
                </w:tcPr>
                <w:p w14:paraId="719592C7">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40" w:type="pct"/>
                  <w:tcBorders>
                    <w:tl2br w:val="nil"/>
                    <w:tr2bl w:val="nil"/>
                  </w:tcBorders>
                  <w:shd w:val="clear" w:color="auto" w:fill="auto"/>
                  <w:vAlign w:val="center"/>
                </w:tcPr>
                <w:p w14:paraId="515F74CF">
                  <w:pPr>
                    <w:spacing w:line="240" w:lineRule="auto"/>
                    <w:ind w:firstLine="0" w:firstLineChars="0"/>
                    <w:jc w:val="center"/>
                    <w:rPr>
                      <w:color w:val="auto"/>
                      <w:sz w:val="21"/>
                      <w:szCs w:val="21"/>
                    </w:rPr>
                  </w:pPr>
                  <w:r>
                    <w:rPr>
                      <w:rFonts w:hint="eastAsia"/>
                      <w:color w:val="auto"/>
                      <w:sz w:val="21"/>
                      <w:szCs w:val="21"/>
                      <w:lang w:val="en-US" w:eastAsia="zh-CN"/>
                    </w:rPr>
                    <w:t>颗粒物</w:t>
                  </w:r>
                </w:p>
              </w:tc>
              <w:tc>
                <w:tcPr>
                  <w:tcW w:w="475" w:type="pct"/>
                  <w:tcBorders>
                    <w:tl2br w:val="nil"/>
                    <w:tr2bl w:val="nil"/>
                  </w:tcBorders>
                  <w:shd w:val="clear" w:color="auto" w:fill="auto"/>
                  <w:vAlign w:val="center"/>
                </w:tcPr>
                <w:p w14:paraId="4DB5EC6A">
                  <w:pPr>
                    <w:spacing w:line="240" w:lineRule="auto"/>
                    <w:ind w:left="-105" w:leftChars="-50" w:right="-105" w:rightChars="-5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1次/年</w:t>
                  </w:r>
                </w:p>
              </w:tc>
              <w:tc>
                <w:tcPr>
                  <w:tcW w:w="1554" w:type="pct"/>
                  <w:vMerge w:val="restart"/>
                  <w:tcBorders>
                    <w:tl2br w:val="nil"/>
                    <w:tr2bl w:val="nil"/>
                  </w:tcBorders>
                  <w:vAlign w:val="center"/>
                </w:tcPr>
                <w:p w14:paraId="0323A2F3">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eastAsia="宋体"/>
                      <w:color w:val="auto"/>
                      <w:sz w:val="21"/>
                      <w:szCs w:val="21"/>
                      <w:lang w:val="en-US" w:eastAsia="zh-CN"/>
                    </w:rPr>
                    <w:t>《大气污染物综合排放标准》（DB32/4041-2021）表</w:t>
                  </w:r>
                  <w:r>
                    <w:rPr>
                      <w:rFonts w:hint="eastAsia" w:eastAsia="宋体"/>
                      <w:color w:val="auto"/>
                      <w:sz w:val="21"/>
                      <w:szCs w:val="21"/>
                      <w:lang w:val="en-US" w:eastAsia="zh-CN"/>
                    </w:rPr>
                    <w:t>3</w:t>
                  </w:r>
                </w:p>
              </w:tc>
              <w:tc>
                <w:tcPr>
                  <w:tcW w:w="438" w:type="pct"/>
                  <w:vMerge w:val="continue"/>
                  <w:tcBorders>
                    <w:tl2br w:val="nil"/>
                    <w:tr2bl w:val="nil"/>
                  </w:tcBorders>
                  <w:shd w:val="clear" w:color="auto" w:fill="auto"/>
                  <w:vAlign w:val="center"/>
                </w:tcPr>
                <w:p w14:paraId="601182C8">
                  <w:pPr>
                    <w:spacing w:line="240" w:lineRule="auto"/>
                    <w:ind w:firstLine="0" w:firstLineChars="0"/>
                    <w:jc w:val="center"/>
                    <w:rPr>
                      <w:rFonts w:hint="default" w:ascii="Times New Roman" w:hAnsi="Times New Roman" w:eastAsia="宋体" w:cs="Times New Roman"/>
                      <w:bCs/>
                      <w:color w:val="auto"/>
                      <w:sz w:val="21"/>
                      <w:szCs w:val="21"/>
                      <w:highlight w:val="none"/>
                    </w:rPr>
                  </w:pPr>
                </w:p>
              </w:tc>
              <w:tc>
                <w:tcPr>
                  <w:tcW w:w="414" w:type="pct"/>
                  <w:vMerge w:val="continue"/>
                  <w:tcBorders>
                    <w:tl2br w:val="nil"/>
                    <w:tr2bl w:val="nil"/>
                  </w:tcBorders>
                  <w:vAlign w:val="center"/>
                </w:tcPr>
                <w:p w14:paraId="218AEBF7">
                  <w:pPr>
                    <w:spacing w:line="240" w:lineRule="auto"/>
                    <w:ind w:firstLine="0" w:firstLineChars="0"/>
                    <w:jc w:val="center"/>
                    <w:rPr>
                      <w:rFonts w:hint="default" w:ascii="Times New Roman" w:hAnsi="Times New Roman" w:eastAsia="宋体" w:cs="Times New Roman"/>
                      <w:bCs/>
                      <w:color w:val="auto"/>
                      <w:sz w:val="21"/>
                      <w:szCs w:val="21"/>
                      <w:highlight w:val="none"/>
                    </w:rPr>
                  </w:pPr>
                </w:p>
              </w:tc>
            </w:tr>
            <w:tr w14:paraId="006960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8" w:type="pct"/>
                  <w:vMerge w:val="continue"/>
                  <w:tcBorders>
                    <w:tl2br w:val="nil"/>
                    <w:tr2bl w:val="nil"/>
                  </w:tcBorders>
                  <w:vAlign w:val="center"/>
                </w:tcPr>
                <w:p w14:paraId="04722DC5">
                  <w:pPr>
                    <w:spacing w:line="240" w:lineRule="auto"/>
                    <w:ind w:firstLine="0" w:firstLineChars="0"/>
                    <w:jc w:val="center"/>
                    <w:rPr>
                      <w:rFonts w:hint="default" w:ascii="Times New Roman" w:hAnsi="Times New Roman" w:eastAsia="宋体" w:cs="Times New Roman"/>
                      <w:color w:val="auto"/>
                      <w:highlight w:val="none"/>
                    </w:rPr>
                  </w:pPr>
                </w:p>
              </w:tc>
              <w:tc>
                <w:tcPr>
                  <w:tcW w:w="368" w:type="pct"/>
                  <w:vMerge w:val="continue"/>
                  <w:tcBorders>
                    <w:tl2br w:val="nil"/>
                    <w:tr2bl w:val="nil"/>
                  </w:tcBorders>
                  <w:shd w:val="clear" w:color="auto" w:fill="auto"/>
                  <w:vAlign w:val="center"/>
                </w:tcPr>
                <w:p w14:paraId="51843220">
                  <w:pPr>
                    <w:spacing w:line="240" w:lineRule="auto"/>
                    <w:ind w:firstLine="0" w:firstLineChars="0"/>
                    <w:jc w:val="center"/>
                    <w:rPr>
                      <w:rFonts w:hint="default" w:ascii="Times New Roman" w:hAnsi="Times New Roman" w:eastAsia="宋体" w:cs="Times New Roman"/>
                      <w:color w:val="auto"/>
                      <w:highlight w:val="none"/>
                    </w:rPr>
                  </w:pPr>
                </w:p>
              </w:tc>
              <w:tc>
                <w:tcPr>
                  <w:tcW w:w="739" w:type="pct"/>
                  <w:vMerge w:val="continue"/>
                  <w:tcBorders>
                    <w:tl2br w:val="nil"/>
                    <w:tr2bl w:val="nil"/>
                  </w:tcBorders>
                  <w:shd w:val="clear" w:color="auto" w:fill="auto"/>
                  <w:vAlign w:val="center"/>
                </w:tcPr>
                <w:p w14:paraId="044401CF">
                  <w:pPr>
                    <w:spacing w:line="240" w:lineRule="auto"/>
                    <w:ind w:firstLine="0" w:firstLineChars="0"/>
                    <w:jc w:val="center"/>
                    <w:rPr>
                      <w:rFonts w:hint="default" w:ascii="Times New Roman" w:hAnsi="Times New Roman" w:eastAsia="宋体" w:cs="Times New Roman"/>
                      <w:color w:val="auto"/>
                      <w:highlight w:val="none"/>
                    </w:rPr>
                  </w:pPr>
                </w:p>
              </w:tc>
              <w:tc>
                <w:tcPr>
                  <w:tcW w:w="640" w:type="pct"/>
                  <w:tcBorders>
                    <w:tl2br w:val="nil"/>
                    <w:tr2bl w:val="nil"/>
                  </w:tcBorders>
                  <w:shd w:val="clear" w:color="auto" w:fill="auto"/>
                  <w:vAlign w:val="center"/>
                </w:tcPr>
                <w:p w14:paraId="6B768FEB">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丙烯腈</w:t>
                  </w:r>
                </w:p>
              </w:tc>
              <w:tc>
                <w:tcPr>
                  <w:tcW w:w="475" w:type="pct"/>
                  <w:tcBorders>
                    <w:tl2br w:val="nil"/>
                    <w:tr2bl w:val="nil"/>
                  </w:tcBorders>
                  <w:shd w:val="clear" w:color="auto" w:fill="auto"/>
                  <w:vAlign w:val="center"/>
                </w:tcPr>
                <w:p w14:paraId="09421CEE">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1次/年</w:t>
                  </w:r>
                </w:p>
              </w:tc>
              <w:tc>
                <w:tcPr>
                  <w:tcW w:w="1554" w:type="pct"/>
                  <w:vMerge w:val="continue"/>
                  <w:tcBorders>
                    <w:tl2br w:val="nil"/>
                    <w:tr2bl w:val="nil"/>
                  </w:tcBorders>
                  <w:vAlign w:val="center"/>
                </w:tcPr>
                <w:p w14:paraId="3B8F8F2C">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38" w:type="pct"/>
                  <w:vMerge w:val="continue"/>
                  <w:tcBorders>
                    <w:tl2br w:val="nil"/>
                    <w:tr2bl w:val="nil"/>
                  </w:tcBorders>
                  <w:shd w:val="clear" w:color="auto" w:fill="auto"/>
                  <w:vAlign w:val="center"/>
                </w:tcPr>
                <w:p w14:paraId="65A0A54A">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14" w:type="pct"/>
                  <w:vMerge w:val="continue"/>
                  <w:tcBorders>
                    <w:tl2br w:val="nil"/>
                    <w:tr2bl w:val="nil"/>
                  </w:tcBorders>
                  <w:vAlign w:val="center"/>
                </w:tcPr>
                <w:p w14:paraId="1A80C611">
                  <w:pPr>
                    <w:spacing w:line="240" w:lineRule="auto"/>
                    <w:ind w:firstLine="0" w:firstLineChars="0"/>
                    <w:jc w:val="center"/>
                    <w:rPr>
                      <w:rFonts w:hint="default" w:ascii="Times New Roman" w:hAnsi="Times New Roman" w:eastAsia="宋体" w:cs="Times New Roman"/>
                      <w:color w:val="auto"/>
                      <w:sz w:val="21"/>
                      <w:szCs w:val="21"/>
                      <w:highlight w:val="none"/>
                    </w:rPr>
                  </w:pPr>
                </w:p>
              </w:tc>
            </w:tr>
            <w:tr w14:paraId="2654CC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8" w:type="pct"/>
                  <w:vMerge w:val="continue"/>
                  <w:tcBorders>
                    <w:tl2br w:val="nil"/>
                    <w:tr2bl w:val="nil"/>
                  </w:tcBorders>
                  <w:vAlign w:val="center"/>
                </w:tcPr>
                <w:p w14:paraId="0F93F106">
                  <w:pPr>
                    <w:spacing w:line="240" w:lineRule="auto"/>
                    <w:ind w:firstLine="0" w:firstLineChars="0"/>
                    <w:jc w:val="center"/>
                    <w:rPr>
                      <w:rFonts w:hint="default" w:ascii="Times New Roman" w:hAnsi="Times New Roman" w:eastAsia="宋体" w:cs="Times New Roman"/>
                      <w:color w:val="auto"/>
                      <w:highlight w:val="none"/>
                    </w:rPr>
                  </w:pPr>
                </w:p>
              </w:tc>
              <w:tc>
                <w:tcPr>
                  <w:tcW w:w="368" w:type="pct"/>
                  <w:vMerge w:val="continue"/>
                  <w:tcBorders>
                    <w:tl2br w:val="nil"/>
                    <w:tr2bl w:val="nil"/>
                  </w:tcBorders>
                  <w:shd w:val="clear" w:color="auto" w:fill="auto"/>
                  <w:vAlign w:val="center"/>
                </w:tcPr>
                <w:p w14:paraId="753DA709">
                  <w:pPr>
                    <w:spacing w:line="240" w:lineRule="auto"/>
                    <w:ind w:firstLine="0" w:firstLineChars="0"/>
                    <w:jc w:val="center"/>
                    <w:rPr>
                      <w:rFonts w:hint="default" w:ascii="Times New Roman" w:hAnsi="Times New Roman" w:eastAsia="宋体" w:cs="Times New Roman"/>
                      <w:color w:val="auto"/>
                      <w:highlight w:val="none"/>
                    </w:rPr>
                  </w:pPr>
                </w:p>
              </w:tc>
              <w:tc>
                <w:tcPr>
                  <w:tcW w:w="739" w:type="pct"/>
                  <w:vMerge w:val="continue"/>
                  <w:tcBorders>
                    <w:tl2br w:val="nil"/>
                    <w:tr2bl w:val="nil"/>
                  </w:tcBorders>
                  <w:shd w:val="clear" w:color="auto" w:fill="auto"/>
                  <w:vAlign w:val="center"/>
                </w:tcPr>
                <w:p w14:paraId="72BF4914">
                  <w:pPr>
                    <w:spacing w:line="240" w:lineRule="auto"/>
                    <w:ind w:firstLine="0" w:firstLineChars="0"/>
                    <w:jc w:val="center"/>
                    <w:rPr>
                      <w:rFonts w:hint="default" w:ascii="Times New Roman" w:hAnsi="Times New Roman" w:eastAsia="宋体" w:cs="Times New Roman"/>
                      <w:color w:val="auto"/>
                      <w:highlight w:val="none"/>
                    </w:rPr>
                  </w:pPr>
                </w:p>
              </w:tc>
              <w:tc>
                <w:tcPr>
                  <w:tcW w:w="640" w:type="pct"/>
                  <w:tcBorders>
                    <w:tl2br w:val="nil"/>
                    <w:tr2bl w:val="nil"/>
                  </w:tcBorders>
                  <w:shd w:val="clear" w:color="auto" w:fill="auto"/>
                  <w:vAlign w:val="center"/>
                </w:tcPr>
                <w:p w14:paraId="0408DA01">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氯苯类</w:t>
                  </w:r>
                </w:p>
              </w:tc>
              <w:tc>
                <w:tcPr>
                  <w:tcW w:w="475" w:type="pct"/>
                  <w:tcBorders>
                    <w:tl2br w:val="nil"/>
                    <w:tr2bl w:val="nil"/>
                  </w:tcBorders>
                  <w:shd w:val="clear" w:color="auto" w:fill="auto"/>
                  <w:vAlign w:val="center"/>
                </w:tcPr>
                <w:p w14:paraId="7053B9E0">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1次/年</w:t>
                  </w:r>
                </w:p>
              </w:tc>
              <w:tc>
                <w:tcPr>
                  <w:tcW w:w="1554" w:type="pct"/>
                  <w:vMerge w:val="continue"/>
                  <w:tcBorders>
                    <w:tl2br w:val="nil"/>
                    <w:tr2bl w:val="nil"/>
                  </w:tcBorders>
                  <w:vAlign w:val="center"/>
                </w:tcPr>
                <w:p w14:paraId="4287473F">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38" w:type="pct"/>
                  <w:vMerge w:val="continue"/>
                  <w:tcBorders>
                    <w:tl2br w:val="nil"/>
                    <w:tr2bl w:val="nil"/>
                  </w:tcBorders>
                  <w:shd w:val="clear" w:color="auto" w:fill="auto"/>
                  <w:vAlign w:val="center"/>
                </w:tcPr>
                <w:p w14:paraId="002904D3">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14" w:type="pct"/>
                  <w:vMerge w:val="continue"/>
                  <w:tcBorders>
                    <w:tl2br w:val="nil"/>
                    <w:tr2bl w:val="nil"/>
                  </w:tcBorders>
                  <w:vAlign w:val="center"/>
                </w:tcPr>
                <w:p w14:paraId="5530A6F8">
                  <w:pPr>
                    <w:spacing w:line="240" w:lineRule="auto"/>
                    <w:ind w:firstLine="0" w:firstLineChars="0"/>
                    <w:jc w:val="center"/>
                    <w:rPr>
                      <w:rFonts w:hint="default" w:ascii="Times New Roman" w:hAnsi="Times New Roman" w:eastAsia="宋体" w:cs="Times New Roman"/>
                      <w:color w:val="auto"/>
                      <w:sz w:val="21"/>
                      <w:szCs w:val="21"/>
                      <w:highlight w:val="none"/>
                    </w:rPr>
                  </w:pPr>
                </w:p>
              </w:tc>
            </w:tr>
            <w:tr w14:paraId="2D7E96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8" w:type="pct"/>
                  <w:vMerge w:val="continue"/>
                  <w:tcBorders>
                    <w:tl2br w:val="nil"/>
                    <w:tr2bl w:val="nil"/>
                  </w:tcBorders>
                  <w:vAlign w:val="center"/>
                </w:tcPr>
                <w:p w14:paraId="54973D6B">
                  <w:pPr>
                    <w:spacing w:line="240" w:lineRule="auto"/>
                    <w:ind w:firstLine="0" w:firstLineChars="0"/>
                    <w:jc w:val="center"/>
                    <w:rPr>
                      <w:rFonts w:hint="default" w:ascii="Times New Roman" w:hAnsi="Times New Roman" w:eastAsia="宋体" w:cs="Times New Roman"/>
                      <w:color w:val="auto"/>
                      <w:highlight w:val="none"/>
                    </w:rPr>
                  </w:pPr>
                </w:p>
              </w:tc>
              <w:tc>
                <w:tcPr>
                  <w:tcW w:w="368" w:type="pct"/>
                  <w:vMerge w:val="continue"/>
                  <w:tcBorders>
                    <w:tl2br w:val="nil"/>
                    <w:tr2bl w:val="nil"/>
                  </w:tcBorders>
                  <w:shd w:val="clear" w:color="auto" w:fill="auto"/>
                  <w:vAlign w:val="center"/>
                </w:tcPr>
                <w:p w14:paraId="2CDA4E9B">
                  <w:pPr>
                    <w:spacing w:line="240" w:lineRule="auto"/>
                    <w:ind w:firstLine="0" w:firstLineChars="0"/>
                    <w:jc w:val="center"/>
                    <w:rPr>
                      <w:rFonts w:hint="default" w:ascii="Times New Roman" w:hAnsi="Times New Roman" w:eastAsia="宋体" w:cs="Times New Roman"/>
                      <w:color w:val="auto"/>
                      <w:highlight w:val="none"/>
                    </w:rPr>
                  </w:pPr>
                </w:p>
              </w:tc>
              <w:tc>
                <w:tcPr>
                  <w:tcW w:w="739" w:type="pct"/>
                  <w:vMerge w:val="continue"/>
                  <w:tcBorders>
                    <w:tl2br w:val="nil"/>
                    <w:tr2bl w:val="nil"/>
                  </w:tcBorders>
                  <w:shd w:val="clear" w:color="auto" w:fill="auto"/>
                  <w:vAlign w:val="center"/>
                </w:tcPr>
                <w:p w14:paraId="600FFF64">
                  <w:pPr>
                    <w:spacing w:line="240" w:lineRule="auto"/>
                    <w:ind w:firstLine="0" w:firstLineChars="0"/>
                    <w:jc w:val="center"/>
                    <w:rPr>
                      <w:rFonts w:hint="default" w:ascii="Times New Roman" w:hAnsi="Times New Roman" w:eastAsia="宋体" w:cs="Times New Roman"/>
                      <w:color w:val="auto"/>
                      <w:highlight w:val="none"/>
                    </w:rPr>
                  </w:pPr>
                </w:p>
              </w:tc>
              <w:tc>
                <w:tcPr>
                  <w:tcW w:w="640" w:type="pct"/>
                  <w:tcBorders>
                    <w:tl2br w:val="nil"/>
                    <w:tr2bl w:val="nil"/>
                  </w:tcBorders>
                  <w:shd w:val="clear" w:color="auto" w:fill="auto"/>
                  <w:vAlign w:val="center"/>
                </w:tcPr>
                <w:p w14:paraId="2A896240">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酚类</w:t>
                  </w:r>
                </w:p>
              </w:tc>
              <w:tc>
                <w:tcPr>
                  <w:tcW w:w="475" w:type="pct"/>
                  <w:tcBorders>
                    <w:tl2br w:val="nil"/>
                    <w:tr2bl w:val="nil"/>
                  </w:tcBorders>
                  <w:shd w:val="clear" w:color="auto" w:fill="auto"/>
                  <w:vAlign w:val="center"/>
                </w:tcPr>
                <w:p w14:paraId="5364886D">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1次/年</w:t>
                  </w:r>
                </w:p>
              </w:tc>
              <w:tc>
                <w:tcPr>
                  <w:tcW w:w="1554" w:type="pct"/>
                  <w:vMerge w:val="continue"/>
                  <w:tcBorders>
                    <w:tl2br w:val="nil"/>
                    <w:tr2bl w:val="nil"/>
                  </w:tcBorders>
                  <w:vAlign w:val="center"/>
                </w:tcPr>
                <w:p w14:paraId="06A19DD5">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38" w:type="pct"/>
                  <w:vMerge w:val="continue"/>
                  <w:tcBorders>
                    <w:tl2br w:val="nil"/>
                    <w:tr2bl w:val="nil"/>
                  </w:tcBorders>
                  <w:shd w:val="clear" w:color="auto" w:fill="auto"/>
                  <w:vAlign w:val="center"/>
                </w:tcPr>
                <w:p w14:paraId="321C1F3B">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14" w:type="pct"/>
                  <w:vMerge w:val="continue"/>
                  <w:tcBorders>
                    <w:tl2br w:val="nil"/>
                    <w:tr2bl w:val="nil"/>
                  </w:tcBorders>
                  <w:vAlign w:val="center"/>
                </w:tcPr>
                <w:p w14:paraId="6868318F">
                  <w:pPr>
                    <w:spacing w:line="240" w:lineRule="auto"/>
                    <w:ind w:firstLine="0" w:firstLineChars="0"/>
                    <w:jc w:val="center"/>
                    <w:rPr>
                      <w:rFonts w:hint="default" w:ascii="Times New Roman" w:hAnsi="Times New Roman" w:eastAsia="宋体" w:cs="Times New Roman"/>
                      <w:color w:val="auto"/>
                      <w:sz w:val="21"/>
                      <w:szCs w:val="21"/>
                      <w:highlight w:val="none"/>
                    </w:rPr>
                  </w:pPr>
                </w:p>
              </w:tc>
            </w:tr>
            <w:tr w14:paraId="47CF13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8" w:type="pct"/>
                  <w:vMerge w:val="continue"/>
                  <w:tcBorders>
                    <w:tl2br w:val="nil"/>
                    <w:tr2bl w:val="nil"/>
                  </w:tcBorders>
                  <w:vAlign w:val="center"/>
                </w:tcPr>
                <w:p w14:paraId="367571BD">
                  <w:pPr>
                    <w:spacing w:line="240" w:lineRule="auto"/>
                    <w:ind w:firstLine="0" w:firstLineChars="0"/>
                    <w:jc w:val="center"/>
                    <w:rPr>
                      <w:rFonts w:hint="default" w:ascii="Times New Roman" w:hAnsi="Times New Roman" w:eastAsia="宋体" w:cs="Times New Roman"/>
                      <w:color w:val="auto"/>
                      <w:highlight w:val="none"/>
                    </w:rPr>
                  </w:pPr>
                </w:p>
              </w:tc>
              <w:tc>
                <w:tcPr>
                  <w:tcW w:w="368" w:type="pct"/>
                  <w:vMerge w:val="continue"/>
                  <w:tcBorders>
                    <w:tl2br w:val="nil"/>
                    <w:tr2bl w:val="nil"/>
                  </w:tcBorders>
                  <w:shd w:val="clear" w:color="auto" w:fill="auto"/>
                  <w:vAlign w:val="center"/>
                </w:tcPr>
                <w:p w14:paraId="45368705">
                  <w:pPr>
                    <w:spacing w:line="240" w:lineRule="auto"/>
                    <w:ind w:firstLine="0" w:firstLineChars="0"/>
                    <w:jc w:val="center"/>
                    <w:rPr>
                      <w:rFonts w:hint="default" w:ascii="Times New Roman" w:hAnsi="Times New Roman" w:eastAsia="宋体" w:cs="Times New Roman"/>
                      <w:color w:val="auto"/>
                      <w:highlight w:val="none"/>
                    </w:rPr>
                  </w:pPr>
                </w:p>
              </w:tc>
              <w:tc>
                <w:tcPr>
                  <w:tcW w:w="739" w:type="pct"/>
                  <w:vMerge w:val="continue"/>
                  <w:tcBorders>
                    <w:tl2br w:val="nil"/>
                    <w:tr2bl w:val="nil"/>
                  </w:tcBorders>
                  <w:shd w:val="clear" w:color="auto" w:fill="auto"/>
                  <w:vAlign w:val="center"/>
                </w:tcPr>
                <w:p w14:paraId="05602A8F">
                  <w:pPr>
                    <w:spacing w:line="240" w:lineRule="auto"/>
                    <w:ind w:firstLine="0" w:firstLineChars="0"/>
                    <w:jc w:val="center"/>
                    <w:rPr>
                      <w:rFonts w:hint="default" w:ascii="Times New Roman" w:hAnsi="Times New Roman" w:eastAsia="宋体" w:cs="Times New Roman"/>
                      <w:color w:val="auto"/>
                      <w:highlight w:val="none"/>
                    </w:rPr>
                  </w:pPr>
                </w:p>
              </w:tc>
              <w:tc>
                <w:tcPr>
                  <w:tcW w:w="640" w:type="pct"/>
                  <w:tcBorders>
                    <w:tl2br w:val="nil"/>
                    <w:tr2bl w:val="nil"/>
                  </w:tcBorders>
                  <w:shd w:val="clear" w:color="auto" w:fill="auto"/>
                  <w:vAlign w:val="center"/>
                </w:tcPr>
                <w:p w14:paraId="04E1AA05">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lang w:val="en-US" w:eastAsia="zh-CN"/>
                    </w:rPr>
                    <w:t>二氯甲烷</w:t>
                  </w:r>
                </w:p>
              </w:tc>
              <w:tc>
                <w:tcPr>
                  <w:tcW w:w="475" w:type="pct"/>
                  <w:tcBorders>
                    <w:tl2br w:val="nil"/>
                    <w:tr2bl w:val="nil"/>
                  </w:tcBorders>
                  <w:shd w:val="clear" w:color="auto" w:fill="auto"/>
                  <w:vAlign w:val="center"/>
                </w:tcPr>
                <w:p w14:paraId="1F7F952D">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1次/年</w:t>
                  </w:r>
                </w:p>
              </w:tc>
              <w:tc>
                <w:tcPr>
                  <w:tcW w:w="1554" w:type="pct"/>
                  <w:vMerge w:val="continue"/>
                  <w:tcBorders>
                    <w:tl2br w:val="nil"/>
                    <w:tr2bl w:val="nil"/>
                  </w:tcBorders>
                  <w:vAlign w:val="center"/>
                </w:tcPr>
                <w:p w14:paraId="5B5CE66C">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38" w:type="pct"/>
                  <w:vMerge w:val="continue"/>
                  <w:tcBorders>
                    <w:tl2br w:val="nil"/>
                    <w:tr2bl w:val="nil"/>
                  </w:tcBorders>
                  <w:shd w:val="clear" w:color="auto" w:fill="auto"/>
                  <w:vAlign w:val="center"/>
                </w:tcPr>
                <w:p w14:paraId="47CFD812">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14" w:type="pct"/>
                  <w:vMerge w:val="continue"/>
                  <w:tcBorders>
                    <w:tl2br w:val="nil"/>
                    <w:tr2bl w:val="nil"/>
                  </w:tcBorders>
                  <w:vAlign w:val="center"/>
                </w:tcPr>
                <w:p w14:paraId="01E0F2A9">
                  <w:pPr>
                    <w:spacing w:line="240" w:lineRule="auto"/>
                    <w:ind w:firstLine="0" w:firstLineChars="0"/>
                    <w:jc w:val="center"/>
                    <w:rPr>
                      <w:rFonts w:hint="default" w:ascii="Times New Roman" w:hAnsi="Times New Roman" w:eastAsia="宋体" w:cs="Times New Roman"/>
                      <w:color w:val="auto"/>
                      <w:sz w:val="21"/>
                      <w:szCs w:val="21"/>
                      <w:highlight w:val="none"/>
                    </w:rPr>
                  </w:pPr>
                </w:p>
              </w:tc>
            </w:tr>
            <w:tr w14:paraId="1179EF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8" w:type="pct"/>
                  <w:vMerge w:val="continue"/>
                  <w:tcBorders>
                    <w:tl2br w:val="nil"/>
                    <w:tr2bl w:val="nil"/>
                  </w:tcBorders>
                  <w:vAlign w:val="center"/>
                </w:tcPr>
                <w:p w14:paraId="306AC713">
                  <w:pPr>
                    <w:spacing w:line="240" w:lineRule="auto"/>
                    <w:ind w:firstLine="0" w:firstLineChars="0"/>
                    <w:jc w:val="center"/>
                    <w:rPr>
                      <w:rFonts w:hint="default" w:ascii="Times New Roman" w:hAnsi="Times New Roman" w:eastAsia="宋体" w:cs="Times New Roman"/>
                      <w:color w:val="auto"/>
                      <w:highlight w:val="none"/>
                    </w:rPr>
                  </w:pPr>
                </w:p>
              </w:tc>
              <w:tc>
                <w:tcPr>
                  <w:tcW w:w="368" w:type="pct"/>
                  <w:vMerge w:val="continue"/>
                  <w:tcBorders>
                    <w:tl2br w:val="nil"/>
                    <w:tr2bl w:val="nil"/>
                  </w:tcBorders>
                  <w:shd w:val="clear" w:color="auto" w:fill="auto"/>
                  <w:vAlign w:val="center"/>
                </w:tcPr>
                <w:p w14:paraId="16D51556">
                  <w:pPr>
                    <w:spacing w:line="240" w:lineRule="auto"/>
                    <w:ind w:firstLine="0" w:firstLineChars="0"/>
                    <w:jc w:val="center"/>
                    <w:rPr>
                      <w:rFonts w:hint="default" w:ascii="Times New Roman" w:hAnsi="Times New Roman" w:eastAsia="宋体" w:cs="Times New Roman"/>
                      <w:color w:val="auto"/>
                      <w:highlight w:val="none"/>
                    </w:rPr>
                  </w:pPr>
                </w:p>
              </w:tc>
              <w:tc>
                <w:tcPr>
                  <w:tcW w:w="739" w:type="pct"/>
                  <w:vMerge w:val="continue"/>
                  <w:tcBorders>
                    <w:tl2br w:val="nil"/>
                    <w:tr2bl w:val="nil"/>
                  </w:tcBorders>
                  <w:shd w:val="clear" w:color="auto" w:fill="auto"/>
                  <w:vAlign w:val="center"/>
                </w:tcPr>
                <w:p w14:paraId="1EF71614">
                  <w:pPr>
                    <w:spacing w:line="240" w:lineRule="auto"/>
                    <w:ind w:firstLine="0" w:firstLineChars="0"/>
                    <w:jc w:val="center"/>
                    <w:rPr>
                      <w:rFonts w:hint="default" w:ascii="Times New Roman" w:hAnsi="Times New Roman" w:eastAsia="宋体" w:cs="Times New Roman"/>
                      <w:color w:val="auto"/>
                      <w:highlight w:val="none"/>
                    </w:rPr>
                  </w:pPr>
                </w:p>
              </w:tc>
              <w:tc>
                <w:tcPr>
                  <w:tcW w:w="640" w:type="pct"/>
                  <w:tcBorders>
                    <w:tl2br w:val="nil"/>
                    <w:tr2bl w:val="nil"/>
                  </w:tcBorders>
                  <w:shd w:val="clear" w:color="auto" w:fill="auto"/>
                  <w:vAlign w:val="center"/>
                </w:tcPr>
                <w:p w14:paraId="2472C652">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苯乙烯</w:t>
                  </w:r>
                </w:p>
              </w:tc>
              <w:tc>
                <w:tcPr>
                  <w:tcW w:w="475" w:type="pct"/>
                  <w:tcBorders>
                    <w:tl2br w:val="nil"/>
                    <w:tr2bl w:val="nil"/>
                  </w:tcBorders>
                  <w:shd w:val="clear" w:color="auto" w:fill="auto"/>
                  <w:vAlign w:val="center"/>
                </w:tcPr>
                <w:p w14:paraId="14C27842">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1次/年</w:t>
                  </w:r>
                </w:p>
              </w:tc>
              <w:tc>
                <w:tcPr>
                  <w:tcW w:w="1554" w:type="pct"/>
                  <w:vMerge w:val="restart"/>
                  <w:tcBorders>
                    <w:tl2br w:val="nil"/>
                    <w:tr2bl w:val="nil"/>
                  </w:tcBorders>
                  <w:vAlign w:val="center"/>
                </w:tcPr>
                <w:p w14:paraId="739EF21A">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olor w:val="auto"/>
                    </w:rPr>
                    <w:t>《恶臭污染物排放标准》（GB14554-93）表</w:t>
                  </w:r>
                  <w:r>
                    <w:rPr>
                      <w:rFonts w:hint="eastAsia"/>
                      <w:color w:val="auto"/>
                      <w:lang w:eastAsia="zh-CN"/>
                    </w:rPr>
                    <w:t>1</w:t>
                  </w:r>
                </w:p>
              </w:tc>
              <w:tc>
                <w:tcPr>
                  <w:tcW w:w="438" w:type="pct"/>
                  <w:vMerge w:val="continue"/>
                  <w:tcBorders>
                    <w:tl2br w:val="nil"/>
                    <w:tr2bl w:val="nil"/>
                  </w:tcBorders>
                  <w:shd w:val="clear" w:color="auto" w:fill="auto"/>
                  <w:vAlign w:val="center"/>
                </w:tcPr>
                <w:p w14:paraId="60415B77">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14" w:type="pct"/>
                  <w:vMerge w:val="continue"/>
                  <w:tcBorders>
                    <w:tl2br w:val="nil"/>
                    <w:tr2bl w:val="nil"/>
                  </w:tcBorders>
                  <w:vAlign w:val="center"/>
                </w:tcPr>
                <w:p w14:paraId="22BBCD35">
                  <w:pPr>
                    <w:spacing w:line="240" w:lineRule="auto"/>
                    <w:ind w:firstLine="0" w:firstLineChars="0"/>
                    <w:jc w:val="center"/>
                    <w:rPr>
                      <w:rFonts w:hint="default" w:ascii="Times New Roman" w:hAnsi="Times New Roman" w:eastAsia="宋体" w:cs="Times New Roman"/>
                      <w:color w:val="auto"/>
                      <w:sz w:val="21"/>
                      <w:szCs w:val="21"/>
                      <w:highlight w:val="none"/>
                    </w:rPr>
                  </w:pPr>
                </w:p>
              </w:tc>
            </w:tr>
            <w:tr w14:paraId="61B93A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8" w:type="pct"/>
                  <w:vMerge w:val="continue"/>
                  <w:tcBorders>
                    <w:tl2br w:val="nil"/>
                    <w:tr2bl w:val="nil"/>
                  </w:tcBorders>
                  <w:vAlign w:val="center"/>
                </w:tcPr>
                <w:p w14:paraId="2563F12B">
                  <w:pPr>
                    <w:spacing w:line="240" w:lineRule="auto"/>
                    <w:ind w:firstLine="0" w:firstLineChars="0"/>
                    <w:jc w:val="center"/>
                    <w:rPr>
                      <w:rFonts w:hint="default" w:ascii="Times New Roman" w:hAnsi="Times New Roman" w:eastAsia="宋体" w:cs="Times New Roman"/>
                      <w:color w:val="auto"/>
                      <w:highlight w:val="none"/>
                    </w:rPr>
                  </w:pPr>
                </w:p>
              </w:tc>
              <w:tc>
                <w:tcPr>
                  <w:tcW w:w="368" w:type="pct"/>
                  <w:vMerge w:val="continue"/>
                  <w:tcBorders>
                    <w:tl2br w:val="nil"/>
                    <w:tr2bl w:val="nil"/>
                  </w:tcBorders>
                  <w:shd w:val="clear" w:color="auto" w:fill="auto"/>
                  <w:vAlign w:val="center"/>
                </w:tcPr>
                <w:p w14:paraId="31503256">
                  <w:pPr>
                    <w:spacing w:line="240" w:lineRule="auto"/>
                    <w:ind w:firstLine="0" w:firstLineChars="0"/>
                    <w:jc w:val="center"/>
                    <w:rPr>
                      <w:rFonts w:hint="default" w:ascii="Times New Roman" w:hAnsi="Times New Roman" w:eastAsia="宋体" w:cs="Times New Roman"/>
                      <w:color w:val="auto"/>
                      <w:highlight w:val="none"/>
                    </w:rPr>
                  </w:pPr>
                </w:p>
              </w:tc>
              <w:tc>
                <w:tcPr>
                  <w:tcW w:w="739" w:type="pct"/>
                  <w:vMerge w:val="continue"/>
                  <w:tcBorders>
                    <w:tl2br w:val="nil"/>
                    <w:tr2bl w:val="nil"/>
                  </w:tcBorders>
                  <w:shd w:val="clear" w:color="auto" w:fill="auto"/>
                  <w:vAlign w:val="center"/>
                </w:tcPr>
                <w:p w14:paraId="2AD6A4F3">
                  <w:pPr>
                    <w:spacing w:line="240" w:lineRule="auto"/>
                    <w:ind w:firstLine="0" w:firstLineChars="0"/>
                    <w:jc w:val="center"/>
                    <w:rPr>
                      <w:rFonts w:hint="default" w:ascii="Times New Roman" w:hAnsi="Times New Roman" w:eastAsia="宋体" w:cs="Times New Roman"/>
                      <w:color w:val="auto"/>
                      <w:highlight w:val="none"/>
                    </w:rPr>
                  </w:pPr>
                </w:p>
              </w:tc>
              <w:tc>
                <w:tcPr>
                  <w:tcW w:w="640" w:type="pct"/>
                  <w:tcBorders>
                    <w:tl2br w:val="nil"/>
                    <w:tr2bl w:val="nil"/>
                  </w:tcBorders>
                  <w:shd w:val="clear" w:color="auto" w:fill="auto"/>
                  <w:vAlign w:val="center"/>
                </w:tcPr>
                <w:p w14:paraId="10F04D67">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氨</w:t>
                  </w:r>
                </w:p>
              </w:tc>
              <w:tc>
                <w:tcPr>
                  <w:tcW w:w="475" w:type="pct"/>
                  <w:tcBorders>
                    <w:tl2br w:val="nil"/>
                    <w:tr2bl w:val="nil"/>
                  </w:tcBorders>
                  <w:shd w:val="clear" w:color="auto" w:fill="auto"/>
                  <w:vAlign w:val="center"/>
                </w:tcPr>
                <w:p w14:paraId="6ED05B4B">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1次/年</w:t>
                  </w:r>
                </w:p>
              </w:tc>
              <w:tc>
                <w:tcPr>
                  <w:tcW w:w="1554" w:type="pct"/>
                  <w:vMerge w:val="continue"/>
                  <w:tcBorders>
                    <w:tl2br w:val="nil"/>
                    <w:tr2bl w:val="nil"/>
                  </w:tcBorders>
                  <w:vAlign w:val="center"/>
                </w:tcPr>
                <w:p w14:paraId="45562110">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38" w:type="pct"/>
                  <w:vMerge w:val="continue"/>
                  <w:tcBorders>
                    <w:tl2br w:val="nil"/>
                    <w:tr2bl w:val="nil"/>
                  </w:tcBorders>
                  <w:shd w:val="clear" w:color="auto" w:fill="auto"/>
                  <w:vAlign w:val="center"/>
                </w:tcPr>
                <w:p w14:paraId="7DDEF813">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14" w:type="pct"/>
                  <w:vMerge w:val="continue"/>
                  <w:tcBorders>
                    <w:tl2br w:val="nil"/>
                    <w:tr2bl w:val="nil"/>
                  </w:tcBorders>
                  <w:vAlign w:val="center"/>
                </w:tcPr>
                <w:p w14:paraId="113E581A">
                  <w:pPr>
                    <w:spacing w:line="240" w:lineRule="auto"/>
                    <w:ind w:firstLine="0" w:firstLineChars="0"/>
                    <w:jc w:val="center"/>
                    <w:rPr>
                      <w:rFonts w:hint="default" w:ascii="Times New Roman" w:hAnsi="Times New Roman" w:eastAsia="宋体" w:cs="Times New Roman"/>
                      <w:color w:val="auto"/>
                      <w:sz w:val="21"/>
                      <w:szCs w:val="21"/>
                      <w:highlight w:val="none"/>
                    </w:rPr>
                  </w:pPr>
                </w:p>
              </w:tc>
            </w:tr>
            <w:tr w14:paraId="59A295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368" w:type="pct"/>
                  <w:vMerge w:val="continue"/>
                  <w:tcBorders>
                    <w:tl2br w:val="nil"/>
                    <w:tr2bl w:val="nil"/>
                  </w:tcBorders>
                  <w:vAlign w:val="center"/>
                </w:tcPr>
                <w:p w14:paraId="775FD0EA">
                  <w:pPr>
                    <w:spacing w:line="240" w:lineRule="auto"/>
                    <w:ind w:firstLine="0" w:firstLineChars="0"/>
                    <w:jc w:val="center"/>
                    <w:rPr>
                      <w:rFonts w:hint="default" w:ascii="Times New Roman" w:hAnsi="Times New Roman" w:eastAsia="宋体" w:cs="Times New Roman"/>
                      <w:bCs/>
                      <w:color w:val="auto"/>
                      <w:sz w:val="21"/>
                      <w:szCs w:val="21"/>
                      <w:highlight w:val="none"/>
                    </w:rPr>
                  </w:pPr>
                </w:p>
              </w:tc>
              <w:tc>
                <w:tcPr>
                  <w:tcW w:w="368" w:type="pct"/>
                  <w:vMerge w:val="continue"/>
                  <w:tcBorders>
                    <w:tl2br w:val="nil"/>
                    <w:tr2bl w:val="nil"/>
                  </w:tcBorders>
                  <w:shd w:val="clear" w:color="auto" w:fill="auto"/>
                  <w:vAlign w:val="center"/>
                </w:tcPr>
                <w:p w14:paraId="6AF96867">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39" w:type="pct"/>
                  <w:tcBorders>
                    <w:tl2br w:val="nil"/>
                    <w:tr2bl w:val="nil"/>
                  </w:tcBorders>
                  <w:shd w:val="clear" w:color="auto" w:fill="auto"/>
                  <w:vAlign w:val="center"/>
                </w:tcPr>
                <w:p w14:paraId="2DDDBED5">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厂房外设置监控点</w:t>
                  </w:r>
                </w:p>
              </w:tc>
              <w:tc>
                <w:tcPr>
                  <w:tcW w:w="640" w:type="pct"/>
                  <w:tcBorders>
                    <w:tl2br w:val="nil"/>
                    <w:tr2bl w:val="nil"/>
                  </w:tcBorders>
                  <w:shd w:val="clear" w:color="auto" w:fill="auto"/>
                  <w:vAlign w:val="center"/>
                </w:tcPr>
                <w:p w14:paraId="0C86C7D9">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非甲烷总烃</w:t>
                  </w:r>
                </w:p>
              </w:tc>
              <w:tc>
                <w:tcPr>
                  <w:tcW w:w="475" w:type="pct"/>
                  <w:tcBorders>
                    <w:tl2br w:val="nil"/>
                    <w:tr2bl w:val="nil"/>
                  </w:tcBorders>
                  <w:shd w:val="clear" w:color="auto" w:fill="auto"/>
                  <w:vAlign w:val="center"/>
                </w:tcPr>
                <w:p w14:paraId="025F75AB">
                  <w:pPr>
                    <w:spacing w:line="240" w:lineRule="auto"/>
                    <w:ind w:left="-105" w:leftChars="-50" w:right="-105"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1次/年</w:t>
                  </w:r>
                </w:p>
              </w:tc>
              <w:tc>
                <w:tcPr>
                  <w:tcW w:w="1554" w:type="pct"/>
                  <w:tcBorders>
                    <w:tl2br w:val="nil"/>
                    <w:tr2bl w:val="nil"/>
                  </w:tcBorders>
                  <w:vAlign w:val="center"/>
                </w:tcPr>
                <w:p w14:paraId="61210EA0">
                  <w:pPr>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olor w:val="auto"/>
                      <w:sz w:val="21"/>
                      <w:szCs w:val="21"/>
                      <w:lang w:val="en-US" w:eastAsia="zh-CN"/>
                    </w:rPr>
                    <w:t>《大气污染物综合排放标准》（DB32/4041-2021）表</w:t>
                  </w:r>
                  <w:r>
                    <w:rPr>
                      <w:rFonts w:hint="eastAsia"/>
                      <w:color w:val="auto"/>
                      <w:sz w:val="21"/>
                      <w:szCs w:val="21"/>
                      <w:lang w:val="en-US" w:eastAsia="zh-CN"/>
                    </w:rPr>
                    <w:t>2</w:t>
                  </w:r>
                </w:p>
              </w:tc>
              <w:tc>
                <w:tcPr>
                  <w:tcW w:w="438" w:type="pct"/>
                  <w:vMerge w:val="continue"/>
                  <w:tcBorders>
                    <w:tl2br w:val="nil"/>
                    <w:tr2bl w:val="nil"/>
                  </w:tcBorders>
                  <w:shd w:val="clear" w:color="auto" w:fill="auto"/>
                  <w:vAlign w:val="center"/>
                </w:tcPr>
                <w:p w14:paraId="083464F1">
                  <w:pPr>
                    <w:spacing w:line="240" w:lineRule="auto"/>
                    <w:ind w:firstLine="0" w:firstLineChars="0"/>
                    <w:jc w:val="center"/>
                    <w:rPr>
                      <w:rFonts w:hint="default" w:ascii="Times New Roman" w:hAnsi="Times New Roman" w:eastAsia="宋体" w:cs="Times New Roman"/>
                      <w:bCs/>
                      <w:color w:val="auto"/>
                      <w:sz w:val="21"/>
                      <w:szCs w:val="21"/>
                      <w:highlight w:val="none"/>
                    </w:rPr>
                  </w:pPr>
                </w:p>
              </w:tc>
              <w:tc>
                <w:tcPr>
                  <w:tcW w:w="414" w:type="pct"/>
                  <w:vMerge w:val="continue"/>
                  <w:tcBorders>
                    <w:tl2br w:val="nil"/>
                    <w:tr2bl w:val="nil"/>
                  </w:tcBorders>
                  <w:vAlign w:val="center"/>
                </w:tcPr>
                <w:p w14:paraId="14039DC9">
                  <w:pPr>
                    <w:spacing w:line="240" w:lineRule="auto"/>
                    <w:ind w:firstLine="0" w:firstLineChars="0"/>
                    <w:jc w:val="center"/>
                    <w:rPr>
                      <w:rFonts w:hint="default" w:ascii="Times New Roman" w:hAnsi="Times New Roman" w:eastAsia="宋体" w:cs="Times New Roman"/>
                      <w:bCs/>
                      <w:color w:val="auto"/>
                      <w:sz w:val="21"/>
                      <w:szCs w:val="21"/>
                      <w:highlight w:val="none"/>
                    </w:rPr>
                  </w:pPr>
                </w:p>
              </w:tc>
            </w:tr>
          </w:tbl>
          <w:p w14:paraId="71950F6E">
            <w:pPr>
              <w:ind w:firstLine="0" w:firstLineChars="0"/>
              <w:rPr>
                <w:b/>
                <w:bCs/>
                <w:color w:val="auto"/>
                <w:sz w:val="24"/>
                <w:szCs w:val="24"/>
              </w:rPr>
            </w:pPr>
            <w:r>
              <w:rPr>
                <w:b/>
                <w:bCs/>
                <w:color w:val="auto"/>
                <w:sz w:val="24"/>
                <w:szCs w:val="24"/>
              </w:rPr>
              <w:t>2.</w:t>
            </w:r>
            <w:r>
              <w:rPr>
                <w:rFonts w:hint="eastAsia"/>
                <w:b/>
                <w:bCs/>
                <w:color w:val="auto"/>
                <w:sz w:val="24"/>
                <w:szCs w:val="24"/>
                <w:lang w:val="en-US" w:eastAsia="zh-CN"/>
              </w:rPr>
              <w:t>7</w:t>
            </w:r>
            <w:r>
              <w:rPr>
                <w:b/>
                <w:bCs/>
                <w:color w:val="auto"/>
                <w:sz w:val="24"/>
                <w:szCs w:val="24"/>
              </w:rPr>
              <w:t>环境影响结论</w:t>
            </w:r>
          </w:p>
          <w:p w14:paraId="56E3863E">
            <w:pPr>
              <w:ind w:firstLine="420"/>
              <w:rPr>
                <w:rFonts w:ascii="Times New Roman" w:hAnsi="Times New Roman" w:eastAsia="宋体" w:cs="Times New Roman"/>
                <w:color w:val="auto"/>
                <w:sz w:val="24"/>
                <w:szCs w:val="24"/>
              </w:rPr>
            </w:pPr>
            <w:r>
              <w:rPr>
                <w:rFonts w:hint="default" w:ascii="Times New Roman" w:hAnsi="Times New Roman" w:eastAsia="宋体" w:cs="Times New Roman"/>
                <w:bCs/>
                <w:color w:val="auto"/>
                <w:sz w:val="24"/>
                <w:highlight w:val="none"/>
                <w:shd w:val="clear" w:color="auto" w:fill="auto"/>
              </w:rPr>
              <w:t>本项目位于环境空气质量非达标区，企业卫生防护距离范围内不涉及居民、学校等环境敏感保护目标。本项目产生的各类大气污染物经采取有效的污染防治措施治理后排放，各大气污染物排放强度较低，对大气环境影响较小，周边大气环境可基本维持现状，但仍要加强污染控制管理，减少非正常排放情况的发生</w:t>
            </w:r>
            <w:r>
              <w:rPr>
                <w:rFonts w:hint="default" w:ascii="Times New Roman" w:hAnsi="Times New Roman" w:eastAsia="宋体" w:cs="Times New Roman"/>
                <w:color w:val="auto"/>
                <w:sz w:val="24"/>
                <w:highlight w:val="none"/>
                <w:shd w:val="clear" w:color="auto" w:fill="auto"/>
              </w:rPr>
              <w:t>。</w:t>
            </w:r>
          </w:p>
          <w:p w14:paraId="712FF288">
            <w:pPr>
              <w:ind w:firstLine="0" w:firstLineChars="0"/>
              <w:rPr>
                <w:b/>
                <w:bCs/>
                <w:color w:val="auto"/>
                <w:sz w:val="24"/>
                <w:szCs w:val="24"/>
              </w:rPr>
            </w:pPr>
            <w:r>
              <w:rPr>
                <w:b/>
                <w:bCs/>
                <w:color w:val="auto"/>
                <w:sz w:val="24"/>
                <w:szCs w:val="24"/>
              </w:rPr>
              <w:t>3、噪声</w:t>
            </w:r>
          </w:p>
          <w:p w14:paraId="7B747C02">
            <w:pPr>
              <w:ind w:firstLine="0" w:firstLineChars="0"/>
              <w:rPr>
                <w:b/>
                <w:bCs/>
                <w:color w:val="auto"/>
                <w:sz w:val="24"/>
                <w:szCs w:val="24"/>
              </w:rPr>
            </w:pPr>
            <w:r>
              <w:rPr>
                <w:b/>
                <w:bCs/>
                <w:color w:val="auto"/>
                <w:sz w:val="24"/>
                <w:szCs w:val="24"/>
              </w:rPr>
              <w:t>3.1噪声产生环节及源强</w:t>
            </w:r>
          </w:p>
          <w:p w14:paraId="6A046AF2">
            <w:pPr>
              <w:ind w:firstLine="420"/>
              <w:rPr>
                <w:color w:val="auto"/>
                <w:sz w:val="24"/>
                <w:szCs w:val="24"/>
              </w:rPr>
            </w:pPr>
            <w:r>
              <w:rPr>
                <w:color w:val="auto"/>
                <w:sz w:val="24"/>
                <w:szCs w:val="24"/>
              </w:rPr>
              <w:t>项目噪声主要来源于各生产、公辅设备的工作噪声，根据类比，主要噪声强源在75~</w:t>
            </w:r>
            <w:r>
              <w:rPr>
                <w:rFonts w:hint="eastAsia"/>
                <w:color w:val="auto"/>
                <w:sz w:val="24"/>
                <w:szCs w:val="24"/>
                <w:lang w:val="en-US" w:eastAsia="zh-CN"/>
              </w:rPr>
              <w:t>85</w:t>
            </w:r>
            <w:r>
              <w:rPr>
                <w:color w:val="auto"/>
                <w:sz w:val="24"/>
                <w:szCs w:val="24"/>
              </w:rPr>
              <w:t>dB（A）之间，主要噪声源强见下表</w:t>
            </w:r>
            <w:r>
              <w:rPr>
                <w:rFonts w:hint="eastAsia"/>
                <w:color w:val="auto"/>
                <w:sz w:val="24"/>
                <w:szCs w:val="24"/>
                <w:lang w:eastAsia="zh-CN"/>
              </w:rPr>
              <w:t>。</w:t>
            </w:r>
          </w:p>
        </w:tc>
      </w:tr>
    </w:tbl>
    <w:p w14:paraId="3F3DE63E">
      <w:pPr>
        <w:ind w:firstLine="420"/>
        <w:rPr>
          <w:color w:val="auto"/>
        </w:rPr>
        <w:sectPr>
          <w:pgSz w:w="11907" w:h="16840"/>
          <w:pgMar w:top="1440" w:right="1080" w:bottom="1440" w:left="1080" w:header="964" w:footer="964" w:gutter="0"/>
          <w:pgBorders w:offsetFrom="page">
            <w:top w:val="none" w:sz="0" w:space="0"/>
            <w:left w:val="none" w:sz="0" w:space="0"/>
            <w:bottom w:val="none" w:sz="0" w:space="0"/>
            <w:right w:val="none" w:sz="0" w:space="0"/>
          </w:pgBorders>
          <w:cols w:space="720" w:num="1"/>
          <w:docGrid w:type="linesAndChars" w:linePitch="312" w:charSpace="0"/>
        </w:sectPr>
      </w:pPr>
    </w:p>
    <w:tbl>
      <w:tblPr>
        <w:tblStyle w:val="17"/>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3746"/>
      </w:tblGrid>
      <w:tr w14:paraId="36D531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39" w:hRule="atLeast"/>
          <w:jc w:val="center"/>
        </w:trPr>
        <w:tc>
          <w:tcPr>
            <w:tcW w:w="133" w:type="pct"/>
            <w:noWrap w:val="0"/>
            <w:vAlign w:val="center"/>
          </w:tcPr>
          <w:p w14:paraId="0D31936F">
            <w:pPr>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b/>
                <w:bCs/>
                <w:color w:val="auto"/>
              </w:rPr>
              <w:t>运营期环境影响和保护措施</w:t>
            </w:r>
          </w:p>
        </w:tc>
        <w:tc>
          <w:tcPr>
            <w:tcW w:w="4866" w:type="pct"/>
            <w:noWrap w:val="0"/>
            <w:vAlign w:val="top"/>
          </w:tcPr>
          <w:p w14:paraId="0F339F4D">
            <w:pPr>
              <w:spacing w:line="240" w:lineRule="auto"/>
              <w:ind w:firstLine="0" w:firstLineChars="0"/>
              <w:jc w:val="center"/>
              <w:rPr>
                <w:rFonts w:hint="eastAsia" w:eastAsia="宋体"/>
                <w:b/>
                <w:bCs/>
                <w:color w:val="auto"/>
                <w:sz w:val="21"/>
                <w:szCs w:val="21"/>
                <w:lang w:eastAsia="zh-CN"/>
              </w:rPr>
            </w:pPr>
            <w:r>
              <w:rPr>
                <w:b/>
                <w:bCs/>
                <w:color w:val="auto"/>
                <w:sz w:val="21"/>
                <w:szCs w:val="21"/>
              </w:rPr>
              <w:t>表4</w:t>
            </w:r>
            <w:r>
              <w:rPr>
                <w:rFonts w:hint="eastAsia"/>
                <w:b/>
                <w:bCs/>
                <w:color w:val="auto"/>
                <w:sz w:val="21"/>
                <w:szCs w:val="21"/>
                <w:lang w:val="en-US" w:eastAsia="zh-CN"/>
              </w:rPr>
              <w:t>.3</w:t>
            </w:r>
            <w:r>
              <w:rPr>
                <w:b/>
                <w:bCs/>
                <w:color w:val="auto"/>
                <w:sz w:val="21"/>
                <w:szCs w:val="21"/>
              </w:rPr>
              <w:t>-</w:t>
            </w:r>
            <w:r>
              <w:rPr>
                <w:rFonts w:hint="eastAsia"/>
                <w:b/>
                <w:bCs/>
                <w:color w:val="auto"/>
                <w:sz w:val="21"/>
                <w:szCs w:val="21"/>
                <w:lang w:val="en-US" w:eastAsia="zh-CN"/>
              </w:rPr>
              <w:t>1</w:t>
            </w:r>
            <w:r>
              <w:rPr>
                <w:b/>
                <w:bCs/>
                <w:color w:val="auto"/>
                <w:sz w:val="21"/>
                <w:szCs w:val="21"/>
              </w:rPr>
              <w:t xml:space="preserve">  本项目主要噪声源强</w:t>
            </w:r>
            <w:r>
              <w:rPr>
                <w:rFonts w:hint="eastAsia"/>
                <w:b/>
                <w:bCs/>
                <w:color w:val="auto"/>
                <w:sz w:val="21"/>
                <w:szCs w:val="21"/>
                <w:lang w:eastAsia="zh-CN"/>
              </w:rPr>
              <w:t>一览表（</w:t>
            </w:r>
            <w:r>
              <w:rPr>
                <w:rFonts w:hint="eastAsia"/>
                <w:b/>
                <w:bCs/>
                <w:color w:val="auto"/>
                <w:sz w:val="21"/>
                <w:szCs w:val="21"/>
                <w:lang w:val="en-US" w:eastAsia="zh-CN"/>
              </w:rPr>
              <w:t>室内声源</w:t>
            </w:r>
            <w:r>
              <w:rPr>
                <w:rFonts w:hint="eastAsia"/>
                <w:b/>
                <w:bCs/>
                <w:color w:val="auto"/>
                <w:sz w:val="21"/>
                <w:szCs w:val="21"/>
                <w:lang w:eastAsia="zh-CN"/>
              </w:rPr>
              <w:t>）</w:t>
            </w:r>
          </w:p>
          <w:tbl>
            <w:tblPr>
              <w:tblStyle w:val="17"/>
              <w:tblW w:w="484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519"/>
              <w:gridCol w:w="1246"/>
              <w:gridCol w:w="1385"/>
              <w:gridCol w:w="616"/>
              <w:gridCol w:w="1429"/>
              <w:gridCol w:w="708"/>
              <w:gridCol w:w="763"/>
              <w:gridCol w:w="768"/>
              <w:gridCol w:w="616"/>
              <w:gridCol w:w="653"/>
              <w:gridCol w:w="719"/>
              <w:gridCol w:w="532"/>
              <w:gridCol w:w="805"/>
              <w:gridCol w:w="915"/>
              <w:gridCol w:w="997"/>
            </w:tblGrid>
            <w:tr w14:paraId="100DDD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 w:type="pct"/>
                  <w:vMerge w:val="restart"/>
                  <w:noWrap w:val="0"/>
                  <w:vAlign w:val="center"/>
                </w:tcPr>
                <w:p w14:paraId="1A64E96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序号</w:t>
                  </w:r>
                </w:p>
              </w:tc>
              <w:tc>
                <w:tcPr>
                  <w:tcW w:w="198" w:type="pct"/>
                  <w:vMerge w:val="restart"/>
                  <w:noWrap w:val="0"/>
                  <w:vAlign w:val="center"/>
                </w:tcPr>
                <w:p w14:paraId="3736431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建筑物名称</w:t>
                  </w:r>
                </w:p>
              </w:tc>
              <w:tc>
                <w:tcPr>
                  <w:tcW w:w="475" w:type="pct"/>
                  <w:vMerge w:val="restart"/>
                  <w:noWrap w:val="0"/>
                  <w:vAlign w:val="center"/>
                </w:tcPr>
                <w:p w14:paraId="71C838D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声源名称</w:t>
                  </w:r>
                </w:p>
              </w:tc>
              <w:tc>
                <w:tcPr>
                  <w:tcW w:w="528" w:type="pct"/>
                  <w:vMerge w:val="restart"/>
                  <w:noWrap w:val="0"/>
                  <w:vAlign w:val="center"/>
                </w:tcPr>
                <w:p w14:paraId="2E2D9F0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型号</w:t>
                  </w:r>
                </w:p>
              </w:tc>
              <w:tc>
                <w:tcPr>
                  <w:tcW w:w="235" w:type="pct"/>
                  <w:vMerge w:val="restart"/>
                  <w:noWrap w:val="0"/>
                  <w:vAlign w:val="center"/>
                </w:tcPr>
                <w:p w14:paraId="5353F1D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数量</w:t>
                  </w:r>
                </w:p>
              </w:tc>
              <w:tc>
                <w:tcPr>
                  <w:tcW w:w="545" w:type="pct"/>
                  <w:noWrap w:val="0"/>
                  <w:vAlign w:val="center"/>
                </w:tcPr>
                <w:p w14:paraId="10ED067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声源源强</w:t>
                  </w:r>
                </w:p>
              </w:tc>
              <w:tc>
                <w:tcPr>
                  <w:tcW w:w="270" w:type="pct"/>
                  <w:vMerge w:val="restart"/>
                  <w:noWrap w:val="0"/>
                  <w:vAlign w:val="center"/>
                </w:tcPr>
                <w:p w14:paraId="0DBCA2F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声源控制措施</w:t>
                  </w:r>
                </w:p>
              </w:tc>
              <w:tc>
                <w:tcPr>
                  <w:tcW w:w="819" w:type="pct"/>
                  <w:gridSpan w:val="3"/>
                  <w:noWrap w:val="0"/>
                  <w:vAlign w:val="center"/>
                </w:tcPr>
                <w:p w14:paraId="71CDAC6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空间相对位置/m</w:t>
                  </w:r>
                </w:p>
              </w:tc>
              <w:tc>
                <w:tcPr>
                  <w:tcW w:w="249" w:type="pct"/>
                  <w:vMerge w:val="restart"/>
                  <w:noWrap w:val="0"/>
                  <w:vAlign w:val="center"/>
                </w:tcPr>
                <w:p w14:paraId="79617C1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距室内边界最近距离/m</w:t>
                  </w:r>
                </w:p>
              </w:tc>
              <w:tc>
                <w:tcPr>
                  <w:tcW w:w="274" w:type="pct"/>
                  <w:vMerge w:val="restart"/>
                  <w:noWrap w:val="0"/>
                  <w:vAlign w:val="center"/>
                </w:tcPr>
                <w:p w14:paraId="5E1B080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室内边界声级</w:t>
                  </w:r>
                </w:p>
              </w:tc>
              <w:tc>
                <w:tcPr>
                  <w:tcW w:w="203" w:type="pct"/>
                  <w:vMerge w:val="restart"/>
                  <w:noWrap w:val="0"/>
                  <w:vAlign w:val="center"/>
                </w:tcPr>
                <w:p w14:paraId="1151AF3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运行时段</w:t>
                  </w:r>
                </w:p>
              </w:tc>
              <w:tc>
                <w:tcPr>
                  <w:tcW w:w="307" w:type="pct"/>
                  <w:vMerge w:val="restart"/>
                  <w:noWrap w:val="0"/>
                  <w:vAlign w:val="center"/>
                </w:tcPr>
                <w:p w14:paraId="769774F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建筑物插入损失/dB（A）</w:t>
                  </w:r>
                </w:p>
              </w:tc>
              <w:tc>
                <w:tcPr>
                  <w:tcW w:w="729" w:type="pct"/>
                  <w:gridSpan w:val="2"/>
                  <w:noWrap w:val="0"/>
                  <w:vAlign w:val="center"/>
                </w:tcPr>
                <w:p w14:paraId="64C90B1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建筑物外噪声</w:t>
                  </w:r>
                </w:p>
              </w:tc>
            </w:tr>
            <w:tr w14:paraId="3F896F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 w:type="pct"/>
                  <w:vMerge w:val="continue"/>
                  <w:noWrap w:val="0"/>
                  <w:vAlign w:val="center"/>
                </w:tcPr>
                <w:p w14:paraId="19603AC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98" w:type="pct"/>
                  <w:vMerge w:val="continue"/>
                  <w:noWrap w:val="0"/>
                  <w:vAlign w:val="center"/>
                </w:tcPr>
                <w:p w14:paraId="198A004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475" w:type="pct"/>
                  <w:vMerge w:val="continue"/>
                  <w:noWrap w:val="0"/>
                  <w:vAlign w:val="center"/>
                </w:tcPr>
                <w:p w14:paraId="28367B9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528" w:type="pct"/>
                  <w:vMerge w:val="continue"/>
                  <w:noWrap w:val="0"/>
                  <w:vAlign w:val="center"/>
                </w:tcPr>
                <w:p w14:paraId="236E672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235" w:type="pct"/>
                  <w:vMerge w:val="continue"/>
                  <w:noWrap w:val="0"/>
                  <w:vAlign w:val="center"/>
                </w:tcPr>
                <w:p w14:paraId="3549F2C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545" w:type="pct"/>
                  <w:noWrap w:val="0"/>
                  <w:vAlign w:val="center"/>
                </w:tcPr>
                <w:p w14:paraId="2DAFF13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声功率级/dB（A）</w:t>
                  </w:r>
                </w:p>
              </w:tc>
              <w:tc>
                <w:tcPr>
                  <w:tcW w:w="270" w:type="pct"/>
                  <w:vMerge w:val="continue"/>
                  <w:noWrap w:val="0"/>
                  <w:vAlign w:val="center"/>
                </w:tcPr>
                <w:p w14:paraId="074F50D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291" w:type="pct"/>
                  <w:noWrap w:val="0"/>
                  <w:vAlign w:val="center"/>
                </w:tcPr>
                <w:p w14:paraId="2B73096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X</w:t>
                  </w:r>
                </w:p>
              </w:tc>
              <w:tc>
                <w:tcPr>
                  <w:tcW w:w="293" w:type="pct"/>
                  <w:noWrap w:val="0"/>
                  <w:vAlign w:val="center"/>
                </w:tcPr>
                <w:p w14:paraId="6EBC86C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Y</w:t>
                  </w:r>
                </w:p>
              </w:tc>
              <w:tc>
                <w:tcPr>
                  <w:tcW w:w="234" w:type="pct"/>
                  <w:noWrap w:val="0"/>
                  <w:vAlign w:val="center"/>
                </w:tcPr>
                <w:p w14:paraId="05C279B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Z</w:t>
                  </w:r>
                </w:p>
              </w:tc>
              <w:tc>
                <w:tcPr>
                  <w:tcW w:w="249" w:type="pct"/>
                  <w:vMerge w:val="continue"/>
                  <w:noWrap w:val="0"/>
                  <w:vAlign w:val="center"/>
                </w:tcPr>
                <w:p w14:paraId="4473DEE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274" w:type="pct"/>
                  <w:vMerge w:val="continue"/>
                  <w:noWrap w:val="0"/>
                  <w:vAlign w:val="center"/>
                </w:tcPr>
                <w:p w14:paraId="3A40C63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203" w:type="pct"/>
                  <w:vMerge w:val="continue"/>
                  <w:noWrap w:val="0"/>
                  <w:vAlign w:val="center"/>
                </w:tcPr>
                <w:p w14:paraId="0B5E08D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307" w:type="pct"/>
                  <w:vMerge w:val="continue"/>
                  <w:noWrap w:val="0"/>
                  <w:vAlign w:val="center"/>
                </w:tcPr>
                <w:p w14:paraId="482CA24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349" w:type="pct"/>
                  <w:noWrap w:val="0"/>
                  <w:vAlign w:val="center"/>
                </w:tcPr>
                <w:p w14:paraId="2DB839F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声压级/dB（A）</w:t>
                  </w:r>
                </w:p>
              </w:tc>
              <w:tc>
                <w:tcPr>
                  <w:tcW w:w="379" w:type="pct"/>
                  <w:noWrap w:val="0"/>
                  <w:vAlign w:val="center"/>
                </w:tcPr>
                <w:p w14:paraId="3DFE13D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建筑物外距离</w:t>
                  </w:r>
                </w:p>
              </w:tc>
            </w:tr>
            <w:tr w14:paraId="3EFE12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 w:type="pct"/>
                  <w:noWrap w:val="0"/>
                  <w:vAlign w:val="center"/>
                </w:tcPr>
                <w:p w14:paraId="0071B007">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w:t>
                  </w:r>
                </w:p>
              </w:tc>
              <w:tc>
                <w:tcPr>
                  <w:tcW w:w="198" w:type="pct"/>
                  <w:vMerge w:val="restart"/>
                  <w:noWrap w:val="0"/>
                  <w:vAlign w:val="center"/>
                </w:tcPr>
                <w:p w14:paraId="7F46E8B1">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车间</w:t>
                  </w:r>
                </w:p>
              </w:tc>
              <w:tc>
                <w:tcPr>
                  <w:tcW w:w="475" w:type="pct"/>
                  <w:noWrap w:val="0"/>
                  <w:vAlign w:val="center"/>
                </w:tcPr>
                <w:p w14:paraId="344DD0FB">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UV打印机</w:t>
                  </w:r>
                </w:p>
              </w:tc>
              <w:tc>
                <w:tcPr>
                  <w:tcW w:w="528" w:type="pct"/>
                  <w:noWrap w:val="0"/>
                  <w:vAlign w:val="center"/>
                </w:tcPr>
                <w:p w14:paraId="6469CB6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235" w:type="pct"/>
                  <w:noWrap w:val="0"/>
                  <w:vAlign w:val="center"/>
                </w:tcPr>
                <w:p w14:paraId="24B93392">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w:t>
                  </w:r>
                </w:p>
              </w:tc>
              <w:tc>
                <w:tcPr>
                  <w:tcW w:w="545" w:type="pct"/>
                  <w:shd w:val="clear" w:color="auto" w:fill="auto"/>
                  <w:noWrap w:val="0"/>
                  <w:vAlign w:val="center"/>
                </w:tcPr>
                <w:p w14:paraId="5EBD97E6">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80</w:t>
                  </w:r>
                </w:p>
              </w:tc>
              <w:tc>
                <w:tcPr>
                  <w:tcW w:w="270" w:type="pct"/>
                  <w:vMerge w:val="restart"/>
                  <w:noWrap w:val="0"/>
                  <w:vAlign w:val="center"/>
                </w:tcPr>
                <w:p w14:paraId="7570BB1C">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减振、厂房隔音</w:t>
                  </w:r>
                </w:p>
              </w:tc>
              <w:tc>
                <w:tcPr>
                  <w:tcW w:w="291" w:type="pct"/>
                  <w:shd w:val="clear" w:color="auto" w:fill="auto"/>
                  <w:noWrap w:val="0"/>
                  <w:vAlign w:val="center"/>
                </w:tcPr>
                <w:p w14:paraId="3AFDBD2E">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33.29</w:t>
                  </w:r>
                </w:p>
              </w:tc>
              <w:tc>
                <w:tcPr>
                  <w:tcW w:w="293" w:type="pct"/>
                  <w:shd w:val="clear" w:color="auto" w:fill="auto"/>
                  <w:noWrap w:val="0"/>
                  <w:vAlign w:val="center"/>
                </w:tcPr>
                <w:p w14:paraId="7E294F5C">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20.01</w:t>
                  </w:r>
                </w:p>
              </w:tc>
              <w:tc>
                <w:tcPr>
                  <w:tcW w:w="234" w:type="pct"/>
                  <w:shd w:val="clear" w:color="auto" w:fill="auto"/>
                  <w:noWrap w:val="0"/>
                  <w:vAlign w:val="center"/>
                </w:tcPr>
                <w:p w14:paraId="3A810C0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249" w:type="pct"/>
                  <w:shd w:val="clear" w:color="auto" w:fill="auto"/>
                  <w:noWrap w:val="0"/>
                  <w:vAlign w:val="center"/>
                </w:tcPr>
                <w:p w14:paraId="1A03BBF5">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2.15</w:t>
                  </w:r>
                </w:p>
              </w:tc>
              <w:tc>
                <w:tcPr>
                  <w:tcW w:w="274" w:type="pct"/>
                  <w:shd w:val="clear" w:color="auto" w:fill="auto"/>
                  <w:noWrap w:val="0"/>
                  <w:vAlign w:val="center"/>
                </w:tcPr>
                <w:p w14:paraId="4DF09D89">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73.34</w:t>
                  </w:r>
                </w:p>
              </w:tc>
              <w:tc>
                <w:tcPr>
                  <w:tcW w:w="203" w:type="pct"/>
                  <w:shd w:val="clear" w:color="auto" w:fill="auto"/>
                  <w:noWrap w:val="0"/>
                  <w:vAlign w:val="center"/>
                </w:tcPr>
                <w:p w14:paraId="0AFF228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h</w:t>
                  </w:r>
                </w:p>
              </w:tc>
              <w:tc>
                <w:tcPr>
                  <w:tcW w:w="307" w:type="pct"/>
                  <w:shd w:val="clear" w:color="auto" w:fill="auto"/>
                  <w:noWrap w:val="0"/>
                  <w:vAlign w:val="center"/>
                </w:tcPr>
                <w:p w14:paraId="6E34D36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w:t>
                  </w:r>
                </w:p>
              </w:tc>
              <w:tc>
                <w:tcPr>
                  <w:tcW w:w="349" w:type="pct"/>
                  <w:shd w:val="clear" w:color="auto" w:fill="auto"/>
                  <w:noWrap w:val="0"/>
                  <w:vAlign w:val="center"/>
                </w:tcPr>
                <w:p w14:paraId="57F71744">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44.03</w:t>
                  </w:r>
                </w:p>
              </w:tc>
              <w:tc>
                <w:tcPr>
                  <w:tcW w:w="379" w:type="pct"/>
                  <w:shd w:val="clear" w:color="auto" w:fill="auto"/>
                  <w:noWrap w:val="0"/>
                  <w:vAlign w:val="center"/>
                </w:tcPr>
                <w:p w14:paraId="0052B79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1m</w:t>
                  </w:r>
                </w:p>
              </w:tc>
            </w:tr>
            <w:tr w14:paraId="44AE48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 w:type="pct"/>
                  <w:noWrap w:val="0"/>
                  <w:vAlign w:val="center"/>
                </w:tcPr>
                <w:p w14:paraId="50B1BC8F">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2</w:t>
                  </w:r>
                </w:p>
              </w:tc>
              <w:tc>
                <w:tcPr>
                  <w:tcW w:w="198" w:type="pct"/>
                  <w:vMerge w:val="continue"/>
                  <w:noWrap w:val="0"/>
                  <w:vAlign w:val="center"/>
                </w:tcPr>
                <w:p w14:paraId="33E5310E">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475" w:type="pct"/>
                  <w:noWrap w:val="0"/>
                  <w:vAlign w:val="center"/>
                </w:tcPr>
                <w:p w14:paraId="3EC39269">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磁力抛光机</w:t>
                  </w:r>
                </w:p>
              </w:tc>
              <w:tc>
                <w:tcPr>
                  <w:tcW w:w="528" w:type="pct"/>
                  <w:noWrap w:val="0"/>
                  <w:vAlign w:val="center"/>
                </w:tcPr>
                <w:p w14:paraId="0CD1CFF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TC-H55</w:t>
                  </w:r>
                </w:p>
              </w:tc>
              <w:tc>
                <w:tcPr>
                  <w:tcW w:w="235" w:type="pct"/>
                  <w:noWrap w:val="0"/>
                  <w:vAlign w:val="center"/>
                </w:tcPr>
                <w:p w14:paraId="00CBE37D">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545" w:type="pct"/>
                  <w:shd w:val="clear" w:color="auto" w:fill="auto"/>
                  <w:noWrap w:val="0"/>
                  <w:vAlign w:val="center"/>
                </w:tcPr>
                <w:p w14:paraId="2233040B">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75</w:t>
                  </w:r>
                </w:p>
              </w:tc>
              <w:tc>
                <w:tcPr>
                  <w:tcW w:w="270" w:type="pct"/>
                  <w:vMerge w:val="continue"/>
                  <w:noWrap w:val="0"/>
                  <w:vAlign w:val="center"/>
                </w:tcPr>
                <w:p w14:paraId="7847D407">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291" w:type="pct"/>
                  <w:shd w:val="clear" w:color="auto" w:fill="auto"/>
                  <w:noWrap w:val="0"/>
                  <w:vAlign w:val="center"/>
                </w:tcPr>
                <w:p w14:paraId="54169B8D">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6.45</w:t>
                  </w:r>
                </w:p>
              </w:tc>
              <w:tc>
                <w:tcPr>
                  <w:tcW w:w="293" w:type="pct"/>
                  <w:shd w:val="clear" w:color="auto" w:fill="auto"/>
                  <w:noWrap w:val="0"/>
                  <w:vAlign w:val="center"/>
                </w:tcPr>
                <w:p w14:paraId="088D97A2">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1.47</w:t>
                  </w:r>
                </w:p>
              </w:tc>
              <w:tc>
                <w:tcPr>
                  <w:tcW w:w="234" w:type="pct"/>
                  <w:shd w:val="clear" w:color="auto" w:fill="auto"/>
                  <w:noWrap w:val="0"/>
                  <w:vAlign w:val="center"/>
                </w:tcPr>
                <w:p w14:paraId="2A3A350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249" w:type="pct"/>
                  <w:shd w:val="clear" w:color="auto" w:fill="auto"/>
                  <w:noWrap w:val="0"/>
                  <w:vAlign w:val="center"/>
                </w:tcPr>
                <w:p w14:paraId="3A2C21B3">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1.64</w:t>
                  </w:r>
                </w:p>
              </w:tc>
              <w:tc>
                <w:tcPr>
                  <w:tcW w:w="274" w:type="pct"/>
                  <w:shd w:val="clear" w:color="auto" w:fill="auto"/>
                  <w:noWrap w:val="0"/>
                  <w:vAlign w:val="center"/>
                </w:tcPr>
                <w:p w14:paraId="1849D639">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82.92</w:t>
                  </w:r>
                </w:p>
              </w:tc>
              <w:tc>
                <w:tcPr>
                  <w:tcW w:w="203" w:type="pct"/>
                  <w:shd w:val="clear" w:color="auto" w:fill="auto"/>
                  <w:noWrap w:val="0"/>
                  <w:vAlign w:val="center"/>
                </w:tcPr>
                <w:p w14:paraId="6ABBF76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h</w:t>
                  </w:r>
                </w:p>
              </w:tc>
              <w:tc>
                <w:tcPr>
                  <w:tcW w:w="307" w:type="pct"/>
                  <w:shd w:val="clear" w:color="auto" w:fill="auto"/>
                  <w:noWrap w:val="0"/>
                  <w:vAlign w:val="center"/>
                </w:tcPr>
                <w:p w14:paraId="29C7E16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w:t>
                  </w:r>
                </w:p>
              </w:tc>
              <w:tc>
                <w:tcPr>
                  <w:tcW w:w="349" w:type="pct"/>
                  <w:shd w:val="clear" w:color="auto" w:fill="auto"/>
                  <w:noWrap w:val="0"/>
                  <w:vAlign w:val="center"/>
                </w:tcPr>
                <w:p w14:paraId="75E70F50">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40.57</w:t>
                  </w:r>
                </w:p>
              </w:tc>
              <w:tc>
                <w:tcPr>
                  <w:tcW w:w="379" w:type="pct"/>
                  <w:shd w:val="clear" w:color="auto" w:fill="auto"/>
                  <w:noWrap w:val="0"/>
                  <w:vAlign w:val="center"/>
                </w:tcPr>
                <w:p w14:paraId="58336CA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1m</w:t>
                  </w:r>
                </w:p>
              </w:tc>
            </w:tr>
            <w:tr w14:paraId="0C982A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2" w:type="pct"/>
                  <w:noWrap w:val="0"/>
                  <w:vAlign w:val="center"/>
                </w:tcPr>
                <w:p w14:paraId="4F38A1C1">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3</w:t>
                  </w:r>
                </w:p>
              </w:tc>
              <w:tc>
                <w:tcPr>
                  <w:tcW w:w="198" w:type="pct"/>
                  <w:vMerge w:val="continue"/>
                  <w:noWrap w:val="0"/>
                  <w:vAlign w:val="center"/>
                </w:tcPr>
                <w:p w14:paraId="65D303F5">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475" w:type="pct"/>
                  <w:noWrap w:val="0"/>
                  <w:vAlign w:val="center"/>
                </w:tcPr>
                <w:p w14:paraId="2F10C75A">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注塑机</w:t>
                  </w:r>
                </w:p>
              </w:tc>
              <w:tc>
                <w:tcPr>
                  <w:tcW w:w="528" w:type="pct"/>
                  <w:noWrap w:val="0"/>
                  <w:vAlign w:val="center"/>
                </w:tcPr>
                <w:p w14:paraId="373D41C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HXF 130J5</w:t>
                  </w:r>
                </w:p>
              </w:tc>
              <w:tc>
                <w:tcPr>
                  <w:tcW w:w="235" w:type="pct"/>
                  <w:noWrap w:val="0"/>
                  <w:vAlign w:val="center"/>
                </w:tcPr>
                <w:p w14:paraId="7F84CDC2">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25</w:t>
                  </w:r>
                </w:p>
              </w:tc>
              <w:tc>
                <w:tcPr>
                  <w:tcW w:w="545" w:type="pct"/>
                  <w:shd w:val="clear" w:color="auto" w:fill="auto"/>
                  <w:noWrap w:val="0"/>
                  <w:vAlign w:val="center"/>
                </w:tcPr>
                <w:p w14:paraId="7B1F9B8F">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85</w:t>
                  </w:r>
                </w:p>
              </w:tc>
              <w:tc>
                <w:tcPr>
                  <w:tcW w:w="270" w:type="pct"/>
                  <w:vMerge w:val="continue"/>
                  <w:noWrap w:val="0"/>
                  <w:vAlign w:val="center"/>
                </w:tcPr>
                <w:p w14:paraId="7514C425">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291" w:type="pct"/>
                  <w:shd w:val="clear" w:color="auto" w:fill="auto"/>
                  <w:noWrap w:val="0"/>
                  <w:vAlign w:val="center"/>
                </w:tcPr>
                <w:p w14:paraId="79C39B4F">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14.71</w:t>
                  </w:r>
                </w:p>
              </w:tc>
              <w:tc>
                <w:tcPr>
                  <w:tcW w:w="293" w:type="pct"/>
                  <w:shd w:val="clear" w:color="auto" w:fill="auto"/>
                  <w:noWrap w:val="0"/>
                  <w:vAlign w:val="center"/>
                </w:tcPr>
                <w:p w14:paraId="70F7A5E3">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15.95</w:t>
                  </w:r>
                </w:p>
              </w:tc>
              <w:tc>
                <w:tcPr>
                  <w:tcW w:w="234" w:type="pct"/>
                  <w:shd w:val="clear" w:color="auto" w:fill="auto"/>
                  <w:noWrap w:val="0"/>
                  <w:vAlign w:val="center"/>
                </w:tcPr>
                <w:p w14:paraId="664C066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249" w:type="pct"/>
                  <w:shd w:val="clear" w:color="auto" w:fill="auto"/>
                  <w:noWrap w:val="0"/>
                  <w:vAlign w:val="center"/>
                </w:tcPr>
                <w:p w14:paraId="2DA8F841">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6.35</w:t>
                  </w:r>
                </w:p>
              </w:tc>
              <w:tc>
                <w:tcPr>
                  <w:tcW w:w="274" w:type="pct"/>
                  <w:shd w:val="clear" w:color="auto" w:fill="auto"/>
                  <w:noWrap w:val="0"/>
                  <w:vAlign w:val="center"/>
                </w:tcPr>
                <w:p w14:paraId="03AB77EC">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82.92</w:t>
                  </w:r>
                </w:p>
              </w:tc>
              <w:tc>
                <w:tcPr>
                  <w:tcW w:w="203" w:type="pct"/>
                  <w:shd w:val="clear" w:color="auto" w:fill="auto"/>
                  <w:noWrap w:val="0"/>
                  <w:vAlign w:val="center"/>
                </w:tcPr>
                <w:p w14:paraId="50B8C54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h</w:t>
                  </w:r>
                </w:p>
              </w:tc>
              <w:tc>
                <w:tcPr>
                  <w:tcW w:w="307" w:type="pct"/>
                  <w:shd w:val="clear" w:color="auto" w:fill="auto"/>
                  <w:noWrap w:val="0"/>
                  <w:vAlign w:val="center"/>
                </w:tcPr>
                <w:p w14:paraId="16BB7FD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w:t>
                  </w:r>
                </w:p>
              </w:tc>
              <w:tc>
                <w:tcPr>
                  <w:tcW w:w="349" w:type="pct"/>
                  <w:shd w:val="clear" w:color="auto" w:fill="auto"/>
                  <w:noWrap w:val="0"/>
                  <w:vAlign w:val="center"/>
                </w:tcPr>
                <w:p w14:paraId="48345959">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55.65</w:t>
                  </w:r>
                </w:p>
              </w:tc>
              <w:tc>
                <w:tcPr>
                  <w:tcW w:w="379" w:type="pct"/>
                  <w:shd w:val="clear" w:color="auto" w:fill="auto"/>
                  <w:noWrap w:val="0"/>
                  <w:vAlign w:val="center"/>
                </w:tcPr>
                <w:p w14:paraId="5BB6E8A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1m</w:t>
                  </w:r>
                </w:p>
              </w:tc>
            </w:tr>
            <w:tr w14:paraId="28865C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 w:type="pct"/>
                  <w:noWrap w:val="0"/>
                  <w:vAlign w:val="center"/>
                </w:tcPr>
                <w:p w14:paraId="34448F72">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4</w:t>
                  </w:r>
                </w:p>
              </w:tc>
              <w:tc>
                <w:tcPr>
                  <w:tcW w:w="198" w:type="pct"/>
                  <w:vMerge w:val="continue"/>
                  <w:noWrap w:val="0"/>
                  <w:vAlign w:val="center"/>
                </w:tcPr>
                <w:p w14:paraId="57B75ED7">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475" w:type="pct"/>
                  <w:noWrap w:val="0"/>
                  <w:vAlign w:val="center"/>
                </w:tcPr>
                <w:p w14:paraId="54BA4794">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破碎机</w:t>
                  </w:r>
                </w:p>
              </w:tc>
              <w:tc>
                <w:tcPr>
                  <w:tcW w:w="528" w:type="pct"/>
                  <w:noWrap w:val="0"/>
                  <w:vAlign w:val="center"/>
                </w:tcPr>
                <w:p w14:paraId="6A71941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5HP</w:t>
                  </w:r>
                </w:p>
              </w:tc>
              <w:tc>
                <w:tcPr>
                  <w:tcW w:w="235" w:type="pct"/>
                  <w:noWrap w:val="0"/>
                  <w:vAlign w:val="center"/>
                </w:tcPr>
                <w:p w14:paraId="43E5C54C">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2</w:t>
                  </w:r>
                </w:p>
              </w:tc>
              <w:tc>
                <w:tcPr>
                  <w:tcW w:w="545" w:type="pct"/>
                  <w:shd w:val="clear" w:color="auto" w:fill="auto"/>
                  <w:noWrap w:val="0"/>
                  <w:vAlign w:val="center"/>
                </w:tcPr>
                <w:p w14:paraId="2FCFB3F6">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80</w:t>
                  </w:r>
                </w:p>
              </w:tc>
              <w:tc>
                <w:tcPr>
                  <w:tcW w:w="270" w:type="pct"/>
                  <w:vMerge w:val="continue"/>
                  <w:noWrap w:val="0"/>
                  <w:vAlign w:val="center"/>
                </w:tcPr>
                <w:p w14:paraId="584E3F27">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291" w:type="pct"/>
                  <w:shd w:val="clear" w:color="auto" w:fill="auto"/>
                  <w:noWrap w:val="0"/>
                  <w:vAlign w:val="center"/>
                </w:tcPr>
                <w:p w14:paraId="00BC5540">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16.78</w:t>
                  </w:r>
                </w:p>
              </w:tc>
              <w:tc>
                <w:tcPr>
                  <w:tcW w:w="293" w:type="pct"/>
                  <w:shd w:val="clear" w:color="auto" w:fill="auto"/>
                  <w:noWrap w:val="0"/>
                  <w:vAlign w:val="center"/>
                </w:tcPr>
                <w:p w14:paraId="7AE8A14F">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20.22</w:t>
                  </w:r>
                </w:p>
              </w:tc>
              <w:tc>
                <w:tcPr>
                  <w:tcW w:w="234" w:type="pct"/>
                  <w:shd w:val="clear" w:color="auto" w:fill="auto"/>
                  <w:noWrap w:val="0"/>
                  <w:vAlign w:val="center"/>
                </w:tcPr>
                <w:p w14:paraId="4919419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249" w:type="pct"/>
                  <w:shd w:val="clear" w:color="auto" w:fill="auto"/>
                  <w:noWrap w:val="0"/>
                  <w:vAlign w:val="center"/>
                </w:tcPr>
                <w:p w14:paraId="46D2BE2A">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2.07</w:t>
                  </w:r>
                </w:p>
              </w:tc>
              <w:tc>
                <w:tcPr>
                  <w:tcW w:w="274" w:type="pct"/>
                  <w:shd w:val="clear" w:color="auto" w:fill="auto"/>
                  <w:noWrap w:val="0"/>
                  <w:vAlign w:val="center"/>
                </w:tcPr>
                <w:p w14:paraId="10473D6A">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76.67</w:t>
                  </w:r>
                </w:p>
              </w:tc>
              <w:tc>
                <w:tcPr>
                  <w:tcW w:w="203" w:type="pct"/>
                  <w:shd w:val="clear" w:color="auto" w:fill="auto"/>
                  <w:noWrap w:val="0"/>
                  <w:vAlign w:val="center"/>
                </w:tcPr>
                <w:p w14:paraId="0193633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h</w:t>
                  </w:r>
                </w:p>
              </w:tc>
              <w:tc>
                <w:tcPr>
                  <w:tcW w:w="307" w:type="pct"/>
                  <w:shd w:val="clear" w:color="auto" w:fill="auto"/>
                  <w:noWrap w:val="0"/>
                  <w:vAlign w:val="center"/>
                </w:tcPr>
                <w:p w14:paraId="41808C4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w:t>
                  </w:r>
                </w:p>
              </w:tc>
              <w:tc>
                <w:tcPr>
                  <w:tcW w:w="349" w:type="pct"/>
                  <w:shd w:val="clear" w:color="auto" w:fill="auto"/>
                  <w:noWrap w:val="0"/>
                  <w:vAlign w:val="center"/>
                </w:tcPr>
                <w:p w14:paraId="5CA01FC1">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47.25</w:t>
                  </w:r>
                </w:p>
              </w:tc>
              <w:tc>
                <w:tcPr>
                  <w:tcW w:w="379" w:type="pct"/>
                  <w:shd w:val="clear" w:color="auto" w:fill="auto"/>
                  <w:noWrap w:val="0"/>
                  <w:vAlign w:val="center"/>
                </w:tcPr>
                <w:p w14:paraId="7385A1B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1m</w:t>
                  </w:r>
                </w:p>
              </w:tc>
            </w:tr>
            <w:tr w14:paraId="29BBB7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 w:type="pct"/>
                  <w:noWrap w:val="0"/>
                  <w:vAlign w:val="center"/>
                </w:tcPr>
                <w:p w14:paraId="33D1C460">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5</w:t>
                  </w:r>
                </w:p>
              </w:tc>
              <w:tc>
                <w:tcPr>
                  <w:tcW w:w="198" w:type="pct"/>
                  <w:vMerge w:val="continue"/>
                  <w:noWrap w:val="0"/>
                  <w:vAlign w:val="center"/>
                </w:tcPr>
                <w:p w14:paraId="7B2E9A7E">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475" w:type="pct"/>
                  <w:noWrap w:val="0"/>
                  <w:vAlign w:val="center"/>
                </w:tcPr>
                <w:p w14:paraId="6A160F91">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铣床</w:t>
                  </w:r>
                </w:p>
              </w:tc>
              <w:tc>
                <w:tcPr>
                  <w:tcW w:w="528" w:type="pct"/>
                  <w:noWrap w:val="0"/>
                  <w:vAlign w:val="center"/>
                </w:tcPr>
                <w:p w14:paraId="3E4AEFC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HJ 205</w:t>
                  </w:r>
                </w:p>
              </w:tc>
              <w:tc>
                <w:tcPr>
                  <w:tcW w:w="235" w:type="pct"/>
                  <w:noWrap w:val="0"/>
                  <w:vAlign w:val="center"/>
                </w:tcPr>
                <w:p w14:paraId="1B5E8330">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545" w:type="pct"/>
                  <w:shd w:val="clear" w:color="auto" w:fill="auto"/>
                  <w:noWrap w:val="0"/>
                  <w:vAlign w:val="center"/>
                </w:tcPr>
                <w:p w14:paraId="7A45D71B">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80</w:t>
                  </w:r>
                </w:p>
              </w:tc>
              <w:tc>
                <w:tcPr>
                  <w:tcW w:w="270" w:type="pct"/>
                  <w:vMerge w:val="continue"/>
                  <w:noWrap w:val="0"/>
                  <w:vAlign w:val="center"/>
                </w:tcPr>
                <w:p w14:paraId="198D8555">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291" w:type="pct"/>
                  <w:shd w:val="clear" w:color="auto" w:fill="auto"/>
                  <w:noWrap w:val="0"/>
                  <w:vAlign w:val="center"/>
                </w:tcPr>
                <w:p w14:paraId="6896F132">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19.48</w:t>
                  </w:r>
                </w:p>
              </w:tc>
              <w:tc>
                <w:tcPr>
                  <w:tcW w:w="293" w:type="pct"/>
                  <w:shd w:val="clear" w:color="auto" w:fill="auto"/>
                  <w:noWrap w:val="0"/>
                  <w:vAlign w:val="center"/>
                </w:tcPr>
                <w:p w14:paraId="42D26903">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7.26</w:t>
                  </w:r>
                </w:p>
              </w:tc>
              <w:tc>
                <w:tcPr>
                  <w:tcW w:w="234" w:type="pct"/>
                  <w:shd w:val="clear" w:color="auto" w:fill="auto"/>
                  <w:noWrap w:val="0"/>
                  <w:vAlign w:val="center"/>
                </w:tcPr>
                <w:p w14:paraId="74FCF31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249" w:type="pct"/>
                  <w:shd w:val="clear" w:color="auto" w:fill="auto"/>
                  <w:noWrap w:val="0"/>
                  <w:vAlign w:val="center"/>
                </w:tcPr>
                <w:p w14:paraId="79A2288D">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7.36</w:t>
                  </w:r>
                </w:p>
              </w:tc>
              <w:tc>
                <w:tcPr>
                  <w:tcW w:w="274" w:type="pct"/>
                  <w:shd w:val="clear" w:color="auto" w:fill="auto"/>
                  <w:noWrap w:val="0"/>
                  <w:vAlign w:val="center"/>
                </w:tcPr>
                <w:p w14:paraId="4B7FCDA7">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65.67</w:t>
                  </w:r>
                </w:p>
              </w:tc>
              <w:tc>
                <w:tcPr>
                  <w:tcW w:w="203" w:type="pct"/>
                  <w:shd w:val="clear" w:color="auto" w:fill="auto"/>
                  <w:noWrap w:val="0"/>
                  <w:vAlign w:val="center"/>
                </w:tcPr>
                <w:p w14:paraId="4D05B79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h</w:t>
                  </w:r>
                </w:p>
              </w:tc>
              <w:tc>
                <w:tcPr>
                  <w:tcW w:w="307" w:type="pct"/>
                  <w:shd w:val="clear" w:color="auto" w:fill="auto"/>
                  <w:noWrap w:val="0"/>
                  <w:vAlign w:val="center"/>
                </w:tcPr>
                <w:p w14:paraId="7E38D6B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w:t>
                  </w:r>
                </w:p>
              </w:tc>
              <w:tc>
                <w:tcPr>
                  <w:tcW w:w="349" w:type="pct"/>
                  <w:shd w:val="clear" w:color="auto" w:fill="auto"/>
                  <w:noWrap w:val="0"/>
                  <w:vAlign w:val="center"/>
                </w:tcPr>
                <w:p w14:paraId="284046DA">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38.57</w:t>
                  </w:r>
                </w:p>
              </w:tc>
              <w:tc>
                <w:tcPr>
                  <w:tcW w:w="379" w:type="pct"/>
                  <w:shd w:val="clear" w:color="auto" w:fill="auto"/>
                  <w:noWrap w:val="0"/>
                  <w:vAlign w:val="center"/>
                </w:tcPr>
                <w:p w14:paraId="60995B5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1m</w:t>
                  </w:r>
                </w:p>
              </w:tc>
            </w:tr>
            <w:tr w14:paraId="0B529F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 w:type="pct"/>
                  <w:noWrap w:val="0"/>
                  <w:vAlign w:val="center"/>
                </w:tcPr>
                <w:p w14:paraId="4015C7B9">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6</w:t>
                  </w:r>
                </w:p>
              </w:tc>
              <w:tc>
                <w:tcPr>
                  <w:tcW w:w="198" w:type="pct"/>
                  <w:vMerge w:val="continue"/>
                  <w:noWrap w:val="0"/>
                  <w:vAlign w:val="center"/>
                </w:tcPr>
                <w:p w14:paraId="6ADFE8F3">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475" w:type="pct"/>
                  <w:noWrap w:val="0"/>
                  <w:vAlign w:val="center"/>
                </w:tcPr>
                <w:p w14:paraId="56C310CB">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磨床</w:t>
                  </w:r>
                </w:p>
              </w:tc>
              <w:tc>
                <w:tcPr>
                  <w:tcW w:w="528" w:type="pct"/>
                  <w:noWrap w:val="0"/>
                  <w:vAlign w:val="center"/>
                </w:tcPr>
                <w:p w14:paraId="2105BEB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M 260</w:t>
                  </w:r>
                </w:p>
              </w:tc>
              <w:tc>
                <w:tcPr>
                  <w:tcW w:w="235" w:type="pct"/>
                  <w:noWrap w:val="0"/>
                  <w:vAlign w:val="center"/>
                </w:tcPr>
                <w:p w14:paraId="346CE434">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545" w:type="pct"/>
                  <w:shd w:val="clear" w:color="auto" w:fill="auto"/>
                  <w:noWrap w:val="0"/>
                  <w:vAlign w:val="center"/>
                </w:tcPr>
                <w:p w14:paraId="39985D3D">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85</w:t>
                  </w:r>
                </w:p>
              </w:tc>
              <w:tc>
                <w:tcPr>
                  <w:tcW w:w="270" w:type="pct"/>
                  <w:vMerge w:val="continue"/>
                  <w:noWrap w:val="0"/>
                  <w:vAlign w:val="center"/>
                </w:tcPr>
                <w:p w14:paraId="1B92AF72">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291" w:type="pct"/>
                  <w:shd w:val="clear" w:color="auto" w:fill="auto"/>
                  <w:noWrap w:val="0"/>
                  <w:vAlign w:val="center"/>
                </w:tcPr>
                <w:p w14:paraId="392BE473">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15.93</w:t>
                  </w:r>
                </w:p>
              </w:tc>
              <w:tc>
                <w:tcPr>
                  <w:tcW w:w="293" w:type="pct"/>
                  <w:shd w:val="clear" w:color="auto" w:fill="auto"/>
                  <w:noWrap w:val="0"/>
                  <w:vAlign w:val="center"/>
                </w:tcPr>
                <w:p w14:paraId="16F8362B">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7.35</w:t>
                  </w:r>
                </w:p>
              </w:tc>
              <w:tc>
                <w:tcPr>
                  <w:tcW w:w="234" w:type="pct"/>
                  <w:shd w:val="clear" w:color="auto" w:fill="auto"/>
                  <w:noWrap w:val="0"/>
                  <w:vAlign w:val="center"/>
                </w:tcPr>
                <w:p w14:paraId="1CB2849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249" w:type="pct"/>
                  <w:shd w:val="clear" w:color="auto" w:fill="auto"/>
                  <w:noWrap w:val="0"/>
                  <w:vAlign w:val="center"/>
                </w:tcPr>
                <w:p w14:paraId="54918248">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7.47</w:t>
                  </w:r>
                </w:p>
              </w:tc>
              <w:tc>
                <w:tcPr>
                  <w:tcW w:w="274" w:type="pct"/>
                  <w:shd w:val="clear" w:color="auto" w:fill="auto"/>
                  <w:noWrap w:val="0"/>
                  <w:vAlign w:val="center"/>
                </w:tcPr>
                <w:p w14:paraId="1BBF922A">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70.55</w:t>
                  </w:r>
                </w:p>
              </w:tc>
              <w:tc>
                <w:tcPr>
                  <w:tcW w:w="203" w:type="pct"/>
                  <w:shd w:val="clear" w:color="auto" w:fill="auto"/>
                  <w:noWrap w:val="0"/>
                  <w:vAlign w:val="center"/>
                </w:tcPr>
                <w:p w14:paraId="5F045E2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h</w:t>
                  </w:r>
                </w:p>
              </w:tc>
              <w:tc>
                <w:tcPr>
                  <w:tcW w:w="307" w:type="pct"/>
                  <w:shd w:val="clear" w:color="auto" w:fill="auto"/>
                  <w:noWrap w:val="0"/>
                  <w:vAlign w:val="center"/>
                </w:tcPr>
                <w:p w14:paraId="7DA90A5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w:t>
                  </w:r>
                </w:p>
              </w:tc>
              <w:tc>
                <w:tcPr>
                  <w:tcW w:w="349" w:type="pct"/>
                  <w:shd w:val="clear" w:color="auto" w:fill="auto"/>
                  <w:noWrap w:val="0"/>
                  <w:vAlign w:val="center"/>
                </w:tcPr>
                <w:p w14:paraId="27E40039">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43.46</w:t>
                  </w:r>
                </w:p>
              </w:tc>
              <w:tc>
                <w:tcPr>
                  <w:tcW w:w="379" w:type="pct"/>
                  <w:shd w:val="clear" w:color="auto" w:fill="auto"/>
                  <w:noWrap w:val="0"/>
                  <w:vAlign w:val="center"/>
                </w:tcPr>
                <w:p w14:paraId="2B17476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1m</w:t>
                  </w:r>
                </w:p>
              </w:tc>
            </w:tr>
            <w:tr w14:paraId="32BA0B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 w:type="pct"/>
                  <w:noWrap w:val="0"/>
                  <w:vAlign w:val="center"/>
                </w:tcPr>
                <w:p w14:paraId="7072E7B1">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7</w:t>
                  </w:r>
                </w:p>
              </w:tc>
              <w:tc>
                <w:tcPr>
                  <w:tcW w:w="198" w:type="pct"/>
                  <w:vMerge w:val="continue"/>
                  <w:noWrap w:val="0"/>
                  <w:vAlign w:val="center"/>
                </w:tcPr>
                <w:p w14:paraId="61200203">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475" w:type="pct"/>
                  <w:noWrap w:val="0"/>
                  <w:vAlign w:val="center"/>
                </w:tcPr>
                <w:p w14:paraId="12EE1981">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砂轮机</w:t>
                  </w:r>
                </w:p>
              </w:tc>
              <w:tc>
                <w:tcPr>
                  <w:tcW w:w="528" w:type="pct"/>
                  <w:noWrap w:val="0"/>
                  <w:vAlign w:val="center"/>
                </w:tcPr>
                <w:p w14:paraId="743054D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S3ST-250</w:t>
                  </w:r>
                </w:p>
              </w:tc>
              <w:tc>
                <w:tcPr>
                  <w:tcW w:w="235" w:type="pct"/>
                  <w:noWrap w:val="0"/>
                  <w:vAlign w:val="center"/>
                </w:tcPr>
                <w:p w14:paraId="128829B3">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545" w:type="pct"/>
                  <w:shd w:val="clear" w:color="auto" w:fill="auto"/>
                  <w:noWrap w:val="0"/>
                  <w:vAlign w:val="center"/>
                </w:tcPr>
                <w:p w14:paraId="65734063">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80</w:t>
                  </w:r>
                </w:p>
              </w:tc>
              <w:tc>
                <w:tcPr>
                  <w:tcW w:w="270" w:type="pct"/>
                  <w:vMerge w:val="continue"/>
                  <w:noWrap w:val="0"/>
                  <w:vAlign w:val="center"/>
                </w:tcPr>
                <w:p w14:paraId="39C89527">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291" w:type="pct"/>
                  <w:shd w:val="clear" w:color="auto" w:fill="auto"/>
                  <w:noWrap w:val="0"/>
                  <w:vAlign w:val="center"/>
                </w:tcPr>
                <w:p w14:paraId="1870045F">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17.92</w:t>
                  </w:r>
                </w:p>
              </w:tc>
              <w:tc>
                <w:tcPr>
                  <w:tcW w:w="293" w:type="pct"/>
                  <w:shd w:val="clear" w:color="auto" w:fill="auto"/>
                  <w:noWrap w:val="0"/>
                  <w:vAlign w:val="center"/>
                </w:tcPr>
                <w:p w14:paraId="4541972F">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5.82</w:t>
                  </w:r>
                </w:p>
              </w:tc>
              <w:tc>
                <w:tcPr>
                  <w:tcW w:w="234" w:type="pct"/>
                  <w:shd w:val="clear" w:color="auto" w:fill="auto"/>
                  <w:noWrap w:val="0"/>
                  <w:vAlign w:val="center"/>
                </w:tcPr>
                <w:p w14:paraId="784C1DD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249" w:type="pct"/>
                  <w:shd w:val="clear" w:color="auto" w:fill="auto"/>
                  <w:noWrap w:val="0"/>
                  <w:vAlign w:val="center"/>
                </w:tcPr>
                <w:p w14:paraId="5C1CFFEA">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5.93</w:t>
                  </w:r>
                </w:p>
              </w:tc>
              <w:tc>
                <w:tcPr>
                  <w:tcW w:w="274" w:type="pct"/>
                  <w:shd w:val="clear" w:color="auto" w:fill="auto"/>
                  <w:noWrap w:val="0"/>
                  <w:vAlign w:val="center"/>
                </w:tcPr>
                <w:p w14:paraId="3172EC55">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67.55</w:t>
                  </w:r>
                </w:p>
              </w:tc>
              <w:tc>
                <w:tcPr>
                  <w:tcW w:w="203" w:type="pct"/>
                  <w:shd w:val="clear" w:color="auto" w:fill="auto"/>
                  <w:noWrap w:val="0"/>
                  <w:vAlign w:val="center"/>
                </w:tcPr>
                <w:p w14:paraId="1750D8A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h</w:t>
                  </w:r>
                </w:p>
              </w:tc>
              <w:tc>
                <w:tcPr>
                  <w:tcW w:w="307" w:type="pct"/>
                  <w:shd w:val="clear" w:color="auto" w:fill="auto"/>
                  <w:noWrap w:val="0"/>
                  <w:vAlign w:val="center"/>
                </w:tcPr>
                <w:p w14:paraId="378A5F3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w:t>
                  </w:r>
                </w:p>
              </w:tc>
              <w:tc>
                <w:tcPr>
                  <w:tcW w:w="349" w:type="pct"/>
                  <w:shd w:val="clear" w:color="auto" w:fill="auto"/>
                  <w:noWrap w:val="0"/>
                  <w:vAlign w:val="center"/>
                </w:tcPr>
                <w:p w14:paraId="74DEC812">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40.20</w:t>
                  </w:r>
                </w:p>
              </w:tc>
              <w:tc>
                <w:tcPr>
                  <w:tcW w:w="379" w:type="pct"/>
                  <w:shd w:val="clear" w:color="auto" w:fill="auto"/>
                  <w:noWrap w:val="0"/>
                  <w:vAlign w:val="center"/>
                </w:tcPr>
                <w:p w14:paraId="5158D4D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1m</w:t>
                  </w:r>
                </w:p>
              </w:tc>
            </w:tr>
            <w:tr w14:paraId="7CB28D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 w:type="pct"/>
                  <w:noWrap w:val="0"/>
                  <w:vAlign w:val="center"/>
                </w:tcPr>
                <w:p w14:paraId="0020351E">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8</w:t>
                  </w:r>
                </w:p>
              </w:tc>
              <w:tc>
                <w:tcPr>
                  <w:tcW w:w="198" w:type="pct"/>
                  <w:vMerge w:val="continue"/>
                  <w:noWrap w:val="0"/>
                  <w:vAlign w:val="center"/>
                </w:tcPr>
                <w:p w14:paraId="54187BB4">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475" w:type="pct"/>
                  <w:noWrap w:val="0"/>
                  <w:vAlign w:val="center"/>
                </w:tcPr>
                <w:p w14:paraId="7F833BFA">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冷却机</w:t>
                  </w:r>
                </w:p>
              </w:tc>
              <w:tc>
                <w:tcPr>
                  <w:tcW w:w="528" w:type="pct"/>
                  <w:shd w:val="clear" w:color="auto" w:fill="auto"/>
                  <w:noWrap w:val="0"/>
                  <w:vAlign w:val="center"/>
                </w:tcPr>
                <w:p w14:paraId="3D8AE30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PC500</w:t>
                  </w:r>
                </w:p>
              </w:tc>
              <w:tc>
                <w:tcPr>
                  <w:tcW w:w="235" w:type="pct"/>
                  <w:shd w:val="clear" w:color="auto" w:fill="auto"/>
                  <w:noWrap w:val="0"/>
                  <w:vAlign w:val="center"/>
                </w:tcPr>
                <w:p w14:paraId="10E75F97">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c>
                <w:tcPr>
                  <w:tcW w:w="545" w:type="pct"/>
                  <w:shd w:val="clear" w:color="auto" w:fill="auto"/>
                  <w:noWrap w:val="0"/>
                  <w:vAlign w:val="center"/>
                </w:tcPr>
                <w:p w14:paraId="6DDAF9D4">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270" w:type="pct"/>
                  <w:vMerge w:val="continue"/>
                  <w:noWrap w:val="0"/>
                  <w:vAlign w:val="center"/>
                </w:tcPr>
                <w:p w14:paraId="063A5978">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291" w:type="pct"/>
                  <w:shd w:val="clear" w:color="auto" w:fill="auto"/>
                  <w:noWrap w:val="0"/>
                  <w:vAlign w:val="center"/>
                </w:tcPr>
                <w:p w14:paraId="7339E057">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27.02</w:t>
                  </w:r>
                </w:p>
              </w:tc>
              <w:tc>
                <w:tcPr>
                  <w:tcW w:w="293" w:type="pct"/>
                  <w:shd w:val="clear" w:color="auto" w:fill="auto"/>
                  <w:noWrap w:val="0"/>
                  <w:vAlign w:val="center"/>
                </w:tcPr>
                <w:p w14:paraId="62C90CB1">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18.11</w:t>
                  </w:r>
                </w:p>
              </w:tc>
              <w:tc>
                <w:tcPr>
                  <w:tcW w:w="234" w:type="pct"/>
                  <w:shd w:val="clear" w:color="auto" w:fill="auto"/>
                  <w:noWrap w:val="0"/>
                  <w:vAlign w:val="center"/>
                </w:tcPr>
                <w:p w14:paraId="5F223B3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w:t>
                  </w:r>
                </w:p>
              </w:tc>
              <w:tc>
                <w:tcPr>
                  <w:tcW w:w="249" w:type="pct"/>
                  <w:shd w:val="clear" w:color="auto" w:fill="auto"/>
                  <w:noWrap w:val="0"/>
                  <w:vAlign w:val="center"/>
                </w:tcPr>
                <w:p w14:paraId="2E32B9A6">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4.10</w:t>
                  </w:r>
                </w:p>
              </w:tc>
              <w:tc>
                <w:tcPr>
                  <w:tcW w:w="274" w:type="pct"/>
                  <w:shd w:val="clear" w:color="auto" w:fill="auto"/>
                  <w:noWrap w:val="0"/>
                  <w:vAlign w:val="center"/>
                </w:tcPr>
                <w:p w14:paraId="25E95B53">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68.76</w:t>
                  </w:r>
                </w:p>
              </w:tc>
              <w:tc>
                <w:tcPr>
                  <w:tcW w:w="203" w:type="pct"/>
                  <w:shd w:val="clear" w:color="auto" w:fill="auto"/>
                  <w:noWrap w:val="0"/>
                  <w:vAlign w:val="center"/>
                </w:tcPr>
                <w:p w14:paraId="668B197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h</w:t>
                  </w:r>
                </w:p>
              </w:tc>
              <w:tc>
                <w:tcPr>
                  <w:tcW w:w="307" w:type="pct"/>
                  <w:shd w:val="clear" w:color="auto" w:fill="auto"/>
                  <w:noWrap w:val="0"/>
                  <w:vAlign w:val="center"/>
                </w:tcPr>
                <w:p w14:paraId="7FF7111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w:t>
                  </w:r>
                </w:p>
              </w:tc>
              <w:tc>
                <w:tcPr>
                  <w:tcW w:w="349" w:type="pct"/>
                  <w:shd w:val="clear" w:color="auto" w:fill="auto"/>
                  <w:noWrap w:val="0"/>
                  <w:vAlign w:val="center"/>
                </w:tcPr>
                <w:p w14:paraId="31F86015">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40.87</w:t>
                  </w:r>
                </w:p>
              </w:tc>
              <w:tc>
                <w:tcPr>
                  <w:tcW w:w="379" w:type="pct"/>
                  <w:shd w:val="clear" w:color="auto" w:fill="auto"/>
                  <w:noWrap w:val="0"/>
                  <w:vAlign w:val="center"/>
                </w:tcPr>
                <w:p w14:paraId="4C068B2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1m</w:t>
                  </w:r>
                </w:p>
              </w:tc>
            </w:tr>
          </w:tbl>
          <w:p w14:paraId="4A9492F2">
            <w:pPr>
              <w:spacing w:line="240" w:lineRule="auto"/>
              <w:ind w:firstLine="0" w:firstLineChars="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val="en-US" w:eastAsia="zh-CN"/>
              </w:rPr>
              <w:t>表4.3-2  本项目主要噪声源强一览表（室外声源）</w:t>
            </w:r>
          </w:p>
          <w:tbl>
            <w:tblPr>
              <w:tblStyle w:val="17"/>
              <w:tblW w:w="4998"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28"/>
              <w:gridCol w:w="1527"/>
              <w:gridCol w:w="996"/>
              <w:gridCol w:w="1272"/>
              <w:gridCol w:w="1272"/>
              <w:gridCol w:w="1283"/>
              <w:gridCol w:w="2085"/>
              <w:gridCol w:w="2152"/>
              <w:gridCol w:w="2110"/>
            </w:tblGrid>
            <w:tr w14:paraId="7853804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6" w:type="pct"/>
                  <w:vMerge w:val="restart"/>
                  <w:tcBorders>
                    <w:tl2br w:val="nil"/>
                    <w:tr2bl w:val="nil"/>
                  </w:tcBorders>
                  <w:noWrap w:val="0"/>
                  <w:vAlign w:val="center"/>
                </w:tcPr>
                <w:p w14:paraId="26F08D6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序号</w:t>
                  </w:r>
                </w:p>
              </w:tc>
              <w:tc>
                <w:tcPr>
                  <w:tcW w:w="564" w:type="pct"/>
                  <w:vMerge w:val="restart"/>
                  <w:tcBorders>
                    <w:tl2br w:val="nil"/>
                    <w:tr2bl w:val="nil"/>
                  </w:tcBorders>
                  <w:noWrap w:val="0"/>
                  <w:vAlign w:val="center"/>
                </w:tcPr>
                <w:p w14:paraId="57E2987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声源名称</w:t>
                  </w:r>
                </w:p>
              </w:tc>
              <w:tc>
                <w:tcPr>
                  <w:tcW w:w="368" w:type="pct"/>
                  <w:vMerge w:val="restart"/>
                  <w:tcBorders>
                    <w:tl2br w:val="nil"/>
                    <w:tr2bl w:val="nil"/>
                  </w:tcBorders>
                  <w:noWrap w:val="0"/>
                  <w:vAlign w:val="center"/>
                </w:tcPr>
                <w:p w14:paraId="49855CC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数量</w:t>
                  </w:r>
                </w:p>
              </w:tc>
              <w:tc>
                <w:tcPr>
                  <w:tcW w:w="1414" w:type="pct"/>
                  <w:gridSpan w:val="3"/>
                  <w:tcBorders>
                    <w:tl2br w:val="nil"/>
                    <w:tr2bl w:val="nil"/>
                  </w:tcBorders>
                  <w:noWrap w:val="0"/>
                  <w:vAlign w:val="center"/>
                </w:tcPr>
                <w:p w14:paraId="0F78E86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空间相对位置/m</w:t>
                  </w:r>
                </w:p>
              </w:tc>
              <w:tc>
                <w:tcPr>
                  <w:tcW w:w="770" w:type="pct"/>
                  <w:vMerge w:val="restart"/>
                  <w:tcBorders>
                    <w:tl2br w:val="nil"/>
                    <w:tr2bl w:val="nil"/>
                  </w:tcBorders>
                  <w:noWrap w:val="0"/>
                  <w:vAlign w:val="center"/>
                </w:tcPr>
                <w:p w14:paraId="77EACE8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单台声功率级dB（A）</w:t>
                  </w:r>
                </w:p>
              </w:tc>
              <w:tc>
                <w:tcPr>
                  <w:tcW w:w="795" w:type="pct"/>
                  <w:vMerge w:val="restart"/>
                  <w:tcBorders>
                    <w:tl2br w:val="nil"/>
                    <w:tr2bl w:val="nil"/>
                  </w:tcBorders>
                  <w:noWrap w:val="0"/>
                  <w:vAlign w:val="center"/>
                </w:tcPr>
                <w:p w14:paraId="228F325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声源控制</w:t>
                  </w:r>
                </w:p>
                <w:p w14:paraId="39B41F1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措施</w:t>
                  </w:r>
                </w:p>
              </w:tc>
              <w:tc>
                <w:tcPr>
                  <w:tcW w:w="779" w:type="pct"/>
                  <w:vMerge w:val="restart"/>
                  <w:tcBorders>
                    <w:tl2br w:val="nil"/>
                    <w:tr2bl w:val="nil"/>
                  </w:tcBorders>
                  <w:noWrap w:val="0"/>
                  <w:vAlign w:val="center"/>
                </w:tcPr>
                <w:p w14:paraId="7A91A66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运行时段</w:t>
                  </w:r>
                </w:p>
              </w:tc>
            </w:tr>
            <w:tr w14:paraId="5F312A9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6" w:type="pct"/>
                  <w:vMerge w:val="continue"/>
                  <w:tcBorders>
                    <w:tl2br w:val="nil"/>
                    <w:tr2bl w:val="nil"/>
                  </w:tcBorders>
                  <w:noWrap w:val="0"/>
                  <w:vAlign w:val="center"/>
                </w:tcPr>
                <w:p w14:paraId="01C5A2F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564" w:type="pct"/>
                  <w:vMerge w:val="continue"/>
                  <w:tcBorders>
                    <w:tl2br w:val="nil"/>
                    <w:tr2bl w:val="nil"/>
                  </w:tcBorders>
                  <w:noWrap w:val="0"/>
                  <w:vAlign w:val="center"/>
                </w:tcPr>
                <w:p w14:paraId="470A04C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368" w:type="pct"/>
                  <w:vMerge w:val="continue"/>
                  <w:tcBorders>
                    <w:tl2br w:val="nil"/>
                    <w:tr2bl w:val="nil"/>
                  </w:tcBorders>
                  <w:noWrap w:val="0"/>
                  <w:vAlign w:val="center"/>
                </w:tcPr>
                <w:p w14:paraId="122E081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470" w:type="pct"/>
                  <w:tcBorders>
                    <w:tl2br w:val="nil"/>
                    <w:tr2bl w:val="nil"/>
                  </w:tcBorders>
                  <w:noWrap w:val="0"/>
                  <w:vAlign w:val="center"/>
                </w:tcPr>
                <w:p w14:paraId="2DB2AF4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X</w:t>
                  </w:r>
                </w:p>
              </w:tc>
              <w:tc>
                <w:tcPr>
                  <w:tcW w:w="470" w:type="pct"/>
                  <w:tcBorders>
                    <w:tl2br w:val="nil"/>
                    <w:tr2bl w:val="nil"/>
                  </w:tcBorders>
                  <w:noWrap w:val="0"/>
                  <w:vAlign w:val="center"/>
                </w:tcPr>
                <w:p w14:paraId="37E102E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Y</w:t>
                  </w:r>
                </w:p>
              </w:tc>
              <w:tc>
                <w:tcPr>
                  <w:tcW w:w="474" w:type="pct"/>
                  <w:tcBorders>
                    <w:tl2br w:val="nil"/>
                    <w:tr2bl w:val="nil"/>
                  </w:tcBorders>
                  <w:noWrap w:val="0"/>
                  <w:vAlign w:val="center"/>
                </w:tcPr>
                <w:p w14:paraId="04D635D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Z</w:t>
                  </w:r>
                </w:p>
              </w:tc>
              <w:tc>
                <w:tcPr>
                  <w:tcW w:w="770" w:type="pct"/>
                  <w:vMerge w:val="continue"/>
                  <w:tcBorders>
                    <w:tl2br w:val="nil"/>
                    <w:tr2bl w:val="nil"/>
                  </w:tcBorders>
                  <w:noWrap w:val="0"/>
                  <w:vAlign w:val="center"/>
                </w:tcPr>
                <w:p w14:paraId="50EC86D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795" w:type="pct"/>
                  <w:vMerge w:val="continue"/>
                  <w:tcBorders>
                    <w:tl2br w:val="nil"/>
                    <w:tr2bl w:val="nil"/>
                  </w:tcBorders>
                  <w:noWrap w:val="0"/>
                  <w:vAlign w:val="center"/>
                </w:tcPr>
                <w:p w14:paraId="1A8D9B4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779" w:type="pct"/>
                  <w:vMerge w:val="continue"/>
                  <w:tcBorders>
                    <w:tl2br w:val="nil"/>
                    <w:tr2bl w:val="nil"/>
                  </w:tcBorders>
                  <w:noWrap w:val="0"/>
                  <w:vAlign w:val="center"/>
                </w:tcPr>
                <w:p w14:paraId="620957A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3A346DC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6" w:type="pct"/>
                  <w:tcBorders>
                    <w:tl2br w:val="nil"/>
                    <w:tr2bl w:val="nil"/>
                  </w:tcBorders>
                  <w:noWrap w:val="0"/>
                  <w:vAlign w:val="center"/>
                </w:tcPr>
                <w:p w14:paraId="6F2F224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564" w:type="pct"/>
                  <w:tcBorders>
                    <w:tl2br w:val="nil"/>
                    <w:tr2bl w:val="nil"/>
                  </w:tcBorders>
                  <w:noWrap w:val="0"/>
                  <w:vAlign w:val="center"/>
                </w:tcPr>
                <w:p w14:paraId="01BB6A4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空压机</w:t>
                  </w:r>
                </w:p>
              </w:tc>
              <w:tc>
                <w:tcPr>
                  <w:tcW w:w="368" w:type="pct"/>
                  <w:tcBorders>
                    <w:tl2br w:val="nil"/>
                    <w:tr2bl w:val="nil"/>
                  </w:tcBorders>
                  <w:noWrap w:val="0"/>
                  <w:vAlign w:val="center"/>
                </w:tcPr>
                <w:p w14:paraId="16E3775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1272" w:type="dxa"/>
                  <w:tcBorders>
                    <w:tl2br w:val="nil"/>
                    <w:tr2bl w:val="nil"/>
                  </w:tcBorders>
                  <w:noWrap w:val="0"/>
                  <w:vAlign w:val="center"/>
                </w:tcPr>
                <w:p w14:paraId="0A276D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4"/>
                      <w:highlight w:val="none"/>
                      <w:shd w:val="clear" w:color="auto" w:fill="auto"/>
                      <w:lang w:val="en-US" w:eastAsia="zh-CN" w:bidi="ar-SA"/>
                    </w:rPr>
                    <w:t>18.87</w:t>
                  </w:r>
                </w:p>
              </w:tc>
              <w:tc>
                <w:tcPr>
                  <w:tcW w:w="1272" w:type="dxa"/>
                  <w:tcBorders>
                    <w:tl2br w:val="nil"/>
                    <w:tr2bl w:val="nil"/>
                  </w:tcBorders>
                  <w:noWrap w:val="0"/>
                  <w:vAlign w:val="center"/>
                </w:tcPr>
                <w:p w14:paraId="07F056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4"/>
                      <w:highlight w:val="none"/>
                      <w:shd w:val="clear" w:color="auto" w:fill="auto"/>
                      <w:lang w:val="en-US" w:eastAsia="zh-CN" w:bidi="ar-SA"/>
                    </w:rPr>
                    <w:t>23.00</w:t>
                  </w:r>
                </w:p>
              </w:tc>
              <w:tc>
                <w:tcPr>
                  <w:tcW w:w="1283" w:type="dxa"/>
                  <w:tcBorders>
                    <w:tl2br w:val="nil"/>
                    <w:tr2bl w:val="nil"/>
                  </w:tcBorders>
                  <w:noWrap w:val="0"/>
                  <w:vAlign w:val="center"/>
                </w:tcPr>
                <w:p w14:paraId="7F3E6F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4"/>
                      <w:highlight w:val="none"/>
                      <w:shd w:val="clear" w:color="auto" w:fill="auto"/>
                      <w:lang w:val="en-US" w:eastAsia="zh-CN" w:bidi="ar-SA"/>
                    </w:rPr>
                    <w:t>1</w:t>
                  </w:r>
                </w:p>
              </w:tc>
              <w:tc>
                <w:tcPr>
                  <w:tcW w:w="770" w:type="pct"/>
                  <w:tcBorders>
                    <w:tl2br w:val="nil"/>
                    <w:tr2bl w:val="nil"/>
                  </w:tcBorders>
                  <w:noWrap w:val="0"/>
                  <w:vAlign w:val="center"/>
                </w:tcPr>
                <w:p w14:paraId="64AB569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w:t>
                  </w:r>
                </w:p>
              </w:tc>
              <w:tc>
                <w:tcPr>
                  <w:tcW w:w="795" w:type="pct"/>
                  <w:tcBorders>
                    <w:tl2br w:val="nil"/>
                    <w:tr2bl w:val="nil"/>
                  </w:tcBorders>
                  <w:noWrap w:val="0"/>
                  <w:vAlign w:val="center"/>
                </w:tcPr>
                <w:p w14:paraId="74F8D5B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减振</w:t>
                  </w:r>
                </w:p>
              </w:tc>
              <w:tc>
                <w:tcPr>
                  <w:tcW w:w="779" w:type="pct"/>
                  <w:tcBorders>
                    <w:tl2br w:val="nil"/>
                    <w:tr2bl w:val="nil"/>
                  </w:tcBorders>
                  <w:noWrap w:val="0"/>
                  <w:vAlign w:val="center"/>
                </w:tcPr>
                <w:p w14:paraId="112F922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工作时</w:t>
                  </w:r>
                </w:p>
              </w:tc>
            </w:tr>
            <w:tr w14:paraId="63836E6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6" w:type="pct"/>
                  <w:tcBorders>
                    <w:tl2br w:val="nil"/>
                    <w:tr2bl w:val="nil"/>
                  </w:tcBorders>
                  <w:noWrap w:val="0"/>
                  <w:vAlign w:val="center"/>
                </w:tcPr>
                <w:p w14:paraId="61297EB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564" w:type="pct"/>
                  <w:tcBorders>
                    <w:tl2br w:val="nil"/>
                    <w:tr2bl w:val="nil"/>
                  </w:tcBorders>
                  <w:noWrap w:val="0"/>
                  <w:vAlign w:val="center"/>
                </w:tcPr>
                <w:p w14:paraId="2AD8E32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风机</w:t>
                  </w:r>
                </w:p>
              </w:tc>
              <w:tc>
                <w:tcPr>
                  <w:tcW w:w="368" w:type="pct"/>
                  <w:tcBorders>
                    <w:tl2br w:val="nil"/>
                    <w:tr2bl w:val="nil"/>
                  </w:tcBorders>
                  <w:noWrap w:val="0"/>
                  <w:vAlign w:val="center"/>
                </w:tcPr>
                <w:p w14:paraId="52CC137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272" w:type="dxa"/>
                  <w:tcBorders>
                    <w:tl2br w:val="nil"/>
                    <w:tr2bl w:val="nil"/>
                  </w:tcBorders>
                  <w:noWrap w:val="0"/>
                  <w:vAlign w:val="center"/>
                </w:tcPr>
                <w:p w14:paraId="5C8AE2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4"/>
                      <w:highlight w:val="none"/>
                      <w:shd w:val="clear" w:color="auto" w:fill="auto"/>
                      <w:lang w:val="en-US" w:eastAsia="zh-CN" w:bidi="ar-SA"/>
                    </w:rPr>
                    <w:t>21.20</w:t>
                  </w:r>
                </w:p>
              </w:tc>
              <w:tc>
                <w:tcPr>
                  <w:tcW w:w="1272" w:type="dxa"/>
                  <w:tcBorders>
                    <w:tl2br w:val="nil"/>
                    <w:tr2bl w:val="nil"/>
                  </w:tcBorders>
                  <w:noWrap w:val="0"/>
                  <w:vAlign w:val="center"/>
                </w:tcPr>
                <w:p w14:paraId="27FBED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4"/>
                      <w:highlight w:val="none"/>
                      <w:shd w:val="clear" w:color="auto" w:fill="auto"/>
                      <w:lang w:val="en-US" w:eastAsia="zh-CN" w:bidi="ar-SA"/>
                    </w:rPr>
                    <w:t>22.97</w:t>
                  </w:r>
                </w:p>
              </w:tc>
              <w:tc>
                <w:tcPr>
                  <w:tcW w:w="1283" w:type="dxa"/>
                  <w:tcBorders>
                    <w:tl2br w:val="nil"/>
                    <w:tr2bl w:val="nil"/>
                  </w:tcBorders>
                  <w:noWrap w:val="0"/>
                  <w:vAlign w:val="center"/>
                </w:tcPr>
                <w:p w14:paraId="564748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4"/>
                      <w:highlight w:val="none"/>
                      <w:shd w:val="clear" w:color="auto" w:fill="auto"/>
                      <w:lang w:val="en-US" w:eastAsia="zh-CN" w:bidi="ar-SA"/>
                    </w:rPr>
                    <w:t>1</w:t>
                  </w:r>
                </w:p>
              </w:tc>
              <w:tc>
                <w:tcPr>
                  <w:tcW w:w="2038" w:type="dxa"/>
                  <w:tcBorders>
                    <w:tl2br w:val="nil"/>
                    <w:tr2bl w:val="nil"/>
                  </w:tcBorders>
                  <w:noWrap w:val="0"/>
                  <w:vAlign w:val="center"/>
                </w:tcPr>
                <w:p w14:paraId="74082E5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w:t>
                  </w:r>
                </w:p>
              </w:tc>
              <w:tc>
                <w:tcPr>
                  <w:tcW w:w="2104" w:type="dxa"/>
                  <w:tcBorders>
                    <w:tl2br w:val="nil"/>
                    <w:tr2bl w:val="nil"/>
                  </w:tcBorders>
                  <w:noWrap w:val="0"/>
                  <w:vAlign w:val="center"/>
                </w:tcPr>
                <w:p w14:paraId="4C4D886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减振</w:t>
                  </w:r>
                </w:p>
              </w:tc>
              <w:tc>
                <w:tcPr>
                  <w:tcW w:w="2062" w:type="dxa"/>
                  <w:tcBorders>
                    <w:tl2br w:val="nil"/>
                    <w:tr2bl w:val="nil"/>
                  </w:tcBorders>
                  <w:noWrap w:val="0"/>
                  <w:vAlign w:val="center"/>
                </w:tcPr>
                <w:p w14:paraId="490DFB1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工作时</w:t>
                  </w:r>
                </w:p>
              </w:tc>
            </w:tr>
          </w:tbl>
          <w:p w14:paraId="6331D143">
            <w:pPr>
              <w:spacing w:line="240" w:lineRule="auto"/>
              <w:ind w:firstLine="0" w:firstLineChars="0"/>
              <w:rPr>
                <w:color w:val="auto"/>
              </w:rPr>
            </w:pPr>
            <w:r>
              <w:rPr>
                <w:rFonts w:hint="eastAsia"/>
                <w:b/>
                <w:color w:val="auto"/>
                <w:sz w:val="21"/>
                <w:szCs w:val="21"/>
              </w:rPr>
              <w:t>备注：</w:t>
            </w:r>
            <w:r>
              <w:rPr>
                <w:rFonts w:hint="eastAsia"/>
                <w:b/>
                <w:color w:val="auto"/>
                <w:sz w:val="21"/>
                <w:szCs w:val="21"/>
                <w:lang w:val="en-US" w:eastAsia="zh-CN"/>
              </w:rPr>
              <w:t>厂区</w:t>
            </w:r>
            <w:r>
              <w:rPr>
                <w:rFonts w:hint="eastAsia"/>
                <w:b/>
                <w:color w:val="auto"/>
                <w:sz w:val="21"/>
                <w:szCs w:val="21"/>
              </w:rPr>
              <w:t>西南角为原点。</w:t>
            </w:r>
          </w:p>
        </w:tc>
      </w:tr>
    </w:tbl>
    <w:p w14:paraId="24C99247">
      <w:pPr>
        <w:ind w:firstLine="420"/>
        <w:rPr>
          <w:color w:val="auto"/>
        </w:rPr>
        <w:sectPr>
          <w:pgSz w:w="16840" w:h="11907" w:orient="landscape"/>
          <w:pgMar w:top="1080" w:right="1440" w:bottom="1080" w:left="1440" w:header="964" w:footer="964" w:gutter="0"/>
          <w:pgBorders w:offsetFrom="page">
            <w:top w:val="none" w:sz="0" w:space="0"/>
            <w:left w:val="none" w:sz="0" w:space="0"/>
            <w:bottom w:val="none" w:sz="0" w:space="0"/>
            <w:right w:val="none" w:sz="0" w:space="0"/>
          </w:pgBorders>
          <w:cols w:space="720" w:num="1"/>
          <w:docGrid w:type="linesAndChars" w:linePitch="312" w:charSpace="0"/>
        </w:sectPr>
      </w:pPr>
    </w:p>
    <w:tbl>
      <w:tblPr>
        <w:tblStyle w:val="17"/>
        <w:tblW w:w="1020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57"/>
        <w:gridCol w:w="9789"/>
      </w:tblGrid>
      <w:tr w14:paraId="5097C8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708" w:hRule="atLeast"/>
          <w:jc w:val="center"/>
        </w:trPr>
        <w:tc>
          <w:tcPr>
            <w:tcW w:w="427" w:type="dxa"/>
            <w:noWrap w:val="0"/>
            <w:vAlign w:val="center"/>
          </w:tcPr>
          <w:p w14:paraId="3CD0B41B">
            <w:pPr>
              <w:spacing w:line="240" w:lineRule="auto"/>
              <w:ind w:firstLine="0" w:firstLineChars="0"/>
              <w:jc w:val="center"/>
              <w:rPr>
                <w:b/>
                <w:bCs/>
                <w:color w:val="auto"/>
                <w:sz w:val="24"/>
                <w:szCs w:val="24"/>
              </w:rPr>
            </w:pPr>
            <w:r>
              <w:rPr>
                <w:b/>
                <w:bCs/>
                <w:color w:val="auto"/>
                <w:sz w:val="24"/>
                <w:szCs w:val="24"/>
              </w:rPr>
              <w:t>运营期环境影响和保护措施</w:t>
            </w:r>
          </w:p>
        </w:tc>
        <w:tc>
          <w:tcPr>
            <w:tcW w:w="10004" w:type="dxa"/>
            <w:noWrap w:val="0"/>
            <w:vAlign w:val="center"/>
          </w:tcPr>
          <w:p w14:paraId="570F72DA">
            <w:pPr>
              <w:ind w:firstLine="0" w:firstLineChars="0"/>
              <w:rPr>
                <w:b/>
                <w:bCs/>
                <w:color w:val="auto"/>
                <w:sz w:val="24"/>
                <w:szCs w:val="24"/>
              </w:rPr>
            </w:pPr>
            <w:r>
              <w:rPr>
                <w:b/>
                <w:bCs/>
                <w:color w:val="auto"/>
                <w:sz w:val="24"/>
                <w:szCs w:val="24"/>
              </w:rPr>
              <w:t>3.2噪声污染防治措施可行性分析</w:t>
            </w:r>
          </w:p>
          <w:p w14:paraId="29B1A347">
            <w:pPr>
              <w:ind w:firstLine="420"/>
              <w:rPr>
                <w:color w:val="auto"/>
                <w:sz w:val="24"/>
                <w:szCs w:val="24"/>
              </w:rPr>
            </w:pPr>
            <w:r>
              <w:rPr>
                <w:color w:val="auto"/>
                <w:sz w:val="24"/>
                <w:szCs w:val="24"/>
              </w:rPr>
              <w:t>为了进一步减少项目产生的噪声对周围环境的影响，建议建设单位采取以下措施：</w:t>
            </w:r>
          </w:p>
          <w:p w14:paraId="6A4619A2">
            <w:pPr>
              <w:ind w:firstLine="420"/>
              <w:rPr>
                <w:color w:val="auto"/>
                <w:sz w:val="24"/>
                <w:szCs w:val="24"/>
              </w:rPr>
            </w:pPr>
            <w:r>
              <w:rPr>
                <w:rFonts w:hint="eastAsia" w:ascii="宋体" w:hAnsi="宋体" w:cs="宋体"/>
                <w:color w:val="auto"/>
                <w:sz w:val="24"/>
                <w:szCs w:val="24"/>
              </w:rPr>
              <w:t>①</w:t>
            </w:r>
            <w:r>
              <w:rPr>
                <w:color w:val="auto"/>
                <w:sz w:val="24"/>
                <w:szCs w:val="24"/>
              </w:rPr>
              <w:t>合理布局车间，高噪声设备尽量远离厂界，并合理利用厂区建筑物的隔声作用；</w:t>
            </w:r>
          </w:p>
          <w:p w14:paraId="61A861C5">
            <w:pPr>
              <w:ind w:firstLine="420"/>
              <w:rPr>
                <w:color w:val="auto"/>
                <w:sz w:val="24"/>
                <w:szCs w:val="24"/>
              </w:rPr>
            </w:pPr>
            <w:r>
              <w:rPr>
                <w:rFonts w:hint="eastAsia" w:ascii="宋体" w:hAnsi="宋体" w:cs="宋体"/>
                <w:color w:val="auto"/>
                <w:sz w:val="24"/>
                <w:szCs w:val="24"/>
              </w:rPr>
              <w:t>②</w:t>
            </w:r>
            <w:r>
              <w:rPr>
                <w:color w:val="auto"/>
                <w:sz w:val="24"/>
                <w:szCs w:val="24"/>
              </w:rPr>
              <w:t>在满足生产工艺的前提下，尽量选用加工精度高、装配质量好、低噪声的设备，并在安装过程中采取隔声、减振措施；</w:t>
            </w:r>
          </w:p>
          <w:p w14:paraId="0F744DD7">
            <w:pPr>
              <w:ind w:firstLine="420"/>
              <w:rPr>
                <w:color w:val="auto"/>
                <w:sz w:val="24"/>
                <w:szCs w:val="24"/>
              </w:rPr>
            </w:pPr>
            <w:r>
              <w:rPr>
                <w:rFonts w:hint="eastAsia" w:ascii="宋体" w:hAnsi="宋体" w:cs="宋体"/>
                <w:color w:val="auto"/>
                <w:sz w:val="24"/>
                <w:szCs w:val="24"/>
              </w:rPr>
              <w:t>③</w:t>
            </w:r>
            <w:r>
              <w:rPr>
                <w:color w:val="auto"/>
                <w:sz w:val="24"/>
                <w:szCs w:val="24"/>
              </w:rPr>
              <w:t>平时加强对设备的保养、检修与润滑，保证设备良好运转，减轻运行噪声强度；</w:t>
            </w:r>
          </w:p>
          <w:p w14:paraId="69D63DAB">
            <w:pPr>
              <w:ind w:firstLine="420"/>
              <w:rPr>
                <w:color w:val="auto"/>
                <w:sz w:val="24"/>
                <w:szCs w:val="24"/>
              </w:rPr>
            </w:pPr>
            <w:r>
              <w:rPr>
                <w:rFonts w:hint="eastAsia" w:ascii="宋体" w:hAnsi="宋体" w:cs="宋体"/>
                <w:color w:val="auto"/>
                <w:sz w:val="24"/>
                <w:szCs w:val="24"/>
              </w:rPr>
              <w:t>④</w:t>
            </w:r>
            <w:r>
              <w:rPr>
                <w:color w:val="auto"/>
                <w:sz w:val="24"/>
                <w:szCs w:val="24"/>
              </w:rPr>
              <w:t>对废气处理设备、冷却塔等设备设置隔声、减震措施。</w:t>
            </w:r>
          </w:p>
          <w:p w14:paraId="18F5BB13">
            <w:pPr>
              <w:ind w:firstLine="420"/>
              <w:rPr>
                <w:color w:val="auto"/>
                <w:spacing w:val="-10"/>
                <w:sz w:val="24"/>
                <w:szCs w:val="24"/>
              </w:rPr>
            </w:pPr>
            <w:r>
              <w:rPr>
                <w:color w:val="auto"/>
                <w:sz w:val="24"/>
                <w:szCs w:val="24"/>
              </w:rPr>
              <w:t>以上噪声治理措施容易实施，技术成熟可靠，投资费用较少，在经济上是可行的。</w:t>
            </w:r>
          </w:p>
          <w:p w14:paraId="4227C02F">
            <w:pPr>
              <w:ind w:firstLine="0" w:firstLineChars="0"/>
              <w:rPr>
                <w:b/>
                <w:bCs/>
                <w:color w:val="auto"/>
                <w:sz w:val="24"/>
                <w:szCs w:val="24"/>
              </w:rPr>
            </w:pPr>
            <w:r>
              <w:rPr>
                <w:b/>
                <w:bCs/>
                <w:color w:val="auto"/>
                <w:sz w:val="24"/>
                <w:szCs w:val="24"/>
              </w:rPr>
              <w:t>3.3声环境影响预测与评价</w:t>
            </w:r>
          </w:p>
          <w:p w14:paraId="1F187A4D">
            <w:pPr>
              <w:ind w:firstLine="420"/>
              <w:rPr>
                <w:color w:val="auto"/>
                <w:sz w:val="24"/>
                <w:szCs w:val="24"/>
              </w:rPr>
            </w:pPr>
            <w:r>
              <w:rPr>
                <w:color w:val="auto"/>
                <w:sz w:val="24"/>
                <w:szCs w:val="24"/>
              </w:rPr>
              <w:t>（1）主要噪声源与预测内容</w:t>
            </w:r>
          </w:p>
          <w:p w14:paraId="2195CC7A">
            <w:pPr>
              <w:ind w:firstLine="420"/>
              <w:rPr>
                <w:color w:val="auto"/>
                <w:sz w:val="24"/>
                <w:szCs w:val="24"/>
              </w:rPr>
            </w:pPr>
            <w:r>
              <w:rPr>
                <w:color w:val="auto"/>
                <w:sz w:val="24"/>
                <w:szCs w:val="24"/>
              </w:rPr>
              <w:t>主要噪声源：以生产、公辅设备为主，均以固定的点源形式分布在联合厂房内，运行噪声均在7</w:t>
            </w:r>
            <w:r>
              <w:rPr>
                <w:rFonts w:hint="eastAsia"/>
                <w:color w:val="auto"/>
                <w:sz w:val="24"/>
                <w:szCs w:val="24"/>
                <w:lang w:val="en-US" w:eastAsia="zh-CN"/>
              </w:rPr>
              <w:t>5</w:t>
            </w:r>
            <w:r>
              <w:rPr>
                <w:color w:val="auto"/>
                <w:sz w:val="24"/>
                <w:szCs w:val="24"/>
              </w:rPr>
              <w:t>~</w:t>
            </w:r>
            <w:r>
              <w:rPr>
                <w:rFonts w:hint="eastAsia"/>
                <w:color w:val="auto"/>
                <w:sz w:val="24"/>
                <w:szCs w:val="24"/>
                <w:lang w:val="en-US" w:eastAsia="zh-CN"/>
              </w:rPr>
              <w:t>85</w:t>
            </w:r>
            <w:r>
              <w:rPr>
                <w:color w:val="auto"/>
                <w:sz w:val="24"/>
                <w:szCs w:val="24"/>
              </w:rPr>
              <w:t>dB(A</w:t>
            </w:r>
            <w:r>
              <w:rPr>
                <w:rFonts w:hint="eastAsia"/>
                <w:color w:val="auto"/>
                <w:sz w:val="24"/>
                <w:szCs w:val="24"/>
                <w:lang w:eastAsia="zh-CN"/>
              </w:rPr>
              <w:t>）</w:t>
            </w:r>
            <w:r>
              <w:rPr>
                <w:color w:val="auto"/>
                <w:sz w:val="24"/>
                <w:szCs w:val="24"/>
              </w:rPr>
              <w:t>之间；</w:t>
            </w:r>
          </w:p>
          <w:p w14:paraId="0EB2D23B">
            <w:pPr>
              <w:ind w:firstLine="420"/>
              <w:rPr>
                <w:color w:val="auto"/>
                <w:sz w:val="24"/>
                <w:szCs w:val="24"/>
              </w:rPr>
            </w:pPr>
            <w:r>
              <w:rPr>
                <w:color w:val="auto"/>
                <w:sz w:val="24"/>
                <w:szCs w:val="24"/>
              </w:rPr>
              <w:t>预测内容：厂界噪声贡献值。</w:t>
            </w:r>
          </w:p>
          <w:p w14:paraId="53D03CB8">
            <w:pPr>
              <w:ind w:firstLine="420"/>
              <w:rPr>
                <w:color w:val="auto"/>
                <w:sz w:val="24"/>
                <w:szCs w:val="24"/>
              </w:rPr>
            </w:pPr>
            <w:r>
              <w:rPr>
                <w:color w:val="auto"/>
                <w:sz w:val="24"/>
                <w:szCs w:val="24"/>
              </w:rPr>
              <w:t>（2）噪声预测模式</w:t>
            </w:r>
          </w:p>
          <w:p w14:paraId="71BB23B4">
            <w:pPr>
              <w:ind w:firstLine="420"/>
              <w:rPr>
                <w:color w:val="auto"/>
                <w:sz w:val="24"/>
                <w:szCs w:val="24"/>
              </w:rPr>
            </w:pPr>
            <w:r>
              <w:rPr>
                <w:color w:val="auto"/>
                <w:sz w:val="24"/>
                <w:szCs w:val="24"/>
              </w:rPr>
              <w:t>当所有设备同时运转时，项目厂界噪声按照以下公式进行计算：</w:t>
            </w:r>
          </w:p>
          <w:p w14:paraId="37EA2A49">
            <w:pPr>
              <w:ind w:firstLine="420"/>
              <w:rPr>
                <w:color w:val="auto"/>
                <w:sz w:val="24"/>
                <w:szCs w:val="24"/>
              </w:rPr>
            </w:pPr>
            <w:r>
              <w:rPr>
                <w:color w:val="auto"/>
                <w:sz w:val="24"/>
                <w:szCs w:val="24"/>
              </w:rPr>
              <w:t>A：室内声源靠近围护结构处产生的倍频带声压级：</w:t>
            </w:r>
          </w:p>
          <w:p w14:paraId="18D5010A">
            <w:pPr>
              <w:spacing w:line="360" w:lineRule="auto"/>
              <w:ind w:firstLine="480"/>
              <w:jc w:val="center"/>
              <w:rPr>
                <w:color w:val="auto"/>
                <w:sz w:val="24"/>
                <w:szCs w:val="24"/>
              </w:rPr>
            </w:pPr>
            <w:r>
              <w:rPr>
                <w:color w:val="auto"/>
                <w:sz w:val="24"/>
                <w:szCs w:val="24"/>
              </w:rPr>
              <w:object>
                <v:shape id="_x0000_i1028" o:spt="75" type="#_x0000_t75" style="height:35.3pt;width:140.45pt;" o:ole="t" fillcolor="#ACA899" filled="f" o:preferrelative="t" stroked="f" coordsize="21600,21600">
                  <v:path/>
                  <v:fill on="f" focussize="0,0"/>
                  <v:stroke on="f"/>
                  <v:imagedata r:id="rId27" o:title=""/>
                  <o:lock v:ext="edit" grouping="f" rotation="f" text="f" aspectratio="t"/>
                  <w10:wrap type="none"/>
                  <w10:anchorlock/>
                </v:shape>
                <o:OLEObject Type="Embed" ProgID="Equation.3" ShapeID="_x0000_i1028" DrawAspect="Content" ObjectID="_1468075728" r:id="rId26">
                  <o:LockedField>false</o:LockedField>
                </o:OLEObject>
              </w:object>
            </w:r>
          </w:p>
          <w:p w14:paraId="4D82F6C9">
            <w:pPr>
              <w:ind w:firstLine="420"/>
              <w:rPr>
                <w:color w:val="auto"/>
                <w:sz w:val="24"/>
                <w:szCs w:val="24"/>
              </w:rPr>
            </w:pPr>
            <w:r>
              <w:rPr>
                <w:color w:val="auto"/>
                <w:sz w:val="24"/>
                <w:szCs w:val="24"/>
              </w:rPr>
              <w:t>式中：L</w:t>
            </w:r>
            <w:r>
              <w:rPr>
                <w:color w:val="auto"/>
                <w:sz w:val="24"/>
                <w:szCs w:val="24"/>
                <w:vertAlign w:val="subscript"/>
              </w:rPr>
              <w:t>pl</w:t>
            </w:r>
            <w:r>
              <w:rPr>
                <w:color w:val="auto"/>
                <w:sz w:val="24"/>
                <w:szCs w:val="24"/>
              </w:rPr>
              <w:t>——靠近围护结构处室内倍频带声压级，dB；</w:t>
            </w:r>
          </w:p>
          <w:p w14:paraId="147DEE3B">
            <w:pPr>
              <w:ind w:firstLine="420"/>
              <w:rPr>
                <w:color w:val="auto"/>
                <w:sz w:val="24"/>
                <w:szCs w:val="24"/>
              </w:rPr>
            </w:pPr>
            <w:r>
              <w:rPr>
                <w:color w:val="auto"/>
                <w:sz w:val="24"/>
                <w:szCs w:val="24"/>
              </w:rPr>
              <w:t>L</w:t>
            </w:r>
            <w:r>
              <w:rPr>
                <w:color w:val="auto"/>
                <w:sz w:val="24"/>
                <w:szCs w:val="24"/>
                <w:vertAlign w:val="subscript"/>
              </w:rPr>
              <w:t>W</w:t>
            </w:r>
            <w:r>
              <w:rPr>
                <w:color w:val="auto"/>
                <w:sz w:val="24"/>
                <w:szCs w:val="24"/>
              </w:rPr>
              <w:t>——声源功率级，dB；</w:t>
            </w:r>
          </w:p>
          <w:p w14:paraId="07E713FC">
            <w:pPr>
              <w:ind w:firstLine="420"/>
              <w:rPr>
                <w:color w:val="auto"/>
                <w:sz w:val="24"/>
                <w:szCs w:val="24"/>
              </w:rPr>
            </w:pPr>
            <w:r>
              <w:rPr>
                <w:color w:val="auto"/>
                <w:sz w:val="24"/>
                <w:szCs w:val="24"/>
              </w:rPr>
              <w:t>Q——声源之指向性系数，2；</w:t>
            </w:r>
          </w:p>
          <w:p w14:paraId="1FF2068E">
            <w:pPr>
              <w:ind w:firstLine="420"/>
              <w:rPr>
                <w:color w:val="auto"/>
                <w:sz w:val="24"/>
                <w:szCs w:val="24"/>
              </w:rPr>
            </w:pPr>
            <w:r>
              <w:rPr>
                <w:color w:val="auto"/>
                <w:sz w:val="24"/>
                <w:szCs w:val="24"/>
              </w:rPr>
              <w:t>R——房间常数，</w:t>
            </w:r>
            <w:r>
              <w:rPr>
                <w:color w:val="auto"/>
                <w:sz w:val="24"/>
                <w:szCs w:val="24"/>
              </w:rPr>
              <w:object>
                <v:shape id="_x0000_i1029" o:spt="75" type="#_x0000_t75" style="height:20.55pt;width:47.25pt;" o:ole="t" filled="f" o:preferrelative="t" stroked="f" coordsize="21600,21600">
                  <v:path/>
                  <v:fill on="f" focussize="0,0"/>
                  <v:stroke on="f"/>
                  <v:imagedata r:id="rId29" o:title=""/>
                  <o:lock v:ext="edit" aspectratio="t"/>
                  <w10:wrap type="none"/>
                  <w10:anchorlock/>
                </v:shape>
                <o:OLEObject Type="Embed" ProgID="Equation.3" ShapeID="_x0000_i1029" DrawAspect="Content" ObjectID="_1468075729" r:id="rId28">
                  <o:LockedField>false</o:LockedField>
                </o:OLEObject>
              </w:object>
            </w:r>
            <w:r>
              <w:rPr>
                <w:color w:val="auto"/>
                <w:sz w:val="24"/>
                <w:szCs w:val="24"/>
              </w:rPr>
              <w:t>，</w:t>
            </w:r>
            <w:r>
              <w:rPr>
                <w:color w:val="auto"/>
                <w:sz w:val="24"/>
                <w:szCs w:val="24"/>
              </w:rPr>
              <w:object>
                <v:shape id="_x0000_i1030" o:spt="75" type="#_x0000_t75" style="height:17.25pt;width:9.75pt;" o:ole="t" filled="f" o:preferrelative="t" stroked="f" coordsize="21600,21600">
                  <v:path/>
                  <v:fill on="f" focussize="0,0"/>
                  <v:stroke on="f"/>
                  <v:imagedata r:id="rId31" o:title=""/>
                  <o:lock v:ext="edit" grouping="f" rotation="f" text="f" aspectratio="t"/>
                  <w10:wrap type="none"/>
                  <w10:anchorlock/>
                </v:shape>
                <o:OLEObject Type="Embed" ProgID="Equation.DSMT4" ShapeID="_x0000_i1030" DrawAspect="Content" ObjectID="_1468075730" r:id="rId30">
                  <o:LockedField>false</o:LockedField>
                </o:OLEObject>
              </w:object>
            </w:r>
            <w:r>
              <w:rPr>
                <w:color w:val="auto"/>
                <w:sz w:val="24"/>
                <w:szCs w:val="24"/>
              </w:rPr>
              <w:t>取0.05（按照水泥墙进行取值）</w:t>
            </w:r>
          </w:p>
          <w:p w14:paraId="5C585D74">
            <w:pPr>
              <w:ind w:firstLine="420"/>
              <w:rPr>
                <w:color w:val="auto"/>
                <w:sz w:val="24"/>
                <w:szCs w:val="24"/>
              </w:rPr>
            </w:pPr>
            <w:r>
              <w:rPr>
                <w:color w:val="auto"/>
                <w:sz w:val="24"/>
                <w:szCs w:val="24"/>
              </w:rPr>
              <w:t>B：室外围护结构处的声压级：</w:t>
            </w:r>
          </w:p>
          <w:p w14:paraId="79EC3139">
            <w:pPr>
              <w:ind w:firstLine="480"/>
              <w:jc w:val="center"/>
              <w:rPr>
                <w:color w:val="auto"/>
                <w:sz w:val="24"/>
                <w:szCs w:val="24"/>
                <w:lang w:val="nb-NO"/>
              </w:rPr>
            </w:pPr>
            <w:r>
              <w:rPr>
                <w:color w:val="auto"/>
                <w:sz w:val="24"/>
                <w:szCs w:val="24"/>
                <w:lang w:val="nb-NO"/>
              </w:rPr>
              <w:t>L</w:t>
            </w:r>
            <w:r>
              <w:rPr>
                <w:color w:val="auto"/>
                <w:sz w:val="24"/>
                <w:szCs w:val="24"/>
                <w:vertAlign w:val="subscript"/>
                <w:lang w:val="nb-NO"/>
              </w:rPr>
              <w:t>p2i</w:t>
            </w:r>
            <w:r>
              <w:rPr>
                <w:color w:val="auto"/>
                <w:sz w:val="24"/>
                <w:szCs w:val="24"/>
                <w:lang w:val="nb-NO"/>
              </w:rPr>
              <w:t>(T)= L</w:t>
            </w:r>
            <w:r>
              <w:rPr>
                <w:color w:val="auto"/>
                <w:sz w:val="24"/>
                <w:szCs w:val="24"/>
                <w:vertAlign w:val="subscript"/>
                <w:lang w:val="nb-NO"/>
              </w:rPr>
              <w:t>p1i</w:t>
            </w:r>
            <w:r>
              <w:rPr>
                <w:color w:val="auto"/>
                <w:sz w:val="24"/>
                <w:szCs w:val="24"/>
                <w:lang w:val="nb-NO"/>
              </w:rPr>
              <w:t>(T)—</w:t>
            </w:r>
            <w:r>
              <w:rPr>
                <w:rFonts w:hint="eastAsia"/>
                <w:color w:val="auto"/>
                <w:sz w:val="24"/>
                <w:szCs w:val="24"/>
                <w:lang w:val="nb-NO" w:eastAsia="zh-CN"/>
              </w:rPr>
              <w:t>(</w:t>
            </w:r>
            <w:r>
              <w:rPr>
                <w:color w:val="auto"/>
                <w:sz w:val="24"/>
                <w:szCs w:val="24"/>
                <w:lang w:val="nb-NO"/>
              </w:rPr>
              <w:t>T</w:t>
            </w:r>
            <w:r>
              <w:rPr>
                <w:color w:val="auto"/>
                <w:sz w:val="24"/>
                <w:szCs w:val="24"/>
                <w:vertAlign w:val="subscript"/>
                <w:lang w:val="nb-NO"/>
              </w:rPr>
              <w:t>Li</w:t>
            </w:r>
            <w:r>
              <w:rPr>
                <w:color w:val="auto"/>
                <w:sz w:val="24"/>
                <w:szCs w:val="24"/>
                <w:lang w:val="nb-NO"/>
              </w:rPr>
              <w:t>+6</w:t>
            </w:r>
            <w:r>
              <w:rPr>
                <w:rFonts w:hint="eastAsia"/>
                <w:color w:val="auto"/>
                <w:sz w:val="24"/>
                <w:szCs w:val="24"/>
                <w:lang w:val="nb-NO" w:eastAsia="zh-CN"/>
              </w:rPr>
              <w:t>)</w:t>
            </w:r>
          </w:p>
          <w:p w14:paraId="60F94B83">
            <w:pPr>
              <w:ind w:firstLine="420"/>
              <w:rPr>
                <w:color w:val="auto"/>
                <w:sz w:val="24"/>
                <w:szCs w:val="24"/>
              </w:rPr>
            </w:pPr>
            <w:r>
              <w:rPr>
                <w:color w:val="auto"/>
                <w:sz w:val="24"/>
                <w:szCs w:val="24"/>
              </w:rPr>
              <w:t>式中：L</w:t>
            </w:r>
            <w:r>
              <w:rPr>
                <w:color w:val="auto"/>
                <w:sz w:val="24"/>
                <w:szCs w:val="24"/>
                <w:vertAlign w:val="subscript"/>
              </w:rPr>
              <w:t>p2i</w:t>
            </w:r>
            <w:r>
              <w:rPr>
                <w:color w:val="auto"/>
                <w:sz w:val="24"/>
                <w:szCs w:val="24"/>
              </w:rPr>
              <w:t>(T)——靠近围护结构处室外N个声源i倍频带的叠加声压级，dB；</w:t>
            </w:r>
          </w:p>
          <w:p w14:paraId="3399501A">
            <w:pPr>
              <w:ind w:firstLine="420"/>
              <w:rPr>
                <w:color w:val="auto"/>
                <w:sz w:val="24"/>
                <w:szCs w:val="24"/>
              </w:rPr>
            </w:pPr>
            <w:r>
              <w:rPr>
                <w:color w:val="auto"/>
                <w:sz w:val="24"/>
                <w:szCs w:val="24"/>
              </w:rPr>
              <w:t>L</w:t>
            </w:r>
            <w:r>
              <w:rPr>
                <w:color w:val="auto"/>
                <w:sz w:val="24"/>
                <w:szCs w:val="24"/>
                <w:vertAlign w:val="subscript"/>
              </w:rPr>
              <w:t>p1i</w:t>
            </w:r>
            <w:r>
              <w:rPr>
                <w:color w:val="auto"/>
                <w:sz w:val="24"/>
                <w:szCs w:val="24"/>
              </w:rPr>
              <w:t>(T)——靠近围护结构处室内N个声源i倍频带的叠加声压级，dB；</w:t>
            </w:r>
          </w:p>
          <w:p w14:paraId="39A8A2DE">
            <w:pPr>
              <w:ind w:firstLine="420"/>
              <w:rPr>
                <w:color w:val="auto"/>
                <w:sz w:val="24"/>
                <w:szCs w:val="24"/>
              </w:rPr>
            </w:pPr>
            <w:r>
              <w:rPr>
                <w:color w:val="auto"/>
                <w:sz w:val="24"/>
                <w:szCs w:val="24"/>
              </w:rPr>
              <w:t>TL——建筑物隔声量。</w:t>
            </w:r>
          </w:p>
          <w:p w14:paraId="37EE0757">
            <w:pPr>
              <w:ind w:firstLine="420"/>
              <w:rPr>
                <w:color w:val="auto"/>
                <w:sz w:val="24"/>
                <w:szCs w:val="24"/>
              </w:rPr>
            </w:pPr>
            <w:r>
              <w:rPr>
                <w:color w:val="auto"/>
                <w:sz w:val="24"/>
                <w:szCs w:val="24"/>
              </w:rPr>
              <w:t xml:space="preserve">C：中心位置位于透声面积（S）的等效声级的倍频带声功率级： </w:t>
            </w:r>
          </w:p>
          <w:p w14:paraId="7C88D28F">
            <w:pPr>
              <w:ind w:firstLine="480"/>
              <w:jc w:val="center"/>
              <w:rPr>
                <w:color w:val="auto"/>
                <w:sz w:val="24"/>
                <w:szCs w:val="24"/>
              </w:rPr>
            </w:pPr>
            <w:r>
              <w:rPr>
                <w:color w:val="auto"/>
                <w:sz w:val="24"/>
                <w:szCs w:val="24"/>
              </w:rPr>
              <w:t>L</w:t>
            </w:r>
            <w:r>
              <w:rPr>
                <w:color w:val="auto"/>
                <w:sz w:val="24"/>
                <w:szCs w:val="24"/>
                <w:vertAlign w:val="subscript"/>
              </w:rPr>
              <w:t>w</w:t>
            </w:r>
            <w:r>
              <w:rPr>
                <w:color w:val="auto"/>
                <w:sz w:val="24"/>
                <w:szCs w:val="24"/>
              </w:rPr>
              <w:t>= L</w:t>
            </w:r>
            <w:r>
              <w:rPr>
                <w:color w:val="auto"/>
                <w:sz w:val="24"/>
                <w:szCs w:val="24"/>
                <w:vertAlign w:val="subscript"/>
              </w:rPr>
              <w:t>p2</w:t>
            </w:r>
            <w:r>
              <w:rPr>
                <w:color w:val="auto"/>
                <w:sz w:val="24"/>
                <w:szCs w:val="24"/>
              </w:rPr>
              <w:t xml:space="preserve"> (T)+10lg S</w:t>
            </w:r>
          </w:p>
          <w:p w14:paraId="733E4819">
            <w:pPr>
              <w:ind w:firstLine="420"/>
              <w:rPr>
                <w:color w:val="auto"/>
                <w:sz w:val="24"/>
                <w:szCs w:val="24"/>
              </w:rPr>
            </w:pPr>
            <w:r>
              <w:rPr>
                <w:color w:val="auto"/>
                <w:sz w:val="24"/>
                <w:szCs w:val="24"/>
              </w:rPr>
              <w:t>式中：Lw—声源功率级，dB；</w:t>
            </w:r>
          </w:p>
          <w:p w14:paraId="4F69D8A7">
            <w:pPr>
              <w:ind w:firstLine="420"/>
              <w:rPr>
                <w:color w:val="auto"/>
                <w:sz w:val="24"/>
                <w:szCs w:val="24"/>
              </w:rPr>
            </w:pPr>
            <w:r>
              <w:rPr>
                <w:color w:val="auto"/>
                <w:sz w:val="24"/>
                <w:szCs w:val="24"/>
              </w:rPr>
              <w:t>L</w:t>
            </w:r>
            <w:r>
              <w:rPr>
                <w:color w:val="auto"/>
                <w:sz w:val="24"/>
                <w:szCs w:val="24"/>
                <w:vertAlign w:val="subscript"/>
              </w:rPr>
              <w:t xml:space="preserve">p2 </w:t>
            </w:r>
            <w:r>
              <w:rPr>
                <w:color w:val="auto"/>
                <w:sz w:val="24"/>
                <w:szCs w:val="24"/>
              </w:rPr>
              <w:t>(T)—靠近围护结构处室外倍频带声压级，dB；</w:t>
            </w:r>
          </w:p>
          <w:p w14:paraId="7F7CE6CC">
            <w:pPr>
              <w:ind w:firstLine="420"/>
              <w:rPr>
                <w:color w:val="auto"/>
                <w:sz w:val="24"/>
                <w:szCs w:val="24"/>
              </w:rPr>
            </w:pPr>
            <w:r>
              <w:rPr>
                <w:color w:val="auto"/>
                <w:sz w:val="24"/>
                <w:szCs w:val="24"/>
              </w:rPr>
              <w:t>S—透声面积，m</w:t>
            </w:r>
            <w:r>
              <w:rPr>
                <w:color w:val="auto"/>
                <w:sz w:val="24"/>
                <w:szCs w:val="24"/>
                <w:vertAlign w:val="superscript"/>
              </w:rPr>
              <w:t>2</w:t>
            </w:r>
            <w:r>
              <w:rPr>
                <w:color w:val="auto"/>
                <w:sz w:val="24"/>
                <w:szCs w:val="24"/>
              </w:rPr>
              <w:t>。</w:t>
            </w:r>
          </w:p>
          <w:p w14:paraId="00A9B161">
            <w:pPr>
              <w:ind w:firstLine="420"/>
              <w:rPr>
                <w:color w:val="auto"/>
                <w:sz w:val="24"/>
                <w:szCs w:val="24"/>
              </w:rPr>
            </w:pPr>
            <w:r>
              <w:rPr>
                <w:color w:val="auto"/>
                <w:sz w:val="24"/>
                <w:szCs w:val="24"/>
              </w:rPr>
              <w:t>D：预测点位置的倍频带声压级：</w:t>
            </w:r>
          </w:p>
          <w:p w14:paraId="4CEC3468">
            <w:pPr>
              <w:ind w:firstLine="480"/>
              <w:jc w:val="center"/>
              <w:rPr>
                <w:color w:val="auto"/>
                <w:sz w:val="24"/>
                <w:szCs w:val="24"/>
              </w:rPr>
            </w:pPr>
            <w:r>
              <w:rPr>
                <w:color w:val="auto"/>
                <w:sz w:val="24"/>
                <w:szCs w:val="24"/>
              </w:rPr>
              <w:t>L</w:t>
            </w:r>
            <w:r>
              <w:rPr>
                <w:color w:val="auto"/>
                <w:sz w:val="24"/>
                <w:szCs w:val="24"/>
                <w:vertAlign w:val="subscript"/>
              </w:rPr>
              <w:t>p</w:t>
            </w:r>
            <w:r>
              <w:rPr>
                <w:color w:val="auto"/>
                <w:sz w:val="24"/>
                <w:szCs w:val="24"/>
              </w:rPr>
              <w:t xml:space="preserve"> (r)= L</w:t>
            </w:r>
            <w:r>
              <w:rPr>
                <w:color w:val="auto"/>
                <w:sz w:val="24"/>
                <w:szCs w:val="24"/>
                <w:vertAlign w:val="subscript"/>
              </w:rPr>
              <w:t>w</w:t>
            </w:r>
            <w:r>
              <w:rPr>
                <w:color w:val="auto"/>
                <w:sz w:val="24"/>
                <w:szCs w:val="24"/>
              </w:rPr>
              <w:t>+D</w:t>
            </w:r>
            <w:r>
              <w:rPr>
                <w:color w:val="auto"/>
                <w:sz w:val="24"/>
                <w:szCs w:val="24"/>
                <w:vertAlign w:val="subscript"/>
              </w:rPr>
              <w:t>c</w:t>
            </w:r>
            <w:r>
              <w:rPr>
                <w:color w:val="auto"/>
                <w:sz w:val="24"/>
                <w:szCs w:val="24"/>
              </w:rPr>
              <w:t>—A</w:t>
            </w:r>
          </w:p>
          <w:p w14:paraId="63191A91">
            <w:pPr>
              <w:ind w:firstLine="420"/>
              <w:rPr>
                <w:color w:val="auto"/>
                <w:sz w:val="24"/>
                <w:szCs w:val="24"/>
              </w:rPr>
            </w:pPr>
            <w:r>
              <w:rPr>
                <w:color w:val="auto"/>
                <w:sz w:val="24"/>
                <w:szCs w:val="24"/>
              </w:rPr>
              <w:t>式中：Lp (r)—预测点位置的倍频带声压级，dB；</w:t>
            </w:r>
          </w:p>
          <w:p w14:paraId="1E0D938E">
            <w:pPr>
              <w:ind w:firstLine="420"/>
              <w:rPr>
                <w:color w:val="auto"/>
                <w:sz w:val="24"/>
                <w:szCs w:val="24"/>
              </w:rPr>
            </w:pPr>
            <w:r>
              <w:rPr>
                <w:color w:val="auto"/>
                <w:sz w:val="24"/>
                <w:szCs w:val="24"/>
              </w:rPr>
              <w:t>Lw—倍频带声压级，dB；</w:t>
            </w:r>
          </w:p>
          <w:p w14:paraId="5463DCB3">
            <w:pPr>
              <w:ind w:firstLine="420"/>
              <w:rPr>
                <w:color w:val="auto"/>
                <w:sz w:val="24"/>
                <w:szCs w:val="24"/>
              </w:rPr>
            </w:pPr>
            <w:r>
              <w:rPr>
                <w:color w:val="auto"/>
                <w:sz w:val="24"/>
                <w:szCs w:val="24"/>
              </w:rPr>
              <w:t>Dc—指向性校正，dB；</w:t>
            </w:r>
          </w:p>
          <w:p w14:paraId="3B10FCF4">
            <w:pPr>
              <w:ind w:firstLine="420"/>
              <w:rPr>
                <w:color w:val="auto"/>
                <w:sz w:val="24"/>
                <w:szCs w:val="24"/>
              </w:rPr>
            </w:pPr>
            <w:r>
              <w:rPr>
                <w:color w:val="auto"/>
                <w:sz w:val="24"/>
                <w:szCs w:val="24"/>
              </w:rPr>
              <w:t>A—倍频带衰减，dB。</w:t>
            </w:r>
          </w:p>
          <w:p w14:paraId="24510830">
            <w:pPr>
              <w:ind w:firstLine="420"/>
              <w:rPr>
                <w:color w:val="auto"/>
                <w:sz w:val="24"/>
                <w:szCs w:val="24"/>
              </w:rPr>
            </w:pPr>
            <w:r>
              <w:rPr>
                <w:color w:val="auto"/>
                <w:sz w:val="24"/>
                <w:szCs w:val="24"/>
              </w:rPr>
              <w:t>E：噪声源叠加公式：</w:t>
            </w:r>
          </w:p>
          <w:p w14:paraId="488B344C">
            <w:pPr>
              <w:ind w:firstLine="480"/>
              <w:jc w:val="center"/>
              <w:rPr>
                <w:color w:val="auto"/>
                <w:sz w:val="24"/>
                <w:szCs w:val="24"/>
              </w:rPr>
            </w:pPr>
            <w:r>
              <w:rPr>
                <w:color w:val="auto"/>
                <w:sz w:val="24"/>
                <w:szCs w:val="24"/>
              </w:rPr>
              <w:object>
                <v:shape id="_x0000_i1031" o:spt="75" type="#_x0000_t75" style="height:25.95pt;width:97.45pt;" o:ole="t" filled="f" o:preferrelative="t" stroked="f" coordsize="21600,21600">
                  <v:path/>
                  <v:fill on="f" focussize="0,0"/>
                  <v:stroke on="f"/>
                  <v:imagedata r:id="rId33" o:title=""/>
                  <o:lock v:ext="edit" aspectratio="t"/>
                  <w10:wrap type="none"/>
                  <w10:anchorlock/>
                </v:shape>
                <o:OLEObject Type="Embed" ProgID="Equation.3" ShapeID="_x0000_i1031" DrawAspect="Content" ObjectID="_1468075731" r:id="rId32">
                  <o:LockedField>false</o:LockedField>
                </o:OLEObject>
              </w:object>
            </w:r>
          </w:p>
          <w:p w14:paraId="39F6F976">
            <w:pPr>
              <w:ind w:firstLine="420"/>
              <w:rPr>
                <w:color w:val="auto"/>
                <w:sz w:val="24"/>
                <w:szCs w:val="24"/>
              </w:rPr>
            </w:pPr>
            <w:r>
              <w:rPr>
                <w:color w:val="auto"/>
                <w:sz w:val="24"/>
                <w:szCs w:val="24"/>
              </w:rPr>
              <w:t>式中：L</w:t>
            </w:r>
            <w:r>
              <w:rPr>
                <w:color w:val="auto"/>
                <w:sz w:val="24"/>
                <w:szCs w:val="24"/>
                <w:vertAlign w:val="subscript"/>
              </w:rPr>
              <w:t>PT</w:t>
            </w:r>
            <w:r>
              <w:rPr>
                <w:color w:val="auto"/>
                <w:sz w:val="24"/>
                <w:szCs w:val="24"/>
              </w:rPr>
              <w:t xml:space="preserve"> ——总声压级，dB；</w:t>
            </w:r>
          </w:p>
          <w:p w14:paraId="43B5B8CB">
            <w:pPr>
              <w:ind w:firstLine="420"/>
              <w:rPr>
                <w:color w:val="auto"/>
                <w:sz w:val="24"/>
                <w:szCs w:val="24"/>
              </w:rPr>
            </w:pPr>
            <w:r>
              <w:rPr>
                <w:color w:val="auto"/>
                <w:sz w:val="24"/>
                <w:szCs w:val="24"/>
              </w:rPr>
              <w:t xml:space="preserve">     Lpi——接受点的不同噪声源强，dB。 </w:t>
            </w:r>
          </w:p>
          <w:p w14:paraId="6B3A0BAF">
            <w:pPr>
              <w:ind w:firstLine="420"/>
              <w:rPr>
                <w:color w:val="auto"/>
                <w:sz w:val="24"/>
                <w:szCs w:val="24"/>
              </w:rPr>
            </w:pPr>
            <w:r>
              <w:rPr>
                <w:color w:val="auto"/>
                <w:sz w:val="24"/>
                <w:szCs w:val="24"/>
              </w:rPr>
              <w:t>（3）噪声预测结果</w:t>
            </w:r>
          </w:p>
          <w:p w14:paraId="53FDEA6F">
            <w:pPr>
              <w:ind w:firstLine="420"/>
              <w:rPr>
                <w:color w:val="auto"/>
                <w:sz w:val="24"/>
                <w:szCs w:val="24"/>
              </w:rPr>
            </w:pPr>
            <w:r>
              <w:rPr>
                <w:color w:val="auto"/>
                <w:sz w:val="24"/>
                <w:szCs w:val="24"/>
              </w:rPr>
              <w:t>噪声影响预测结果见下表。</w:t>
            </w:r>
          </w:p>
          <w:p w14:paraId="5A088D25">
            <w:pPr>
              <w:spacing w:line="240" w:lineRule="auto"/>
              <w:ind w:firstLine="0" w:firstLineChars="0"/>
              <w:jc w:val="center"/>
              <w:rPr>
                <w:b/>
                <w:bCs/>
                <w:color w:val="auto"/>
                <w:sz w:val="21"/>
                <w:szCs w:val="21"/>
              </w:rPr>
            </w:pPr>
            <w:r>
              <w:rPr>
                <w:b/>
                <w:bCs/>
                <w:color w:val="auto"/>
                <w:sz w:val="21"/>
                <w:szCs w:val="21"/>
              </w:rPr>
              <w:t>表4</w:t>
            </w:r>
            <w:r>
              <w:rPr>
                <w:rFonts w:hint="eastAsia"/>
                <w:b/>
                <w:bCs/>
                <w:color w:val="auto"/>
                <w:sz w:val="21"/>
                <w:szCs w:val="21"/>
                <w:lang w:val="en-US" w:eastAsia="zh-CN"/>
              </w:rPr>
              <w:t>.3</w:t>
            </w:r>
            <w:r>
              <w:rPr>
                <w:b/>
                <w:bCs/>
                <w:color w:val="auto"/>
                <w:sz w:val="21"/>
                <w:szCs w:val="21"/>
              </w:rPr>
              <w:t>-</w:t>
            </w:r>
            <w:r>
              <w:rPr>
                <w:rFonts w:hint="eastAsia"/>
                <w:b/>
                <w:bCs/>
                <w:color w:val="auto"/>
                <w:sz w:val="21"/>
                <w:szCs w:val="21"/>
                <w:lang w:val="en-US" w:eastAsia="zh-CN"/>
              </w:rPr>
              <w:t>3</w:t>
            </w:r>
            <w:r>
              <w:rPr>
                <w:b/>
                <w:bCs/>
                <w:color w:val="auto"/>
                <w:sz w:val="21"/>
                <w:szCs w:val="21"/>
              </w:rPr>
              <w:t xml:space="preserve">  项目厂界噪声预测结果</w:t>
            </w:r>
            <w:r>
              <w:rPr>
                <w:b/>
                <w:bCs/>
                <w:color w:val="auto"/>
                <w:sz w:val="21"/>
                <w:szCs w:val="21"/>
              </w:rPr>
              <w:tab/>
            </w:r>
            <w:r>
              <w:rPr>
                <w:b/>
                <w:bCs/>
                <w:color w:val="auto"/>
                <w:sz w:val="21"/>
                <w:szCs w:val="21"/>
              </w:rPr>
              <w:t>单位：dB(A)</w:t>
            </w:r>
          </w:p>
          <w:tbl>
            <w:tblPr>
              <w:tblStyle w:val="18"/>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90"/>
              <w:gridCol w:w="3190"/>
              <w:gridCol w:w="3191"/>
            </w:tblGrid>
            <w:tr w14:paraId="402C0A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noWrap w:val="0"/>
                  <w:vAlign w:val="center"/>
                </w:tcPr>
                <w:p w14:paraId="2790E59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目标</w:t>
                  </w:r>
                </w:p>
              </w:tc>
              <w:tc>
                <w:tcPr>
                  <w:tcW w:w="1666" w:type="pct"/>
                  <w:tcBorders>
                    <w:tl2br w:val="nil"/>
                    <w:tr2bl w:val="nil"/>
                  </w:tcBorders>
                  <w:noWrap w:val="0"/>
                  <w:vAlign w:val="center"/>
                </w:tcPr>
                <w:p w14:paraId="3131BDF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昼间噪声贡献值</w:t>
                  </w:r>
                </w:p>
              </w:tc>
              <w:tc>
                <w:tcPr>
                  <w:tcW w:w="1666" w:type="pct"/>
                  <w:tcBorders>
                    <w:tl2br w:val="nil"/>
                    <w:tr2bl w:val="nil"/>
                  </w:tcBorders>
                  <w:noWrap w:val="0"/>
                  <w:vAlign w:val="center"/>
                </w:tcPr>
                <w:p w14:paraId="58E3DEA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标准（昼间）</w:t>
                  </w:r>
                </w:p>
              </w:tc>
            </w:tr>
            <w:tr w14:paraId="7003C6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noWrap w:val="0"/>
                  <w:vAlign w:val="center"/>
                </w:tcPr>
                <w:p w14:paraId="4AFC8A9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东厂界</w:t>
                  </w:r>
                </w:p>
              </w:tc>
              <w:tc>
                <w:tcPr>
                  <w:tcW w:w="3190" w:type="dxa"/>
                  <w:tcBorders>
                    <w:tl2br w:val="nil"/>
                    <w:tr2bl w:val="nil"/>
                  </w:tcBorders>
                  <w:noWrap w:val="0"/>
                  <w:vAlign w:val="center"/>
                </w:tcPr>
                <w:p w14:paraId="1A5F7B4B">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b w:val="0"/>
                      <w:bCs w:val="0"/>
                      <w:color w:val="auto"/>
                      <w:sz w:val="21"/>
                      <w:szCs w:val="21"/>
                      <w:highlight w:val="none"/>
                      <w:vertAlign w:val="baseline"/>
                      <w:lang w:val="en-US" w:eastAsia="zh-CN"/>
                    </w:rPr>
                    <w:t>43.32</w:t>
                  </w:r>
                </w:p>
              </w:tc>
              <w:tc>
                <w:tcPr>
                  <w:tcW w:w="1666" w:type="pct"/>
                  <w:tcBorders>
                    <w:tl2br w:val="nil"/>
                    <w:tr2bl w:val="nil"/>
                  </w:tcBorders>
                  <w:noWrap w:val="0"/>
                  <w:vAlign w:val="center"/>
                </w:tcPr>
                <w:p w14:paraId="42ED5A4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r>
                    <w:rPr>
                      <w:rFonts w:hint="eastAsia" w:cs="Times New Roman"/>
                      <w:color w:val="auto"/>
                      <w:sz w:val="21"/>
                      <w:szCs w:val="21"/>
                      <w:lang w:val="en-US" w:eastAsia="zh-CN"/>
                    </w:rPr>
                    <w:t>0</w:t>
                  </w:r>
                </w:p>
              </w:tc>
            </w:tr>
            <w:tr w14:paraId="77BBD0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noWrap w:val="0"/>
                  <w:vAlign w:val="center"/>
                </w:tcPr>
                <w:p w14:paraId="000E1A2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南厂界</w:t>
                  </w:r>
                </w:p>
              </w:tc>
              <w:tc>
                <w:tcPr>
                  <w:tcW w:w="3190" w:type="dxa"/>
                  <w:tcBorders>
                    <w:tl2br w:val="nil"/>
                    <w:tr2bl w:val="nil"/>
                  </w:tcBorders>
                  <w:noWrap w:val="0"/>
                  <w:vAlign w:val="center"/>
                </w:tcPr>
                <w:p w14:paraId="5E272DF7">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b w:val="0"/>
                      <w:bCs w:val="0"/>
                      <w:color w:val="auto"/>
                      <w:sz w:val="21"/>
                      <w:szCs w:val="21"/>
                      <w:highlight w:val="none"/>
                      <w:vertAlign w:val="baseline"/>
                      <w:lang w:val="en-US" w:eastAsia="zh-CN"/>
                    </w:rPr>
                    <w:t>48.55</w:t>
                  </w:r>
                </w:p>
              </w:tc>
              <w:tc>
                <w:tcPr>
                  <w:tcW w:w="1666" w:type="pct"/>
                  <w:tcBorders>
                    <w:tl2br w:val="nil"/>
                    <w:tr2bl w:val="nil"/>
                  </w:tcBorders>
                  <w:noWrap w:val="0"/>
                  <w:vAlign w:val="center"/>
                </w:tcPr>
                <w:p w14:paraId="7F8C606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r>
                    <w:rPr>
                      <w:rFonts w:hint="eastAsia" w:ascii="Times New Roman" w:hAnsi="Times New Roman" w:eastAsia="宋体" w:cs="Times New Roman"/>
                      <w:color w:val="auto"/>
                      <w:sz w:val="21"/>
                      <w:szCs w:val="21"/>
                      <w:lang w:val="en-US" w:eastAsia="zh-CN"/>
                    </w:rPr>
                    <w:t>0</w:t>
                  </w:r>
                </w:p>
              </w:tc>
            </w:tr>
            <w:tr w14:paraId="14E5D8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noWrap w:val="0"/>
                  <w:vAlign w:val="center"/>
                </w:tcPr>
                <w:p w14:paraId="270D5E2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西厂界</w:t>
                  </w:r>
                </w:p>
              </w:tc>
              <w:tc>
                <w:tcPr>
                  <w:tcW w:w="3190" w:type="dxa"/>
                  <w:tcBorders>
                    <w:tl2br w:val="nil"/>
                    <w:tr2bl w:val="nil"/>
                  </w:tcBorders>
                  <w:noWrap w:val="0"/>
                  <w:vAlign w:val="center"/>
                </w:tcPr>
                <w:p w14:paraId="641070B6">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b w:val="0"/>
                      <w:bCs w:val="0"/>
                      <w:color w:val="auto"/>
                      <w:sz w:val="21"/>
                      <w:szCs w:val="21"/>
                      <w:highlight w:val="none"/>
                      <w:vertAlign w:val="baseline"/>
                      <w:lang w:val="en-US" w:eastAsia="zh-CN"/>
                    </w:rPr>
                    <w:t>37.24</w:t>
                  </w:r>
                </w:p>
              </w:tc>
              <w:tc>
                <w:tcPr>
                  <w:tcW w:w="1666" w:type="pct"/>
                  <w:tcBorders>
                    <w:tl2br w:val="nil"/>
                    <w:tr2bl w:val="nil"/>
                  </w:tcBorders>
                  <w:noWrap w:val="0"/>
                  <w:vAlign w:val="center"/>
                </w:tcPr>
                <w:p w14:paraId="54422A6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r>
                    <w:rPr>
                      <w:rFonts w:hint="eastAsia" w:ascii="Times New Roman" w:hAnsi="Times New Roman" w:eastAsia="宋体" w:cs="Times New Roman"/>
                      <w:color w:val="auto"/>
                      <w:sz w:val="21"/>
                      <w:szCs w:val="21"/>
                      <w:lang w:val="en-US" w:eastAsia="zh-CN"/>
                    </w:rPr>
                    <w:t>0</w:t>
                  </w:r>
                </w:p>
              </w:tc>
            </w:tr>
            <w:tr w14:paraId="282EA1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noWrap w:val="0"/>
                  <w:vAlign w:val="center"/>
                </w:tcPr>
                <w:p w14:paraId="756F811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北厂界</w:t>
                  </w:r>
                </w:p>
              </w:tc>
              <w:tc>
                <w:tcPr>
                  <w:tcW w:w="3190" w:type="dxa"/>
                  <w:tcBorders>
                    <w:tl2br w:val="nil"/>
                    <w:tr2bl w:val="nil"/>
                  </w:tcBorders>
                  <w:noWrap w:val="0"/>
                  <w:vAlign w:val="center"/>
                </w:tcPr>
                <w:p w14:paraId="10AEC824">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b w:val="0"/>
                      <w:bCs w:val="0"/>
                      <w:color w:val="auto"/>
                      <w:sz w:val="21"/>
                      <w:szCs w:val="21"/>
                      <w:highlight w:val="none"/>
                      <w:vertAlign w:val="baseline"/>
                      <w:lang w:val="en-US" w:eastAsia="zh-CN"/>
                    </w:rPr>
                    <w:t>56.66</w:t>
                  </w:r>
                </w:p>
              </w:tc>
              <w:tc>
                <w:tcPr>
                  <w:tcW w:w="1666" w:type="pct"/>
                  <w:tcBorders>
                    <w:tl2br w:val="nil"/>
                    <w:tr2bl w:val="nil"/>
                  </w:tcBorders>
                  <w:noWrap w:val="0"/>
                  <w:vAlign w:val="center"/>
                </w:tcPr>
                <w:p w14:paraId="4E0AFE2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r>
                    <w:rPr>
                      <w:rFonts w:hint="eastAsia" w:ascii="Times New Roman" w:hAnsi="Times New Roman" w:eastAsia="宋体" w:cs="Times New Roman"/>
                      <w:color w:val="auto"/>
                      <w:sz w:val="21"/>
                      <w:szCs w:val="21"/>
                      <w:lang w:val="en-US" w:eastAsia="zh-CN"/>
                    </w:rPr>
                    <w:t>0</w:t>
                  </w:r>
                </w:p>
              </w:tc>
            </w:tr>
          </w:tbl>
          <w:p w14:paraId="6A065903">
            <w:pPr>
              <w:adjustRightInd w:val="0"/>
              <w:snapToGrid w:val="0"/>
              <w:ind w:firstLine="420"/>
              <w:textAlignment w:val="baseline"/>
              <w:rPr>
                <w:b/>
                <w:bCs/>
                <w:color w:val="auto"/>
                <w:sz w:val="24"/>
                <w:szCs w:val="24"/>
              </w:rPr>
            </w:pPr>
            <w:r>
              <w:rPr>
                <w:color w:val="auto"/>
                <w:sz w:val="24"/>
                <w:szCs w:val="24"/>
              </w:rPr>
              <w:t>根据上表噪声预测结果，项目设备噪声通过厂房隔声和距离衰减后，</w:t>
            </w:r>
            <w:r>
              <w:rPr>
                <w:rFonts w:hint="eastAsia"/>
                <w:color w:val="auto"/>
                <w:sz w:val="24"/>
                <w:szCs w:val="24"/>
                <w:lang w:val="en-US" w:eastAsia="zh-CN"/>
              </w:rPr>
              <w:t>各厂界</w:t>
            </w:r>
            <w:r>
              <w:rPr>
                <w:color w:val="auto"/>
                <w:sz w:val="24"/>
                <w:szCs w:val="24"/>
              </w:rPr>
              <w:t>噪声排放均满足《工业企业厂界环境噪声排放标准》（GB12348-2008）表1中的</w:t>
            </w:r>
            <w:r>
              <w:rPr>
                <w:rFonts w:hint="eastAsia"/>
                <w:color w:val="auto"/>
                <w:sz w:val="24"/>
                <w:szCs w:val="24"/>
                <w:lang w:val="en-US" w:eastAsia="zh-CN"/>
              </w:rPr>
              <w:t>2</w:t>
            </w:r>
            <w:r>
              <w:rPr>
                <w:color w:val="auto"/>
                <w:sz w:val="24"/>
                <w:szCs w:val="24"/>
              </w:rPr>
              <w:t>类标准限值。</w:t>
            </w:r>
          </w:p>
          <w:p w14:paraId="0D93A238">
            <w:pPr>
              <w:ind w:firstLine="0" w:firstLineChars="0"/>
              <w:rPr>
                <w:rFonts w:hint="default" w:eastAsia="宋体"/>
                <w:b/>
                <w:bCs/>
                <w:color w:val="auto"/>
                <w:sz w:val="24"/>
                <w:szCs w:val="24"/>
                <w:lang w:val="en-US" w:eastAsia="zh-CN"/>
              </w:rPr>
            </w:pPr>
            <w:bookmarkStart w:id="15" w:name="_Hlk119929743"/>
            <w:r>
              <w:rPr>
                <w:b/>
                <w:bCs/>
                <w:color w:val="auto"/>
                <w:sz w:val="24"/>
                <w:szCs w:val="24"/>
              </w:rPr>
              <w:t>3.</w:t>
            </w:r>
            <w:r>
              <w:rPr>
                <w:rFonts w:hint="eastAsia"/>
                <w:b/>
                <w:bCs/>
                <w:color w:val="auto"/>
                <w:sz w:val="24"/>
                <w:szCs w:val="24"/>
                <w:lang w:val="en-US" w:eastAsia="zh-CN"/>
              </w:rPr>
              <w:t>4自行监测计划</w:t>
            </w:r>
          </w:p>
          <w:p w14:paraId="569505A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eastAsia" w:cs="Times New Roman"/>
                <w:b/>
                <w:bCs/>
                <w:color w:val="auto"/>
                <w:sz w:val="21"/>
                <w:szCs w:val="21"/>
                <w:lang w:val="en-US" w:eastAsia="zh-CN"/>
              </w:rPr>
              <w:t>4.3</w:t>
            </w:r>
            <w:r>
              <w:rPr>
                <w:rFonts w:hint="default" w:ascii="Times New Roman" w:hAnsi="Times New Roman" w:eastAsia="宋体" w:cs="Times New Roman"/>
                <w:b/>
                <w:bCs/>
                <w:color w:val="auto"/>
                <w:sz w:val="21"/>
                <w:szCs w:val="21"/>
                <w:lang w:val="en-US" w:eastAsia="zh-CN"/>
              </w:rPr>
              <w:t>-</w:t>
            </w:r>
            <w:r>
              <w:rPr>
                <w:rFonts w:hint="eastAsia"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噪声污染源监测计划</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284"/>
              <w:gridCol w:w="1390"/>
              <w:gridCol w:w="1506"/>
              <w:gridCol w:w="2121"/>
              <w:gridCol w:w="3268"/>
            </w:tblGrid>
            <w:tr w14:paraId="0AE07BA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152" w:type="dxa"/>
                  <w:tcBorders>
                    <w:tl2br w:val="nil"/>
                    <w:tr2bl w:val="nil"/>
                  </w:tcBorders>
                  <w:noWrap w:val="0"/>
                  <w:tcMar>
                    <w:top w:w="0" w:type="dxa"/>
                    <w:left w:w="0" w:type="dxa"/>
                    <w:bottom w:w="0" w:type="dxa"/>
                    <w:right w:w="0" w:type="dxa"/>
                  </w:tcMar>
                  <w:vAlign w:val="center"/>
                </w:tcPr>
                <w:p w14:paraId="3EEACD7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时段</w:t>
                  </w:r>
                </w:p>
              </w:tc>
              <w:tc>
                <w:tcPr>
                  <w:tcW w:w="1247" w:type="dxa"/>
                  <w:tcBorders>
                    <w:tl2br w:val="nil"/>
                    <w:tr2bl w:val="nil"/>
                  </w:tcBorders>
                  <w:noWrap w:val="0"/>
                  <w:tcMar>
                    <w:top w:w="0" w:type="dxa"/>
                    <w:left w:w="0" w:type="dxa"/>
                    <w:bottom w:w="0" w:type="dxa"/>
                    <w:right w:w="0" w:type="dxa"/>
                  </w:tcMar>
                  <w:vAlign w:val="center"/>
                </w:tcPr>
                <w:p w14:paraId="20152C8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监测点位</w:t>
                  </w:r>
                </w:p>
              </w:tc>
              <w:tc>
                <w:tcPr>
                  <w:tcW w:w="1351" w:type="dxa"/>
                  <w:tcBorders>
                    <w:tl2br w:val="nil"/>
                    <w:tr2bl w:val="nil"/>
                  </w:tcBorders>
                  <w:noWrap w:val="0"/>
                  <w:tcMar>
                    <w:top w:w="0" w:type="dxa"/>
                    <w:left w:w="0" w:type="dxa"/>
                    <w:bottom w:w="0" w:type="dxa"/>
                    <w:right w:w="0" w:type="dxa"/>
                  </w:tcMar>
                  <w:vAlign w:val="center"/>
                </w:tcPr>
                <w:p w14:paraId="62838CC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监测项目</w:t>
                  </w:r>
                </w:p>
              </w:tc>
              <w:tc>
                <w:tcPr>
                  <w:tcW w:w="1903" w:type="dxa"/>
                  <w:tcBorders>
                    <w:tl2br w:val="nil"/>
                    <w:tr2bl w:val="nil"/>
                  </w:tcBorders>
                  <w:noWrap w:val="0"/>
                  <w:tcMar>
                    <w:top w:w="0" w:type="dxa"/>
                    <w:left w:w="0" w:type="dxa"/>
                    <w:bottom w:w="0" w:type="dxa"/>
                    <w:right w:w="0" w:type="dxa"/>
                  </w:tcMar>
                  <w:vAlign w:val="center"/>
                </w:tcPr>
                <w:p w14:paraId="5029DCC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监测频率</w:t>
                  </w:r>
                </w:p>
              </w:tc>
              <w:tc>
                <w:tcPr>
                  <w:tcW w:w="2932" w:type="dxa"/>
                  <w:tcBorders>
                    <w:tl2br w:val="nil"/>
                    <w:tr2bl w:val="nil"/>
                  </w:tcBorders>
                  <w:noWrap w:val="0"/>
                  <w:tcMar>
                    <w:top w:w="0" w:type="dxa"/>
                    <w:left w:w="0" w:type="dxa"/>
                    <w:bottom w:w="0" w:type="dxa"/>
                    <w:right w:w="0" w:type="dxa"/>
                  </w:tcMar>
                  <w:vAlign w:val="center"/>
                </w:tcPr>
                <w:p w14:paraId="22F59CD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执行排放标准</w:t>
                  </w:r>
                </w:p>
              </w:tc>
            </w:tr>
            <w:tr w14:paraId="20452AC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152" w:type="dxa"/>
                  <w:tcBorders>
                    <w:tl2br w:val="nil"/>
                    <w:tr2bl w:val="nil"/>
                  </w:tcBorders>
                  <w:noWrap w:val="0"/>
                  <w:tcMar>
                    <w:top w:w="0" w:type="dxa"/>
                    <w:left w:w="0" w:type="dxa"/>
                    <w:bottom w:w="0" w:type="dxa"/>
                    <w:right w:w="0" w:type="dxa"/>
                  </w:tcMar>
                  <w:vAlign w:val="center"/>
                </w:tcPr>
                <w:p w14:paraId="05C9502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日常监测</w:t>
                  </w:r>
                </w:p>
              </w:tc>
              <w:tc>
                <w:tcPr>
                  <w:tcW w:w="1247" w:type="dxa"/>
                  <w:tcBorders>
                    <w:tl2br w:val="nil"/>
                    <w:tr2bl w:val="nil"/>
                  </w:tcBorders>
                  <w:noWrap w:val="0"/>
                  <w:tcMar>
                    <w:top w:w="0" w:type="dxa"/>
                    <w:left w:w="0" w:type="dxa"/>
                    <w:bottom w:w="0" w:type="dxa"/>
                    <w:right w:w="0" w:type="dxa"/>
                  </w:tcMar>
                  <w:vAlign w:val="center"/>
                </w:tcPr>
                <w:p w14:paraId="319F50A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东、南、西、北</w:t>
                  </w:r>
                  <w:r>
                    <w:rPr>
                      <w:rFonts w:hint="default" w:ascii="Times New Roman" w:hAnsi="Times New Roman" w:eastAsia="宋体" w:cs="Times New Roman"/>
                      <w:color w:val="auto"/>
                      <w:sz w:val="21"/>
                      <w:szCs w:val="21"/>
                      <w:lang w:val="en-US" w:eastAsia="zh-CN"/>
                    </w:rPr>
                    <w:t>厂界</w:t>
                  </w:r>
                </w:p>
              </w:tc>
              <w:tc>
                <w:tcPr>
                  <w:tcW w:w="1351" w:type="dxa"/>
                  <w:tcBorders>
                    <w:tl2br w:val="nil"/>
                    <w:tr2bl w:val="nil"/>
                  </w:tcBorders>
                  <w:noWrap w:val="0"/>
                  <w:tcMar>
                    <w:top w:w="0" w:type="dxa"/>
                    <w:left w:w="0" w:type="dxa"/>
                    <w:bottom w:w="0" w:type="dxa"/>
                    <w:right w:w="0" w:type="dxa"/>
                  </w:tcMar>
                  <w:vAlign w:val="center"/>
                </w:tcPr>
                <w:p w14:paraId="1B6DED3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等效连续A声级</w:t>
                  </w:r>
                  <w:r>
                    <w:rPr>
                      <w:rFonts w:hint="eastAsia" w:ascii="Times New Roman" w:hAnsi="Times New Roman" w:eastAsia="宋体" w:cs="Times New Roman"/>
                      <w:color w:val="auto"/>
                      <w:sz w:val="21"/>
                      <w:szCs w:val="21"/>
                      <w:lang w:val="en-US" w:eastAsia="zh-CN"/>
                    </w:rPr>
                    <w:t>、夜间最大声级Lmax</w:t>
                  </w:r>
                </w:p>
              </w:tc>
              <w:tc>
                <w:tcPr>
                  <w:tcW w:w="1903" w:type="dxa"/>
                  <w:tcBorders>
                    <w:tl2br w:val="nil"/>
                    <w:tr2bl w:val="nil"/>
                  </w:tcBorders>
                  <w:noWrap w:val="0"/>
                  <w:tcMar>
                    <w:top w:w="0" w:type="dxa"/>
                    <w:left w:w="0" w:type="dxa"/>
                    <w:bottom w:w="0" w:type="dxa"/>
                    <w:right w:w="0" w:type="dxa"/>
                  </w:tcMar>
                  <w:vAlign w:val="center"/>
                </w:tcPr>
                <w:p w14:paraId="1DEC1CA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一次/季度（昼间）</w:t>
                  </w:r>
                </w:p>
              </w:tc>
              <w:tc>
                <w:tcPr>
                  <w:tcW w:w="2932" w:type="dxa"/>
                  <w:tcBorders>
                    <w:tl2br w:val="nil"/>
                    <w:tr2bl w:val="nil"/>
                  </w:tcBorders>
                  <w:noWrap w:val="0"/>
                  <w:tcMar>
                    <w:top w:w="0" w:type="dxa"/>
                    <w:left w:w="0" w:type="dxa"/>
                    <w:bottom w:w="0" w:type="dxa"/>
                    <w:right w:w="0" w:type="dxa"/>
                  </w:tcMar>
                  <w:vAlign w:val="center"/>
                </w:tcPr>
                <w:p w14:paraId="3246A30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《工业企业厂界环境噪声排放标准》（GB12348-2008）</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类</w:t>
                  </w:r>
                </w:p>
              </w:tc>
            </w:tr>
          </w:tbl>
          <w:p w14:paraId="48D47E46">
            <w:pPr>
              <w:snapToGrid w:val="0"/>
              <w:ind w:firstLine="0" w:firstLineChars="0"/>
              <w:rPr>
                <w:b/>
                <w:bCs/>
                <w:color w:val="auto"/>
                <w:sz w:val="24"/>
                <w:szCs w:val="24"/>
              </w:rPr>
            </w:pPr>
            <w:r>
              <w:rPr>
                <w:b/>
                <w:bCs/>
                <w:color w:val="auto"/>
                <w:sz w:val="24"/>
                <w:szCs w:val="24"/>
              </w:rPr>
              <w:t>4、固体废弃物</w:t>
            </w:r>
          </w:p>
          <w:p w14:paraId="5406552D">
            <w:pPr>
              <w:snapToGrid w:val="0"/>
              <w:ind w:firstLine="0" w:firstLineChars="0"/>
              <w:rPr>
                <w:b/>
                <w:bCs/>
                <w:color w:val="auto"/>
                <w:sz w:val="24"/>
                <w:szCs w:val="24"/>
              </w:rPr>
            </w:pPr>
            <w:r>
              <w:rPr>
                <w:b/>
                <w:bCs/>
                <w:color w:val="auto"/>
                <w:sz w:val="24"/>
                <w:szCs w:val="24"/>
              </w:rPr>
              <w:t>4.1固体废物源强核算</w:t>
            </w:r>
          </w:p>
          <w:p w14:paraId="42872C4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lang w:eastAsia="zh-CN"/>
              </w:rPr>
              <w:t>（</w:t>
            </w:r>
            <w:r>
              <w:rPr>
                <w:rFonts w:hint="eastAsia" w:ascii="Times New Roman" w:hAnsi="Times New Roman" w:eastAsia="宋体" w:cs="Times New Roman"/>
                <w:b w:val="0"/>
                <w:bCs/>
                <w:color w:val="auto"/>
                <w:sz w:val="24"/>
                <w:highlight w:val="none"/>
                <w:lang w:val="en-US" w:eastAsia="zh-CN"/>
              </w:rPr>
              <w:t>1</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一般生产固废</w:t>
            </w:r>
          </w:p>
          <w:p w14:paraId="067004D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rPr>
              <w:t>A</w:t>
            </w:r>
            <w:r>
              <w:rPr>
                <w:rFonts w:hint="eastAsia" w:cs="Times New Roman"/>
                <w:b w:val="0"/>
                <w:bCs/>
                <w:color w:val="auto"/>
                <w:sz w:val="24"/>
                <w:highlight w:val="none"/>
                <w:lang w:eastAsia="zh-CN"/>
              </w:rPr>
              <w:t>、</w:t>
            </w:r>
            <w:r>
              <w:rPr>
                <w:rFonts w:hint="eastAsia" w:cs="Times New Roman"/>
                <w:b w:val="0"/>
                <w:bCs/>
                <w:color w:val="auto"/>
                <w:sz w:val="24"/>
                <w:highlight w:val="none"/>
                <w:lang w:val="en-US" w:eastAsia="zh-CN"/>
              </w:rPr>
              <w:t>不合格品S1-1、S2-1</w:t>
            </w:r>
            <w:r>
              <w:rPr>
                <w:rFonts w:hint="default" w:ascii="Times New Roman" w:hAnsi="Times New Roman" w:eastAsia="宋体" w:cs="Times New Roman"/>
                <w:b w:val="0"/>
                <w:bCs/>
                <w:color w:val="auto"/>
                <w:sz w:val="24"/>
                <w:highlight w:val="none"/>
                <w:lang w:eastAsia="zh-CN"/>
              </w:rPr>
              <w:t>：</w:t>
            </w:r>
            <w:r>
              <w:rPr>
                <w:rFonts w:hint="eastAsia" w:cs="Times New Roman"/>
                <w:b w:val="0"/>
                <w:bCs/>
                <w:color w:val="auto"/>
                <w:sz w:val="24"/>
                <w:highlight w:val="none"/>
                <w:lang w:val="en-US" w:eastAsia="zh-CN"/>
              </w:rPr>
              <w:t>注塑后检验产生的不合格品，根据企业提供资料，不合格品产生量约为2t/a。</w:t>
            </w:r>
            <w:r>
              <w:rPr>
                <w:rFonts w:hint="default" w:ascii="Times New Roman" w:hAnsi="Times New Roman" w:eastAsia="宋体" w:cs="Times New Roman"/>
                <w:b w:val="0"/>
                <w:bCs/>
                <w:color w:val="auto"/>
                <w:sz w:val="24"/>
                <w:highlight w:val="none"/>
                <w:lang w:eastAsia="zh-CN"/>
              </w:rPr>
              <w:t>经收集后</w:t>
            </w:r>
            <w:r>
              <w:rPr>
                <w:rFonts w:hint="eastAsia" w:cs="Times New Roman"/>
                <w:b w:val="0"/>
                <w:bCs/>
                <w:color w:val="auto"/>
                <w:sz w:val="24"/>
                <w:highlight w:val="none"/>
                <w:lang w:val="en-US" w:eastAsia="zh-CN"/>
              </w:rPr>
              <w:t>回用于生产</w:t>
            </w:r>
            <w:r>
              <w:rPr>
                <w:rFonts w:hint="default" w:ascii="Times New Roman" w:hAnsi="Times New Roman" w:eastAsia="宋体" w:cs="Times New Roman"/>
                <w:b w:val="0"/>
                <w:bCs/>
                <w:color w:val="auto"/>
                <w:sz w:val="24"/>
                <w:highlight w:val="none"/>
                <w:lang w:eastAsia="zh-CN"/>
              </w:rPr>
              <w:t>。</w:t>
            </w:r>
          </w:p>
          <w:p w14:paraId="13BA02D6">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color w:val="auto"/>
                <w:sz w:val="24"/>
                <w:highlight w:val="none"/>
                <w:lang w:eastAsia="zh-CN"/>
              </w:rPr>
            </w:pPr>
            <w:r>
              <w:rPr>
                <w:rFonts w:hint="eastAsia" w:cs="Times New Roman"/>
                <w:b w:val="0"/>
                <w:bCs/>
                <w:color w:val="auto"/>
                <w:sz w:val="24"/>
                <w:highlight w:val="none"/>
                <w:lang w:val="en-US" w:eastAsia="zh-CN"/>
              </w:rPr>
              <w:t>B、不合格品S1-7、S2-5</w:t>
            </w:r>
            <w:r>
              <w:rPr>
                <w:rFonts w:hint="default" w:ascii="Times New Roman" w:hAnsi="Times New Roman" w:eastAsia="宋体" w:cs="Times New Roman"/>
                <w:b w:val="0"/>
                <w:bCs/>
                <w:color w:val="auto"/>
                <w:sz w:val="24"/>
                <w:highlight w:val="none"/>
                <w:lang w:eastAsia="zh-CN"/>
              </w:rPr>
              <w:t>：</w:t>
            </w:r>
            <w:r>
              <w:rPr>
                <w:rFonts w:hint="eastAsia" w:cs="Times New Roman"/>
                <w:b w:val="0"/>
                <w:bCs/>
                <w:color w:val="auto"/>
                <w:sz w:val="24"/>
                <w:highlight w:val="none"/>
                <w:lang w:val="en-US" w:eastAsia="zh-CN"/>
              </w:rPr>
              <w:t>组装后检验产生的不合格品，根据企业提供资料，不合格品产生量约为3t/a。</w:t>
            </w:r>
            <w:r>
              <w:rPr>
                <w:rFonts w:hint="default" w:ascii="Times New Roman" w:hAnsi="Times New Roman" w:eastAsia="宋体" w:cs="Times New Roman"/>
                <w:b w:val="0"/>
                <w:bCs/>
                <w:color w:val="auto"/>
                <w:sz w:val="24"/>
                <w:szCs w:val="24"/>
                <w:highlight w:val="none"/>
                <w:lang w:eastAsia="zh-CN"/>
              </w:rPr>
              <w:t>经收集后外售综合利用。</w:t>
            </w:r>
          </w:p>
          <w:p w14:paraId="6C6914C1">
            <w:pPr>
              <w:pStyle w:val="2"/>
              <w:keepNext w:val="0"/>
              <w:keepLines w:val="0"/>
              <w:pageBreakBefore w:val="0"/>
              <w:widowControl w:val="0"/>
              <w:kinsoku/>
              <w:wordWrap/>
              <w:overflowPunct/>
              <w:topLinePunct w:val="0"/>
              <w:autoSpaceDE/>
              <w:autoSpaceDN/>
              <w:bidi w:val="0"/>
              <w:adjustRightInd/>
              <w:snapToGrid/>
              <w:spacing w:after="0" w:line="480" w:lineRule="exact"/>
              <w:textAlignment w:val="auto"/>
              <w:rPr>
                <w:rFonts w:hint="default" w:eastAsia="宋体" w:cs="Times New Roman"/>
                <w:b w:val="0"/>
                <w:bCs/>
                <w:color w:val="auto"/>
                <w:sz w:val="24"/>
                <w:highlight w:val="none"/>
                <w:lang w:val="en-US" w:eastAsia="zh-CN"/>
              </w:rPr>
            </w:pPr>
            <w:r>
              <w:rPr>
                <w:rFonts w:hint="eastAsia" w:cs="Times New Roman"/>
                <w:b w:val="0"/>
                <w:bCs/>
                <w:color w:val="auto"/>
                <w:sz w:val="24"/>
                <w:highlight w:val="none"/>
                <w:lang w:val="en-US" w:eastAsia="zh-CN"/>
              </w:rPr>
              <w:t>C</w:t>
            </w:r>
            <w:r>
              <w:rPr>
                <w:rFonts w:hint="eastAsia" w:eastAsia="宋体" w:cs="Times New Roman"/>
                <w:b w:val="0"/>
                <w:bCs/>
                <w:color w:val="auto"/>
                <w:sz w:val="24"/>
                <w:highlight w:val="none"/>
                <w:lang w:val="en-US" w:eastAsia="zh-CN"/>
              </w:rPr>
              <w:t>、</w:t>
            </w:r>
            <w:r>
              <w:rPr>
                <w:rFonts w:hint="eastAsia" w:cs="Times New Roman"/>
                <w:b w:val="0"/>
                <w:bCs/>
                <w:color w:val="auto"/>
                <w:sz w:val="24"/>
                <w:highlight w:val="none"/>
                <w:lang w:val="en-US" w:eastAsia="zh-CN"/>
              </w:rPr>
              <w:t>废磨料S1-6：磁力抛光使用磨料对钣金件进行抛光，使用一段时间后会有损耗，企业定期更换产生废磨料，产生量约为0.08t/a。</w:t>
            </w:r>
            <w:r>
              <w:rPr>
                <w:rFonts w:hint="default" w:ascii="Times New Roman" w:hAnsi="Times New Roman" w:eastAsia="宋体" w:cs="Times New Roman"/>
                <w:b w:val="0"/>
                <w:bCs/>
                <w:color w:val="auto"/>
                <w:sz w:val="24"/>
                <w:szCs w:val="24"/>
                <w:highlight w:val="none"/>
                <w:lang w:eastAsia="zh-CN"/>
              </w:rPr>
              <w:t>经收集后外售综合利用。</w:t>
            </w:r>
          </w:p>
          <w:p w14:paraId="14342413">
            <w:pPr>
              <w:pStyle w:val="2"/>
              <w:keepNext w:val="0"/>
              <w:keepLines w:val="0"/>
              <w:pageBreakBefore w:val="0"/>
              <w:widowControl w:val="0"/>
              <w:kinsoku/>
              <w:wordWrap/>
              <w:overflowPunct/>
              <w:topLinePunct w:val="0"/>
              <w:autoSpaceDE/>
              <w:autoSpaceDN/>
              <w:bidi w:val="0"/>
              <w:adjustRightInd/>
              <w:snapToGrid/>
              <w:spacing w:after="0" w:line="480" w:lineRule="exact"/>
              <w:textAlignment w:val="auto"/>
              <w:rPr>
                <w:rFonts w:hint="default"/>
                <w:color w:val="auto"/>
                <w:lang w:val="en-US" w:eastAsia="zh-CN"/>
              </w:rPr>
            </w:pPr>
            <w:r>
              <w:rPr>
                <w:rFonts w:hint="eastAsia" w:cs="Times New Roman"/>
                <w:b w:val="0"/>
                <w:bCs/>
                <w:color w:val="auto"/>
                <w:sz w:val="24"/>
                <w:highlight w:val="none"/>
                <w:lang w:val="en-US" w:eastAsia="zh-CN"/>
              </w:rPr>
              <w:t>D</w:t>
            </w:r>
            <w:r>
              <w:rPr>
                <w:rFonts w:hint="eastAsia" w:eastAsia="宋体" w:cs="Times New Roman"/>
                <w:b w:val="0"/>
                <w:bCs/>
                <w:color w:val="auto"/>
                <w:sz w:val="24"/>
                <w:highlight w:val="none"/>
                <w:lang w:val="en-US" w:eastAsia="zh-CN"/>
              </w:rPr>
              <w:t>、</w:t>
            </w:r>
            <w:r>
              <w:rPr>
                <w:rFonts w:hint="eastAsia" w:cs="Times New Roman"/>
                <w:b w:val="0"/>
                <w:bCs/>
                <w:color w:val="auto"/>
                <w:sz w:val="24"/>
                <w:szCs w:val="24"/>
                <w:highlight w:val="none"/>
                <w:lang w:val="en-US" w:eastAsia="zh-CN"/>
              </w:rPr>
              <w:t>废金属屑S3-2：</w:t>
            </w:r>
            <w:r>
              <w:rPr>
                <w:rFonts w:hint="eastAsia" w:ascii="Times New Roman" w:hAnsi="Times New Roman" w:eastAsia="宋体" w:cs="Times New Roman"/>
                <w:b w:val="0"/>
                <w:bCs/>
                <w:color w:val="auto"/>
                <w:sz w:val="24"/>
                <w:highlight w:val="none"/>
                <w:lang w:val="en-US" w:eastAsia="zh-CN"/>
              </w:rPr>
              <w:t>机加工</w:t>
            </w:r>
            <w:r>
              <w:rPr>
                <w:rFonts w:hint="default" w:ascii="Times New Roman" w:hAnsi="Times New Roman" w:eastAsia="宋体" w:cs="Times New Roman"/>
                <w:b w:val="0"/>
                <w:bCs/>
                <w:color w:val="auto"/>
                <w:sz w:val="24"/>
                <w:highlight w:val="none"/>
              </w:rPr>
              <w:t>会产生</w:t>
            </w:r>
            <w:r>
              <w:rPr>
                <w:rFonts w:hint="eastAsia" w:ascii="Times New Roman" w:hAnsi="Times New Roman" w:eastAsia="宋体" w:cs="Times New Roman"/>
                <w:b w:val="0"/>
                <w:bCs/>
                <w:color w:val="auto"/>
                <w:sz w:val="24"/>
                <w:highlight w:val="none"/>
                <w:lang w:val="en-US" w:eastAsia="zh-CN"/>
              </w:rPr>
              <w:t>金属屑</w:t>
            </w:r>
            <w:r>
              <w:rPr>
                <w:rFonts w:hint="default" w:ascii="Times New Roman" w:hAnsi="Times New Roman" w:eastAsia="宋体" w:cs="Times New Roman"/>
                <w:b w:val="0"/>
                <w:bCs/>
                <w:color w:val="auto"/>
                <w:sz w:val="24"/>
                <w:highlight w:val="none"/>
              </w:rPr>
              <w:t>，属于一般固体废物，</w:t>
            </w:r>
            <w:r>
              <w:rPr>
                <w:rFonts w:hint="eastAsia" w:ascii="Times New Roman" w:hAnsi="Times New Roman" w:eastAsia="宋体" w:cs="Times New Roman"/>
                <w:b w:val="0"/>
                <w:bCs/>
                <w:color w:val="auto"/>
                <w:sz w:val="24"/>
                <w:highlight w:val="none"/>
                <w:lang w:val="en-US" w:eastAsia="zh-CN"/>
              </w:rPr>
              <w:t>本项目</w:t>
            </w:r>
            <w:r>
              <w:rPr>
                <w:rFonts w:hint="default" w:ascii="Times New Roman" w:hAnsi="Times New Roman" w:eastAsia="宋体" w:cs="Times New Roman"/>
                <w:b w:val="0"/>
                <w:bCs/>
                <w:color w:val="auto"/>
                <w:sz w:val="24"/>
                <w:highlight w:val="none"/>
              </w:rPr>
              <w:t>产生量约为</w:t>
            </w:r>
            <w:r>
              <w:rPr>
                <w:rFonts w:hint="eastAsia" w:cs="Times New Roman"/>
                <w:b w:val="0"/>
                <w:bCs/>
                <w:color w:val="auto"/>
                <w:sz w:val="24"/>
                <w:highlight w:val="none"/>
                <w:lang w:val="en-US" w:eastAsia="zh-CN"/>
              </w:rPr>
              <w:t>0.1</w:t>
            </w:r>
            <w:r>
              <w:rPr>
                <w:rFonts w:hint="default" w:ascii="Times New Roman" w:hAnsi="Times New Roman" w:eastAsia="宋体" w:cs="Times New Roman"/>
                <w:b w:val="0"/>
                <w:bCs/>
                <w:color w:val="auto"/>
                <w:sz w:val="24"/>
                <w:highlight w:val="none"/>
              </w:rPr>
              <w:t>t</w:t>
            </w:r>
            <w:r>
              <w:rPr>
                <w:rFonts w:hint="default" w:ascii="Times New Roman" w:hAnsi="Times New Roman" w:eastAsia="宋体" w:cs="Times New Roman"/>
                <w:b w:val="0"/>
                <w:bCs/>
                <w:color w:val="auto"/>
                <w:sz w:val="24"/>
                <w:highlight w:val="none"/>
                <w:lang w:val="en-US" w:eastAsia="zh-CN"/>
              </w:rPr>
              <w:t>/</w:t>
            </w:r>
            <w:r>
              <w:rPr>
                <w:rFonts w:hint="default" w:ascii="Times New Roman" w:hAnsi="Times New Roman" w:eastAsia="宋体" w:cs="Times New Roman"/>
                <w:b w:val="0"/>
                <w:bCs/>
                <w:color w:val="auto"/>
                <w:sz w:val="24"/>
                <w:highlight w:val="none"/>
              </w:rPr>
              <w:t>a</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val="en-US" w:eastAsia="zh-CN"/>
              </w:rPr>
              <w:t>外售综合利用</w:t>
            </w:r>
            <w:r>
              <w:rPr>
                <w:rFonts w:hint="eastAsia" w:ascii="Times New Roman" w:hAnsi="Times New Roman" w:eastAsia="宋体" w:cs="Times New Roman"/>
                <w:b w:val="0"/>
                <w:bCs/>
                <w:color w:val="auto"/>
                <w:sz w:val="24"/>
                <w:highlight w:val="none"/>
                <w:lang w:val="en-US" w:eastAsia="zh-CN"/>
              </w:rPr>
              <w:t>。</w:t>
            </w:r>
            <w:r>
              <w:rPr>
                <w:rFonts w:hint="default" w:ascii="Times New Roman" w:hAnsi="Times New Roman" w:eastAsia="宋体" w:cs="Times New Roman"/>
                <w:b w:val="0"/>
                <w:bCs/>
                <w:color w:val="auto"/>
                <w:sz w:val="24"/>
                <w:highlight w:val="none"/>
                <w:lang w:val="en-US" w:eastAsia="zh-CN"/>
              </w:rPr>
              <w:t>根据《国家危险废物名录（202</w:t>
            </w:r>
            <w:r>
              <w:rPr>
                <w:rFonts w:hint="eastAsia" w:cs="Times New Roman"/>
                <w:b w:val="0"/>
                <w:bCs/>
                <w:color w:val="auto"/>
                <w:sz w:val="24"/>
                <w:highlight w:val="none"/>
                <w:lang w:val="en-US" w:eastAsia="zh-CN"/>
              </w:rPr>
              <w:t>5</w:t>
            </w:r>
            <w:r>
              <w:rPr>
                <w:rFonts w:hint="default" w:ascii="Times New Roman" w:hAnsi="Times New Roman" w:eastAsia="宋体" w:cs="Times New Roman"/>
                <w:b w:val="0"/>
                <w:bCs/>
                <w:color w:val="auto"/>
                <w:sz w:val="24"/>
                <w:highlight w:val="none"/>
                <w:lang w:val="en-US" w:eastAsia="zh-CN"/>
              </w:rPr>
              <w:t>年版）》，金属制品机械加工行业珩磨、研磨、打磨过程，以及使用切削油或切削液进行机械加工过程中产生的含油金属屑属于危险废物。经压榨、压滤、过滤除油达到静置无滴漏后打包压块用于金属冶炼，利用过程不按危险废物管理。本项目产生的</w:t>
            </w:r>
            <w:r>
              <w:rPr>
                <w:rFonts w:hint="eastAsia" w:ascii="Times New Roman" w:hAnsi="Times New Roman" w:eastAsia="宋体" w:cs="Times New Roman"/>
                <w:b w:val="0"/>
                <w:bCs/>
                <w:color w:val="auto"/>
                <w:sz w:val="24"/>
                <w:highlight w:val="none"/>
                <w:lang w:val="en-US" w:eastAsia="zh-CN"/>
              </w:rPr>
              <w:t>金属屑</w:t>
            </w:r>
            <w:r>
              <w:rPr>
                <w:rFonts w:hint="default" w:ascii="Times New Roman" w:hAnsi="Times New Roman" w:eastAsia="宋体" w:cs="Times New Roman"/>
                <w:b w:val="0"/>
                <w:bCs/>
                <w:color w:val="auto"/>
                <w:sz w:val="24"/>
                <w:highlight w:val="none"/>
                <w:lang w:val="en-US" w:eastAsia="zh-CN"/>
              </w:rPr>
              <w:t>经过滤除油达到静置无滴漏后打包压块，可作为一般固废管理</w:t>
            </w:r>
            <w:r>
              <w:rPr>
                <w:rFonts w:hint="default" w:ascii="Times New Roman" w:hAnsi="Times New Roman" w:eastAsia="宋体" w:cs="Times New Roman"/>
                <w:b w:val="0"/>
                <w:bCs/>
                <w:color w:val="auto"/>
                <w:sz w:val="24"/>
                <w:highlight w:val="none"/>
              </w:rPr>
              <w:t>。</w:t>
            </w:r>
          </w:p>
          <w:p w14:paraId="76F9728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color w:val="auto"/>
                <w:sz w:val="24"/>
                <w:highlight w:val="none"/>
                <w:lang w:val="en-US" w:eastAsia="zh-CN"/>
              </w:rPr>
            </w:pPr>
            <w:r>
              <w:rPr>
                <w:rFonts w:hint="eastAsia" w:cs="Times New Roman"/>
                <w:b w:val="0"/>
                <w:bCs/>
                <w:color w:val="auto"/>
                <w:sz w:val="24"/>
                <w:highlight w:val="none"/>
                <w:lang w:val="en-US" w:eastAsia="zh-CN"/>
              </w:rPr>
              <w:t>E</w:t>
            </w:r>
            <w:r>
              <w:rPr>
                <w:rFonts w:hint="eastAsia" w:eastAsia="宋体" w:cs="Times New Roman"/>
                <w:b w:val="0"/>
                <w:bCs/>
                <w:color w:val="auto"/>
                <w:sz w:val="24"/>
                <w:highlight w:val="none"/>
                <w:lang w:val="en-US" w:eastAsia="zh-CN"/>
              </w:rPr>
              <w:t>、</w:t>
            </w:r>
            <w:r>
              <w:rPr>
                <w:rFonts w:hint="default" w:ascii="Times New Roman" w:hAnsi="Times New Roman" w:eastAsia="宋体" w:cs="Times New Roman"/>
                <w:b w:val="0"/>
                <w:bCs/>
                <w:color w:val="auto"/>
                <w:sz w:val="24"/>
                <w:highlight w:val="none"/>
                <w:lang w:val="en-US" w:eastAsia="zh-CN"/>
              </w:rPr>
              <w:t>废石英砂S4-1</w:t>
            </w:r>
            <w:r>
              <w:rPr>
                <w:rFonts w:hint="eastAsia" w:eastAsia="宋体" w:cs="Times New Roman"/>
                <w:b w:val="0"/>
                <w:bCs/>
                <w:color w:val="auto"/>
                <w:sz w:val="24"/>
                <w:highlight w:val="none"/>
                <w:lang w:val="en-US" w:eastAsia="zh-CN"/>
              </w:rPr>
              <w:t>：</w:t>
            </w:r>
            <w:r>
              <w:rPr>
                <w:rFonts w:hint="default" w:ascii="Times New Roman" w:hAnsi="Times New Roman" w:eastAsia="宋体" w:cs="Times New Roman"/>
                <w:b w:val="0"/>
                <w:bCs/>
                <w:color w:val="auto"/>
                <w:sz w:val="24"/>
                <w:highlight w:val="none"/>
                <w:lang w:val="en-US" w:eastAsia="zh-CN"/>
              </w:rPr>
              <w:t>纯水制备产生废石英砂，根据企业每年制备纯水的量，废石英砂产生量约为0.6t/a。</w:t>
            </w:r>
            <w:r>
              <w:rPr>
                <w:rFonts w:hint="default" w:ascii="Times New Roman" w:hAnsi="Times New Roman" w:eastAsia="宋体" w:cs="Times New Roman"/>
                <w:b w:val="0"/>
                <w:bCs/>
                <w:color w:val="auto"/>
                <w:sz w:val="24"/>
                <w:szCs w:val="24"/>
                <w:highlight w:val="none"/>
                <w:lang w:eastAsia="zh-CN"/>
              </w:rPr>
              <w:t>经收集后外售综合利用。</w:t>
            </w:r>
          </w:p>
          <w:p w14:paraId="3CFBEDA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color w:val="auto"/>
                <w:sz w:val="24"/>
                <w:highlight w:val="none"/>
                <w:lang w:val="en-US" w:eastAsia="zh-CN"/>
              </w:rPr>
            </w:pPr>
            <w:r>
              <w:rPr>
                <w:rFonts w:hint="eastAsia" w:cs="Times New Roman"/>
                <w:b w:val="0"/>
                <w:bCs/>
                <w:color w:val="auto"/>
                <w:sz w:val="24"/>
                <w:highlight w:val="none"/>
                <w:lang w:val="en-US" w:eastAsia="zh-CN"/>
              </w:rPr>
              <w:t>F</w:t>
            </w:r>
            <w:r>
              <w:rPr>
                <w:rFonts w:hint="eastAsia" w:eastAsia="宋体" w:cs="Times New Roman"/>
                <w:b w:val="0"/>
                <w:bCs/>
                <w:color w:val="auto"/>
                <w:sz w:val="24"/>
                <w:highlight w:val="none"/>
                <w:lang w:val="en-US" w:eastAsia="zh-CN"/>
              </w:rPr>
              <w:t>、</w:t>
            </w:r>
            <w:r>
              <w:rPr>
                <w:rFonts w:hint="default" w:ascii="Times New Roman" w:hAnsi="Times New Roman" w:eastAsia="宋体" w:cs="Times New Roman"/>
                <w:b w:val="0"/>
                <w:bCs/>
                <w:color w:val="auto"/>
                <w:sz w:val="24"/>
                <w:highlight w:val="none"/>
                <w:lang w:val="en-US" w:eastAsia="zh-CN"/>
              </w:rPr>
              <w:t>废活性炭S4-2</w:t>
            </w:r>
            <w:r>
              <w:rPr>
                <w:rFonts w:hint="eastAsia" w:eastAsia="宋体" w:cs="Times New Roman"/>
                <w:b w:val="0"/>
                <w:bCs/>
                <w:color w:val="auto"/>
                <w:sz w:val="24"/>
                <w:highlight w:val="none"/>
                <w:lang w:val="en-US" w:eastAsia="zh-CN"/>
              </w:rPr>
              <w:t>：</w:t>
            </w:r>
            <w:r>
              <w:rPr>
                <w:rFonts w:hint="default" w:ascii="Times New Roman" w:hAnsi="Times New Roman" w:eastAsia="宋体" w:cs="Times New Roman"/>
                <w:b w:val="0"/>
                <w:bCs/>
                <w:color w:val="auto"/>
                <w:sz w:val="24"/>
                <w:highlight w:val="none"/>
                <w:lang w:val="en-US" w:eastAsia="zh-CN"/>
              </w:rPr>
              <w:t>纯水制备产生废活性炭，根据企业每年制备纯水的量，废活性炭产生量约为0.4t/a。</w:t>
            </w:r>
            <w:r>
              <w:rPr>
                <w:rFonts w:hint="default" w:ascii="Times New Roman" w:hAnsi="Times New Roman" w:eastAsia="宋体" w:cs="Times New Roman"/>
                <w:b w:val="0"/>
                <w:bCs/>
                <w:color w:val="auto"/>
                <w:sz w:val="24"/>
                <w:szCs w:val="24"/>
                <w:highlight w:val="none"/>
                <w:lang w:eastAsia="zh-CN"/>
              </w:rPr>
              <w:t>经收集后外售综合利用。</w:t>
            </w:r>
          </w:p>
          <w:p w14:paraId="370463E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color w:val="auto"/>
                <w:sz w:val="24"/>
                <w:highlight w:val="none"/>
                <w:lang w:val="en-US" w:eastAsia="zh-CN"/>
              </w:rPr>
            </w:pPr>
            <w:r>
              <w:rPr>
                <w:rFonts w:hint="eastAsia" w:cs="Times New Roman"/>
                <w:b w:val="0"/>
                <w:bCs/>
                <w:color w:val="auto"/>
                <w:sz w:val="24"/>
                <w:szCs w:val="24"/>
                <w:highlight w:val="none"/>
                <w:lang w:val="en-US" w:eastAsia="zh-CN"/>
              </w:rPr>
              <w:t>G、</w:t>
            </w:r>
            <w:r>
              <w:rPr>
                <w:rFonts w:hint="default" w:ascii="Times New Roman" w:hAnsi="Times New Roman" w:eastAsia="宋体" w:cs="Times New Roman"/>
                <w:b w:val="0"/>
                <w:bCs/>
                <w:color w:val="auto"/>
                <w:sz w:val="24"/>
                <w:highlight w:val="none"/>
                <w:lang w:val="en-US" w:eastAsia="zh-CN"/>
              </w:rPr>
              <w:t>废滤芯S4-3</w:t>
            </w:r>
            <w:r>
              <w:rPr>
                <w:rFonts w:hint="eastAsia" w:eastAsia="宋体" w:cs="Times New Roman"/>
                <w:b w:val="0"/>
                <w:bCs/>
                <w:color w:val="auto"/>
                <w:sz w:val="24"/>
                <w:highlight w:val="none"/>
                <w:lang w:val="en-US" w:eastAsia="zh-CN"/>
              </w:rPr>
              <w:t>：</w:t>
            </w:r>
            <w:r>
              <w:rPr>
                <w:rFonts w:hint="default" w:ascii="Times New Roman" w:hAnsi="Times New Roman" w:eastAsia="宋体" w:cs="Times New Roman"/>
                <w:b w:val="0"/>
                <w:bCs/>
                <w:color w:val="auto"/>
                <w:sz w:val="24"/>
                <w:highlight w:val="none"/>
                <w:lang w:val="en-US" w:eastAsia="zh-CN"/>
              </w:rPr>
              <w:t>纯水制备产生废滤芯，根据企业每年制备纯水的量，废滤芯炭产生量约为0.4t/a。</w:t>
            </w:r>
            <w:r>
              <w:rPr>
                <w:rFonts w:hint="default" w:ascii="Times New Roman" w:hAnsi="Times New Roman" w:eastAsia="宋体" w:cs="Times New Roman"/>
                <w:b w:val="0"/>
                <w:bCs/>
                <w:color w:val="auto"/>
                <w:sz w:val="24"/>
                <w:szCs w:val="24"/>
                <w:highlight w:val="none"/>
                <w:lang w:eastAsia="zh-CN"/>
              </w:rPr>
              <w:t>经收集后外售综合利用。</w:t>
            </w:r>
          </w:p>
          <w:p w14:paraId="714A059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color w:val="auto"/>
                <w:sz w:val="24"/>
                <w:highlight w:val="none"/>
                <w:lang w:val="en-US" w:eastAsia="zh-CN"/>
              </w:rPr>
            </w:pPr>
            <w:r>
              <w:rPr>
                <w:rFonts w:hint="eastAsia" w:cs="Times New Roman"/>
                <w:b w:val="0"/>
                <w:bCs/>
                <w:color w:val="auto"/>
                <w:sz w:val="24"/>
                <w:szCs w:val="24"/>
                <w:highlight w:val="none"/>
                <w:lang w:val="en-US" w:eastAsia="zh-CN"/>
              </w:rPr>
              <w:t>H</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highlight w:val="none"/>
                <w:lang w:val="en-US" w:eastAsia="zh-CN"/>
              </w:rPr>
              <w:t>废滤膜S4-4</w:t>
            </w:r>
            <w:r>
              <w:rPr>
                <w:rFonts w:hint="eastAsia" w:eastAsia="宋体" w:cs="Times New Roman"/>
                <w:b w:val="0"/>
                <w:bCs/>
                <w:color w:val="auto"/>
                <w:sz w:val="24"/>
                <w:highlight w:val="none"/>
                <w:lang w:val="en-US" w:eastAsia="zh-CN"/>
              </w:rPr>
              <w:t>：</w:t>
            </w:r>
            <w:r>
              <w:rPr>
                <w:rFonts w:hint="default" w:ascii="Times New Roman" w:hAnsi="Times New Roman" w:eastAsia="宋体" w:cs="Times New Roman"/>
                <w:b w:val="0"/>
                <w:bCs/>
                <w:color w:val="auto"/>
                <w:sz w:val="24"/>
                <w:highlight w:val="none"/>
                <w:lang w:val="en-US" w:eastAsia="zh-CN"/>
              </w:rPr>
              <w:t>纯水制备产生废滤膜，根据企业每年制备纯水的量，废滤膜产生量约为0.2t/a。</w:t>
            </w:r>
            <w:r>
              <w:rPr>
                <w:rFonts w:hint="default" w:ascii="Times New Roman" w:hAnsi="Times New Roman" w:eastAsia="宋体" w:cs="Times New Roman"/>
                <w:b w:val="0"/>
                <w:bCs/>
                <w:color w:val="auto"/>
                <w:sz w:val="24"/>
                <w:szCs w:val="24"/>
                <w:highlight w:val="none"/>
                <w:lang w:eastAsia="zh-CN"/>
              </w:rPr>
              <w:t>经收集后外售综合利用。</w:t>
            </w:r>
          </w:p>
          <w:p w14:paraId="6DCA5158">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color w:val="auto"/>
                <w:sz w:val="24"/>
                <w:szCs w:val="24"/>
                <w:highlight w:val="none"/>
                <w:lang w:eastAsia="zh-CN"/>
              </w:rPr>
            </w:pPr>
            <w:r>
              <w:rPr>
                <w:rFonts w:hint="eastAsia" w:cs="Times New Roman"/>
                <w:b w:val="0"/>
                <w:bCs/>
                <w:color w:val="auto"/>
                <w:sz w:val="24"/>
                <w:szCs w:val="24"/>
                <w:highlight w:val="none"/>
                <w:lang w:val="en-US" w:eastAsia="zh-CN"/>
              </w:rPr>
              <w:t>I</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废包装</w:t>
            </w:r>
            <w:r>
              <w:rPr>
                <w:rFonts w:hint="eastAsia" w:cs="Times New Roman"/>
                <w:b w:val="0"/>
                <w:bCs/>
                <w:color w:val="auto"/>
                <w:sz w:val="24"/>
                <w:szCs w:val="24"/>
                <w:highlight w:val="none"/>
                <w:lang w:val="en-US" w:eastAsia="zh-CN"/>
              </w:rPr>
              <w:t>材料</w:t>
            </w:r>
            <w:r>
              <w:rPr>
                <w:rFonts w:hint="default" w:ascii="Times New Roman" w:hAnsi="Times New Roman" w:eastAsia="宋体" w:cs="Times New Roman"/>
                <w:b w:val="0"/>
                <w:bCs/>
                <w:color w:val="auto"/>
                <w:sz w:val="24"/>
                <w:szCs w:val="24"/>
                <w:highlight w:val="none"/>
                <w:lang w:val="en-US" w:eastAsia="zh-CN"/>
              </w:rPr>
              <w:t>S5-1：原辅料</w:t>
            </w:r>
            <w:r>
              <w:rPr>
                <w:rFonts w:hint="eastAsia"/>
                <w:b w:val="0"/>
                <w:bCs w:val="0"/>
                <w:color w:val="auto"/>
                <w:sz w:val="24"/>
                <w:szCs w:val="24"/>
                <w:highlight w:val="none"/>
                <w:lang w:val="en-US" w:eastAsia="zh-CN"/>
              </w:rPr>
              <w:t>ABS、PE、PP、PC、PA</w:t>
            </w:r>
            <w:r>
              <w:rPr>
                <w:rFonts w:hint="default" w:ascii="Times New Roman" w:hAnsi="Times New Roman" w:eastAsia="宋体" w:cs="Times New Roman"/>
                <w:b w:val="0"/>
                <w:bCs/>
                <w:color w:val="auto"/>
                <w:sz w:val="24"/>
                <w:szCs w:val="24"/>
                <w:highlight w:val="none"/>
                <w:lang w:val="en-US" w:eastAsia="zh-CN"/>
              </w:rPr>
              <w:t>使用后会产生废包装袋，</w:t>
            </w:r>
            <w:r>
              <w:rPr>
                <w:rFonts w:hint="eastAsia" w:cs="Times New Roman"/>
                <w:b w:val="0"/>
                <w:bCs/>
                <w:color w:val="auto"/>
                <w:sz w:val="24"/>
                <w:szCs w:val="24"/>
                <w:highlight w:val="none"/>
                <w:lang w:eastAsia="zh-CN"/>
              </w:rPr>
              <w:t>根据企业提供资料</w:t>
            </w:r>
            <w:r>
              <w:rPr>
                <w:rFonts w:hint="default" w:ascii="Times New Roman" w:hAnsi="Times New Roman" w:eastAsia="宋体" w:cs="Times New Roman"/>
                <w:b w:val="0"/>
                <w:bCs/>
                <w:color w:val="auto"/>
                <w:sz w:val="24"/>
                <w:szCs w:val="24"/>
                <w:highlight w:val="none"/>
                <w:lang w:eastAsia="zh-CN"/>
              </w:rPr>
              <w:t>，年产生量约</w:t>
            </w:r>
            <w:r>
              <w:rPr>
                <w:rFonts w:hint="eastAsia" w:cs="Times New Roman"/>
                <w:b w:val="0"/>
                <w:bCs/>
                <w:color w:val="auto"/>
                <w:sz w:val="24"/>
                <w:szCs w:val="24"/>
                <w:highlight w:val="none"/>
                <w:lang w:val="en-US" w:eastAsia="zh-CN"/>
              </w:rPr>
              <w:t>1</w:t>
            </w:r>
            <w:r>
              <w:rPr>
                <w:rFonts w:hint="default" w:ascii="Times New Roman" w:hAnsi="Times New Roman" w:eastAsia="宋体" w:cs="Times New Roman"/>
                <w:b w:val="0"/>
                <w:bCs/>
                <w:color w:val="auto"/>
                <w:sz w:val="24"/>
                <w:szCs w:val="24"/>
                <w:highlight w:val="none"/>
                <w:lang w:eastAsia="zh-CN"/>
              </w:rPr>
              <w:t>t/a，经收集后外售综合利用。</w:t>
            </w:r>
          </w:p>
          <w:p w14:paraId="5FFD0D5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J、</w:t>
            </w:r>
            <w:r>
              <w:rPr>
                <w:rFonts w:hint="eastAsia" w:ascii="Times New Roman" w:hAnsi="Times New Roman" w:eastAsia="宋体" w:cs="Times New Roman"/>
                <w:b w:val="0"/>
                <w:bCs/>
                <w:color w:val="auto"/>
                <w:sz w:val="24"/>
                <w:szCs w:val="24"/>
                <w:highlight w:val="none"/>
                <w:lang w:val="en-US" w:eastAsia="zh-CN"/>
              </w:rPr>
              <w:t>废布袋S5-5：</w:t>
            </w:r>
            <w:r>
              <w:rPr>
                <w:rFonts w:hint="eastAsia" w:cs="Times New Roman"/>
                <w:b w:val="0"/>
                <w:bCs/>
                <w:color w:val="auto"/>
                <w:sz w:val="24"/>
                <w:szCs w:val="24"/>
                <w:highlight w:val="none"/>
                <w:lang w:val="en-US" w:eastAsia="zh-CN"/>
              </w:rPr>
              <w:t>破碎机自带的</w:t>
            </w:r>
            <w:r>
              <w:rPr>
                <w:rFonts w:hint="eastAsia" w:ascii="Times New Roman" w:hAnsi="Times New Roman" w:eastAsia="宋体" w:cs="Times New Roman"/>
                <w:b w:val="0"/>
                <w:bCs/>
                <w:color w:val="auto"/>
                <w:sz w:val="24"/>
                <w:szCs w:val="24"/>
                <w:highlight w:val="none"/>
                <w:lang w:val="en-US" w:eastAsia="zh-CN"/>
              </w:rPr>
              <w:t>布袋除尘器处理废气后会产生废布袋</w:t>
            </w:r>
            <w:r>
              <w:rPr>
                <w:rFonts w:hint="eastAsia" w:cs="Times New Roman"/>
                <w:b w:val="0"/>
                <w:bCs/>
                <w:color w:val="auto"/>
                <w:sz w:val="24"/>
                <w:szCs w:val="24"/>
                <w:highlight w:val="none"/>
                <w:lang w:val="en-US" w:eastAsia="zh-CN"/>
              </w:rPr>
              <w:t>。</w:t>
            </w:r>
            <w:r>
              <w:rPr>
                <w:rFonts w:hint="eastAsia" w:cs="Times New Roman"/>
                <w:b w:val="0"/>
                <w:bCs/>
                <w:color w:val="auto"/>
                <w:sz w:val="24"/>
                <w:highlight w:val="none"/>
                <w:lang w:val="en-US" w:eastAsia="zh-CN"/>
              </w:rPr>
              <w:t>根据企业提供资料</w:t>
            </w:r>
            <w:r>
              <w:rPr>
                <w:rFonts w:hint="default" w:ascii="Times New Roman" w:hAnsi="Times New Roman" w:eastAsia="宋体" w:cs="Times New Roman"/>
                <w:b w:val="0"/>
                <w:bCs/>
                <w:color w:val="auto"/>
                <w:sz w:val="24"/>
                <w:szCs w:val="24"/>
                <w:highlight w:val="none"/>
                <w:lang w:eastAsia="zh-CN"/>
              </w:rPr>
              <w:t>，年产生量约</w:t>
            </w:r>
            <w:r>
              <w:rPr>
                <w:rFonts w:hint="default" w:ascii="Times New Roman" w:hAnsi="Times New Roman" w:eastAsia="宋体" w:cs="Times New Roman"/>
                <w:b w:val="0"/>
                <w:bCs/>
                <w:color w:val="auto"/>
                <w:sz w:val="24"/>
                <w:szCs w:val="24"/>
                <w:highlight w:val="none"/>
                <w:lang w:val="en-US" w:eastAsia="zh-CN"/>
              </w:rPr>
              <w:t>0.1</w:t>
            </w:r>
            <w:r>
              <w:rPr>
                <w:rFonts w:hint="default" w:ascii="Times New Roman" w:hAnsi="Times New Roman" w:eastAsia="宋体" w:cs="Times New Roman"/>
                <w:b w:val="0"/>
                <w:bCs/>
                <w:color w:val="auto"/>
                <w:sz w:val="24"/>
                <w:szCs w:val="24"/>
                <w:highlight w:val="none"/>
                <w:lang w:eastAsia="zh-CN"/>
              </w:rPr>
              <w:t>t/a，经收集后外售综合利用。</w:t>
            </w:r>
          </w:p>
          <w:p w14:paraId="3C49D501">
            <w:pPr>
              <w:pStyle w:val="2"/>
              <w:keepNext w:val="0"/>
              <w:keepLines w:val="0"/>
              <w:pageBreakBefore w:val="0"/>
              <w:widowControl w:val="0"/>
              <w:kinsoku/>
              <w:wordWrap/>
              <w:overflowPunct/>
              <w:topLinePunct w:val="0"/>
              <w:autoSpaceDE/>
              <w:autoSpaceDN/>
              <w:bidi w:val="0"/>
              <w:adjustRightInd/>
              <w:snapToGrid/>
              <w:spacing w:after="0" w:line="480" w:lineRule="exact"/>
              <w:textAlignment w:val="auto"/>
              <w:rPr>
                <w:rFonts w:hint="default"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K、废滤筒S5-6：移动式除尘器</w:t>
            </w:r>
            <w:r>
              <w:rPr>
                <w:rFonts w:hint="eastAsia" w:ascii="Times New Roman" w:hAnsi="Times New Roman" w:eastAsia="宋体" w:cs="Times New Roman"/>
                <w:b w:val="0"/>
                <w:bCs/>
                <w:color w:val="auto"/>
                <w:sz w:val="24"/>
                <w:szCs w:val="24"/>
                <w:highlight w:val="none"/>
                <w:lang w:val="en-US" w:eastAsia="zh-CN"/>
              </w:rPr>
              <w:t>处理废气后会产生废</w:t>
            </w:r>
            <w:r>
              <w:rPr>
                <w:rFonts w:hint="eastAsia" w:cs="Times New Roman"/>
                <w:b w:val="0"/>
                <w:bCs/>
                <w:color w:val="auto"/>
                <w:sz w:val="24"/>
                <w:szCs w:val="24"/>
                <w:highlight w:val="none"/>
                <w:lang w:val="en-US" w:eastAsia="zh-CN"/>
              </w:rPr>
              <w:t>滤筒。</w:t>
            </w:r>
            <w:r>
              <w:rPr>
                <w:rFonts w:hint="eastAsia" w:cs="Times New Roman"/>
                <w:b w:val="0"/>
                <w:bCs/>
                <w:color w:val="auto"/>
                <w:sz w:val="24"/>
                <w:highlight w:val="none"/>
                <w:lang w:val="en-US" w:eastAsia="zh-CN"/>
              </w:rPr>
              <w:t>根据企业提供资料</w:t>
            </w:r>
            <w:r>
              <w:rPr>
                <w:rFonts w:hint="default" w:ascii="Times New Roman" w:hAnsi="Times New Roman" w:eastAsia="宋体" w:cs="Times New Roman"/>
                <w:b w:val="0"/>
                <w:bCs/>
                <w:color w:val="auto"/>
                <w:sz w:val="24"/>
                <w:szCs w:val="24"/>
                <w:highlight w:val="none"/>
                <w:lang w:eastAsia="zh-CN"/>
              </w:rPr>
              <w:t>，年产生量约</w:t>
            </w:r>
            <w:r>
              <w:rPr>
                <w:rFonts w:hint="default" w:ascii="Times New Roman" w:hAnsi="Times New Roman" w:eastAsia="宋体" w:cs="Times New Roman"/>
                <w:b w:val="0"/>
                <w:bCs/>
                <w:color w:val="auto"/>
                <w:sz w:val="24"/>
                <w:szCs w:val="24"/>
                <w:highlight w:val="none"/>
                <w:lang w:val="en-US" w:eastAsia="zh-CN"/>
              </w:rPr>
              <w:t>0.</w:t>
            </w:r>
            <w:r>
              <w:rPr>
                <w:rFonts w:hint="eastAsia" w:cs="Times New Roman"/>
                <w:b w:val="0"/>
                <w:bCs/>
                <w:color w:val="auto"/>
                <w:sz w:val="24"/>
                <w:szCs w:val="24"/>
                <w:highlight w:val="none"/>
                <w:lang w:val="en-US" w:eastAsia="zh-CN"/>
              </w:rPr>
              <w:t>05</w:t>
            </w:r>
            <w:r>
              <w:rPr>
                <w:rFonts w:hint="default" w:ascii="Times New Roman" w:hAnsi="Times New Roman" w:eastAsia="宋体" w:cs="Times New Roman"/>
                <w:b w:val="0"/>
                <w:bCs/>
                <w:color w:val="auto"/>
                <w:sz w:val="24"/>
                <w:szCs w:val="24"/>
                <w:highlight w:val="none"/>
                <w:lang w:eastAsia="zh-CN"/>
              </w:rPr>
              <w:t>t/a，经收集后外售综合利用。</w:t>
            </w:r>
          </w:p>
          <w:p w14:paraId="38C1C1C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lang w:eastAsia="zh-CN"/>
              </w:rPr>
              <w:t>（</w:t>
            </w:r>
            <w:r>
              <w:rPr>
                <w:rFonts w:hint="eastAsia" w:ascii="Times New Roman" w:hAnsi="Times New Roman" w:eastAsia="宋体" w:cs="Times New Roman"/>
                <w:b w:val="0"/>
                <w:bCs/>
                <w:color w:val="auto"/>
                <w:sz w:val="24"/>
                <w:highlight w:val="none"/>
                <w:lang w:val="en-US" w:eastAsia="zh-CN"/>
              </w:rPr>
              <w:t>2</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生活垃圾</w:t>
            </w:r>
          </w:p>
          <w:p w14:paraId="756B952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highlight w:val="none"/>
              </w:rPr>
              <w:t>本项目有员工</w:t>
            </w:r>
            <w:r>
              <w:rPr>
                <w:rFonts w:hint="eastAsia" w:cs="Times New Roman"/>
                <w:b w:val="0"/>
                <w:bCs/>
                <w:color w:val="auto"/>
                <w:sz w:val="24"/>
                <w:highlight w:val="none"/>
                <w:lang w:val="en-US" w:eastAsia="zh-CN"/>
              </w:rPr>
              <w:t>50</w:t>
            </w:r>
            <w:r>
              <w:rPr>
                <w:rFonts w:hint="default" w:ascii="Times New Roman" w:hAnsi="Times New Roman" w:eastAsia="宋体" w:cs="Times New Roman"/>
                <w:b w:val="0"/>
                <w:bCs/>
                <w:color w:val="auto"/>
                <w:sz w:val="24"/>
                <w:highlight w:val="none"/>
              </w:rPr>
              <w:t>人，每人每天垃圾产生量按0.5kg计，</w:t>
            </w:r>
            <w:r>
              <w:rPr>
                <w:rFonts w:hint="eastAsia" w:ascii="Times New Roman" w:hAnsi="Times New Roman" w:eastAsia="宋体" w:cs="Times New Roman"/>
                <w:b w:val="0"/>
                <w:bCs/>
                <w:color w:val="auto"/>
                <w:sz w:val="24"/>
                <w:highlight w:val="none"/>
                <w:lang w:val="en-US" w:eastAsia="zh-CN"/>
              </w:rPr>
              <w:t>员工</w:t>
            </w:r>
            <w:r>
              <w:rPr>
                <w:rFonts w:hint="default" w:ascii="Times New Roman" w:hAnsi="Times New Roman" w:eastAsia="宋体" w:cs="Times New Roman"/>
                <w:b w:val="0"/>
                <w:bCs/>
                <w:color w:val="auto"/>
                <w:sz w:val="24"/>
                <w:highlight w:val="none"/>
              </w:rPr>
              <w:t>生活垃圾产生量约为</w:t>
            </w:r>
            <w:r>
              <w:rPr>
                <w:rFonts w:hint="eastAsia" w:cs="Times New Roman"/>
                <w:b w:val="0"/>
                <w:bCs/>
                <w:color w:val="auto"/>
                <w:sz w:val="24"/>
                <w:highlight w:val="none"/>
                <w:lang w:val="en-US" w:eastAsia="zh-CN"/>
              </w:rPr>
              <w:t>25</w:t>
            </w:r>
            <w:r>
              <w:rPr>
                <w:rFonts w:hint="default" w:ascii="Times New Roman" w:hAnsi="Times New Roman" w:eastAsia="宋体" w:cs="Times New Roman"/>
                <w:b w:val="0"/>
                <w:bCs/>
                <w:color w:val="auto"/>
                <w:sz w:val="24"/>
                <w:highlight w:val="none"/>
              </w:rPr>
              <w:t>kg/d，则项目年生活垃圾产生量约为</w:t>
            </w:r>
            <w:r>
              <w:rPr>
                <w:rFonts w:hint="eastAsia" w:cs="Times New Roman"/>
                <w:b w:val="0"/>
                <w:bCs/>
                <w:color w:val="auto"/>
                <w:sz w:val="24"/>
                <w:highlight w:val="none"/>
                <w:lang w:val="en-US" w:eastAsia="zh-CN"/>
              </w:rPr>
              <w:t>7.5</w:t>
            </w:r>
            <w:r>
              <w:rPr>
                <w:rFonts w:hint="default" w:ascii="Times New Roman" w:hAnsi="Times New Roman" w:eastAsia="宋体" w:cs="Times New Roman"/>
                <w:b w:val="0"/>
                <w:bCs/>
                <w:color w:val="auto"/>
                <w:sz w:val="24"/>
                <w:highlight w:val="none"/>
                <w:lang w:val="en-US" w:eastAsia="zh-CN"/>
              </w:rPr>
              <w:t>t/</w:t>
            </w:r>
            <w:r>
              <w:rPr>
                <w:rFonts w:hint="default" w:ascii="Times New Roman" w:hAnsi="Times New Roman" w:eastAsia="宋体" w:cs="Times New Roman"/>
                <w:b w:val="0"/>
                <w:bCs/>
                <w:color w:val="auto"/>
                <w:sz w:val="24"/>
                <w:highlight w:val="none"/>
              </w:rPr>
              <w:t>a。采取集中收集后由环卫部门统一外运处理。</w:t>
            </w:r>
          </w:p>
          <w:p w14:paraId="640B3AB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3</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危险废物</w:t>
            </w:r>
          </w:p>
          <w:p w14:paraId="60E8243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rPr>
              <w:t>项目生产过程中会产生一定量的</w:t>
            </w:r>
            <w:r>
              <w:rPr>
                <w:rFonts w:hint="eastAsia" w:cs="Times New Roman"/>
                <w:b w:val="0"/>
                <w:bCs/>
                <w:color w:val="auto"/>
                <w:sz w:val="24"/>
                <w:highlight w:val="none"/>
                <w:lang w:eastAsia="zh-CN"/>
              </w:rPr>
              <w:t>废墨盒、</w:t>
            </w:r>
            <w:r>
              <w:rPr>
                <w:rFonts w:hint="eastAsia" w:cs="Times New Roman"/>
                <w:b w:val="0"/>
                <w:bCs/>
                <w:color w:val="auto"/>
                <w:sz w:val="24"/>
                <w:highlight w:val="none"/>
                <w:lang w:val="en-US" w:eastAsia="zh-CN"/>
              </w:rPr>
              <w:t>废擦拭布、</w:t>
            </w:r>
            <w:r>
              <w:rPr>
                <w:rFonts w:hint="eastAsia" w:cs="Times New Roman"/>
                <w:b w:val="0"/>
                <w:bCs/>
                <w:color w:val="auto"/>
                <w:sz w:val="24"/>
                <w:highlight w:val="none"/>
                <w:lang w:eastAsia="zh-CN"/>
              </w:rPr>
              <w:t>清洗废液、</w:t>
            </w:r>
            <w:r>
              <w:rPr>
                <w:rFonts w:hint="eastAsia" w:cs="Times New Roman"/>
                <w:b w:val="0"/>
                <w:bCs/>
                <w:color w:val="auto"/>
                <w:sz w:val="24"/>
                <w:highlight w:val="none"/>
                <w:lang w:val="en-US" w:eastAsia="zh-CN"/>
              </w:rPr>
              <w:t>抛光废液、</w:t>
            </w:r>
            <w:r>
              <w:rPr>
                <w:rFonts w:hint="eastAsia" w:cs="Times New Roman"/>
                <w:b w:val="0"/>
                <w:bCs/>
                <w:color w:val="auto"/>
                <w:sz w:val="24"/>
                <w:highlight w:val="none"/>
                <w:lang w:eastAsia="zh-CN"/>
              </w:rPr>
              <w:t>废切削液、废滤芯、废煤油、</w:t>
            </w:r>
            <w:r>
              <w:rPr>
                <w:rFonts w:hint="eastAsia" w:cs="Times New Roman"/>
                <w:b w:val="0"/>
                <w:bCs/>
                <w:color w:val="auto"/>
                <w:sz w:val="24"/>
                <w:highlight w:val="none"/>
                <w:lang w:val="en-US" w:eastAsia="zh-CN"/>
              </w:rPr>
              <w:t>废抹布、</w:t>
            </w:r>
            <w:r>
              <w:rPr>
                <w:rFonts w:hint="eastAsia" w:cs="Times New Roman"/>
                <w:b w:val="0"/>
                <w:bCs/>
                <w:color w:val="auto"/>
                <w:sz w:val="24"/>
                <w:highlight w:val="none"/>
                <w:lang w:eastAsia="zh-CN"/>
              </w:rPr>
              <w:t>废包装桶、废抹布手套、废活性炭</w:t>
            </w:r>
            <w:r>
              <w:rPr>
                <w:rFonts w:hint="default" w:ascii="Times New Roman" w:hAnsi="Times New Roman" w:eastAsia="宋体" w:cs="Times New Roman"/>
                <w:b w:val="0"/>
                <w:bCs/>
                <w:color w:val="auto"/>
                <w:sz w:val="24"/>
                <w:highlight w:val="none"/>
              </w:rPr>
              <w:t>，属于危险废物,统一收集后交由有资质的单位回收处理。</w:t>
            </w:r>
          </w:p>
          <w:p w14:paraId="522B2925">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cs="Times New Roman"/>
                <w:b w:val="0"/>
                <w:bCs/>
                <w:color w:val="auto"/>
                <w:sz w:val="24"/>
                <w:highlight w:val="none"/>
                <w:lang w:val="en-US" w:eastAsia="zh-CN"/>
              </w:rPr>
            </w:pPr>
            <w:r>
              <w:rPr>
                <w:rFonts w:hint="eastAsia" w:cs="Times New Roman"/>
                <w:b w:val="0"/>
                <w:bCs/>
                <w:color w:val="auto"/>
                <w:sz w:val="24"/>
                <w:highlight w:val="none"/>
                <w:lang w:val="en-US" w:eastAsia="zh-CN"/>
              </w:rPr>
              <w:t>A废墨盒（HW49）</w:t>
            </w:r>
          </w:p>
          <w:p w14:paraId="67B0F8DF">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color w:val="auto"/>
                <w:sz w:val="24"/>
                <w:highlight w:val="none"/>
                <w:lang w:eastAsia="zh-CN"/>
              </w:rPr>
            </w:pPr>
            <w:r>
              <w:rPr>
                <w:rFonts w:hint="eastAsia" w:cs="Times New Roman"/>
                <w:b w:val="0"/>
                <w:bCs/>
                <w:color w:val="auto"/>
                <w:sz w:val="24"/>
                <w:highlight w:val="none"/>
                <w:lang w:val="en-US" w:eastAsia="zh-CN"/>
              </w:rPr>
              <w:t>UV打印过程中，油墨耗尽将产生废墨盒</w:t>
            </w:r>
            <w:r>
              <w:rPr>
                <w:rFonts w:hint="default" w:ascii="Times New Roman" w:hAnsi="Times New Roman" w:eastAsia="宋体" w:cs="Times New Roman"/>
                <w:b w:val="0"/>
                <w:bCs/>
                <w:color w:val="auto"/>
                <w:sz w:val="24"/>
                <w:szCs w:val="24"/>
                <w:highlight w:val="none"/>
                <w:lang w:eastAsia="zh-CN"/>
              </w:rPr>
              <w:t>，年产生量约</w:t>
            </w:r>
            <w:r>
              <w:rPr>
                <w:rFonts w:hint="default" w:ascii="Times New Roman" w:hAnsi="Times New Roman" w:eastAsia="宋体" w:cs="Times New Roman"/>
                <w:b w:val="0"/>
                <w:bCs/>
                <w:color w:val="auto"/>
                <w:sz w:val="24"/>
                <w:szCs w:val="24"/>
                <w:highlight w:val="none"/>
                <w:lang w:val="en-US" w:eastAsia="zh-CN"/>
              </w:rPr>
              <w:t>0.</w:t>
            </w:r>
            <w:r>
              <w:rPr>
                <w:rFonts w:hint="eastAsia" w:cs="Times New Roman"/>
                <w:b w:val="0"/>
                <w:bCs/>
                <w:color w:val="auto"/>
                <w:sz w:val="24"/>
                <w:szCs w:val="24"/>
                <w:highlight w:val="none"/>
                <w:lang w:val="en-US" w:eastAsia="zh-CN"/>
              </w:rPr>
              <w:t>04</w:t>
            </w:r>
            <w:r>
              <w:rPr>
                <w:rFonts w:hint="default" w:ascii="Times New Roman" w:hAnsi="Times New Roman" w:eastAsia="宋体" w:cs="Times New Roman"/>
                <w:b w:val="0"/>
                <w:bCs/>
                <w:color w:val="auto"/>
                <w:sz w:val="24"/>
                <w:szCs w:val="24"/>
                <w:highlight w:val="none"/>
                <w:lang w:eastAsia="zh-CN"/>
              </w:rPr>
              <w:t>t/a</w:t>
            </w:r>
            <w:r>
              <w:rPr>
                <w:rFonts w:hint="default" w:ascii="Times New Roman" w:hAnsi="Times New Roman" w:eastAsia="宋体" w:cs="Times New Roman"/>
                <w:b w:val="0"/>
                <w:bCs/>
                <w:color w:val="auto"/>
                <w:sz w:val="24"/>
                <w:highlight w:val="none"/>
              </w:rPr>
              <w:t>，属于HW49类危险废物</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危废代码</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900-041-49</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z w:val="24"/>
                <w:highlight w:val="none"/>
              </w:rPr>
              <w:t>委托有危险废物处理资质的单位进行处理处置</w:t>
            </w:r>
            <w:r>
              <w:rPr>
                <w:rFonts w:hint="default" w:ascii="Times New Roman" w:hAnsi="Times New Roman" w:eastAsia="宋体" w:cs="Times New Roman"/>
                <w:b w:val="0"/>
                <w:bCs/>
                <w:color w:val="auto"/>
                <w:sz w:val="24"/>
                <w:highlight w:val="none"/>
                <w:lang w:eastAsia="zh-CN"/>
              </w:rPr>
              <w:t>。</w:t>
            </w:r>
          </w:p>
          <w:p w14:paraId="25B7F515">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t>B</w:t>
            </w:r>
            <w:r>
              <w:rPr>
                <w:rFonts w:hint="eastAsia" w:cs="Times New Roman"/>
                <w:b w:val="0"/>
                <w:bCs/>
                <w:color w:val="auto"/>
                <w:sz w:val="24"/>
                <w:highlight w:val="none"/>
                <w:lang w:val="en-US" w:eastAsia="zh-CN"/>
              </w:rPr>
              <w:t>清洗废液</w:t>
            </w:r>
            <w:r>
              <w:rPr>
                <w:rFonts w:hint="eastAsia" w:ascii="Times New Roman" w:hAnsi="Times New Roman" w:eastAsia="宋体" w:cs="Times New Roman"/>
                <w:b w:val="0"/>
                <w:bCs/>
                <w:color w:val="auto"/>
                <w:sz w:val="24"/>
                <w:highlight w:val="none"/>
                <w:lang w:val="en-US" w:eastAsia="zh-CN"/>
              </w:rPr>
              <w:t>（HW</w:t>
            </w:r>
            <w:r>
              <w:rPr>
                <w:rFonts w:hint="eastAsia" w:cs="Times New Roman"/>
                <w:b w:val="0"/>
                <w:bCs/>
                <w:color w:val="auto"/>
                <w:sz w:val="24"/>
                <w:highlight w:val="none"/>
                <w:lang w:val="en-US" w:eastAsia="zh-CN"/>
              </w:rPr>
              <w:t>35</w:t>
            </w:r>
            <w:r>
              <w:rPr>
                <w:rFonts w:hint="eastAsia" w:ascii="Times New Roman" w:hAnsi="Times New Roman" w:eastAsia="宋体" w:cs="Times New Roman"/>
                <w:b w:val="0"/>
                <w:bCs/>
                <w:color w:val="auto"/>
                <w:sz w:val="24"/>
                <w:highlight w:val="none"/>
                <w:lang w:val="en-US" w:eastAsia="zh-CN"/>
              </w:rPr>
              <w:t>）</w:t>
            </w:r>
          </w:p>
          <w:p w14:paraId="75B3BE3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color w:val="auto"/>
                <w:sz w:val="24"/>
                <w:highlight w:val="none"/>
                <w:lang w:eastAsia="zh-CN"/>
              </w:rPr>
            </w:pPr>
            <w:r>
              <w:rPr>
                <w:rFonts w:hint="eastAsia"/>
                <w:color w:val="auto"/>
                <w:sz w:val="24"/>
                <w:szCs w:val="24"/>
                <w:lang w:val="en-US" w:eastAsia="zh-CN"/>
              </w:rPr>
              <w:t>本项目运用超声波清洗技术对塑料件和钣金件进行分步清洗，先进行粗洗，随后进行精洗，其中粗洗过程需添加纯水和脱脂粉，</w:t>
            </w:r>
            <w:r>
              <w:rPr>
                <w:rFonts w:hint="eastAsia" w:ascii="Times New Roman" w:hAnsi="Times New Roman" w:eastAsia="宋体" w:cs="Times New Roman"/>
                <w:b w:val="0"/>
                <w:bCs/>
                <w:color w:val="auto"/>
                <w:sz w:val="24"/>
                <w:szCs w:val="24"/>
                <w:highlight w:val="none"/>
                <w:lang w:val="en-US" w:eastAsia="zh-CN"/>
              </w:rPr>
              <w:t>纯水与脱脂粉的配比为20:1。</w:t>
            </w:r>
            <w:r>
              <w:rPr>
                <w:rFonts w:hint="eastAsia" w:cs="Times New Roman"/>
                <w:b w:val="0"/>
                <w:bCs/>
                <w:color w:val="auto"/>
                <w:sz w:val="24"/>
                <w:szCs w:val="24"/>
                <w:highlight w:val="none"/>
                <w:lang w:val="en-US" w:eastAsia="zh-CN"/>
              </w:rPr>
              <w:t>企业有2台</w:t>
            </w:r>
            <w:r>
              <w:rPr>
                <w:rFonts w:hint="eastAsia"/>
                <w:color w:val="auto"/>
                <w:sz w:val="24"/>
                <w:szCs w:val="24"/>
                <w:lang w:val="en-US" w:eastAsia="zh-CN"/>
              </w:rPr>
              <w:t>超声波清洗机，一台超声波清洗机有2个槽体（51*42*25cm*2），分别用于精洗和粗洗，有效容积为70%。槽体里的纯水定期排空，则清洗工段一次排空量约0.15t。槽体每9天定期排空，则清洗用水排空量约5t/a，则清洗废液产生量约5t/a。</w:t>
            </w:r>
            <w:r>
              <w:rPr>
                <w:rFonts w:hint="default" w:ascii="Times New Roman" w:hAnsi="Times New Roman" w:eastAsia="宋体" w:cs="Times New Roman"/>
                <w:b w:val="0"/>
                <w:bCs/>
                <w:color w:val="auto"/>
                <w:sz w:val="24"/>
                <w:highlight w:val="none"/>
              </w:rPr>
              <w:t>属于HW</w:t>
            </w:r>
            <w:r>
              <w:rPr>
                <w:rFonts w:hint="eastAsia" w:cs="Times New Roman"/>
                <w:b w:val="0"/>
                <w:bCs/>
                <w:color w:val="auto"/>
                <w:sz w:val="24"/>
                <w:highlight w:val="none"/>
                <w:lang w:val="en-US" w:eastAsia="zh-CN"/>
              </w:rPr>
              <w:t>35</w:t>
            </w:r>
            <w:r>
              <w:rPr>
                <w:rFonts w:hint="default" w:ascii="Times New Roman" w:hAnsi="Times New Roman" w:eastAsia="宋体" w:cs="Times New Roman"/>
                <w:b w:val="0"/>
                <w:bCs/>
                <w:color w:val="auto"/>
                <w:sz w:val="24"/>
                <w:highlight w:val="none"/>
              </w:rPr>
              <w:t>类危险废物</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危废代码</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900-</w:t>
            </w:r>
            <w:r>
              <w:rPr>
                <w:rFonts w:hint="eastAsia" w:cs="Times New Roman"/>
                <w:b w:val="0"/>
                <w:bCs/>
                <w:color w:val="auto"/>
                <w:sz w:val="24"/>
                <w:highlight w:val="none"/>
                <w:lang w:val="en-US" w:eastAsia="zh-CN"/>
              </w:rPr>
              <w:t>352</w:t>
            </w:r>
            <w:r>
              <w:rPr>
                <w:rFonts w:hint="default" w:ascii="Times New Roman" w:hAnsi="Times New Roman" w:eastAsia="宋体" w:cs="Times New Roman"/>
                <w:b w:val="0"/>
                <w:bCs/>
                <w:color w:val="auto"/>
                <w:sz w:val="24"/>
                <w:highlight w:val="none"/>
              </w:rPr>
              <w:t>-</w:t>
            </w:r>
            <w:r>
              <w:rPr>
                <w:rFonts w:hint="eastAsia" w:cs="Times New Roman"/>
                <w:b w:val="0"/>
                <w:bCs/>
                <w:color w:val="auto"/>
                <w:sz w:val="24"/>
                <w:highlight w:val="none"/>
                <w:lang w:val="en-US" w:eastAsia="zh-CN"/>
              </w:rPr>
              <w:t>35</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，委托有危险废物处理资质的单位进行处理处置</w:t>
            </w:r>
            <w:r>
              <w:rPr>
                <w:rFonts w:hint="default" w:ascii="Times New Roman" w:hAnsi="Times New Roman" w:eastAsia="宋体" w:cs="Times New Roman"/>
                <w:b w:val="0"/>
                <w:bCs/>
                <w:color w:val="auto"/>
                <w:sz w:val="24"/>
                <w:highlight w:val="none"/>
                <w:lang w:eastAsia="zh-CN"/>
              </w:rPr>
              <w:t>。</w:t>
            </w:r>
          </w:p>
          <w:p w14:paraId="3558BB8F">
            <w:pPr>
              <w:pStyle w:val="2"/>
              <w:keepNext w:val="0"/>
              <w:keepLines w:val="0"/>
              <w:pageBreakBefore w:val="0"/>
              <w:widowControl w:val="0"/>
              <w:kinsoku/>
              <w:wordWrap/>
              <w:overflowPunct/>
              <w:topLinePunct w:val="0"/>
              <w:autoSpaceDE/>
              <w:autoSpaceDN/>
              <w:bidi w:val="0"/>
              <w:adjustRightInd/>
              <w:snapToGrid/>
              <w:spacing w:after="0" w:line="480" w:lineRule="exact"/>
              <w:textAlignment w:val="auto"/>
              <w:rPr>
                <w:rFonts w:hint="eastAsia" w:ascii="Times New Roman" w:hAnsi="Times New Roman" w:eastAsia="宋体" w:cs="Times New Roman"/>
                <w:b w:val="0"/>
                <w:bCs/>
                <w:color w:val="auto"/>
                <w:kern w:val="2"/>
                <w:sz w:val="24"/>
                <w:szCs w:val="21"/>
                <w:highlight w:val="none"/>
                <w:lang w:val="en-US" w:eastAsia="zh-CN" w:bidi="ar-SA"/>
              </w:rPr>
            </w:pPr>
            <w:r>
              <w:rPr>
                <w:rFonts w:hint="eastAsia" w:cs="Times New Roman"/>
                <w:b w:val="0"/>
                <w:bCs/>
                <w:color w:val="auto"/>
                <w:sz w:val="24"/>
                <w:highlight w:val="none"/>
                <w:lang w:val="en-US" w:eastAsia="zh-CN"/>
              </w:rPr>
              <w:t>C废</w:t>
            </w:r>
            <w:r>
              <w:rPr>
                <w:rFonts w:hint="eastAsia" w:ascii="Times New Roman" w:hAnsi="Times New Roman" w:eastAsia="宋体" w:cs="Times New Roman"/>
                <w:b w:val="0"/>
                <w:bCs/>
                <w:color w:val="auto"/>
                <w:kern w:val="2"/>
                <w:sz w:val="24"/>
                <w:szCs w:val="21"/>
                <w:highlight w:val="none"/>
                <w:lang w:val="en-US" w:eastAsia="zh-CN" w:bidi="ar-SA"/>
              </w:rPr>
              <w:t>切削液（HW09）</w:t>
            </w:r>
          </w:p>
          <w:p w14:paraId="4F083D4B">
            <w:pPr>
              <w:pStyle w:val="2"/>
              <w:keepNext w:val="0"/>
              <w:keepLines w:val="0"/>
              <w:pageBreakBefore w:val="0"/>
              <w:widowControl w:val="0"/>
              <w:kinsoku/>
              <w:wordWrap/>
              <w:overflowPunct/>
              <w:topLinePunct w:val="0"/>
              <w:autoSpaceDE/>
              <w:autoSpaceDN/>
              <w:bidi w:val="0"/>
              <w:adjustRightInd/>
              <w:snapToGrid/>
              <w:spacing w:after="0" w:line="480" w:lineRule="exact"/>
              <w:textAlignment w:val="auto"/>
              <w:rPr>
                <w:rFonts w:hint="default" w:ascii="Times New Roman" w:hAnsi="Times New Roman" w:eastAsia="宋体" w:cs="Times New Roman"/>
                <w:b w:val="0"/>
                <w:bCs/>
                <w:color w:val="auto"/>
                <w:sz w:val="24"/>
                <w:highlight w:val="none"/>
              </w:rPr>
            </w:pPr>
            <w:r>
              <w:rPr>
                <w:rFonts w:hint="default"/>
                <w:bCs/>
                <w:color w:val="auto"/>
                <w:sz w:val="24"/>
                <w:highlight w:val="none"/>
              </w:rPr>
              <w:t>本项目铣削加工需用到切削液，切削液加水进行调配，切削液与水的配制比为1:20。铣削加工一次添加0.008t的切削液，则需要加入0.16t的自来水进行调配，切削调配液每1个月更换一次，则切削调配液用量约为2.02t/a，其中切削液用量约为0.1t/a，自来水用量约为1.92t/a，损耗量按70%计算，则废切削液产生量为0.61t/a。</w:t>
            </w:r>
            <w:r>
              <w:rPr>
                <w:rFonts w:hint="default" w:ascii="Times New Roman" w:hAnsi="Times New Roman" w:eastAsia="宋体" w:cs="Times New Roman"/>
                <w:b w:val="0"/>
                <w:bCs/>
                <w:color w:val="auto"/>
                <w:kern w:val="2"/>
                <w:sz w:val="24"/>
                <w:szCs w:val="21"/>
                <w:highlight w:val="none"/>
                <w:lang w:val="en-US" w:eastAsia="zh-CN" w:bidi="ar-SA"/>
              </w:rPr>
              <w:t>废</w:t>
            </w:r>
            <w:r>
              <w:rPr>
                <w:rFonts w:hint="eastAsia" w:ascii="Times New Roman" w:hAnsi="Times New Roman" w:eastAsia="宋体" w:cs="Times New Roman"/>
                <w:b w:val="0"/>
                <w:bCs/>
                <w:color w:val="auto"/>
                <w:kern w:val="2"/>
                <w:sz w:val="24"/>
                <w:szCs w:val="21"/>
                <w:highlight w:val="none"/>
                <w:lang w:val="en-US" w:eastAsia="zh-CN" w:bidi="ar-SA"/>
              </w:rPr>
              <w:t>切削液</w:t>
            </w:r>
            <w:r>
              <w:rPr>
                <w:rFonts w:hint="default" w:ascii="Times New Roman" w:hAnsi="Times New Roman" w:eastAsia="宋体" w:cs="Times New Roman"/>
                <w:b w:val="0"/>
                <w:bCs/>
                <w:color w:val="auto"/>
                <w:kern w:val="2"/>
                <w:sz w:val="24"/>
                <w:szCs w:val="21"/>
                <w:highlight w:val="none"/>
                <w:lang w:val="en-US" w:eastAsia="zh-CN" w:bidi="ar-SA"/>
              </w:rPr>
              <w:t>属</w:t>
            </w:r>
            <w:r>
              <w:rPr>
                <w:rFonts w:hint="eastAsia" w:ascii="Times New Roman" w:hAnsi="Times New Roman" w:eastAsia="宋体" w:cs="Times New Roman"/>
                <w:b w:val="0"/>
                <w:bCs/>
                <w:color w:val="auto"/>
                <w:kern w:val="2"/>
                <w:sz w:val="24"/>
                <w:szCs w:val="21"/>
                <w:highlight w:val="none"/>
                <w:lang w:val="en-US" w:eastAsia="zh-CN" w:bidi="ar-SA"/>
              </w:rPr>
              <w:t>于</w:t>
            </w:r>
            <w:r>
              <w:rPr>
                <w:rFonts w:hint="default" w:ascii="Times New Roman" w:hAnsi="Times New Roman" w:eastAsia="宋体" w:cs="Times New Roman"/>
                <w:b w:val="0"/>
                <w:bCs/>
                <w:color w:val="auto"/>
                <w:kern w:val="2"/>
                <w:sz w:val="24"/>
                <w:szCs w:val="21"/>
                <w:highlight w:val="none"/>
                <w:lang w:val="en-US" w:eastAsia="zh-CN" w:bidi="ar-SA"/>
              </w:rPr>
              <w:t>HW</w:t>
            </w:r>
            <w:r>
              <w:rPr>
                <w:rFonts w:hint="eastAsia" w:ascii="Times New Roman" w:hAnsi="Times New Roman" w:eastAsia="宋体" w:cs="Times New Roman"/>
                <w:b w:val="0"/>
                <w:bCs/>
                <w:color w:val="auto"/>
                <w:kern w:val="2"/>
                <w:sz w:val="24"/>
                <w:szCs w:val="21"/>
                <w:highlight w:val="none"/>
                <w:lang w:val="en-US" w:eastAsia="zh-CN" w:bidi="ar-SA"/>
              </w:rPr>
              <w:t>0</w:t>
            </w:r>
            <w:r>
              <w:rPr>
                <w:rFonts w:hint="default" w:ascii="Times New Roman" w:hAnsi="Times New Roman" w:eastAsia="宋体" w:cs="Times New Roman"/>
                <w:b w:val="0"/>
                <w:bCs/>
                <w:color w:val="auto"/>
                <w:kern w:val="2"/>
                <w:sz w:val="24"/>
                <w:szCs w:val="21"/>
                <w:highlight w:val="none"/>
                <w:lang w:val="en-US" w:eastAsia="zh-CN" w:bidi="ar-SA"/>
              </w:rPr>
              <w:t>9</w:t>
            </w:r>
            <w:r>
              <w:rPr>
                <w:rFonts w:hint="default" w:ascii="Times New Roman" w:hAnsi="Times New Roman" w:eastAsia="宋体" w:cs="Times New Roman"/>
                <w:b w:val="0"/>
                <w:bCs/>
                <w:color w:val="auto"/>
                <w:sz w:val="24"/>
                <w:highlight w:val="none"/>
              </w:rPr>
              <w:t>类危险废物</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危废代码</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900-0</w:t>
            </w:r>
            <w:r>
              <w:rPr>
                <w:rFonts w:hint="eastAsia" w:ascii="Times New Roman" w:hAnsi="Times New Roman" w:eastAsia="宋体" w:cs="Times New Roman"/>
                <w:b w:val="0"/>
                <w:bCs/>
                <w:color w:val="auto"/>
                <w:sz w:val="24"/>
                <w:highlight w:val="none"/>
                <w:lang w:val="en-US" w:eastAsia="zh-CN"/>
              </w:rPr>
              <w:t>06</w:t>
            </w:r>
            <w:r>
              <w:rPr>
                <w:rFonts w:hint="default" w:ascii="Times New Roman" w:hAnsi="Times New Roman" w:eastAsia="宋体" w:cs="Times New Roman"/>
                <w:b w:val="0"/>
                <w:bCs/>
                <w:color w:val="auto"/>
                <w:sz w:val="24"/>
                <w:highlight w:val="none"/>
              </w:rPr>
              <w:t>-</w:t>
            </w:r>
            <w:r>
              <w:rPr>
                <w:rFonts w:hint="eastAsia" w:ascii="Times New Roman" w:hAnsi="Times New Roman" w:eastAsia="宋体" w:cs="Times New Roman"/>
                <w:b w:val="0"/>
                <w:bCs/>
                <w:color w:val="auto"/>
                <w:sz w:val="24"/>
                <w:highlight w:val="none"/>
                <w:lang w:val="en-US" w:eastAsia="zh-CN"/>
              </w:rPr>
              <w:t>0</w:t>
            </w:r>
            <w:r>
              <w:rPr>
                <w:rFonts w:hint="default" w:ascii="Times New Roman" w:hAnsi="Times New Roman" w:eastAsia="宋体" w:cs="Times New Roman"/>
                <w:b w:val="0"/>
                <w:bCs/>
                <w:color w:val="auto"/>
                <w:sz w:val="24"/>
                <w:highlight w:val="none"/>
              </w:rPr>
              <w:t>9</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，委托有危险废物处理资质的单位进行处理处置。</w:t>
            </w:r>
          </w:p>
          <w:p w14:paraId="0DC6487C">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s="Times New Roman"/>
                <w:b w:val="0"/>
                <w:bCs/>
                <w:color w:val="auto"/>
                <w:sz w:val="24"/>
                <w:highlight w:val="none"/>
                <w:lang w:val="en-US" w:eastAsia="zh-CN"/>
              </w:rPr>
            </w:pPr>
            <w:r>
              <w:rPr>
                <w:rFonts w:hint="eastAsia" w:cs="Times New Roman"/>
                <w:b w:val="0"/>
                <w:bCs/>
                <w:color w:val="auto"/>
                <w:sz w:val="24"/>
                <w:highlight w:val="none"/>
                <w:lang w:val="en-US" w:eastAsia="zh-CN"/>
              </w:rPr>
              <w:t>D废滤芯（HW08）</w:t>
            </w:r>
          </w:p>
          <w:p w14:paraId="037A8A2D">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val="0"/>
                <w:bCs/>
                <w:color w:val="auto"/>
                <w:sz w:val="24"/>
                <w:highlight w:val="none"/>
              </w:rPr>
            </w:pPr>
            <w:r>
              <w:rPr>
                <w:rFonts w:hint="eastAsia" w:cs="Times New Roman"/>
                <w:b w:val="0"/>
                <w:bCs/>
                <w:color w:val="auto"/>
                <w:sz w:val="24"/>
                <w:highlight w:val="none"/>
                <w:lang w:val="en-US" w:eastAsia="zh-CN"/>
              </w:rPr>
              <w:t>电火花使用煤油作为介质，煤油经滤芯过滤后循环使用，因此产生废滤芯，</w:t>
            </w:r>
            <w:r>
              <w:rPr>
                <w:rFonts w:hint="default" w:ascii="Times New Roman" w:hAnsi="Times New Roman" w:eastAsia="宋体" w:cs="Times New Roman"/>
                <w:b w:val="0"/>
                <w:bCs/>
                <w:color w:val="auto"/>
                <w:kern w:val="2"/>
                <w:sz w:val="24"/>
                <w:szCs w:val="21"/>
                <w:highlight w:val="none"/>
                <w:lang w:val="en-US" w:eastAsia="zh-CN" w:bidi="ar-SA"/>
              </w:rPr>
              <w:t>产生量约</w:t>
            </w:r>
            <w:r>
              <w:rPr>
                <w:rFonts w:hint="eastAsia" w:ascii="Times New Roman" w:hAnsi="Times New Roman" w:eastAsia="宋体" w:cs="Times New Roman"/>
                <w:b w:val="0"/>
                <w:bCs/>
                <w:color w:val="auto"/>
                <w:kern w:val="2"/>
                <w:sz w:val="24"/>
                <w:szCs w:val="21"/>
                <w:highlight w:val="none"/>
                <w:lang w:val="en-US" w:eastAsia="zh-CN" w:bidi="ar-SA"/>
              </w:rPr>
              <w:t>0.1</w:t>
            </w:r>
            <w:r>
              <w:rPr>
                <w:rFonts w:hint="default" w:ascii="Times New Roman" w:hAnsi="Times New Roman" w:eastAsia="宋体" w:cs="Times New Roman"/>
                <w:b w:val="0"/>
                <w:bCs/>
                <w:color w:val="auto"/>
                <w:kern w:val="2"/>
                <w:sz w:val="24"/>
                <w:szCs w:val="21"/>
                <w:highlight w:val="none"/>
                <w:lang w:val="en-US" w:eastAsia="zh-CN" w:bidi="ar-SA"/>
              </w:rPr>
              <w:t>t/a。</w:t>
            </w:r>
            <w:r>
              <w:rPr>
                <w:rFonts w:hint="eastAsia" w:cs="Times New Roman"/>
                <w:b w:val="0"/>
                <w:bCs/>
                <w:color w:val="auto"/>
                <w:sz w:val="24"/>
                <w:highlight w:val="none"/>
                <w:lang w:val="en-US" w:eastAsia="zh-CN"/>
              </w:rPr>
              <w:t>废滤芯</w:t>
            </w:r>
            <w:r>
              <w:rPr>
                <w:rFonts w:hint="default" w:ascii="Times New Roman" w:hAnsi="Times New Roman" w:eastAsia="宋体" w:cs="Times New Roman"/>
                <w:b w:val="0"/>
                <w:bCs/>
                <w:color w:val="auto"/>
                <w:kern w:val="2"/>
                <w:sz w:val="24"/>
                <w:szCs w:val="21"/>
                <w:highlight w:val="none"/>
                <w:lang w:val="en-US" w:eastAsia="zh-CN" w:bidi="ar-SA"/>
              </w:rPr>
              <w:t>属</w:t>
            </w:r>
            <w:r>
              <w:rPr>
                <w:rFonts w:hint="eastAsia" w:ascii="Times New Roman" w:hAnsi="Times New Roman" w:eastAsia="宋体" w:cs="Times New Roman"/>
                <w:b w:val="0"/>
                <w:bCs/>
                <w:color w:val="auto"/>
                <w:kern w:val="2"/>
                <w:sz w:val="24"/>
                <w:szCs w:val="21"/>
                <w:highlight w:val="none"/>
                <w:lang w:val="en-US" w:eastAsia="zh-CN" w:bidi="ar-SA"/>
              </w:rPr>
              <w:t>于</w:t>
            </w:r>
            <w:r>
              <w:rPr>
                <w:rFonts w:hint="default" w:ascii="Times New Roman" w:hAnsi="Times New Roman" w:eastAsia="宋体" w:cs="Times New Roman"/>
                <w:b w:val="0"/>
                <w:bCs/>
                <w:color w:val="auto"/>
                <w:kern w:val="2"/>
                <w:sz w:val="24"/>
                <w:szCs w:val="21"/>
                <w:highlight w:val="none"/>
                <w:lang w:val="en-US" w:eastAsia="zh-CN" w:bidi="ar-SA"/>
              </w:rPr>
              <w:t>HW</w:t>
            </w:r>
            <w:r>
              <w:rPr>
                <w:rFonts w:hint="eastAsia" w:cs="Times New Roman"/>
                <w:b w:val="0"/>
                <w:bCs/>
                <w:color w:val="auto"/>
                <w:kern w:val="2"/>
                <w:sz w:val="24"/>
                <w:szCs w:val="21"/>
                <w:highlight w:val="none"/>
                <w:lang w:val="en-US" w:eastAsia="zh-CN" w:bidi="ar-SA"/>
              </w:rPr>
              <w:t>08</w:t>
            </w:r>
            <w:r>
              <w:rPr>
                <w:rFonts w:hint="default" w:ascii="Times New Roman" w:hAnsi="Times New Roman" w:eastAsia="宋体" w:cs="Times New Roman"/>
                <w:b w:val="0"/>
                <w:bCs/>
                <w:color w:val="auto"/>
                <w:sz w:val="24"/>
                <w:highlight w:val="none"/>
              </w:rPr>
              <w:t>类危险废物</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危废代码</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900-</w:t>
            </w:r>
            <w:r>
              <w:rPr>
                <w:rFonts w:hint="eastAsia" w:cs="Times New Roman"/>
                <w:b w:val="0"/>
                <w:bCs/>
                <w:color w:val="auto"/>
                <w:sz w:val="24"/>
                <w:highlight w:val="none"/>
                <w:lang w:val="en-US" w:eastAsia="zh-CN"/>
              </w:rPr>
              <w:t>213</w:t>
            </w:r>
            <w:r>
              <w:rPr>
                <w:rFonts w:hint="default" w:ascii="Times New Roman" w:hAnsi="Times New Roman" w:eastAsia="宋体" w:cs="Times New Roman"/>
                <w:b w:val="0"/>
                <w:bCs/>
                <w:color w:val="auto"/>
                <w:sz w:val="24"/>
                <w:highlight w:val="none"/>
              </w:rPr>
              <w:t>-</w:t>
            </w:r>
            <w:r>
              <w:rPr>
                <w:rFonts w:hint="eastAsia" w:cs="Times New Roman"/>
                <w:b w:val="0"/>
                <w:bCs/>
                <w:color w:val="auto"/>
                <w:sz w:val="24"/>
                <w:highlight w:val="none"/>
                <w:lang w:val="en-US" w:eastAsia="zh-CN"/>
              </w:rPr>
              <w:t>08</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，委托有危险废物处理资质的单位进行处理处置。</w:t>
            </w:r>
          </w:p>
          <w:p w14:paraId="214FD882">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t>E</w:t>
            </w:r>
            <w:r>
              <w:rPr>
                <w:rFonts w:hint="eastAsia" w:cs="Times New Roman"/>
                <w:b w:val="0"/>
                <w:bCs/>
                <w:color w:val="auto"/>
                <w:sz w:val="24"/>
                <w:highlight w:val="none"/>
                <w:lang w:val="en-US" w:eastAsia="zh-CN"/>
              </w:rPr>
              <w:t>废煤油（HW08）</w:t>
            </w:r>
          </w:p>
          <w:p w14:paraId="7711531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b w:val="0"/>
                <w:bCs/>
                <w:color w:val="auto"/>
                <w:sz w:val="24"/>
                <w:highlight w:val="none"/>
                <w:lang w:val="en-US" w:eastAsia="zh-CN"/>
              </w:rPr>
            </w:pPr>
            <w:r>
              <w:rPr>
                <w:rFonts w:hint="eastAsia" w:cs="Times New Roman"/>
                <w:b w:val="0"/>
                <w:bCs/>
                <w:color w:val="auto"/>
                <w:sz w:val="24"/>
                <w:highlight w:val="none"/>
                <w:lang w:val="en-US" w:eastAsia="zh-CN"/>
              </w:rPr>
              <w:t>电火花使用煤油作为介质，煤油经滤芯过滤后循环使用，使用一年后更换，</w:t>
            </w:r>
            <w:r>
              <w:rPr>
                <w:rFonts w:hint="default" w:ascii="Times New Roman" w:hAnsi="Times New Roman" w:eastAsia="宋体" w:cs="Times New Roman"/>
                <w:b w:val="0"/>
                <w:bCs/>
                <w:color w:val="auto"/>
                <w:kern w:val="2"/>
                <w:sz w:val="24"/>
                <w:szCs w:val="21"/>
                <w:highlight w:val="none"/>
                <w:lang w:val="en-US" w:eastAsia="zh-CN" w:bidi="ar-SA"/>
              </w:rPr>
              <w:t>产生量约</w:t>
            </w:r>
            <w:r>
              <w:rPr>
                <w:rFonts w:hint="eastAsia" w:ascii="Times New Roman" w:hAnsi="Times New Roman" w:eastAsia="宋体" w:cs="Times New Roman"/>
                <w:b w:val="0"/>
                <w:bCs/>
                <w:color w:val="auto"/>
                <w:kern w:val="2"/>
                <w:sz w:val="24"/>
                <w:szCs w:val="21"/>
                <w:highlight w:val="none"/>
                <w:lang w:val="en-US" w:eastAsia="zh-CN" w:bidi="ar-SA"/>
              </w:rPr>
              <w:t>0.</w:t>
            </w:r>
            <w:r>
              <w:rPr>
                <w:rFonts w:hint="eastAsia" w:cs="Times New Roman"/>
                <w:b w:val="0"/>
                <w:bCs/>
                <w:color w:val="auto"/>
                <w:kern w:val="2"/>
                <w:sz w:val="24"/>
                <w:szCs w:val="21"/>
                <w:highlight w:val="none"/>
                <w:lang w:val="en-US" w:eastAsia="zh-CN" w:bidi="ar-SA"/>
              </w:rPr>
              <w:t>041</w:t>
            </w:r>
            <w:r>
              <w:rPr>
                <w:rFonts w:hint="default" w:ascii="Times New Roman" w:hAnsi="Times New Roman" w:eastAsia="宋体" w:cs="Times New Roman"/>
                <w:b w:val="0"/>
                <w:bCs/>
                <w:color w:val="auto"/>
                <w:kern w:val="2"/>
                <w:sz w:val="24"/>
                <w:szCs w:val="21"/>
                <w:highlight w:val="none"/>
                <w:lang w:val="en-US" w:eastAsia="zh-CN" w:bidi="ar-SA"/>
              </w:rPr>
              <w:t>t/a。</w:t>
            </w:r>
            <w:r>
              <w:rPr>
                <w:rFonts w:hint="eastAsia" w:cs="Times New Roman"/>
                <w:b w:val="0"/>
                <w:bCs/>
                <w:color w:val="auto"/>
                <w:sz w:val="24"/>
                <w:highlight w:val="none"/>
                <w:lang w:val="en-US" w:eastAsia="zh-CN"/>
              </w:rPr>
              <w:t>废煤油</w:t>
            </w:r>
            <w:r>
              <w:rPr>
                <w:rFonts w:hint="default" w:ascii="Times New Roman" w:hAnsi="Times New Roman" w:eastAsia="宋体" w:cs="Times New Roman"/>
                <w:b w:val="0"/>
                <w:bCs/>
                <w:color w:val="auto"/>
                <w:kern w:val="2"/>
                <w:sz w:val="24"/>
                <w:szCs w:val="21"/>
                <w:highlight w:val="none"/>
                <w:lang w:val="en-US" w:eastAsia="zh-CN" w:bidi="ar-SA"/>
              </w:rPr>
              <w:t>属</w:t>
            </w:r>
            <w:r>
              <w:rPr>
                <w:rFonts w:hint="eastAsia" w:ascii="Times New Roman" w:hAnsi="Times New Roman" w:eastAsia="宋体" w:cs="Times New Roman"/>
                <w:b w:val="0"/>
                <w:bCs/>
                <w:color w:val="auto"/>
                <w:kern w:val="2"/>
                <w:sz w:val="24"/>
                <w:szCs w:val="21"/>
                <w:highlight w:val="none"/>
                <w:lang w:val="en-US" w:eastAsia="zh-CN" w:bidi="ar-SA"/>
              </w:rPr>
              <w:t>于</w:t>
            </w:r>
            <w:r>
              <w:rPr>
                <w:rFonts w:hint="default" w:ascii="Times New Roman" w:hAnsi="Times New Roman" w:eastAsia="宋体" w:cs="Times New Roman"/>
                <w:b w:val="0"/>
                <w:bCs/>
                <w:color w:val="auto"/>
                <w:kern w:val="2"/>
                <w:sz w:val="24"/>
                <w:szCs w:val="21"/>
                <w:highlight w:val="none"/>
                <w:lang w:val="en-US" w:eastAsia="zh-CN" w:bidi="ar-SA"/>
              </w:rPr>
              <w:t>HW</w:t>
            </w:r>
            <w:r>
              <w:rPr>
                <w:rFonts w:hint="eastAsia" w:cs="Times New Roman"/>
                <w:b w:val="0"/>
                <w:bCs/>
                <w:color w:val="auto"/>
                <w:kern w:val="2"/>
                <w:sz w:val="24"/>
                <w:szCs w:val="21"/>
                <w:highlight w:val="none"/>
                <w:lang w:val="en-US" w:eastAsia="zh-CN" w:bidi="ar-SA"/>
              </w:rPr>
              <w:t>08</w:t>
            </w:r>
            <w:r>
              <w:rPr>
                <w:rFonts w:hint="default" w:ascii="Times New Roman" w:hAnsi="Times New Roman" w:eastAsia="宋体" w:cs="Times New Roman"/>
                <w:b w:val="0"/>
                <w:bCs/>
                <w:color w:val="auto"/>
                <w:sz w:val="24"/>
                <w:highlight w:val="none"/>
              </w:rPr>
              <w:t>类危险废物</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危废代码</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900-</w:t>
            </w:r>
            <w:r>
              <w:rPr>
                <w:rFonts w:hint="eastAsia" w:cs="Times New Roman"/>
                <w:b w:val="0"/>
                <w:bCs/>
                <w:color w:val="auto"/>
                <w:sz w:val="24"/>
                <w:highlight w:val="none"/>
                <w:lang w:val="en-US" w:eastAsia="zh-CN"/>
              </w:rPr>
              <w:t>249</w:t>
            </w:r>
            <w:r>
              <w:rPr>
                <w:rFonts w:hint="default" w:ascii="Times New Roman" w:hAnsi="Times New Roman" w:eastAsia="宋体" w:cs="Times New Roman"/>
                <w:b w:val="0"/>
                <w:bCs/>
                <w:color w:val="auto"/>
                <w:sz w:val="24"/>
                <w:highlight w:val="none"/>
              </w:rPr>
              <w:t>-</w:t>
            </w:r>
            <w:r>
              <w:rPr>
                <w:rFonts w:hint="eastAsia" w:cs="Times New Roman"/>
                <w:b w:val="0"/>
                <w:bCs/>
                <w:color w:val="auto"/>
                <w:sz w:val="24"/>
                <w:highlight w:val="none"/>
                <w:lang w:val="en-US" w:eastAsia="zh-CN"/>
              </w:rPr>
              <w:t>08</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，委托有危险废物处理资质的单位进行处理处置。</w:t>
            </w:r>
          </w:p>
          <w:p w14:paraId="37FB752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color w:val="auto"/>
                <w:sz w:val="24"/>
                <w:highlight w:val="none"/>
                <w:lang w:eastAsia="zh-CN"/>
              </w:rPr>
            </w:pPr>
            <w:r>
              <w:rPr>
                <w:rFonts w:hint="eastAsia" w:ascii="Times New Roman" w:hAnsi="Times New Roman" w:eastAsia="宋体" w:cs="Times New Roman"/>
                <w:b w:val="0"/>
                <w:bCs/>
                <w:color w:val="auto"/>
                <w:sz w:val="24"/>
                <w:highlight w:val="none"/>
                <w:lang w:val="en-US" w:eastAsia="zh-CN"/>
              </w:rPr>
              <w:t>F</w:t>
            </w:r>
            <w:r>
              <w:rPr>
                <w:rFonts w:hint="default" w:ascii="Times New Roman" w:hAnsi="Times New Roman" w:eastAsia="宋体" w:cs="Times New Roman"/>
                <w:b w:val="0"/>
                <w:bCs/>
                <w:color w:val="auto"/>
                <w:sz w:val="24"/>
                <w:highlight w:val="none"/>
              </w:rPr>
              <w:t>废</w:t>
            </w:r>
            <w:r>
              <w:rPr>
                <w:rFonts w:hint="eastAsia" w:ascii="Times New Roman" w:hAnsi="Times New Roman" w:eastAsia="宋体" w:cs="Times New Roman"/>
                <w:b w:val="0"/>
                <w:bCs/>
                <w:color w:val="auto"/>
                <w:sz w:val="24"/>
                <w:highlight w:val="none"/>
                <w:lang w:val="en-US" w:eastAsia="zh-CN"/>
              </w:rPr>
              <w:t>包装</w:t>
            </w:r>
            <w:r>
              <w:rPr>
                <w:rFonts w:hint="default" w:ascii="Times New Roman" w:hAnsi="Times New Roman" w:eastAsia="宋体" w:cs="Times New Roman"/>
                <w:b w:val="0"/>
                <w:bCs/>
                <w:color w:val="auto"/>
                <w:sz w:val="24"/>
                <w:highlight w:val="none"/>
              </w:rPr>
              <w:t>桶</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HW</w:t>
            </w:r>
            <w:r>
              <w:rPr>
                <w:rFonts w:hint="eastAsia" w:cs="Times New Roman"/>
                <w:b w:val="0"/>
                <w:bCs/>
                <w:color w:val="auto"/>
                <w:sz w:val="24"/>
                <w:highlight w:val="none"/>
                <w:lang w:val="en-US" w:eastAsia="zh-CN"/>
              </w:rPr>
              <w:t>08</w:t>
            </w:r>
            <w:r>
              <w:rPr>
                <w:rFonts w:hint="default" w:ascii="Times New Roman" w:hAnsi="Times New Roman" w:eastAsia="宋体" w:cs="Times New Roman"/>
                <w:b w:val="0"/>
                <w:bCs/>
                <w:color w:val="auto"/>
                <w:sz w:val="24"/>
                <w:highlight w:val="none"/>
                <w:lang w:eastAsia="zh-CN"/>
              </w:rPr>
              <w:t>）</w:t>
            </w:r>
          </w:p>
          <w:p w14:paraId="6DC9365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color w:val="auto"/>
                <w:sz w:val="24"/>
                <w:highlight w:val="none"/>
                <w:lang w:eastAsia="zh-CN"/>
              </w:rPr>
            </w:pPr>
            <w:r>
              <w:rPr>
                <w:rFonts w:hint="eastAsia" w:ascii="Times New Roman" w:hAnsi="Times New Roman" w:eastAsia="宋体" w:cs="Times New Roman"/>
                <w:b w:val="0"/>
                <w:bCs/>
                <w:color w:val="auto"/>
                <w:sz w:val="24"/>
                <w:highlight w:val="none"/>
                <w:lang w:val="en-US" w:eastAsia="zh-CN"/>
              </w:rPr>
              <w:t>煤油、切削液</w:t>
            </w:r>
            <w:r>
              <w:rPr>
                <w:rFonts w:hint="default" w:ascii="Times New Roman" w:hAnsi="Times New Roman" w:eastAsia="宋体" w:cs="Times New Roman"/>
                <w:b w:val="0"/>
                <w:bCs/>
                <w:color w:val="auto"/>
                <w:sz w:val="24"/>
                <w:highlight w:val="none"/>
              </w:rPr>
              <w:t>使用完后有废包装</w:t>
            </w:r>
            <w:r>
              <w:rPr>
                <w:rFonts w:hint="eastAsia" w:ascii="Times New Roman" w:hAnsi="Times New Roman" w:eastAsia="宋体" w:cs="Times New Roman"/>
                <w:b w:val="0"/>
                <w:bCs/>
                <w:color w:val="auto"/>
                <w:sz w:val="24"/>
                <w:highlight w:val="none"/>
                <w:lang w:val="en-US" w:eastAsia="zh-CN"/>
              </w:rPr>
              <w:t>桶产生</w:t>
            </w:r>
            <w:r>
              <w:rPr>
                <w:rFonts w:hint="default" w:ascii="Times New Roman" w:hAnsi="Times New Roman" w:eastAsia="宋体" w:cs="Times New Roman"/>
                <w:b w:val="0"/>
                <w:bCs/>
                <w:color w:val="auto"/>
                <w:sz w:val="24"/>
                <w:highlight w:val="none"/>
              </w:rPr>
              <w:t>，产生量</w:t>
            </w:r>
            <w:r>
              <w:rPr>
                <w:rFonts w:hint="default" w:ascii="Times New Roman" w:hAnsi="Times New Roman" w:eastAsia="宋体" w:cs="Times New Roman"/>
                <w:b w:val="0"/>
                <w:bCs/>
                <w:color w:val="auto"/>
                <w:sz w:val="24"/>
                <w:highlight w:val="none"/>
                <w:lang w:val="en-US" w:eastAsia="zh-CN"/>
              </w:rPr>
              <w:t>约</w:t>
            </w:r>
            <w:r>
              <w:rPr>
                <w:rFonts w:hint="default" w:ascii="Times New Roman" w:hAnsi="Times New Roman" w:eastAsia="宋体" w:cs="Times New Roman"/>
                <w:b w:val="0"/>
                <w:bCs/>
                <w:color w:val="auto"/>
                <w:sz w:val="24"/>
                <w:highlight w:val="none"/>
              </w:rPr>
              <w:t>为</w:t>
            </w:r>
            <w:r>
              <w:rPr>
                <w:rFonts w:hint="eastAsia" w:ascii="Times New Roman" w:hAnsi="Times New Roman" w:eastAsia="宋体" w:cs="Times New Roman"/>
                <w:b w:val="0"/>
                <w:bCs/>
                <w:color w:val="auto"/>
                <w:sz w:val="24"/>
                <w:highlight w:val="none"/>
                <w:lang w:val="en-US" w:eastAsia="zh-CN"/>
              </w:rPr>
              <w:t>0.04</w:t>
            </w:r>
            <w:r>
              <w:rPr>
                <w:rFonts w:hint="default" w:ascii="Times New Roman" w:hAnsi="Times New Roman" w:eastAsia="宋体" w:cs="Times New Roman"/>
                <w:b w:val="0"/>
                <w:bCs/>
                <w:color w:val="auto"/>
                <w:sz w:val="24"/>
                <w:highlight w:val="none"/>
              </w:rPr>
              <w:t>t</w:t>
            </w:r>
            <w:r>
              <w:rPr>
                <w:rFonts w:hint="default" w:ascii="Times New Roman" w:hAnsi="Times New Roman" w:eastAsia="宋体" w:cs="Times New Roman"/>
                <w:b w:val="0"/>
                <w:bCs/>
                <w:color w:val="auto"/>
                <w:sz w:val="24"/>
                <w:highlight w:val="none"/>
                <w:lang w:val="en-US" w:eastAsia="zh-CN"/>
              </w:rPr>
              <w:t>/</w:t>
            </w:r>
            <w:r>
              <w:rPr>
                <w:rFonts w:hint="default" w:ascii="Times New Roman" w:hAnsi="Times New Roman" w:eastAsia="宋体" w:cs="Times New Roman"/>
                <w:b w:val="0"/>
                <w:bCs/>
                <w:color w:val="auto"/>
                <w:sz w:val="24"/>
                <w:highlight w:val="none"/>
              </w:rPr>
              <w:t>a，属于HW49类危险废物</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危废代码</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900-</w:t>
            </w:r>
            <w:r>
              <w:rPr>
                <w:rFonts w:hint="eastAsia" w:cs="Times New Roman"/>
                <w:b w:val="0"/>
                <w:bCs/>
                <w:color w:val="auto"/>
                <w:sz w:val="24"/>
                <w:highlight w:val="none"/>
                <w:lang w:val="en-US" w:eastAsia="zh-CN"/>
              </w:rPr>
              <w:t>249</w:t>
            </w:r>
            <w:r>
              <w:rPr>
                <w:rFonts w:hint="default" w:ascii="Times New Roman" w:hAnsi="Times New Roman" w:eastAsia="宋体" w:cs="Times New Roman"/>
                <w:b w:val="0"/>
                <w:bCs/>
                <w:color w:val="auto"/>
                <w:sz w:val="24"/>
                <w:highlight w:val="none"/>
              </w:rPr>
              <w:t>-</w:t>
            </w:r>
            <w:r>
              <w:rPr>
                <w:rFonts w:hint="eastAsia" w:cs="Times New Roman"/>
                <w:b w:val="0"/>
                <w:bCs/>
                <w:color w:val="auto"/>
                <w:sz w:val="24"/>
                <w:highlight w:val="none"/>
                <w:lang w:val="en-US" w:eastAsia="zh-CN"/>
              </w:rPr>
              <w:t>08</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，委托有危险废物处理资质的单位进行处理处置</w:t>
            </w:r>
            <w:r>
              <w:rPr>
                <w:rFonts w:hint="default" w:ascii="Times New Roman" w:hAnsi="Times New Roman" w:eastAsia="宋体" w:cs="Times New Roman"/>
                <w:b w:val="0"/>
                <w:bCs/>
                <w:color w:val="auto"/>
                <w:sz w:val="24"/>
                <w:highlight w:val="none"/>
                <w:lang w:eastAsia="zh-CN"/>
              </w:rPr>
              <w:t>。</w:t>
            </w:r>
          </w:p>
          <w:p w14:paraId="5C350D27">
            <w:pPr>
              <w:pStyle w:val="2"/>
              <w:keepNext w:val="0"/>
              <w:keepLines w:val="0"/>
              <w:pageBreakBefore w:val="0"/>
              <w:widowControl w:val="0"/>
              <w:kinsoku/>
              <w:wordWrap/>
              <w:overflowPunct/>
              <w:topLinePunct w:val="0"/>
              <w:autoSpaceDE/>
              <w:autoSpaceDN/>
              <w:bidi w:val="0"/>
              <w:adjustRightInd/>
              <w:snapToGrid/>
              <w:spacing w:after="0" w:line="480" w:lineRule="exact"/>
              <w:textAlignment w:val="auto"/>
              <w:rPr>
                <w:rFonts w:hint="eastAsia" w:cs="Times New Roman"/>
                <w:b w:val="0"/>
                <w:bCs/>
                <w:color w:val="auto"/>
                <w:sz w:val="24"/>
                <w:highlight w:val="none"/>
                <w:lang w:val="en-US" w:eastAsia="zh-CN"/>
              </w:rPr>
            </w:pPr>
            <w:r>
              <w:rPr>
                <w:rFonts w:hint="eastAsia" w:cs="Times New Roman"/>
                <w:b w:val="0"/>
                <w:bCs/>
                <w:color w:val="auto"/>
                <w:sz w:val="24"/>
                <w:highlight w:val="none"/>
                <w:lang w:val="en-US" w:eastAsia="zh-CN"/>
              </w:rPr>
              <w:t>G废抹布手套（HW08）</w:t>
            </w:r>
          </w:p>
          <w:p w14:paraId="083F8B9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color w:val="auto"/>
                <w:sz w:val="24"/>
                <w:highlight w:val="none"/>
                <w:lang w:eastAsia="zh-CN"/>
              </w:rPr>
            </w:pPr>
            <w:r>
              <w:rPr>
                <w:rFonts w:hint="eastAsia"/>
                <w:b w:val="0"/>
                <w:bCs w:val="0"/>
                <w:color w:val="auto"/>
                <w:sz w:val="24"/>
                <w:szCs w:val="24"/>
                <w:lang w:val="en-US" w:eastAsia="zh-CN"/>
              </w:rPr>
              <w:t>设备维护时使用抹布或手套对设备进行擦拭，会产生废抹布手套，</w:t>
            </w:r>
            <w:r>
              <w:rPr>
                <w:rFonts w:hint="default" w:ascii="Times New Roman" w:hAnsi="Times New Roman" w:eastAsia="宋体" w:cs="Times New Roman"/>
                <w:b w:val="0"/>
                <w:bCs/>
                <w:color w:val="auto"/>
                <w:sz w:val="24"/>
                <w:szCs w:val="24"/>
                <w:highlight w:val="none"/>
                <w:lang w:eastAsia="zh-CN"/>
              </w:rPr>
              <w:t>年产生量约</w:t>
            </w:r>
            <w:r>
              <w:rPr>
                <w:rFonts w:hint="default" w:ascii="Times New Roman" w:hAnsi="Times New Roman" w:eastAsia="宋体" w:cs="Times New Roman"/>
                <w:b w:val="0"/>
                <w:bCs/>
                <w:color w:val="auto"/>
                <w:sz w:val="24"/>
                <w:szCs w:val="24"/>
                <w:highlight w:val="none"/>
                <w:lang w:val="en-US" w:eastAsia="zh-CN"/>
              </w:rPr>
              <w:t>0.</w:t>
            </w:r>
            <w:r>
              <w:rPr>
                <w:rFonts w:hint="eastAsia" w:ascii="Times New Roman" w:hAnsi="Times New Roman" w:eastAsia="宋体" w:cs="Times New Roman"/>
                <w:b w:val="0"/>
                <w:bCs/>
                <w:color w:val="auto"/>
                <w:sz w:val="24"/>
                <w:szCs w:val="24"/>
                <w:highlight w:val="none"/>
                <w:lang w:val="en-US" w:eastAsia="zh-CN"/>
              </w:rPr>
              <w:t>1</w:t>
            </w:r>
            <w:r>
              <w:rPr>
                <w:rFonts w:hint="default" w:ascii="Times New Roman" w:hAnsi="Times New Roman" w:eastAsia="宋体" w:cs="Times New Roman"/>
                <w:b w:val="0"/>
                <w:bCs/>
                <w:color w:val="auto"/>
                <w:sz w:val="24"/>
                <w:szCs w:val="24"/>
                <w:highlight w:val="none"/>
                <w:lang w:eastAsia="zh-CN"/>
              </w:rPr>
              <w:t>t/a，</w:t>
            </w:r>
            <w:r>
              <w:rPr>
                <w:rFonts w:hint="default" w:ascii="Times New Roman" w:hAnsi="Times New Roman" w:eastAsia="宋体" w:cs="Times New Roman"/>
                <w:b w:val="0"/>
                <w:bCs/>
                <w:color w:val="auto"/>
                <w:sz w:val="24"/>
                <w:highlight w:val="none"/>
              </w:rPr>
              <w:t>属于HW</w:t>
            </w:r>
            <w:r>
              <w:rPr>
                <w:rFonts w:hint="eastAsia" w:cs="Times New Roman"/>
                <w:b w:val="0"/>
                <w:bCs/>
                <w:color w:val="auto"/>
                <w:sz w:val="24"/>
                <w:highlight w:val="none"/>
                <w:lang w:val="en-US" w:eastAsia="zh-CN"/>
              </w:rPr>
              <w:t>08</w:t>
            </w:r>
            <w:r>
              <w:rPr>
                <w:rFonts w:hint="default" w:ascii="Times New Roman" w:hAnsi="Times New Roman" w:eastAsia="宋体" w:cs="Times New Roman"/>
                <w:b w:val="0"/>
                <w:bCs/>
                <w:color w:val="auto"/>
                <w:sz w:val="24"/>
                <w:highlight w:val="none"/>
              </w:rPr>
              <w:t>类危险废物</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危废代码</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900-</w:t>
            </w:r>
            <w:r>
              <w:rPr>
                <w:rFonts w:hint="eastAsia" w:cs="Times New Roman"/>
                <w:b w:val="0"/>
                <w:bCs/>
                <w:color w:val="auto"/>
                <w:sz w:val="24"/>
                <w:highlight w:val="none"/>
                <w:lang w:val="en-US" w:eastAsia="zh-CN"/>
              </w:rPr>
              <w:t>249</w:t>
            </w:r>
            <w:r>
              <w:rPr>
                <w:rFonts w:hint="default" w:ascii="Times New Roman" w:hAnsi="Times New Roman" w:eastAsia="宋体" w:cs="Times New Roman"/>
                <w:b w:val="0"/>
                <w:bCs/>
                <w:color w:val="auto"/>
                <w:sz w:val="24"/>
                <w:highlight w:val="none"/>
              </w:rPr>
              <w:t>-</w:t>
            </w:r>
            <w:r>
              <w:rPr>
                <w:rFonts w:hint="eastAsia" w:cs="Times New Roman"/>
                <w:b w:val="0"/>
                <w:bCs/>
                <w:color w:val="auto"/>
                <w:sz w:val="24"/>
                <w:highlight w:val="none"/>
                <w:lang w:val="en-US" w:eastAsia="zh-CN"/>
              </w:rPr>
              <w:t>08</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，委托有危险废物处理资质的单位进行处理处置</w:t>
            </w:r>
            <w:r>
              <w:rPr>
                <w:rFonts w:hint="default" w:ascii="Times New Roman" w:hAnsi="Times New Roman" w:eastAsia="宋体" w:cs="Times New Roman"/>
                <w:b w:val="0"/>
                <w:bCs/>
                <w:color w:val="auto"/>
                <w:sz w:val="24"/>
                <w:highlight w:val="none"/>
                <w:lang w:eastAsia="zh-CN"/>
              </w:rPr>
              <w:t>。</w:t>
            </w:r>
          </w:p>
          <w:p w14:paraId="443FDB3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color w:val="auto"/>
                <w:sz w:val="24"/>
                <w:highlight w:val="none"/>
                <w:lang w:eastAsia="zh-CN"/>
              </w:rPr>
            </w:pPr>
            <w:r>
              <w:rPr>
                <w:rFonts w:hint="eastAsia" w:cs="Times New Roman"/>
                <w:b w:val="0"/>
                <w:bCs/>
                <w:color w:val="auto"/>
                <w:sz w:val="24"/>
                <w:highlight w:val="none"/>
                <w:lang w:val="en-US" w:eastAsia="zh-CN"/>
              </w:rPr>
              <w:t>H</w:t>
            </w:r>
            <w:r>
              <w:rPr>
                <w:rFonts w:hint="eastAsia" w:ascii="Times New Roman" w:hAnsi="Times New Roman" w:eastAsia="宋体" w:cs="Times New Roman"/>
                <w:b w:val="0"/>
                <w:bCs/>
                <w:color w:val="auto"/>
                <w:sz w:val="24"/>
                <w:highlight w:val="none"/>
                <w:lang w:val="en-US" w:eastAsia="zh-CN"/>
              </w:rPr>
              <w:t>废活性炭</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HW49</w:t>
            </w:r>
            <w:r>
              <w:rPr>
                <w:rFonts w:hint="default" w:ascii="Times New Roman" w:hAnsi="Times New Roman" w:eastAsia="宋体" w:cs="Times New Roman"/>
                <w:b w:val="0"/>
                <w:bCs/>
                <w:color w:val="auto"/>
                <w:sz w:val="24"/>
                <w:highlight w:val="none"/>
                <w:lang w:eastAsia="zh-CN"/>
              </w:rPr>
              <w:t>）</w:t>
            </w:r>
          </w:p>
          <w:p w14:paraId="71996FB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eastAsia="zh-CN"/>
              </w:rPr>
              <w:t>项目废气处理设施二级活性炭吸附装置定期更换活性炭，活性炭按照《省生态环境厅关于将排污单位活性炭使用更换纳入排污许可管理的通知》中计算公式对活性炭更换频次进行计算。经前文</w:t>
            </w:r>
            <w:r>
              <w:rPr>
                <w:rFonts w:hint="eastAsia" w:ascii="Times New Roman" w:hAnsi="Times New Roman" w:eastAsia="宋体" w:cs="Times New Roman"/>
                <w:b w:val="0"/>
                <w:bCs/>
                <w:color w:val="auto"/>
                <w:sz w:val="24"/>
                <w:highlight w:val="none"/>
                <w:lang w:val="en-US" w:eastAsia="zh-CN"/>
              </w:rPr>
              <w:t>2.2</w:t>
            </w:r>
            <w:r>
              <w:rPr>
                <w:rFonts w:hint="default" w:ascii="Times New Roman" w:hAnsi="Times New Roman" w:eastAsia="宋体" w:cs="Times New Roman"/>
                <w:b w:val="0"/>
                <w:bCs/>
                <w:color w:val="auto"/>
                <w:sz w:val="24"/>
                <w:highlight w:val="none"/>
                <w:lang w:eastAsia="zh-CN"/>
              </w:rPr>
              <w:t>章节计算，预计全厂产生废活性炭量</w:t>
            </w:r>
            <w:r>
              <w:rPr>
                <w:rFonts w:hint="eastAsia" w:ascii="Times New Roman" w:hAnsi="Times New Roman" w:eastAsia="宋体" w:cs="Times New Roman"/>
                <w:b w:val="0"/>
                <w:bCs/>
                <w:color w:val="auto"/>
                <w:sz w:val="24"/>
                <w:highlight w:val="none"/>
                <w:lang w:val="en-US" w:eastAsia="zh-CN"/>
              </w:rPr>
              <w:t>约</w:t>
            </w:r>
            <w:r>
              <w:rPr>
                <w:rFonts w:hint="eastAsia" w:cs="Times New Roman"/>
                <w:b w:val="0"/>
                <w:bCs/>
                <w:color w:val="auto"/>
                <w:sz w:val="24"/>
                <w:highlight w:val="none"/>
                <w:lang w:val="en-US" w:eastAsia="zh-CN"/>
              </w:rPr>
              <w:t>1.9</w:t>
            </w:r>
            <w:r>
              <w:rPr>
                <w:rFonts w:hint="default" w:ascii="Times New Roman" w:hAnsi="Times New Roman" w:eastAsia="宋体" w:cs="Times New Roman"/>
                <w:b w:val="0"/>
                <w:bCs/>
                <w:color w:val="auto"/>
                <w:sz w:val="24"/>
                <w:highlight w:val="none"/>
                <w:lang w:eastAsia="zh-CN"/>
              </w:rPr>
              <w:t>t（含吸附的有机废气量）。</w:t>
            </w:r>
            <w:r>
              <w:rPr>
                <w:rFonts w:hint="default" w:ascii="Times New Roman" w:hAnsi="Times New Roman" w:eastAsia="宋体" w:cs="Times New Roman"/>
                <w:b w:val="0"/>
                <w:bCs/>
                <w:color w:val="auto"/>
                <w:sz w:val="24"/>
                <w:highlight w:val="none"/>
                <w:shd w:val="clear" w:color="auto" w:fill="auto"/>
                <w:lang w:val="en-US" w:eastAsia="zh-CN"/>
              </w:rPr>
              <w:t>属于</w:t>
            </w:r>
            <w:r>
              <w:rPr>
                <w:rFonts w:hint="default" w:ascii="Times New Roman" w:hAnsi="Times New Roman" w:eastAsia="宋体" w:cs="Times New Roman"/>
                <w:b w:val="0"/>
                <w:bCs/>
                <w:color w:val="auto"/>
                <w:sz w:val="24"/>
                <w:highlight w:val="none"/>
                <w:shd w:val="clear" w:color="auto" w:fill="auto"/>
              </w:rPr>
              <w:t>HW</w:t>
            </w:r>
            <w:r>
              <w:rPr>
                <w:rFonts w:hint="default" w:ascii="Times New Roman" w:hAnsi="Times New Roman" w:eastAsia="宋体" w:cs="Times New Roman"/>
                <w:b w:val="0"/>
                <w:bCs/>
                <w:color w:val="auto"/>
                <w:sz w:val="24"/>
                <w:highlight w:val="none"/>
                <w:shd w:val="clear" w:color="auto" w:fill="auto"/>
                <w:lang w:val="en-US" w:eastAsia="zh-CN"/>
              </w:rPr>
              <w:t>49</w:t>
            </w:r>
            <w:r>
              <w:rPr>
                <w:rFonts w:hint="default" w:ascii="Times New Roman" w:hAnsi="Times New Roman" w:eastAsia="宋体" w:cs="Times New Roman"/>
                <w:b w:val="0"/>
                <w:bCs/>
                <w:color w:val="auto"/>
                <w:sz w:val="24"/>
                <w:highlight w:val="none"/>
                <w:shd w:val="clear" w:color="auto" w:fill="auto"/>
              </w:rPr>
              <w:t>类危险废物</w:t>
            </w:r>
            <w:r>
              <w:rPr>
                <w:rFonts w:hint="default" w:ascii="Times New Roman" w:hAnsi="Times New Roman" w:eastAsia="宋体" w:cs="Times New Roman"/>
                <w:b w:val="0"/>
                <w:bCs/>
                <w:color w:val="auto"/>
                <w:sz w:val="24"/>
                <w:highlight w:val="none"/>
                <w:shd w:val="clear" w:color="auto" w:fill="auto"/>
                <w:lang w:eastAsia="zh-CN"/>
              </w:rPr>
              <w:t>（</w:t>
            </w:r>
            <w:r>
              <w:rPr>
                <w:rFonts w:hint="default" w:ascii="Times New Roman" w:hAnsi="Times New Roman" w:eastAsia="宋体" w:cs="Times New Roman"/>
                <w:b w:val="0"/>
                <w:bCs/>
                <w:color w:val="auto"/>
                <w:sz w:val="24"/>
                <w:highlight w:val="none"/>
                <w:shd w:val="clear" w:color="auto" w:fill="auto"/>
              </w:rPr>
              <w:t>危废代码</w:t>
            </w:r>
            <w:r>
              <w:rPr>
                <w:rFonts w:hint="default" w:ascii="Times New Roman" w:hAnsi="Times New Roman" w:eastAsia="宋体" w:cs="Times New Roman"/>
                <w:b w:val="0"/>
                <w:bCs/>
                <w:color w:val="auto"/>
                <w:sz w:val="24"/>
                <w:highlight w:val="none"/>
                <w:shd w:val="clear" w:color="auto" w:fill="auto"/>
                <w:lang w:eastAsia="zh-CN"/>
              </w:rPr>
              <w:t>：</w:t>
            </w:r>
            <w:r>
              <w:rPr>
                <w:rFonts w:hint="default" w:ascii="Times New Roman" w:hAnsi="Times New Roman" w:eastAsia="宋体" w:cs="Times New Roman"/>
                <w:b w:val="0"/>
                <w:bCs/>
                <w:color w:val="auto"/>
                <w:sz w:val="24"/>
                <w:highlight w:val="none"/>
                <w:shd w:val="clear" w:color="auto" w:fill="auto"/>
              </w:rPr>
              <w:t>900-0</w:t>
            </w:r>
            <w:r>
              <w:rPr>
                <w:rFonts w:hint="default" w:ascii="Times New Roman" w:hAnsi="Times New Roman" w:eastAsia="宋体" w:cs="Times New Roman"/>
                <w:b w:val="0"/>
                <w:bCs/>
                <w:color w:val="auto"/>
                <w:sz w:val="24"/>
                <w:highlight w:val="none"/>
                <w:shd w:val="clear" w:color="auto" w:fill="auto"/>
                <w:lang w:val="en-US" w:eastAsia="zh-CN"/>
              </w:rPr>
              <w:t>39</w:t>
            </w:r>
            <w:r>
              <w:rPr>
                <w:rFonts w:hint="default" w:ascii="Times New Roman" w:hAnsi="Times New Roman" w:eastAsia="宋体" w:cs="Times New Roman"/>
                <w:b w:val="0"/>
                <w:bCs/>
                <w:color w:val="auto"/>
                <w:sz w:val="24"/>
                <w:highlight w:val="none"/>
                <w:shd w:val="clear" w:color="auto" w:fill="auto"/>
              </w:rPr>
              <w:t>-49</w:t>
            </w:r>
            <w:r>
              <w:rPr>
                <w:rFonts w:hint="default" w:ascii="Times New Roman" w:hAnsi="Times New Roman" w:eastAsia="宋体" w:cs="Times New Roman"/>
                <w:b w:val="0"/>
                <w:bCs/>
                <w:color w:val="auto"/>
                <w:sz w:val="24"/>
                <w:highlight w:val="none"/>
                <w:shd w:val="clear" w:color="auto" w:fill="auto"/>
                <w:lang w:eastAsia="zh-CN"/>
              </w:rPr>
              <w:t>）</w:t>
            </w:r>
            <w:r>
              <w:rPr>
                <w:rFonts w:hint="default" w:ascii="Times New Roman" w:hAnsi="Times New Roman" w:eastAsia="宋体" w:cs="Times New Roman"/>
                <w:b w:val="0"/>
                <w:bCs/>
                <w:color w:val="auto"/>
                <w:sz w:val="24"/>
                <w:highlight w:val="none"/>
              </w:rPr>
              <w:t>委托有危险废物处理资质的单位进行处理处置</w:t>
            </w:r>
            <w:r>
              <w:rPr>
                <w:rFonts w:hint="default" w:ascii="Times New Roman" w:hAnsi="Times New Roman" w:eastAsia="宋体" w:cs="Times New Roman"/>
                <w:b w:val="0"/>
                <w:bCs/>
                <w:color w:val="auto"/>
                <w:sz w:val="24"/>
                <w:highlight w:val="none"/>
                <w:lang w:eastAsia="zh-CN"/>
              </w:rPr>
              <w:t>。</w:t>
            </w:r>
          </w:p>
          <w:p w14:paraId="6EE4412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s="Times New Roman"/>
                <w:b w:val="0"/>
                <w:bCs/>
                <w:color w:val="auto"/>
                <w:sz w:val="24"/>
                <w:highlight w:val="none"/>
                <w:lang w:val="en-US" w:eastAsia="zh-CN"/>
              </w:rPr>
            </w:pPr>
            <w:r>
              <w:rPr>
                <w:rFonts w:hint="eastAsia" w:cs="Times New Roman"/>
                <w:b w:val="0"/>
                <w:bCs/>
                <w:color w:val="auto"/>
                <w:sz w:val="24"/>
                <w:highlight w:val="none"/>
                <w:lang w:val="en-US" w:eastAsia="zh-CN"/>
              </w:rPr>
              <w:t>I废擦拭布（HW49）</w:t>
            </w:r>
          </w:p>
          <w:p w14:paraId="6CC0F9A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color w:val="auto"/>
                <w:sz w:val="24"/>
                <w:highlight w:val="none"/>
                <w:lang w:eastAsia="zh-CN"/>
              </w:rPr>
            </w:pPr>
            <w:r>
              <w:rPr>
                <w:rFonts w:hint="eastAsia"/>
                <w:bCs/>
                <w:color w:val="auto"/>
                <w:sz w:val="24"/>
                <w:szCs w:val="24"/>
                <w:lang w:val="en-US" w:eastAsia="zh-CN"/>
              </w:rPr>
              <w:t>企业为</w:t>
            </w:r>
            <w:r>
              <w:rPr>
                <w:rFonts w:hint="eastAsia"/>
                <w:bCs/>
                <w:color w:val="auto"/>
                <w:sz w:val="24"/>
                <w:szCs w:val="24"/>
              </w:rPr>
              <w:t>保证打印质量</w:t>
            </w:r>
            <w:r>
              <w:rPr>
                <w:rFonts w:hint="eastAsia"/>
                <w:bCs/>
                <w:color w:val="auto"/>
                <w:sz w:val="24"/>
                <w:szCs w:val="24"/>
                <w:lang w:eastAsia="zh-CN"/>
              </w:rPr>
              <w:t>，</w:t>
            </w:r>
            <w:r>
              <w:rPr>
                <w:rFonts w:hint="eastAsia"/>
                <w:bCs/>
                <w:color w:val="auto"/>
                <w:sz w:val="24"/>
                <w:szCs w:val="24"/>
                <w:lang w:val="en-US" w:eastAsia="zh-CN"/>
              </w:rPr>
              <w:t>需要</w:t>
            </w:r>
            <w:r>
              <w:rPr>
                <w:rFonts w:hint="eastAsia"/>
                <w:bCs/>
                <w:color w:val="auto"/>
                <w:sz w:val="24"/>
                <w:szCs w:val="24"/>
              </w:rPr>
              <w:t>定期</w:t>
            </w:r>
            <w:r>
              <w:rPr>
                <w:rFonts w:hint="eastAsia"/>
                <w:bCs/>
                <w:color w:val="auto"/>
                <w:sz w:val="24"/>
                <w:szCs w:val="24"/>
                <w:lang w:val="en-US" w:eastAsia="zh-CN"/>
              </w:rPr>
              <w:t>擦拭喷头</w:t>
            </w:r>
            <w:r>
              <w:rPr>
                <w:rFonts w:hint="eastAsia"/>
                <w:b w:val="0"/>
                <w:bCs w:val="0"/>
                <w:color w:val="auto"/>
                <w:sz w:val="24"/>
                <w:szCs w:val="24"/>
                <w:lang w:val="en-US" w:eastAsia="zh-CN"/>
              </w:rPr>
              <w:t>，产生</w:t>
            </w:r>
            <w:r>
              <w:rPr>
                <w:rFonts w:hint="default"/>
                <w:b w:val="0"/>
                <w:bCs w:val="0"/>
                <w:color w:val="auto"/>
                <w:sz w:val="24"/>
                <w:szCs w:val="24"/>
                <w:lang w:val="en-US" w:eastAsia="zh-CN"/>
              </w:rPr>
              <w:t>废</w:t>
            </w:r>
            <w:r>
              <w:rPr>
                <w:rFonts w:hint="eastAsia"/>
                <w:b w:val="0"/>
                <w:bCs w:val="0"/>
                <w:color w:val="auto"/>
                <w:sz w:val="24"/>
                <w:szCs w:val="24"/>
                <w:lang w:val="en-US" w:eastAsia="zh-CN"/>
              </w:rPr>
              <w:t>擦拭布，</w:t>
            </w:r>
            <w:r>
              <w:rPr>
                <w:rFonts w:hint="default" w:ascii="Times New Roman" w:hAnsi="Times New Roman" w:eastAsia="宋体" w:cs="Times New Roman"/>
                <w:b w:val="0"/>
                <w:bCs/>
                <w:color w:val="auto"/>
                <w:sz w:val="24"/>
                <w:szCs w:val="24"/>
                <w:highlight w:val="none"/>
                <w:lang w:eastAsia="zh-CN"/>
              </w:rPr>
              <w:t>年产生量约</w:t>
            </w:r>
            <w:r>
              <w:rPr>
                <w:rFonts w:hint="default" w:ascii="Times New Roman" w:hAnsi="Times New Roman" w:eastAsia="宋体" w:cs="Times New Roman"/>
                <w:b w:val="0"/>
                <w:bCs/>
                <w:color w:val="auto"/>
                <w:sz w:val="24"/>
                <w:szCs w:val="24"/>
                <w:highlight w:val="none"/>
                <w:lang w:val="en-US" w:eastAsia="zh-CN"/>
              </w:rPr>
              <w:t>0.</w:t>
            </w:r>
            <w:r>
              <w:rPr>
                <w:rFonts w:hint="eastAsia" w:cs="Times New Roman"/>
                <w:b w:val="0"/>
                <w:bCs/>
                <w:color w:val="auto"/>
                <w:sz w:val="24"/>
                <w:szCs w:val="24"/>
                <w:highlight w:val="none"/>
                <w:lang w:val="en-US" w:eastAsia="zh-CN"/>
              </w:rPr>
              <w:t>1</w:t>
            </w:r>
            <w:r>
              <w:rPr>
                <w:rFonts w:hint="default" w:ascii="Times New Roman" w:hAnsi="Times New Roman" w:eastAsia="宋体" w:cs="Times New Roman"/>
                <w:b w:val="0"/>
                <w:bCs/>
                <w:color w:val="auto"/>
                <w:sz w:val="24"/>
                <w:szCs w:val="24"/>
                <w:highlight w:val="none"/>
                <w:lang w:eastAsia="zh-CN"/>
              </w:rPr>
              <w:t>t/a，</w:t>
            </w:r>
            <w:r>
              <w:rPr>
                <w:rFonts w:hint="default" w:ascii="Times New Roman" w:hAnsi="Times New Roman" w:eastAsia="宋体" w:cs="Times New Roman"/>
                <w:b w:val="0"/>
                <w:bCs/>
                <w:color w:val="auto"/>
                <w:sz w:val="24"/>
                <w:highlight w:val="none"/>
              </w:rPr>
              <w:t>属于HW49类危险废物</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危废代码</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900-041-49</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，委托有危险废物处理资质的单位进行处理处置</w:t>
            </w:r>
            <w:r>
              <w:rPr>
                <w:rFonts w:hint="default" w:ascii="Times New Roman" w:hAnsi="Times New Roman" w:eastAsia="宋体" w:cs="Times New Roman"/>
                <w:b w:val="0"/>
                <w:bCs/>
                <w:color w:val="auto"/>
                <w:sz w:val="24"/>
                <w:highlight w:val="none"/>
                <w:lang w:eastAsia="zh-CN"/>
              </w:rPr>
              <w:t>。</w:t>
            </w:r>
          </w:p>
          <w:p w14:paraId="5401063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s="Times New Roman"/>
                <w:b w:val="0"/>
                <w:bCs/>
                <w:color w:val="auto"/>
                <w:sz w:val="24"/>
                <w:highlight w:val="none"/>
                <w:lang w:val="en-US" w:eastAsia="zh-CN"/>
              </w:rPr>
            </w:pPr>
            <w:r>
              <w:rPr>
                <w:rFonts w:hint="eastAsia" w:cs="Times New Roman"/>
                <w:b w:val="0"/>
                <w:bCs/>
                <w:color w:val="auto"/>
                <w:sz w:val="24"/>
                <w:highlight w:val="none"/>
                <w:lang w:val="en-US" w:eastAsia="zh-CN"/>
              </w:rPr>
              <w:t>J抛光废液（HW17）</w:t>
            </w:r>
          </w:p>
          <w:p w14:paraId="3C872EE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color w:val="auto"/>
                <w:sz w:val="24"/>
                <w:highlight w:val="none"/>
                <w:lang w:eastAsia="zh-CN"/>
              </w:rPr>
            </w:pPr>
            <w:r>
              <w:rPr>
                <w:rFonts w:hint="eastAsia"/>
                <w:color w:val="auto"/>
                <w:sz w:val="24"/>
                <w:szCs w:val="24"/>
                <w:lang w:val="en-US" w:eastAsia="zh-CN"/>
              </w:rPr>
              <w:t>本项目磁力抛光过程中需用到水，磁力抛光机一次装填水量为0.25t，抛光用水每1个月定期排空，则抛光用水排空量约为3t/a，则抛光废液产生量约3t/a。</w:t>
            </w:r>
            <w:r>
              <w:rPr>
                <w:rFonts w:hint="default" w:ascii="Times New Roman" w:hAnsi="Times New Roman" w:eastAsia="宋体" w:cs="Times New Roman"/>
                <w:b w:val="0"/>
                <w:bCs/>
                <w:color w:val="auto"/>
                <w:sz w:val="24"/>
                <w:highlight w:val="none"/>
              </w:rPr>
              <w:t>属于HW</w:t>
            </w:r>
            <w:r>
              <w:rPr>
                <w:rFonts w:hint="eastAsia" w:ascii="Times New Roman" w:hAnsi="Times New Roman" w:eastAsia="宋体" w:cs="Times New Roman"/>
                <w:b w:val="0"/>
                <w:bCs/>
                <w:color w:val="auto"/>
                <w:sz w:val="24"/>
                <w:highlight w:val="none"/>
                <w:lang w:val="en-US" w:eastAsia="zh-CN"/>
              </w:rPr>
              <w:t>17</w:t>
            </w:r>
            <w:r>
              <w:rPr>
                <w:rFonts w:hint="default" w:ascii="Times New Roman" w:hAnsi="Times New Roman" w:eastAsia="宋体" w:cs="Times New Roman"/>
                <w:b w:val="0"/>
                <w:bCs/>
                <w:color w:val="auto"/>
                <w:sz w:val="24"/>
                <w:highlight w:val="none"/>
              </w:rPr>
              <w:t>类危险废物</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危废代码</w:t>
            </w:r>
            <w:r>
              <w:rPr>
                <w:rFonts w:hint="default" w:ascii="Times New Roman" w:hAnsi="Times New Roman" w:eastAsia="宋体" w:cs="Times New Roman"/>
                <w:b w:val="0"/>
                <w:bCs/>
                <w:color w:val="auto"/>
                <w:sz w:val="24"/>
                <w:highlight w:val="none"/>
                <w:lang w:eastAsia="zh-CN"/>
              </w:rPr>
              <w:t>：</w:t>
            </w:r>
            <w:r>
              <w:rPr>
                <w:rFonts w:hint="eastAsia" w:ascii="Times New Roman" w:hAnsi="Times New Roman" w:eastAsia="宋体" w:cs="Times New Roman"/>
                <w:b w:val="0"/>
                <w:bCs/>
                <w:color w:val="auto"/>
                <w:sz w:val="24"/>
                <w:highlight w:val="none"/>
                <w:lang w:val="en-US" w:eastAsia="zh-CN"/>
              </w:rPr>
              <w:t>336</w:t>
            </w:r>
            <w:r>
              <w:rPr>
                <w:rFonts w:hint="default" w:ascii="Times New Roman" w:hAnsi="Times New Roman" w:eastAsia="宋体" w:cs="Times New Roman"/>
                <w:b w:val="0"/>
                <w:bCs/>
                <w:color w:val="auto"/>
                <w:sz w:val="24"/>
                <w:highlight w:val="none"/>
              </w:rPr>
              <w:t>-0</w:t>
            </w:r>
            <w:r>
              <w:rPr>
                <w:rFonts w:hint="eastAsia" w:ascii="Times New Roman" w:hAnsi="Times New Roman" w:eastAsia="宋体" w:cs="Times New Roman"/>
                <w:b w:val="0"/>
                <w:bCs/>
                <w:color w:val="auto"/>
                <w:sz w:val="24"/>
                <w:highlight w:val="none"/>
                <w:lang w:val="en-US" w:eastAsia="zh-CN"/>
              </w:rPr>
              <w:t>64</w:t>
            </w:r>
            <w:r>
              <w:rPr>
                <w:rFonts w:hint="default" w:ascii="Times New Roman" w:hAnsi="Times New Roman" w:eastAsia="宋体" w:cs="Times New Roman"/>
                <w:b w:val="0"/>
                <w:bCs/>
                <w:color w:val="auto"/>
                <w:sz w:val="24"/>
                <w:highlight w:val="none"/>
              </w:rPr>
              <w:t>-</w:t>
            </w:r>
            <w:r>
              <w:rPr>
                <w:rFonts w:hint="eastAsia" w:ascii="Times New Roman" w:hAnsi="Times New Roman" w:eastAsia="宋体" w:cs="Times New Roman"/>
                <w:b w:val="0"/>
                <w:bCs/>
                <w:color w:val="auto"/>
                <w:sz w:val="24"/>
                <w:highlight w:val="none"/>
                <w:lang w:val="en-US" w:eastAsia="zh-CN"/>
              </w:rPr>
              <w:t>17</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，委托有危险废物处理资质的单位进行处理处置</w:t>
            </w:r>
            <w:r>
              <w:rPr>
                <w:rFonts w:hint="default" w:ascii="Times New Roman" w:hAnsi="Times New Roman" w:eastAsia="宋体" w:cs="Times New Roman"/>
                <w:b w:val="0"/>
                <w:bCs/>
                <w:color w:val="auto"/>
                <w:sz w:val="24"/>
                <w:highlight w:val="none"/>
                <w:lang w:eastAsia="zh-CN"/>
              </w:rPr>
              <w:t>。</w:t>
            </w:r>
          </w:p>
          <w:p w14:paraId="149C92B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s="Times New Roman"/>
                <w:b w:val="0"/>
                <w:bCs/>
                <w:color w:val="auto"/>
                <w:sz w:val="24"/>
                <w:highlight w:val="none"/>
                <w:lang w:val="en-US" w:eastAsia="zh-CN"/>
              </w:rPr>
            </w:pPr>
            <w:r>
              <w:rPr>
                <w:rFonts w:hint="eastAsia" w:cs="Times New Roman"/>
                <w:b w:val="0"/>
                <w:bCs/>
                <w:color w:val="auto"/>
                <w:sz w:val="24"/>
                <w:highlight w:val="none"/>
                <w:lang w:val="en-US" w:eastAsia="zh-CN"/>
              </w:rPr>
              <w:t>K废抹布（HW08）</w:t>
            </w:r>
          </w:p>
          <w:p w14:paraId="72B4792F">
            <w:pPr>
              <w:pStyle w:val="2"/>
              <w:rPr>
                <w:rFonts w:hint="default"/>
                <w:color w:val="auto"/>
                <w:lang w:val="en-US" w:eastAsia="zh-CN"/>
              </w:rPr>
            </w:pPr>
            <w:r>
              <w:rPr>
                <w:rFonts w:hint="eastAsia"/>
                <w:color w:val="auto"/>
                <w:sz w:val="24"/>
                <w:szCs w:val="24"/>
                <w:lang w:val="en-US" w:eastAsia="zh-CN"/>
              </w:rPr>
              <w:t>电火花工序</w:t>
            </w:r>
            <w:r>
              <w:rPr>
                <w:rFonts w:hint="eastAsia"/>
                <w:color w:val="auto"/>
                <w:sz w:val="24"/>
                <w:szCs w:val="24"/>
              </w:rPr>
              <w:t>结束后</w:t>
            </w:r>
            <w:r>
              <w:rPr>
                <w:rFonts w:hint="eastAsia"/>
                <w:color w:val="auto"/>
                <w:sz w:val="24"/>
                <w:szCs w:val="24"/>
                <w:lang w:eastAsia="zh-CN"/>
              </w:rPr>
              <w:t>，</w:t>
            </w:r>
            <w:r>
              <w:rPr>
                <w:rFonts w:hint="eastAsia"/>
                <w:color w:val="auto"/>
                <w:sz w:val="24"/>
                <w:szCs w:val="24"/>
                <w:lang w:val="en-US" w:eastAsia="zh-CN"/>
              </w:rPr>
              <w:t>将模</w:t>
            </w:r>
            <w:r>
              <w:rPr>
                <w:rFonts w:hint="eastAsia" w:cs="Times New Roman"/>
                <w:b w:val="0"/>
                <w:bCs w:val="0"/>
                <w:color w:val="auto"/>
                <w:sz w:val="24"/>
                <w:szCs w:val="24"/>
                <w:highlight w:val="none"/>
                <w:lang w:val="en-US" w:eastAsia="zh-CN"/>
              </w:rPr>
              <w:t>具取出，</w:t>
            </w:r>
            <w:r>
              <w:rPr>
                <w:rFonts w:hint="eastAsia"/>
                <w:color w:val="auto"/>
                <w:sz w:val="24"/>
                <w:szCs w:val="24"/>
                <w:highlight w:val="none"/>
              </w:rPr>
              <w:t>其表面会附着一层煤油</w:t>
            </w:r>
            <w:r>
              <w:rPr>
                <w:rFonts w:hint="eastAsia"/>
                <w:color w:val="auto"/>
                <w:sz w:val="24"/>
                <w:szCs w:val="24"/>
              </w:rPr>
              <w:t>，需用抹布擦拭</w:t>
            </w:r>
            <w:r>
              <w:rPr>
                <w:rFonts w:hint="eastAsia"/>
                <w:color w:val="auto"/>
                <w:sz w:val="24"/>
                <w:szCs w:val="24"/>
                <w:lang w:eastAsia="zh-CN"/>
              </w:rPr>
              <w:t>，</w:t>
            </w:r>
            <w:r>
              <w:rPr>
                <w:rFonts w:hint="eastAsia"/>
                <w:color w:val="auto"/>
                <w:sz w:val="24"/>
                <w:szCs w:val="24"/>
                <w:lang w:val="en-US" w:eastAsia="zh-CN"/>
              </w:rPr>
              <w:t>产生废抹布，</w:t>
            </w:r>
            <w:r>
              <w:rPr>
                <w:rFonts w:hint="default" w:ascii="Times New Roman" w:hAnsi="Times New Roman" w:eastAsia="宋体" w:cs="Times New Roman"/>
                <w:b w:val="0"/>
                <w:bCs/>
                <w:color w:val="auto"/>
                <w:sz w:val="24"/>
                <w:szCs w:val="24"/>
                <w:highlight w:val="none"/>
                <w:lang w:eastAsia="zh-CN"/>
              </w:rPr>
              <w:t>年产生量约</w:t>
            </w:r>
            <w:r>
              <w:rPr>
                <w:rFonts w:hint="default" w:ascii="Times New Roman" w:hAnsi="Times New Roman" w:eastAsia="宋体" w:cs="Times New Roman"/>
                <w:b w:val="0"/>
                <w:bCs/>
                <w:color w:val="auto"/>
                <w:sz w:val="24"/>
                <w:szCs w:val="24"/>
                <w:highlight w:val="none"/>
                <w:lang w:val="en-US" w:eastAsia="zh-CN"/>
              </w:rPr>
              <w:t>0.</w:t>
            </w:r>
            <w:r>
              <w:rPr>
                <w:rFonts w:hint="eastAsia" w:cs="Times New Roman"/>
                <w:b w:val="0"/>
                <w:bCs/>
                <w:color w:val="auto"/>
                <w:sz w:val="24"/>
                <w:szCs w:val="24"/>
                <w:highlight w:val="none"/>
                <w:lang w:val="en-US" w:eastAsia="zh-CN"/>
              </w:rPr>
              <w:t>2</w:t>
            </w:r>
            <w:r>
              <w:rPr>
                <w:rFonts w:hint="default" w:ascii="Times New Roman" w:hAnsi="Times New Roman" w:eastAsia="宋体" w:cs="Times New Roman"/>
                <w:b w:val="0"/>
                <w:bCs/>
                <w:color w:val="auto"/>
                <w:sz w:val="24"/>
                <w:szCs w:val="24"/>
                <w:highlight w:val="none"/>
                <w:lang w:eastAsia="zh-CN"/>
              </w:rPr>
              <w:t>t/a，</w:t>
            </w:r>
            <w:r>
              <w:rPr>
                <w:rFonts w:hint="default" w:ascii="Times New Roman" w:hAnsi="Times New Roman" w:eastAsia="宋体" w:cs="Times New Roman"/>
                <w:b w:val="0"/>
                <w:bCs/>
                <w:color w:val="auto"/>
                <w:sz w:val="24"/>
                <w:highlight w:val="none"/>
              </w:rPr>
              <w:t>属于HW</w:t>
            </w:r>
            <w:r>
              <w:rPr>
                <w:rFonts w:hint="eastAsia" w:cs="Times New Roman"/>
                <w:b w:val="0"/>
                <w:bCs/>
                <w:color w:val="auto"/>
                <w:sz w:val="24"/>
                <w:highlight w:val="none"/>
                <w:lang w:val="en-US" w:eastAsia="zh-CN"/>
              </w:rPr>
              <w:t>08</w:t>
            </w:r>
            <w:r>
              <w:rPr>
                <w:rFonts w:hint="default" w:ascii="Times New Roman" w:hAnsi="Times New Roman" w:eastAsia="宋体" w:cs="Times New Roman"/>
                <w:b w:val="0"/>
                <w:bCs/>
                <w:color w:val="auto"/>
                <w:sz w:val="24"/>
                <w:highlight w:val="none"/>
              </w:rPr>
              <w:t>类危险废物</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危废代码</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900-</w:t>
            </w:r>
            <w:r>
              <w:rPr>
                <w:rFonts w:hint="eastAsia" w:cs="Times New Roman"/>
                <w:b w:val="0"/>
                <w:bCs/>
                <w:color w:val="auto"/>
                <w:sz w:val="24"/>
                <w:highlight w:val="none"/>
                <w:lang w:val="en-US" w:eastAsia="zh-CN"/>
              </w:rPr>
              <w:t>249</w:t>
            </w:r>
            <w:r>
              <w:rPr>
                <w:rFonts w:hint="default" w:ascii="Times New Roman" w:hAnsi="Times New Roman" w:eastAsia="宋体" w:cs="Times New Roman"/>
                <w:b w:val="0"/>
                <w:bCs/>
                <w:color w:val="auto"/>
                <w:sz w:val="24"/>
                <w:highlight w:val="none"/>
              </w:rPr>
              <w:t>-</w:t>
            </w:r>
            <w:r>
              <w:rPr>
                <w:rFonts w:hint="eastAsia" w:cs="Times New Roman"/>
                <w:b w:val="0"/>
                <w:bCs/>
                <w:color w:val="auto"/>
                <w:sz w:val="24"/>
                <w:highlight w:val="none"/>
                <w:lang w:val="en-US" w:eastAsia="zh-CN"/>
              </w:rPr>
              <w:t>08</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，委托有危险废物处理资质的单位进行处理处置</w:t>
            </w:r>
            <w:r>
              <w:rPr>
                <w:rFonts w:hint="default" w:ascii="Times New Roman" w:hAnsi="Times New Roman" w:eastAsia="宋体" w:cs="Times New Roman"/>
                <w:b w:val="0"/>
                <w:bCs/>
                <w:color w:val="auto"/>
                <w:sz w:val="24"/>
                <w:highlight w:val="none"/>
                <w:lang w:eastAsia="zh-CN"/>
              </w:rPr>
              <w:t>。</w:t>
            </w:r>
          </w:p>
          <w:p w14:paraId="2886DAF2">
            <w:pPr>
              <w:keepNext w:val="0"/>
              <w:keepLines w:val="0"/>
              <w:pageBreakBefore w:val="0"/>
              <w:widowControl w:val="0"/>
              <w:kinsoku/>
              <w:wordWrap/>
              <w:overflowPunct/>
              <w:topLinePunct w:val="0"/>
              <w:autoSpaceDE/>
              <w:autoSpaceDN/>
              <w:bidi w:val="0"/>
              <w:adjustRightInd/>
              <w:snapToGrid w:val="0"/>
              <w:ind w:firstLine="0" w:firstLineChars="0"/>
              <w:textAlignment w:val="auto"/>
              <w:rPr>
                <w:b/>
                <w:bCs/>
                <w:color w:val="auto"/>
                <w:sz w:val="24"/>
                <w:szCs w:val="24"/>
              </w:rPr>
            </w:pPr>
            <w:r>
              <w:rPr>
                <w:b/>
                <w:bCs/>
                <w:color w:val="auto"/>
                <w:sz w:val="24"/>
                <w:szCs w:val="24"/>
              </w:rPr>
              <w:t>4.2固废属性判定</w:t>
            </w:r>
          </w:p>
          <w:p w14:paraId="664E6218">
            <w:pPr>
              <w:keepNext w:val="0"/>
              <w:keepLines w:val="0"/>
              <w:pageBreakBefore w:val="0"/>
              <w:widowControl w:val="0"/>
              <w:kinsoku/>
              <w:wordWrap/>
              <w:overflowPunct/>
              <w:topLinePunct w:val="0"/>
              <w:autoSpaceDE/>
              <w:autoSpaceDN/>
              <w:bidi w:val="0"/>
              <w:adjustRightInd/>
              <w:snapToGrid w:val="0"/>
              <w:ind w:firstLine="420"/>
              <w:textAlignment w:val="auto"/>
              <w:rPr>
                <w:color w:val="auto"/>
                <w:sz w:val="24"/>
                <w:szCs w:val="24"/>
              </w:rPr>
            </w:pPr>
            <w:r>
              <w:rPr>
                <w:color w:val="auto"/>
                <w:sz w:val="24"/>
                <w:szCs w:val="24"/>
              </w:rPr>
              <w:t>根据《中华人民共和国固体废物污染环境防治法》、《固体废物鉴别标准通则》（GB34330-2017），对建设项目产生的物质（除目标产物，即：产品、副产品外），依据产生来源、利用和处置过程鉴别属于固体废物并且作为固体废物管理的物质。</w:t>
            </w:r>
          </w:p>
          <w:p w14:paraId="721BAFD3">
            <w:pPr>
              <w:keepNext w:val="0"/>
              <w:keepLines w:val="0"/>
              <w:pageBreakBefore w:val="0"/>
              <w:widowControl w:val="0"/>
              <w:kinsoku/>
              <w:wordWrap/>
              <w:overflowPunct/>
              <w:topLinePunct w:val="0"/>
              <w:autoSpaceDE/>
              <w:autoSpaceDN/>
              <w:bidi w:val="0"/>
              <w:adjustRightInd/>
              <w:snapToGrid w:val="0"/>
              <w:ind w:firstLine="420"/>
              <w:textAlignment w:val="auto"/>
              <w:rPr>
                <w:color w:val="auto"/>
                <w:sz w:val="24"/>
                <w:szCs w:val="24"/>
              </w:rPr>
            </w:pPr>
            <w:r>
              <w:rPr>
                <w:color w:val="auto"/>
                <w:sz w:val="24"/>
                <w:szCs w:val="24"/>
              </w:rPr>
              <w:t>根据《国家危险废物名录》（20</w:t>
            </w:r>
            <w:r>
              <w:rPr>
                <w:rFonts w:hint="eastAsia"/>
                <w:color w:val="auto"/>
                <w:sz w:val="24"/>
                <w:szCs w:val="24"/>
                <w:lang w:val="en-US" w:eastAsia="zh-CN"/>
              </w:rPr>
              <w:t>25</w:t>
            </w:r>
            <w:r>
              <w:rPr>
                <w:color w:val="auto"/>
                <w:sz w:val="24"/>
                <w:szCs w:val="24"/>
              </w:rPr>
              <w:t>年）以及《危险废物鉴别标准通则》（GB5085.7）等进行属性判定，判定该固体废物是否属于危险废物。给出的判定依据及结果见表4</w:t>
            </w:r>
            <w:r>
              <w:rPr>
                <w:rFonts w:hint="eastAsia"/>
                <w:color w:val="auto"/>
                <w:sz w:val="24"/>
                <w:szCs w:val="24"/>
                <w:lang w:val="en-US" w:eastAsia="zh-CN"/>
              </w:rPr>
              <w:t>.4</w:t>
            </w:r>
            <w:r>
              <w:rPr>
                <w:color w:val="auto"/>
                <w:sz w:val="24"/>
                <w:szCs w:val="24"/>
              </w:rPr>
              <w:t>-</w:t>
            </w:r>
            <w:r>
              <w:rPr>
                <w:rFonts w:hint="eastAsia"/>
                <w:color w:val="auto"/>
                <w:sz w:val="24"/>
                <w:szCs w:val="24"/>
                <w:lang w:val="en-US" w:eastAsia="zh-CN"/>
              </w:rPr>
              <w:t>1</w:t>
            </w:r>
            <w:r>
              <w:rPr>
                <w:color w:val="auto"/>
                <w:sz w:val="24"/>
                <w:szCs w:val="24"/>
              </w:rPr>
              <w:t>。</w:t>
            </w:r>
          </w:p>
          <w:p w14:paraId="5A43284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eastAsia="宋体"/>
                <w:b/>
                <w:bCs/>
                <w:color w:val="auto"/>
                <w:sz w:val="21"/>
                <w:szCs w:val="21"/>
                <w:lang w:val="en-US" w:eastAsia="zh-CN"/>
              </w:rPr>
            </w:pPr>
            <w:r>
              <w:rPr>
                <w:b/>
                <w:bCs/>
                <w:color w:val="auto"/>
                <w:sz w:val="21"/>
                <w:szCs w:val="21"/>
              </w:rPr>
              <w:t>表</w:t>
            </w:r>
            <w:r>
              <w:rPr>
                <w:rFonts w:hint="eastAsia"/>
                <w:b/>
                <w:bCs/>
                <w:color w:val="auto"/>
                <w:sz w:val="21"/>
                <w:szCs w:val="21"/>
                <w:lang w:val="en-US" w:eastAsia="zh-CN"/>
              </w:rPr>
              <w:t>4.</w:t>
            </w:r>
            <w:r>
              <w:rPr>
                <w:b/>
                <w:bCs/>
                <w:color w:val="auto"/>
                <w:sz w:val="21"/>
                <w:szCs w:val="21"/>
              </w:rPr>
              <w:t>4-</w:t>
            </w:r>
            <w:r>
              <w:rPr>
                <w:rFonts w:hint="eastAsia"/>
                <w:b/>
                <w:bCs/>
                <w:color w:val="auto"/>
                <w:sz w:val="21"/>
                <w:szCs w:val="21"/>
                <w:lang w:val="en-US" w:eastAsia="zh-CN"/>
              </w:rPr>
              <w:t>1</w:t>
            </w:r>
            <w:r>
              <w:rPr>
                <w:b/>
                <w:bCs/>
                <w:color w:val="auto"/>
                <w:sz w:val="21"/>
                <w:szCs w:val="21"/>
              </w:rPr>
              <w:t xml:space="preserve">  建设项目</w:t>
            </w:r>
            <w:r>
              <w:rPr>
                <w:rFonts w:hint="eastAsia"/>
                <w:b/>
                <w:bCs/>
                <w:color w:val="auto"/>
                <w:sz w:val="21"/>
                <w:szCs w:val="21"/>
                <w:lang w:val="en-US" w:eastAsia="zh-CN"/>
              </w:rPr>
              <w:t>固废属性判定表</w:t>
            </w:r>
          </w:p>
          <w:tbl>
            <w:tblPr>
              <w:tblStyle w:val="17"/>
              <w:tblW w:w="491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1"/>
              <w:gridCol w:w="1281"/>
              <w:gridCol w:w="1059"/>
              <w:gridCol w:w="743"/>
              <w:gridCol w:w="1040"/>
              <w:gridCol w:w="1067"/>
              <w:gridCol w:w="762"/>
              <w:gridCol w:w="1031"/>
              <w:gridCol w:w="1957"/>
            </w:tblGrid>
            <w:tr w14:paraId="3E2BD4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 w:type="pct"/>
                  <w:vMerge w:val="restart"/>
                  <w:noWrap w:val="0"/>
                  <w:vAlign w:val="center"/>
                </w:tcPr>
                <w:p w14:paraId="619BA62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序号</w:t>
                  </w:r>
                </w:p>
              </w:tc>
              <w:tc>
                <w:tcPr>
                  <w:tcW w:w="681" w:type="pct"/>
                  <w:vMerge w:val="restart"/>
                  <w:noWrap w:val="0"/>
                  <w:vAlign w:val="center"/>
                </w:tcPr>
                <w:p w14:paraId="6FB2586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副产物</w:t>
                  </w:r>
                </w:p>
                <w:p w14:paraId="6A09046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名称</w:t>
                  </w:r>
                </w:p>
              </w:tc>
              <w:tc>
                <w:tcPr>
                  <w:tcW w:w="563" w:type="pct"/>
                  <w:vMerge w:val="restart"/>
                  <w:noWrap w:val="0"/>
                  <w:vAlign w:val="center"/>
                </w:tcPr>
                <w:p w14:paraId="7203211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产生</w:t>
                  </w:r>
                </w:p>
                <w:p w14:paraId="5CABE92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来源</w:t>
                  </w:r>
                </w:p>
              </w:tc>
              <w:tc>
                <w:tcPr>
                  <w:tcW w:w="395" w:type="pct"/>
                  <w:vMerge w:val="restart"/>
                  <w:noWrap w:val="0"/>
                  <w:vAlign w:val="center"/>
                </w:tcPr>
                <w:p w14:paraId="4CF2AFF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形态</w:t>
                  </w:r>
                </w:p>
              </w:tc>
              <w:tc>
                <w:tcPr>
                  <w:tcW w:w="553" w:type="pct"/>
                  <w:vMerge w:val="restart"/>
                  <w:noWrap w:val="0"/>
                  <w:vAlign w:val="center"/>
                </w:tcPr>
                <w:p w14:paraId="3A49B1B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主要</w:t>
                  </w:r>
                </w:p>
                <w:p w14:paraId="6E5FF05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成分</w:t>
                  </w:r>
                </w:p>
              </w:tc>
              <w:tc>
                <w:tcPr>
                  <w:tcW w:w="567" w:type="pct"/>
                  <w:vMerge w:val="restart"/>
                  <w:noWrap w:val="0"/>
                  <w:vAlign w:val="center"/>
                </w:tcPr>
                <w:p w14:paraId="70164F7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预测产生量（t/a）</w:t>
                  </w:r>
                </w:p>
              </w:tc>
              <w:tc>
                <w:tcPr>
                  <w:tcW w:w="1993" w:type="pct"/>
                  <w:gridSpan w:val="3"/>
                  <w:noWrap w:val="0"/>
                  <w:vAlign w:val="center"/>
                </w:tcPr>
                <w:p w14:paraId="3644BB7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种类判断*</w:t>
                  </w:r>
                </w:p>
              </w:tc>
            </w:tr>
            <w:tr w14:paraId="79C771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 w:type="pct"/>
                  <w:vMerge w:val="continue"/>
                  <w:noWrap w:val="0"/>
                  <w:vAlign w:val="center"/>
                </w:tcPr>
                <w:p w14:paraId="2C04C62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1" w:type="pct"/>
                  <w:vMerge w:val="continue"/>
                  <w:noWrap w:val="0"/>
                  <w:vAlign w:val="center"/>
                </w:tcPr>
                <w:p w14:paraId="67C5178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563" w:type="pct"/>
                  <w:vMerge w:val="continue"/>
                  <w:noWrap w:val="0"/>
                  <w:vAlign w:val="center"/>
                </w:tcPr>
                <w:p w14:paraId="1C09B55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395" w:type="pct"/>
                  <w:vMerge w:val="continue"/>
                  <w:noWrap w:val="0"/>
                  <w:vAlign w:val="center"/>
                </w:tcPr>
                <w:p w14:paraId="329B950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553" w:type="pct"/>
                  <w:vMerge w:val="continue"/>
                  <w:noWrap w:val="0"/>
                  <w:vAlign w:val="center"/>
                </w:tcPr>
                <w:p w14:paraId="2321985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567" w:type="pct"/>
                  <w:vMerge w:val="continue"/>
                  <w:noWrap w:val="0"/>
                  <w:vAlign w:val="center"/>
                </w:tcPr>
                <w:p w14:paraId="30D89FC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405" w:type="pct"/>
                  <w:noWrap w:val="0"/>
                  <w:vAlign w:val="center"/>
                </w:tcPr>
                <w:p w14:paraId="3B1914A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固体</w:t>
                  </w:r>
                </w:p>
                <w:p w14:paraId="06ACB86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废物</w:t>
                  </w:r>
                </w:p>
              </w:tc>
              <w:tc>
                <w:tcPr>
                  <w:tcW w:w="548" w:type="pct"/>
                  <w:noWrap w:val="0"/>
                  <w:vAlign w:val="center"/>
                </w:tcPr>
                <w:p w14:paraId="5EE08D7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副产品</w:t>
                  </w:r>
                </w:p>
              </w:tc>
              <w:tc>
                <w:tcPr>
                  <w:tcW w:w="1040" w:type="pct"/>
                  <w:noWrap w:val="0"/>
                  <w:vAlign w:val="center"/>
                </w:tcPr>
                <w:p w14:paraId="50D7B27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判定依据</w:t>
                  </w:r>
                </w:p>
              </w:tc>
            </w:tr>
            <w:tr w14:paraId="043E2E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 w:type="pct"/>
                  <w:noWrap w:val="0"/>
                  <w:vAlign w:val="center"/>
                </w:tcPr>
                <w:p w14:paraId="1B9D49DA">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81" w:type="pct"/>
                  <w:noWrap w:val="0"/>
                  <w:vAlign w:val="center"/>
                </w:tcPr>
                <w:p w14:paraId="3422AFA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w:t>
                  </w:r>
                </w:p>
              </w:tc>
              <w:tc>
                <w:tcPr>
                  <w:tcW w:w="563" w:type="pct"/>
                  <w:noWrap w:val="0"/>
                  <w:vAlign w:val="center"/>
                </w:tcPr>
                <w:p w14:paraId="353E126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办公、生活</w:t>
                  </w:r>
                </w:p>
              </w:tc>
              <w:tc>
                <w:tcPr>
                  <w:tcW w:w="395" w:type="pct"/>
                  <w:noWrap w:val="0"/>
                  <w:vAlign w:val="center"/>
                </w:tcPr>
                <w:p w14:paraId="589F3DE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半固态</w:t>
                  </w:r>
                </w:p>
              </w:tc>
              <w:tc>
                <w:tcPr>
                  <w:tcW w:w="553" w:type="pct"/>
                  <w:noWrap w:val="0"/>
                  <w:vAlign w:val="center"/>
                </w:tcPr>
                <w:p w14:paraId="5613BA8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废塑料、废纸等</w:t>
                  </w:r>
                </w:p>
              </w:tc>
              <w:tc>
                <w:tcPr>
                  <w:tcW w:w="567" w:type="pct"/>
                  <w:noWrap w:val="0"/>
                  <w:vAlign w:val="center"/>
                </w:tcPr>
                <w:p w14:paraId="5B63D86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7.5</w:t>
                  </w:r>
                </w:p>
              </w:tc>
              <w:tc>
                <w:tcPr>
                  <w:tcW w:w="405" w:type="pct"/>
                  <w:noWrap w:val="0"/>
                  <w:vAlign w:val="center"/>
                </w:tcPr>
                <w:p w14:paraId="7D76751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8" w:type="pct"/>
                  <w:noWrap w:val="0"/>
                  <w:vAlign w:val="center"/>
                </w:tcPr>
                <w:p w14:paraId="4B66151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0" w:type="pct"/>
                  <w:vMerge w:val="restart"/>
                  <w:noWrap w:val="0"/>
                  <w:vAlign w:val="center"/>
                </w:tcPr>
                <w:p w14:paraId="618F702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lang w:val="en-US" w:eastAsia="zh-CN"/>
                    </w:rPr>
                    <w:t>《固体废物鉴别标准通则》（GB34330-2017）</w:t>
                  </w:r>
                </w:p>
              </w:tc>
            </w:tr>
            <w:tr w14:paraId="0B02E0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 w:type="pct"/>
                  <w:noWrap w:val="0"/>
                  <w:vAlign w:val="center"/>
                </w:tcPr>
                <w:p w14:paraId="4C4DE6F3">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681" w:type="pct"/>
                  <w:shd w:val="clear" w:color="auto" w:fill="auto"/>
                  <w:noWrap w:val="0"/>
                  <w:vAlign w:val="center"/>
                </w:tcPr>
                <w:p w14:paraId="3541CA7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不合格品</w:t>
                  </w:r>
                </w:p>
              </w:tc>
              <w:tc>
                <w:tcPr>
                  <w:tcW w:w="563" w:type="pct"/>
                  <w:shd w:val="clear" w:color="auto" w:fill="auto"/>
                  <w:noWrap w:val="0"/>
                  <w:vAlign w:val="center"/>
                </w:tcPr>
                <w:p w14:paraId="0DF40CE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注塑后检验</w:t>
                  </w:r>
                </w:p>
              </w:tc>
              <w:tc>
                <w:tcPr>
                  <w:tcW w:w="395" w:type="pct"/>
                  <w:shd w:val="clear" w:color="auto" w:fill="auto"/>
                  <w:noWrap w:val="0"/>
                  <w:vAlign w:val="center"/>
                </w:tcPr>
                <w:p w14:paraId="5D6FF3B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553" w:type="pct"/>
                  <w:shd w:val="clear" w:color="auto" w:fill="auto"/>
                  <w:noWrap w:val="0"/>
                  <w:vAlign w:val="center"/>
                </w:tcPr>
                <w:p w14:paraId="086B7F4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塑料</w:t>
                  </w:r>
                </w:p>
              </w:tc>
              <w:tc>
                <w:tcPr>
                  <w:tcW w:w="567" w:type="pct"/>
                  <w:shd w:val="clear" w:color="auto" w:fill="auto"/>
                  <w:noWrap w:val="0"/>
                  <w:vAlign w:val="center"/>
                </w:tcPr>
                <w:p w14:paraId="185D14F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w:t>
                  </w:r>
                </w:p>
              </w:tc>
              <w:tc>
                <w:tcPr>
                  <w:tcW w:w="405" w:type="pct"/>
                  <w:shd w:val="clear" w:color="auto" w:fill="auto"/>
                  <w:noWrap w:val="0"/>
                  <w:vAlign w:val="center"/>
                </w:tcPr>
                <w:p w14:paraId="5D892C8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48" w:type="pct"/>
                  <w:shd w:val="clear" w:color="auto" w:fill="auto"/>
                  <w:noWrap w:val="0"/>
                  <w:vAlign w:val="center"/>
                </w:tcPr>
                <w:p w14:paraId="59CD7AA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040" w:type="pct"/>
                  <w:vMerge w:val="continue"/>
                  <w:noWrap w:val="0"/>
                  <w:vAlign w:val="center"/>
                </w:tcPr>
                <w:p w14:paraId="39A1EF0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rPr>
                  </w:pPr>
                </w:p>
              </w:tc>
            </w:tr>
            <w:tr w14:paraId="52B327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 w:type="pct"/>
                  <w:noWrap w:val="0"/>
                  <w:vAlign w:val="center"/>
                </w:tcPr>
                <w:p w14:paraId="05980330">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highlight w:val="none"/>
                      <w:u w:val="none"/>
                      <w:lang w:val="en-US" w:eastAsia="zh-CN" w:bidi="ar"/>
                    </w:rPr>
                    <w:t>3</w:t>
                  </w:r>
                </w:p>
              </w:tc>
              <w:tc>
                <w:tcPr>
                  <w:tcW w:w="681" w:type="pct"/>
                  <w:shd w:val="clear" w:color="auto" w:fill="auto"/>
                  <w:noWrap w:val="0"/>
                  <w:vAlign w:val="center"/>
                </w:tcPr>
                <w:p w14:paraId="294781C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不合格品</w:t>
                  </w:r>
                </w:p>
              </w:tc>
              <w:tc>
                <w:tcPr>
                  <w:tcW w:w="563" w:type="pct"/>
                  <w:shd w:val="clear" w:color="auto" w:fill="auto"/>
                  <w:noWrap w:val="0"/>
                  <w:vAlign w:val="center"/>
                </w:tcPr>
                <w:p w14:paraId="35C8C26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组装后检验</w:t>
                  </w:r>
                </w:p>
              </w:tc>
              <w:tc>
                <w:tcPr>
                  <w:tcW w:w="395" w:type="pct"/>
                  <w:shd w:val="clear" w:color="auto" w:fill="auto"/>
                  <w:noWrap w:val="0"/>
                  <w:vAlign w:val="center"/>
                </w:tcPr>
                <w:p w14:paraId="797F44E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553" w:type="pct"/>
                  <w:shd w:val="clear" w:color="auto" w:fill="auto"/>
                  <w:noWrap w:val="0"/>
                  <w:vAlign w:val="center"/>
                </w:tcPr>
                <w:p w14:paraId="36996BF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塑料</w:t>
                  </w:r>
                </w:p>
              </w:tc>
              <w:tc>
                <w:tcPr>
                  <w:tcW w:w="567" w:type="pct"/>
                  <w:shd w:val="clear" w:color="auto" w:fill="auto"/>
                  <w:noWrap w:val="0"/>
                  <w:vAlign w:val="center"/>
                </w:tcPr>
                <w:p w14:paraId="6B52102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w:t>
                  </w:r>
                </w:p>
              </w:tc>
              <w:tc>
                <w:tcPr>
                  <w:tcW w:w="405" w:type="pct"/>
                  <w:shd w:val="clear" w:color="auto" w:fill="auto"/>
                  <w:noWrap w:val="0"/>
                  <w:vAlign w:val="center"/>
                </w:tcPr>
                <w:p w14:paraId="2AA6837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48" w:type="pct"/>
                  <w:shd w:val="clear" w:color="auto" w:fill="auto"/>
                  <w:noWrap w:val="0"/>
                  <w:vAlign w:val="center"/>
                </w:tcPr>
                <w:p w14:paraId="3991E04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040" w:type="pct"/>
                  <w:vMerge w:val="continue"/>
                  <w:noWrap w:val="0"/>
                  <w:vAlign w:val="center"/>
                </w:tcPr>
                <w:p w14:paraId="718ADBC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rPr>
                  </w:pPr>
                </w:p>
              </w:tc>
            </w:tr>
            <w:tr w14:paraId="282447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 w:type="pct"/>
                  <w:shd w:val="clear" w:color="auto" w:fill="auto"/>
                  <w:noWrap w:val="0"/>
                  <w:vAlign w:val="center"/>
                </w:tcPr>
                <w:p w14:paraId="51A94602">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w:t>
                  </w:r>
                </w:p>
              </w:tc>
              <w:tc>
                <w:tcPr>
                  <w:tcW w:w="681" w:type="pct"/>
                  <w:shd w:val="clear" w:color="auto" w:fill="auto"/>
                  <w:noWrap w:val="0"/>
                  <w:vAlign w:val="center"/>
                </w:tcPr>
                <w:p w14:paraId="0D8BF6C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废磨料</w:t>
                  </w:r>
                </w:p>
              </w:tc>
              <w:tc>
                <w:tcPr>
                  <w:tcW w:w="563" w:type="pct"/>
                  <w:shd w:val="clear" w:color="auto" w:fill="auto"/>
                  <w:noWrap w:val="0"/>
                  <w:vAlign w:val="center"/>
                </w:tcPr>
                <w:p w14:paraId="253DBDD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磁力抛光</w:t>
                  </w:r>
                </w:p>
              </w:tc>
              <w:tc>
                <w:tcPr>
                  <w:tcW w:w="395" w:type="pct"/>
                  <w:shd w:val="clear" w:color="auto" w:fill="auto"/>
                  <w:noWrap w:val="0"/>
                  <w:vAlign w:val="center"/>
                </w:tcPr>
                <w:p w14:paraId="465C34F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553" w:type="pct"/>
                  <w:shd w:val="clear" w:color="auto" w:fill="auto"/>
                  <w:noWrap w:val="0"/>
                  <w:vAlign w:val="center"/>
                </w:tcPr>
                <w:p w14:paraId="1189409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碳化硅</w:t>
                  </w:r>
                </w:p>
              </w:tc>
              <w:tc>
                <w:tcPr>
                  <w:tcW w:w="567" w:type="pct"/>
                  <w:shd w:val="clear" w:color="auto" w:fill="auto"/>
                  <w:noWrap w:val="0"/>
                  <w:vAlign w:val="center"/>
                </w:tcPr>
                <w:p w14:paraId="713512C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0.08</w:t>
                  </w:r>
                </w:p>
              </w:tc>
              <w:tc>
                <w:tcPr>
                  <w:tcW w:w="405" w:type="pct"/>
                  <w:shd w:val="clear" w:color="auto" w:fill="auto"/>
                  <w:noWrap w:val="0"/>
                  <w:vAlign w:val="center"/>
                </w:tcPr>
                <w:p w14:paraId="3C37E28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48" w:type="pct"/>
                  <w:shd w:val="clear" w:color="auto" w:fill="auto"/>
                  <w:noWrap w:val="0"/>
                  <w:vAlign w:val="center"/>
                </w:tcPr>
                <w:p w14:paraId="6EECC53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040" w:type="pct"/>
                  <w:vMerge w:val="continue"/>
                  <w:noWrap w:val="0"/>
                  <w:vAlign w:val="center"/>
                </w:tcPr>
                <w:p w14:paraId="292DEF7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rPr>
                  </w:pPr>
                </w:p>
              </w:tc>
            </w:tr>
            <w:tr w14:paraId="7155F8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 w:type="pct"/>
                  <w:shd w:val="clear" w:color="auto" w:fill="auto"/>
                  <w:noWrap w:val="0"/>
                  <w:vAlign w:val="center"/>
                </w:tcPr>
                <w:p w14:paraId="222F263D">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681" w:type="pct"/>
                  <w:shd w:val="clear" w:color="auto" w:fill="auto"/>
                  <w:noWrap w:val="0"/>
                  <w:vAlign w:val="center"/>
                </w:tcPr>
                <w:p w14:paraId="23703F2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抛光废液</w:t>
                  </w:r>
                </w:p>
              </w:tc>
              <w:tc>
                <w:tcPr>
                  <w:tcW w:w="563" w:type="pct"/>
                  <w:shd w:val="clear" w:color="auto" w:fill="auto"/>
                  <w:noWrap w:val="0"/>
                  <w:vAlign w:val="center"/>
                </w:tcPr>
                <w:p w14:paraId="442FD81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磁力抛光</w:t>
                  </w:r>
                </w:p>
              </w:tc>
              <w:tc>
                <w:tcPr>
                  <w:tcW w:w="395" w:type="pct"/>
                  <w:shd w:val="clear" w:color="auto" w:fill="auto"/>
                  <w:noWrap w:val="0"/>
                  <w:vAlign w:val="center"/>
                </w:tcPr>
                <w:p w14:paraId="66E6F65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液态</w:t>
                  </w:r>
                </w:p>
              </w:tc>
              <w:tc>
                <w:tcPr>
                  <w:tcW w:w="553" w:type="pct"/>
                  <w:shd w:val="clear" w:color="auto" w:fill="auto"/>
                  <w:noWrap w:val="0"/>
                  <w:vAlign w:val="center"/>
                </w:tcPr>
                <w:p w14:paraId="20FFBDD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水、金属</w:t>
                  </w:r>
                </w:p>
              </w:tc>
              <w:tc>
                <w:tcPr>
                  <w:tcW w:w="567" w:type="pct"/>
                  <w:shd w:val="clear" w:color="auto" w:fill="auto"/>
                  <w:noWrap w:val="0"/>
                  <w:vAlign w:val="center"/>
                </w:tcPr>
                <w:p w14:paraId="6C8D057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c>
                <w:tcPr>
                  <w:tcW w:w="405" w:type="pct"/>
                  <w:shd w:val="clear" w:color="auto" w:fill="auto"/>
                  <w:noWrap w:val="0"/>
                  <w:vAlign w:val="center"/>
                </w:tcPr>
                <w:p w14:paraId="351DD7F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48" w:type="pct"/>
                  <w:shd w:val="clear" w:color="auto" w:fill="auto"/>
                  <w:noWrap w:val="0"/>
                  <w:vAlign w:val="center"/>
                </w:tcPr>
                <w:p w14:paraId="24E423A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040" w:type="pct"/>
                  <w:vMerge w:val="continue"/>
                  <w:noWrap w:val="0"/>
                  <w:vAlign w:val="center"/>
                </w:tcPr>
                <w:p w14:paraId="4F2ED70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rPr>
                  </w:pPr>
                </w:p>
              </w:tc>
            </w:tr>
            <w:tr w14:paraId="667A2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 w:type="pct"/>
                  <w:shd w:val="clear" w:color="auto" w:fill="auto"/>
                  <w:noWrap w:val="0"/>
                  <w:vAlign w:val="center"/>
                </w:tcPr>
                <w:p w14:paraId="132256E6">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681" w:type="pct"/>
                  <w:shd w:val="clear" w:color="auto" w:fill="auto"/>
                  <w:noWrap w:val="0"/>
                  <w:vAlign w:val="center"/>
                </w:tcPr>
                <w:p w14:paraId="5CF24CF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废金属屑</w:t>
                  </w:r>
                </w:p>
              </w:tc>
              <w:tc>
                <w:tcPr>
                  <w:tcW w:w="563" w:type="pct"/>
                  <w:shd w:val="clear" w:color="auto" w:fill="auto"/>
                  <w:noWrap w:val="0"/>
                  <w:vAlign w:val="center"/>
                </w:tcPr>
                <w:p w14:paraId="1658B08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铣削</w:t>
                  </w:r>
                </w:p>
              </w:tc>
              <w:tc>
                <w:tcPr>
                  <w:tcW w:w="395" w:type="pct"/>
                  <w:shd w:val="clear" w:color="auto" w:fill="auto"/>
                  <w:noWrap w:val="0"/>
                  <w:vAlign w:val="center"/>
                </w:tcPr>
                <w:p w14:paraId="546D862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553" w:type="pct"/>
                  <w:shd w:val="clear" w:color="auto" w:fill="auto"/>
                  <w:noWrap w:val="0"/>
                  <w:vAlign w:val="center"/>
                </w:tcPr>
                <w:p w14:paraId="5A6BF02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金属</w:t>
                  </w:r>
                </w:p>
              </w:tc>
              <w:tc>
                <w:tcPr>
                  <w:tcW w:w="567" w:type="pct"/>
                  <w:shd w:val="clear" w:color="auto" w:fill="auto"/>
                  <w:noWrap w:val="0"/>
                  <w:vAlign w:val="center"/>
                </w:tcPr>
                <w:p w14:paraId="3F9E21C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w:t>
                  </w:r>
                </w:p>
              </w:tc>
              <w:tc>
                <w:tcPr>
                  <w:tcW w:w="405" w:type="pct"/>
                  <w:shd w:val="clear" w:color="auto" w:fill="auto"/>
                  <w:noWrap w:val="0"/>
                  <w:vAlign w:val="center"/>
                </w:tcPr>
                <w:p w14:paraId="3939ACC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48" w:type="pct"/>
                  <w:shd w:val="clear" w:color="auto" w:fill="auto"/>
                  <w:noWrap w:val="0"/>
                  <w:vAlign w:val="center"/>
                </w:tcPr>
                <w:p w14:paraId="3380B1D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040" w:type="pct"/>
                  <w:vMerge w:val="continue"/>
                  <w:noWrap w:val="0"/>
                  <w:vAlign w:val="center"/>
                </w:tcPr>
                <w:p w14:paraId="20A6D95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rPr>
                  </w:pPr>
                </w:p>
              </w:tc>
            </w:tr>
            <w:tr w14:paraId="0272D4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 w:type="pct"/>
                  <w:shd w:val="clear" w:color="auto" w:fill="auto"/>
                  <w:noWrap w:val="0"/>
                  <w:vAlign w:val="center"/>
                </w:tcPr>
                <w:p w14:paraId="455BCE96">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681" w:type="pct"/>
                  <w:shd w:val="clear" w:color="auto" w:fill="auto"/>
                  <w:noWrap w:val="0"/>
                  <w:vAlign w:val="center"/>
                </w:tcPr>
                <w:p w14:paraId="503D979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default" w:ascii="Times New Roman" w:hAnsi="Times New Roman" w:eastAsia="宋体" w:cs="Times New Roman"/>
                      <w:b w:val="0"/>
                      <w:bCs/>
                      <w:color w:val="auto"/>
                      <w:sz w:val="21"/>
                      <w:szCs w:val="21"/>
                      <w:highlight w:val="none"/>
                      <w:lang w:val="en-US" w:eastAsia="zh-CN"/>
                    </w:rPr>
                    <w:t>废石英砂</w:t>
                  </w:r>
                </w:p>
              </w:tc>
              <w:tc>
                <w:tcPr>
                  <w:tcW w:w="563" w:type="pct"/>
                  <w:shd w:val="clear" w:color="auto" w:fill="auto"/>
                  <w:noWrap w:val="0"/>
                  <w:vAlign w:val="center"/>
                </w:tcPr>
                <w:p w14:paraId="14D2F45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纯水制备</w:t>
                  </w:r>
                </w:p>
              </w:tc>
              <w:tc>
                <w:tcPr>
                  <w:tcW w:w="395" w:type="pct"/>
                  <w:shd w:val="clear" w:color="auto" w:fill="auto"/>
                  <w:noWrap w:val="0"/>
                  <w:vAlign w:val="center"/>
                </w:tcPr>
                <w:p w14:paraId="444F342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553" w:type="pct"/>
                  <w:shd w:val="clear" w:color="auto" w:fill="auto"/>
                  <w:noWrap w:val="0"/>
                  <w:vAlign w:val="center"/>
                </w:tcPr>
                <w:p w14:paraId="3066DDA9">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石英砂</w:t>
                  </w:r>
                </w:p>
              </w:tc>
              <w:tc>
                <w:tcPr>
                  <w:tcW w:w="567" w:type="pct"/>
                  <w:shd w:val="clear" w:color="auto" w:fill="auto"/>
                  <w:noWrap w:val="0"/>
                  <w:vAlign w:val="center"/>
                </w:tcPr>
                <w:p w14:paraId="53745AC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highlight w:val="none"/>
                      <w:lang w:val="en-US" w:eastAsia="zh-CN" w:bidi="ar-SA"/>
                    </w:rPr>
                    <w:t>0.6</w:t>
                  </w:r>
                </w:p>
              </w:tc>
              <w:tc>
                <w:tcPr>
                  <w:tcW w:w="405" w:type="pct"/>
                  <w:shd w:val="clear" w:color="auto" w:fill="auto"/>
                  <w:noWrap w:val="0"/>
                  <w:vAlign w:val="center"/>
                </w:tcPr>
                <w:p w14:paraId="6BFFEB8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8" w:type="pct"/>
                  <w:shd w:val="clear" w:color="auto" w:fill="auto"/>
                  <w:noWrap w:val="0"/>
                  <w:vAlign w:val="center"/>
                </w:tcPr>
                <w:p w14:paraId="288BA24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0" w:type="pct"/>
                  <w:vMerge w:val="continue"/>
                  <w:noWrap w:val="0"/>
                  <w:vAlign w:val="center"/>
                </w:tcPr>
                <w:p w14:paraId="41F7B62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rPr>
                  </w:pPr>
                </w:p>
              </w:tc>
            </w:tr>
            <w:tr w14:paraId="6A83F3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 w:type="pct"/>
                  <w:shd w:val="clear" w:color="auto" w:fill="auto"/>
                  <w:noWrap w:val="0"/>
                  <w:vAlign w:val="center"/>
                </w:tcPr>
                <w:p w14:paraId="01625E8E">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681" w:type="pct"/>
                  <w:shd w:val="clear" w:color="auto" w:fill="auto"/>
                  <w:noWrap w:val="0"/>
                  <w:vAlign w:val="center"/>
                </w:tcPr>
                <w:p w14:paraId="2191857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default" w:ascii="Times New Roman" w:hAnsi="Times New Roman" w:eastAsia="宋体" w:cs="Times New Roman"/>
                      <w:b w:val="0"/>
                      <w:bCs/>
                      <w:color w:val="auto"/>
                      <w:sz w:val="21"/>
                      <w:szCs w:val="21"/>
                      <w:highlight w:val="none"/>
                      <w:lang w:val="en-US" w:eastAsia="zh-CN"/>
                    </w:rPr>
                    <w:t>废活性炭</w:t>
                  </w:r>
                </w:p>
              </w:tc>
              <w:tc>
                <w:tcPr>
                  <w:tcW w:w="563" w:type="pct"/>
                  <w:shd w:val="clear" w:color="auto" w:fill="auto"/>
                  <w:noWrap w:val="0"/>
                  <w:vAlign w:val="center"/>
                </w:tcPr>
                <w:p w14:paraId="636ADA7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纯水制备</w:t>
                  </w:r>
                </w:p>
              </w:tc>
              <w:tc>
                <w:tcPr>
                  <w:tcW w:w="395" w:type="pct"/>
                  <w:shd w:val="clear" w:color="auto" w:fill="auto"/>
                  <w:noWrap w:val="0"/>
                  <w:vAlign w:val="center"/>
                </w:tcPr>
                <w:p w14:paraId="60A9C45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553" w:type="pct"/>
                  <w:shd w:val="clear" w:color="auto" w:fill="auto"/>
                  <w:noWrap w:val="0"/>
                  <w:vAlign w:val="center"/>
                </w:tcPr>
                <w:p w14:paraId="5D27CD79">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活性炭</w:t>
                  </w:r>
                </w:p>
              </w:tc>
              <w:tc>
                <w:tcPr>
                  <w:tcW w:w="567" w:type="pct"/>
                  <w:shd w:val="clear" w:color="auto" w:fill="auto"/>
                  <w:noWrap w:val="0"/>
                  <w:vAlign w:val="center"/>
                </w:tcPr>
                <w:p w14:paraId="62FD36A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highlight w:val="none"/>
                      <w:lang w:val="en-US" w:eastAsia="zh-CN" w:bidi="ar-SA"/>
                    </w:rPr>
                    <w:t>0.4</w:t>
                  </w:r>
                </w:p>
              </w:tc>
              <w:tc>
                <w:tcPr>
                  <w:tcW w:w="405" w:type="pct"/>
                  <w:shd w:val="clear" w:color="auto" w:fill="auto"/>
                  <w:noWrap w:val="0"/>
                  <w:vAlign w:val="center"/>
                </w:tcPr>
                <w:p w14:paraId="3D7F9AD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8" w:type="pct"/>
                  <w:shd w:val="clear" w:color="auto" w:fill="auto"/>
                  <w:noWrap w:val="0"/>
                  <w:vAlign w:val="center"/>
                </w:tcPr>
                <w:p w14:paraId="64A772C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0" w:type="pct"/>
                  <w:vMerge w:val="continue"/>
                  <w:noWrap w:val="0"/>
                  <w:vAlign w:val="center"/>
                </w:tcPr>
                <w:p w14:paraId="6551987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rPr>
                  </w:pPr>
                </w:p>
              </w:tc>
            </w:tr>
            <w:tr w14:paraId="279CA6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 w:type="pct"/>
                  <w:shd w:val="clear" w:color="auto" w:fill="auto"/>
                  <w:noWrap w:val="0"/>
                  <w:vAlign w:val="center"/>
                </w:tcPr>
                <w:p w14:paraId="0C1F367B">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681" w:type="pct"/>
                  <w:shd w:val="clear" w:color="auto" w:fill="auto"/>
                  <w:noWrap w:val="0"/>
                  <w:vAlign w:val="center"/>
                </w:tcPr>
                <w:p w14:paraId="7E79127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default" w:ascii="Times New Roman" w:hAnsi="Times New Roman" w:eastAsia="宋体" w:cs="Times New Roman"/>
                      <w:b w:val="0"/>
                      <w:bCs/>
                      <w:color w:val="auto"/>
                      <w:sz w:val="21"/>
                      <w:szCs w:val="21"/>
                      <w:highlight w:val="none"/>
                      <w:lang w:val="en-US" w:eastAsia="zh-CN"/>
                    </w:rPr>
                    <w:t>废滤芯</w:t>
                  </w:r>
                </w:p>
              </w:tc>
              <w:tc>
                <w:tcPr>
                  <w:tcW w:w="563" w:type="pct"/>
                  <w:shd w:val="clear" w:color="auto" w:fill="auto"/>
                  <w:noWrap w:val="0"/>
                  <w:vAlign w:val="center"/>
                </w:tcPr>
                <w:p w14:paraId="09DADEA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纯水制备</w:t>
                  </w:r>
                </w:p>
              </w:tc>
              <w:tc>
                <w:tcPr>
                  <w:tcW w:w="395" w:type="pct"/>
                  <w:shd w:val="clear" w:color="auto" w:fill="auto"/>
                  <w:noWrap w:val="0"/>
                  <w:vAlign w:val="center"/>
                </w:tcPr>
                <w:p w14:paraId="236247D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553" w:type="pct"/>
                  <w:shd w:val="clear" w:color="auto" w:fill="auto"/>
                  <w:noWrap w:val="0"/>
                  <w:vAlign w:val="center"/>
                </w:tcPr>
                <w:p w14:paraId="3A7FAF0B">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highlight w:val="none"/>
                      <w:lang w:val="en-US" w:eastAsia="zh-CN" w:bidi="ar"/>
                    </w:rPr>
                    <w:t>塑料</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纤维</w:t>
                  </w:r>
                </w:p>
              </w:tc>
              <w:tc>
                <w:tcPr>
                  <w:tcW w:w="567" w:type="pct"/>
                  <w:shd w:val="clear" w:color="auto" w:fill="auto"/>
                  <w:noWrap w:val="0"/>
                  <w:vAlign w:val="center"/>
                </w:tcPr>
                <w:p w14:paraId="11219D7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highlight w:val="none"/>
                      <w:lang w:val="en-US" w:eastAsia="zh-CN" w:bidi="ar-SA"/>
                    </w:rPr>
                    <w:t>0.4</w:t>
                  </w:r>
                </w:p>
              </w:tc>
              <w:tc>
                <w:tcPr>
                  <w:tcW w:w="405" w:type="pct"/>
                  <w:shd w:val="clear" w:color="auto" w:fill="auto"/>
                  <w:noWrap w:val="0"/>
                  <w:vAlign w:val="center"/>
                </w:tcPr>
                <w:p w14:paraId="2E600FF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8" w:type="pct"/>
                  <w:shd w:val="clear" w:color="auto" w:fill="auto"/>
                  <w:noWrap w:val="0"/>
                  <w:vAlign w:val="center"/>
                </w:tcPr>
                <w:p w14:paraId="1F496A6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0" w:type="pct"/>
                  <w:vMerge w:val="continue"/>
                  <w:noWrap w:val="0"/>
                  <w:vAlign w:val="center"/>
                </w:tcPr>
                <w:p w14:paraId="128BF1F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rPr>
                  </w:pPr>
                </w:p>
              </w:tc>
            </w:tr>
            <w:tr w14:paraId="52CD47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 w:type="pct"/>
                  <w:shd w:val="clear" w:color="auto" w:fill="auto"/>
                  <w:noWrap w:val="0"/>
                  <w:vAlign w:val="center"/>
                </w:tcPr>
                <w:p w14:paraId="6227680B">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681" w:type="pct"/>
                  <w:shd w:val="clear" w:color="auto" w:fill="auto"/>
                  <w:noWrap w:val="0"/>
                  <w:vAlign w:val="center"/>
                </w:tcPr>
                <w:p w14:paraId="3947E3D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default" w:ascii="Times New Roman" w:hAnsi="Times New Roman" w:eastAsia="宋体" w:cs="Times New Roman"/>
                      <w:b w:val="0"/>
                      <w:bCs/>
                      <w:color w:val="auto"/>
                      <w:sz w:val="21"/>
                      <w:szCs w:val="21"/>
                      <w:highlight w:val="none"/>
                      <w:lang w:val="en-US" w:eastAsia="zh-CN"/>
                    </w:rPr>
                    <w:t>废滤膜</w:t>
                  </w:r>
                </w:p>
              </w:tc>
              <w:tc>
                <w:tcPr>
                  <w:tcW w:w="563" w:type="pct"/>
                  <w:shd w:val="clear" w:color="auto" w:fill="auto"/>
                  <w:noWrap w:val="0"/>
                  <w:vAlign w:val="center"/>
                </w:tcPr>
                <w:p w14:paraId="2323C45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纯水制备</w:t>
                  </w:r>
                </w:p>
              </w:tc>
              <w:tc>
                <w:tcPr>
                  <w:tcW w:w="395" w:type="pct"/>
                  <w:shd w:val="clear" w:color="auto" w:fill="auto"/>
                  <w:noWrap w:val="0"/>
                  <w:vAlign w:val="center"/>
                </w:tcPr>
                <w:p w14:paraId="6164364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553" w:type="pct"/>
                  <w:shd w:val="clear" w:color="auto" w:fill="auto"/>
                  <w:noWrap w:val="0"/>
                  <w:vAlign w:val="center"/>
                </w:tcPr>
                <w:p w14:paraId="5BC7E423">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滤膜</w:t>
                  </w:r>
                </w:p>
              </w:tc>
              <w:tc>
                <w:tcPr>
                  <w:tcW w:w="567" w:type="pct"/>
                  <w:shd w:val="clear" w:color="auto" w:fill="auto"/>
                  <w:noWrap w:val="0"/>
                  <w:vAlign w:val="center"/>
                </w:tcPr>
                <w:p w14:paraId="50CE317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highlight w:val="none"/>
                      <w:lang w:val="en-US" w:eastAsia="zh-CN" w:bidi="ar-SA"/>
                    </w:rPr>
                    <w:t>0.2</w:t>
                  </w:r>
                </w:p>
              </w:tc>
              <w:tc>
                <w:tcPr>
                  <w:tcW w:w="405" w:type="pct"/>
                  <w:shd w:val="clear" w:color="auto" w:fill="auto"/>
                  <w:noWrap w:val="0"/>
                  <w:vAlign w:val="center"/>
                </w:tcPr>
                <w:p w14:paraId="416EC77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8" w:type="pct"/>
                  <w:shd w:val="clear" w:color="auto" w:fill="auto"/>
                  <w:noWrap w:val="0"/>
                  <w:vAlign w:val="center"/>
                </w:tcPr>
                <w:p w14:paraId="10FE087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0" w:type="pct"/>
                  <w:vMerge w:val="continue"/>
                  <w:noWrap w:val="0"/>
                  <w:vAlign w:val="center"/>
                </w:tcPr>
                <w:p w14:paraId="003D0D0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rPr>
                  </w:pPr>
                </w:p>
              </w:tc>
            </w:tr>
            <w:tr w14:paraId="4EB034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5" w:type="pct"/>
                  <w:shd w:val="clear" w:color="auto" w:fill="auto"/>
                  <w:noWrap w:val="0"/>
                  <w:vAlign w:val="center"/>
                </w:tcPr>
                <w:p w14:paraId="1BFAE036">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681" w:type="pct"/>
                  <w:noWrap w:val="0"/>
                  <w:vAlign w:val="center"/>
                </w:tcPr>
                <w:p w14:paraId="6AFFDC4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废包装材料</w:t>
                  </w:r>
                </w:p>
              </w:tc>
              <w:tc>
                <w:tcPr>
                  <w:tcW w:w="563" w:type="pct"/>
                  <w:noWrap w:val="0"/>
                  <w:vAlign w:val="center"/>
                </w:tcPr>
                <w:p w14:paraId="2CAECCD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原料包装</w:t>
                  </w:r>
                </w:p>
              </w:tc>
              <w:tc>
                <w:tcPr>
                  <w:tcW w:w="395" w:type="pct"/>
                  <w:noWrap w:val="0"/>
                  <w:vAlign w:val="center"/>
                </w:tcPr>
                <w:p w14:paraId="339C163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553" w:type="pct"/>
                  <w:noWrap w:val="0"/>
                  <w:vAlign w:val="center"/>
                </w:tcPr>
                <w:p w14:paraId="76EB4BB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塑料</w:t>
                  </w:r>
                </w:p>
              </w:tc>
              <w:tc>
                <w:tcPr>
                  <w:tcW w:w="567" w:type="pct"/>
                  <w:noWrap w:val="0"/>
                  <w:vAlign w:val="center"/>
                </w:tcPr>
                <w:p w14:paraId="5639791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405" w:type="pct"/>
                  <w:noWrap w:val="0"/>
                  <w:vAlign w:val="center"/>
                </w:tcPr>
                <w:p w14:paraId="15E1C83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8" w:type="pct"/>
                  <w:noWrap w:val="0"/>
                  <w:vAlign w:val="center"/>
                </w:tcPr>
                <w:p w14:paraId="007C0C8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0" w:type="pct"/>
                  <w:vMerge w:val="continue"/>
                  <w:noWrap w:val="0"/>
                  <w:vAlign w:val="center"/>
                </w:tcPr>
                <w:p w14:paraId="4751794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rPr>
                  </w:pPr>
                </w:p>
              </w:tc>
            </w:tr>
            <w:tr w14:paraId="576E44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5" w:type="pct"/>
                  <w:shd w:val="clear" w:color="auto" w:fill="auto"/>
                  <w:noWrap w:val="0"/>
                  <w:vAlign w:val="center"/>
                </w:tcPr>
                <w:p w14:paraId="7E7144B6">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681" w:type="pct"/>
                  <w:noWrap w:val="0"/>
                  <w:vAlign w:val="center"/>
                </w:tcPr>
                <w:p w14:paraId="6E78C82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废布袋</w:t>
                  </w:r>
                </w:p>
              </w:tc>
              <w:tc>
                <w:tcPr>
                  <w:tcW w:w="563" w:type="pct"/>
                  <w:noWrap w:val="0"/>
                  <w:vAlign w:val="center"/>
                </w:tcPr>
                <w:p w14:paraId="189BD8D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废气处理</w:t>
                  </w:r>
                </w:p>
              </w:tc>
              <w:tc>
                <w:tcPr>
                  <w:tcW w:w="395" w:type="pct"/>
                  <w:noWrap w:val="0"/>
                  <w:vAlign w:val="center"/>
                </w:tcPr>
                <w:p w14:paraId="79FBC8A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553" w:type="pct"/>
                  <w:noWrap w:val="0"/>
                  <w:vAlign w:val="center"/>
                </w:tcPr>
                <w:p w14:paraId="5EA294D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布袋、塑料</w:t>
                  </w:r>
                </w:p>
              </w:tc>
              <w:tc>
                <w:tcPr>
                  <w:tcW w:w="567" w:type="pct"/>
                  <w:noWrap w:val="0"/>
                  <w:vAlign w:val="center"/>
                </w:tcPr>
                <w:p w14:paraId="0FA2FEA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w:t>
                  </w:r>
                </w:p>
              </w:tc>
              <w:tc>
                <w:tcPr>
                  <w:tcW w:w="405" w:type="pct"/>
                  <w:noWrap w:val="0"/>
                  <w:vAlign w:val="center"/>
                </w:tcPr>
                <w:p w14:paraId="47B5C82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8" w:type="pct"/>
                  <w:noWrap w:val="0"/>
                  <w:vAlign w:val="center"/>
                </w:tcPr>
                <w:p w14:paraId="56DE99F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0" w:type="pct"/>
                  <w:vMerge w:val="continue"/>
                  <w:noWrap w:val="0"/>
                  <w:vAlign w:val="center"/>
                </w:tcPr>
                <w:p w14:paraId="2C24C11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rPr>
                  </w:pPr>
                </w:p>
              </w:tc>
            </w:tr>
            <w:tr w14:paraId="2529BF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5" w:type="pct"/>
                  <w:shd w:val="clear" w:color="auto" w:fill="auto"/>
                  <w:noWrap w:val="0"/>
                  <w:vAlign w:val="center"/>
                </w:tcPr>
                <w:p w14:paraId="4259857C">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13</w:t>
                  </w:r>
                </w:p>
              </w:tc>
              <w:tc>
                <w:tcPr>
                  <w:tcW w:w="681" w:type="pct"/>
                  <w:noWrap w:val="0"/>
                  <w:vAlign w:val="center"/>
                </w:tcPr>
                <w:p w14:paraId="242DC9B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废滤筒</w:t>
                  </w:r>
                </w:p>
              </w:tc>
              <w:tc>
                <w:tcPr>
                  <w:tcW w:w="563" w:type="pct"/>
                  <w:noWrap w:val="0"/>
                  <w:vAlign w:val="center"/>
                </w:tcPr>
                <w:p w14:paraId="0F4B1C3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废气处理</w:t>
                  </w:r>
                </w:p>
              </w:tc>
              <w:tc>
                <w:tcPr>
                  <w:tcW w:w="395" w:type="pct"/>
                  <w:noWrap w:val="0"/>
                  <w:vAlign w:val="center"/>
                </w:tcPr>
                <w:p w14:paraId="569E357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553" w:type="pct"/>
                  <w:noWrap w:val="0"/>
                  <w:vAlign w:val="center"/>
                </w:tcPr>
                <w:p w14:paraId="3A14FC9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塑料、金属</w:t>
                  </w:r>
                </w:p>
              </w:tc>
              <w:tc>
                <w:tcPr>
                  <w:tcW w:w="567" w:type="pct"/>
                  <w:noWrap w:val="0"/>
                  <w:vAlign w:val="center"/>
                </w:tcPr>
                <w:p w14:paraId="7C5331F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0.05</w:t>
                  </w:r>
                </w:p>
              </w:tc>
              <w:tc>
                <w:tcPr>
                  <w:tcW w:w="405" w:type="pct"/>
                  <w:noWrap w:val="0"/>
                  <w:vAlign w:val="center"/>
                </w:tcPr>
                <w:p w14:paraId="4C78C1E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8" w:type="pct"/>
                  <w:noWrap w:val="0"/>
                  <w:vAlign w:val="center"/>
                </w:tcPr>
                <w:p w14:paraId="42CC3B2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0" w:type="pct"/>
                  <w:vMerge w:val="continue"/>
                  <w:noWrap w:val="0"/>
                  <w:vAlign w:val="center"/>
                </w:tcPr>
                <w:p w14:paraId="5F11609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rPr>
                  </w:pPr>
                </w:p>
              </w:tc>
            </w:tr>
            <w:tr w14:paraId="6770A7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5" w:type="pct"/>
                  <w:shd w:val="clear" w:color="auto" w:fill="auto"/>
                  <w:noWrap w:val="0"/>
                  <w:vAlign w:val="center"/>
                </w:tcPr>
                <w:p w14:paraId="238AEE54">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681" w:type="pct"/>
                  <w:noWrap w:val="0"/>
                  <w:vAlign w:val="center"/>
                </w:tcPr>
                <w:p w14:paraId="3C3719C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cs="Times New Roman"/>
                      <w:b w:val="0"/>
                      <w:bCs/>
                      <w:color w:val="auto"/>
                      <w:sz w:val="21"/>
                      <w:szCs w:val="21"/>
                      <w:highlight w:val="none"/>
                      <w:lang w:val="en-US" w:eastAsia="zh-CN"/>
                    </w:rPr>
                    <w:t>废墨盒</w:t>
                  </w:r>
                </w:p>
              </w:tc>
              <w:tc>
                <w:tcPr>
                  <w:tcW w:w="563" w:type="pct"/>
                  <w:noWrap w:val="0"/>
                  <w:vAlign w:val="center"/>
                </w:tcPr>
                <w:p w14:paraId="1F94A37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UV打印</w:t>
                  </w:r>
                </w:p>
              </w:tc>
              <w:tc>
                <w:tcPr>
                  <w:tcW w:w="395" w:type="pct"/>
                  <w:noWrap w:val="0"/>
                  <w:vAlign w:val="center"/>
                </w:tcPr>
                <w:p w14:paraId="0A34817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553" w:type="pct"/>
                  <w:noWrap w:val="0"/>
                  <w:vAlign w:val="center"/>
                </w:tcPr>
                <w:p w14:paraId="282B4DA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塑料、油墨</w:t>
                  </w:r>
                </w:p>
              </w:tc>
              <w:tc>
                <w:tcPr>
                  <w:tcW w:w="567" w:type="pct"/>
                  <w:noWrap w:val="0"/>
                  <w:vAlign w:val="center"/>
                </w:tcPr>
                <w:p w14:paraId="49C0872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0.04</w:t>
                  </w:r>
                </w:p>
              </w:tc>
              <w:tc>
                <w:tcPr>
                  <w:tcW w:w="405" w:type="pct"/>
                  <w:noWrap w:val="0"/>
                  <w:vAlign w:val="center"/>
                </w:tcPr>
                <w:p w14:paraId="2FB37A7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8" w:type="pct"/>
                  <w:noWrap w:val="0"/>
                  <w:vAlign w:val="center"/>
                </w:tcPr>
                <w:p w14:paraId="2171CFF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0" w:type="pct"/>
                  <w:vMerge w:val="continue"/>
                  <w:noWrap w:val="0"/>
                  <w:vAlign w:val="center"/>
                </w:tcPr>
                <w:p w14:paraId="5BCBD53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rPr>
                  </w:pPr>
                </w:p>
              </w:tc>
            </w:tr>
            <w:tr w14:paraId="7ABFAE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5" w:type="pct"/>
                  <w:shd w:val="clear" w:color="auto" w:fill="auto"/>
                  <w:noWrap w:val="0"/>
                  <w:vAlign w:val="center"/>
                </w:tcPr>
                <w:p w14:paraId="6E757C60">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681" w:type="pct"/>
                  <w:shd w:val="clear" w:color="auto" w:fill="auto"/>
                  <w:noWrap w:val="0"/>
                  <w:vAlign w:val="center"/>
                </w:tcPr>
                <w:p w14:paraId="41AFC1C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废擦拭布</w:t>
                  </w:r>
                </w:p>
              </w:tc>
              <w:tc>
                <w:tcPr>
                  <w:tcW w:w="563" w:type="pct"/>
                  <w:shd w:val="clear" w:color="auto" w:fill="auto"/>
                  <w:noWrap w:val="0"/>
                  <w:vAlign w:val="center"/>
                </w:tcPr>
                <w:p w14:paraId="1BEF747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UV打印</w:t>
                  </w:r>
                </w:p>
              </w:tc>
              <w:tc>
                <w:tcPr>
                  <w:tcW w:w="395" w:type="pct"/>
                  <w:shd w:val="clear" w:color="auto" w:fill="auto"/>
                  <w:noWrap w:val="0"/>
                  <w:vAlign w:val="center"/>
                </w:tcPr>
                <w:p w14:paraId="744FF26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553" w:type="pct"/>
                  <w:shd w:val="clear" w:color="auto" w:fill="auto"/>
                  <w:noWrap w:val="0"/>
                  <w:vAlign w:val="center"/>
                </w:tcPr>
                <w:p w14:paraId="7E200AF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棉、</w:t>
                  </w:r>
                  <w:r>
                    <w:rPr>
                      <w:rFonts w:hint="eastAsia" w:cs="Times New Roman"/>
                      <w:color w:val="auto"/>
                      <w:sz w:val="21"/>
                      <w:szCs w:val="21"/>
                      <w:lang w:val="en-US" w:eastAsia="zh-CN"/>
                    </w:rPr>
                    <w:t>油墨</w:t>
                  </w:r>
                </w:p>
              </w:tc>
              <w:tc>
                <w:tcPr>
                  <w:tcW w:w="567" w:type="pct"/>
                  <w:shd w:val="clear" w:color="auto" w:fill="auto"/>
                  <w:noWrap w:val="0"/>
                  <w:vAlign w:val="center"/>
                </w:tcPr>
                <w:p w14:paraId="359655A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0.1</w:t>
                  </w:r>
                </w:p>
              </w:tc>
              <w:tc>
                <w:tcPr>
                  <w:tcW w:w="405" w:type="pct"/>
                  <w:shd w:val="clear" w:color="auto" w:fill="auto"/>
                  <w:noWrap w:val="0"/>
                  <w:vAlign w:val="center"/>
                </w:tcPr>
                <w:p w14:paraId="1874128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48" w:type="pct"/>
                  <w:shd w:val="clear" w:color="auto" w:fill="auto"/>
                  <w:noWrap w:val="0"/>
                  <w:vAlign w:val="center"/>
                </w:tcPr>
                <w:p w14:paraId="106F715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040" w:type="pct"/>
                  <w:vMerge w:val="continue"/>
                  <w:noWrap w:val="0"/>
                  <w:vAlign w:val="center"/>
                </w:tcPr>
                <w:p w14:paraId="77735D0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rPr>
                  </w:pPr>
                </w:p>
              </w:tc>
            </w:tr>
            <w:tr w14:paraId="0121F3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5" w:type="pct"/>
                  <w:shd w:val="clear" w:color="auto" w:fill="auto"/>
                  <w:noWrap w:val="0"/>
                  <w:vAlign w:val="center"/>
                </w:tcPr>
                <w:p w14:paraId="0C142D73">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681" w:type="pct"/>
                  <w:noWrap w:val="0"/>
                  <w:vAlign w:val="center"/>
                </w:tcPr>
                <w:p w14:paraId="63CF23F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cs="Times New Roman"/>
                      <w:b w:val="0"/>
                      <w:bCs/>
                      <w:color w:val="auto"/>
                      <w:sz w:val="21"/>
                      <w:szCs w:val="21"/>
                      <w:highlight w:val="none"/>
                      <w:lang w:val="en-US" w:eastAsia="zh-CN"/>
                    </w:rPr>
                    <w:t>清洗废液</w:t>
                  </w:r>
                </w:p>
              </w:tc>
              <w:tc>
                <w:tcPr>
                  <w:tcW w:w="563" w:type="pct"/>
                  <w:noWrap w:val="0"/>
                  <w:vAlign w:val="center"/>
                </w:tcPr>
                <w:p w14:paraId="7760995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清洗</w:t>
                  </w:r>
                </w:p>
              </w:tc>
              <w:tc>
                <w:tcPr>
                  <w:tcW w:w="395" w:type="pct"/>
                  <w:noWrap w:val="0"/>
                  <w:vAlign w:val="center"/>
                </w:tcPr>
                <w:p w14:paraId="31203C9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液态</w:t>
                  </w:r>
                </w:p>
              </w:tc>
              <w:tc>
                <w:tcPr>
                  <w:tcW w:w="553" w:type="pct"/>
                  <w:noWrap w:val="0"/>
                  <w:vAlign w:val="center"/>
                </w:tcPr>
                <w:p w14:paraId="776E375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碱液</w:t>
                  </w:r>
                </w:p>
              </w:tc>
              <w:tc>
                <w:tcPr>
                  <w:tcW w:w="567" w:type="pct"/>
                  <w:noWrap w:val="0"/>
                  <w:vAlign w:val="center"/>
                </w:tcPr>
                <w:p w14:paraId="588DE99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w:t>
                  </w:r>
                </w:p>
              </w:tc>
              <w:tc>
                <w:tcPr>
                  <w:tcW w:w="405" w:type="pct"/>
                  <w:noWrap w:val="0"/>
                  <w:vAlign w:val="center"/>
                </w:tcPr>
                <w:p w14:paraId="6CA0A43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8" w:type="pct"/>
                  <w:noWrap w:val="0"/>
                  <w:vAlign w:val="center"/>
                </w:tcPr>
                <w:p w14:paraId="76328E6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0" w:type="pct"/>
                  <w:vMerge w:val="continue"/>
                  <w:noWrap w:val="0"/>
                  <w:vAlign w:val="center"/>
                </w:tcPr>
                <w:p w14:paraId="1F72E0D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rPr>
                  </w:pPr>
                </w:p>
              </w:tc>
            </w:tr>
            <w:tr w14:paraId="3A34DF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5" w:type="pct"/>
                  <w:shd w:val="clear" w:color="auto" w:fill="auto"/>
                  <w:noWrap w:val="0"/>
                  <w:vAlign w:val="center"/>
                </w:tcPr>
                <w:p w14:paraId="0EC272B8">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17</w:t>
                  </w:r>
                </w:p>
              </w:tc>
              <w:tc>
                <w:tcPr>
                  <w:tcW w:w="681" w:type="pct"/>
                  <w:noWrap w:val="0"/>
                  <w:vAlign w:val="center"/>
                </w:tcPr>
                <w:p w14:paraId="545718D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cs="Times New Roman"/>
                      <w:b w:val="0"/>
                      <w:bCs/>
                      <w:color w:val="auto"/>
                      <w:sz w:val="21"/>
                      <w:szCs w:val="21"/>
                      <w:highlight w:val="none"/>
                      <w:lang w:val="en-US" w:eastAsia="zh-CN"/>
                    </w:rPr>
                    <w:t>废</w:t>
                  </w:r>
                  <w:r>
                    <w:rPr>
                      <w:rFonts w:hint="eastAsia" w:ascii="Times New Roman" w:hAnsi="Times New Roman" w:eastAsia="宋体" w:cs="Times New Roman"/>
                      <w:b w:val="0"/>
                      <w:bCs/>
                      <w:color w:val="auto"/>
                      <w:kern w:val="2"/>
                      <w:sz w:val="21"/>
                      <w:szCs w:val="21"/>
                      <w:highlight w:val="none"/>
                      <w:lang w:val="en-US" w:eastAsia="zh-CN" w:bidi="ar-SA"/>
                    </w:rPr>
                    <w:t>切削液</w:t>
                  </w:r>
                </w:p>
              </w:tc>
              <w:tc>
                <w:tcPr>
                  <w:tcW w:w="563" w:type="pct"/>
                  <w:noWrap w:val="0"/>
                  <w:vAlign w:val="center"/>
                </w:tcPr>
                <w:p w14:paraId="70E722C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铣削</w:t>
                  </w:r>
                </w:p>
              </w:tc>
              <w:tc>
                <w:tcPr>
                  <w:tcW w:w="395" w:type="pct"/>
                  <w:noWrap w:val="0"/>
                  <w:vAlign w:val="center"/>
                </w:tcPr>
                <w:p w14:paraId="154582C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液态</w:t>
                  </w:r>
                </w:p>
              </w:tc>
              <w:tc>
                <w:tcPr>
                  <w:tcW w:w="553" w:type="pct"/>
                  <w:noWrap w:val="0"/>
                  <w:vAlign w:val="center"/>
                </w:tcPr>
                <w:p w14:paraId="6B8B212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矿物</w:t>
                  </w:r>
                  <w:r>
                    <w:rPr>
                      <w:rFonts w:hint="eastAsia" w:ascii="Times New Roman" w:hAnsi="Times New Roman" w:eastAsia="宋体" w:cs="Times New Roman"/>
                      <w:color w:val="auto"/>
                      <w:sz w:val="21"/>
                      <w:szCs w:val="21"/>
                      <w:lang w:val="en-US" w:eastAsia="zh-CN"/>
                    </w:rPr>
                    <w:t>油</w:t>
                  </w:r>
                </w:p>
              </w:tc>
              <w:tc>
                <w:tcPr>
                  <w:tcW w:w="567" w:type="pct"/>
                  <w:noWrap w:val="0"/>
                  <w:vAlign w:val="center"/>
                </w:tcPr>
                <w:p w14:paraId="7C84C0D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0.61</w:t>
                  </w:r>
                </w:p>
              </w:tc>
              <w:tc>
                <w:tcPr>
                  <w:tcW w:w="405" w:type="pct"/>
                  <w:noWrap w:val="0"/>
                  <w:vAlign w:val="center"/>
                </w:tcPr>
                <w:p w14:paraId="692A5F5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8" w:type="pct"/>
                  <w:noWrap w:val="0"/>
                  <w:vAlign w:val="center"/>
                </w:tcPr>
                <w:p w14:paraId="5BB11EE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0" w:type="pct"/>
                  <w:vMerge w:val="continue"/>
                  <w:noWrap w:val="0"/>
                  <w:vAlign w:val="center"/>
                </w:tcPr>
                <w:p w14:paraId="14CD9EB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rPr>
                  </w:pPr>
                </w:p>
              </w:tc>
            </w:tr>
            <w:tr w14:paraId="6DA9B7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5" w:type="pct"/>
                  <w:shd w:val="clear" w:color="auto" w:fill="auto"/>
                  <w:noWrap w:val="0"/>
                  <w:vAlign w:val="center"/>
                </w:tcPr>
                <w:p w14:paraId="46DEA6EA">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18</w:t>
                  </w:r>
                </w:p>
              </w:tc>
              <w:tc>
                <w:tcPr>
                  <w:tcW w:w="681" w:type="pct"/>
                  <w:noWrap w:val="0"/>
                  <w:vAlign w:val="center"/>
                </w:tcPr>
                <w:p w14:paraId="6F3BC38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cs="Times New Roman"/>
                      <w:b w:val="0"/>
                      <w:bCs/>
                      <w:color w:val="auto"/>
                      <w:sz w:val="21"/>
                      <w:szCs w:val="21"/>
                      <w:highlight w:val="none"/>
                      <w:lang w:val="en-US" w:eastAsia="zh-CN"/>
                    </w:rPr>
                    <w:t>废滤芯</w:t>
                  </w:r>
                </w:p>
              </w:tc>
              <w:tc>
                <w:tcPr>
                  <w:tcW w:w="563" w:type="pct"/>
                  <w:noWrap w:val="0"/>
                  <w:vAlign w:val="center"/>
                </w:tcPr>
                <w:p w14:paraId="2623EE2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电火花</w:t>
                  </w:r>
                </w:p>
              </w:tc>
              <w:tc>
                <w:tcPr>
                  <w:tcW w:w="395" w:type="pct"/>
                  <w:noWrap w:val="0"/>
                  <w:vAlign w:val="center"/>
                </w:tcPr>
                <w:p w14:paraId="23E506F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553" w:type="pct"/>
                  <w:noWrap w:val="0"/>
                  <w:vAlign w:val="center"/>
                </w:tcPr>
                <w:p w14:paraId="4945C84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塑料、矿物</w:t>
                  </w:r>
                  <w:r>
                    <w:rPr>
                      <w:rFonts w:hint="eastAsia" w:ascii="Times New Roman" w:hAnsi="Times New Roman" w:eastAsia="宋体" w:cs="Times New Roman"/>
                      <w:color w:val="auto"/>
                      <w:sz w:val="21"/>
                      <w:szCs w:val="21"/>
                      <w:lang w:val="en-US" w:eastAsia="zh-CN"/>
                    </w:rPr>
                    <w:t>油</w:t>
                  </w:r>
                </w:p>
              </w:tc>
              <w:tc>
                <w:tcPr>
                  <w:tcW w:w="567" w:type="pct"/>
                  <w:noWrap w:val="0"/>
                  <w:vAlign w:val="center"/>
                </w:tcPr>
                <w:p w14:paraId="6BB384F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0.1</w:t>
                  </w:r>
                </w:p>
              </w:tc>
              <w:tc>
                <w:tcPr>
                  <w:tcW w:w="405" w:type="pct"/>
                  <w:noWrap w:val="0"/>
                  <w:vAlign w:val="center"/>
                </w:tcPr>
                <w:p w14:paraId="6CEF674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8" w:type="pct"/>
                  <w:noWrap w:val="0"/>
                  <w:vAlign w:val="center"/>
                </w:tcPr>
                <w:p w14:paraId="1780826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0" w:type="pct"/>
                  <w:vMerge w:val="continue"/>
                  <w:noWrap w:val="0"/>
                  <w:vAlign w:val="center"/>
                </w:tcPr>
                <w:p w14:paraId="7B9EFA1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rPr>
                  </w:pPr>
                </w:p>
              </w:tc>
            </w:tr>
            <w:tr w14:paraId="16C185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5" w:type="pct"/>
                  <w:shd w:val="clear" w:color="auto" w:fill="auto"/>
                  <w:noWrap w:val="0"/>
                  <w:vAlign w:val="center"/>
                </w:tcPr>
                <w:p w14:paraId="2BD12D60">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681" w:type="pct"/>
                  <w:noWrap w:val="0"/>
                  <w:vAlign w:val="center"/>
                </w:tcPr>
                <w:p w14:paraId="0CAD29D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废煤油</w:t>
                  </w:r>
                </w:p>
              </w:tc>
              <w:tc>
                <w:tcPr>
                  <w:tcW w:w="563" w:type="pct"/>
                  <w:noWrap w:val="0"/>
                  <w:vAlign w:val="center"/>
                </w:tcPr>
                <w:p w14:paraId="356F92F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电火花</w:t>
                  </w:r>
                </w:p>
              </w:tc>
              <w:tc>
                <w:tcPr>
                  <w:tcW w:w="395" w:type="pct"/>
                  <w:noWrap w:val="0"/>
                  <w:vAlign w:val="center"/>
                </w:tcPr>
                <w:p w14:paraId="068CF44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液</w:t>
                  </w:r>
                  <w:r>
                    <w:rPr>
                      <w:rFonts w:hint="default" w:ascii="Times New Roman" w:hAnsi="Times New Roman" w:eastAsia="宋体" w:cs="Times New Roman"/>
                      <w:color w:val="auto"/>
                      <w:sz w:val="21"/>
                      <w:szCs w:val="21"/>
                      <w:lang w:val="en-US" w:eastAsia="zh-CN"/>
                    </w:rPr>
                    <w:t>态</w:t>
                  </w:r>
                </w:p>
              </w:tc>
              <w:tc>
                <w:tcPr>
                  <w:tcW w:w="553" w:type="pct"/>
                  <w:noWrap w:val="0"/>
                  <w:vAlign w:val="center"/>
                </w:tcPr>
                <w:p w14:paraId="6792B80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矿物油</w:t>
                  </w:r>
                </w:p>
              </w:tc>
              <w:tc>
                <w:tcPr>
                  <w:tcW w:w="567" w:type="pct"/>
                  <w:noWrap w:val="0"/>
                  <w:vAlign w:val="center"/>
                </w:tcPr>
                <w:p w14:paraId="1145320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0.041</w:t>
                  </w:r>
                </w:p>
              </w:tc>
              <w:tc>
                <w:tcPr>
                  <w:tcW w:w="405" w:type="pct"/>
                  <w:noWrap w:val="0"/>
                  <w:vAlign w:val="center"/>
                </w:tcPr>
                <w:p w14:paraId="111E5CD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8" w:type="pct"/>
                  <w:noWrap w:val="0"/>
                  <w:vAlign w:val="center"/>
                </w:tcPr>
                <w:p w14:paraId="7BB2EF0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0" w:type="pct"/>
                  <w:vMerge w:val="continue"/>
                  <w:noWrap w:val="0"/>
                  <w:vAlign w:val="center"/>
                </w:tcPr>
                <w:p w14:paraId="19A264F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rPr>
                  </w:pPr>
                </w:p>
              </w:tc>
            </w:tr>
            <w:tr w14:paraId="6DD945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5" w:type="pct"/>
                  <w:shd w:val="clear" w:color="auto" w:fill="auto"/>
                  <w:noWrap w:val="0"/>
                  <w:vAlign w:val="center"/>
                </w:tcPr>
                <w:p w14:paraId="787861FE">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681" w:type="pct"/>
                  <w:noWrap w:val="0"/>
                  <w:vAlign w:val="center"/>
                </w:tcPr>
                <w:p w14:paraId="77E2B05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废抹布</w:t>
                  </w:r>
                </w:p>
              </w:tc>
              <w:tc>
                <w:tcPr>
                  <w:tcW w:w="563" w:type="pct"/>
                  <w:shd w:val="clear" w:color="auto" w:fill="auto"/>
                  <w:noWrap w:val="0"/>
                  <w:vAlign w:val="center"/>
                </w:tcPr>
                <w:p w14:paraId="027E1E1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电火花</w:t>
                  </w:r>
                </w:p>
              </w:tc>
              <w:tc>
                <w:tcPr>
                  <w:tcW w:w="395" w:type="pct"/>
                  <w:shd w:val="clear" w:color="auto" w:fill="auto"/>
                  <w:noWrap w:val="0"/>
                  <w:vAlign w:val="center"/>
                </w:tcPr>
                <w:p w14:paraId="3DF2492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固</w:t>
                  </w:r>
                  <w:r>
                    <w:rPr>
                      <w:rFonts w:hint="default" w:ascii="Times New Roman" w:hAnsi="Times New Roman" w:eastAsia="宋体" w:cs="Times New Roman"/>
                      <w:color w:val="auto"/>
                      <w:sz w:val="21"/>
                      <w:szCs w:val="21"/>
                      <w:lang w:val="en-US" w:eastAsia="zh-CN"/>
                    </w:rPr>
                    <w:t>态</w:t>
                  </w:r>
                </w:p>
              </w:tc>
              <w:tc>
                <w:tcPr>
                  <w:tcW w:w="553" w:type="pct"/>
                  <w:shd w:val="clear" w:color="auto" w:fill="auto"/>
                  <w:noWrap w:val="0"/>
                  <w:vAlign w:val="center"/>
                </w:tcPr>
                <w:p w14:paraId="7C37FD3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棉、矿物</w:t>
                  </w:r>
                  <w:r>
                    <w:rPr>
                      <w:rFonts w:hint="eastAsia" w:ascii="Times New Roman" w:hAnsi="Times New Roman" w:eastAsia="宋体" w:cs="Times New Roman"/>
                      <w:color w:val="auto"/>
                      <w:sz w:val="21"/>
                      <w:szCs w:val="21"/>
                      <w:lang w:val="en-US" w:eastAsia="zh-CN"/>
                    </w:rPr>
                    <w:t>油</w:t>
                  </w:r>
                </w:p>
              </w:tc>
              <w:tc>
                <w:tcPr>
                  <w:tcW w:w="567" w:type="pct"/>
                  <w:shd w:val="clear" w:color="auto" w:fill="auto"/>
                  <w:noWrap w:val="0"/>
                  <w:vAlign w:val="center"/>
                </w:tcPr>
                <w:p w14:paraId="4B31923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0.2</w:t>
                  </w:r>
                </w:p>
              </w:tc>
              <w:tc>
                <w:tcPr>
                  <w:tcW w:w="405" w:type="pct"/>
                  <w:shd w:val="clear" w:color="auto" w:fill="auto"/>
                  <w:noWrap w:val="0"/>
                  <w:vAlign w:val="center"/>
                </w:tcPr>
                <w:p w14:paraId="4BBA1FF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48" w:type="pct"/>
                  <w:shd w:val="clear" w:color="auto" w:fill="auto"/>
                  <w:noWrap w:val="0"/>
                  <w:vAlign w:val="center"/>
                </w:tcPr>
                <w:p w14:paraId="75CA613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040" w:type="pct"/>
                  <w:vMerge w:val="continue"/>
                  <w:noWrap w:val="0"/>
                  <w:vAlign w:val="center"/>
                </w:tcPr>
                <w:p w14:paraId="202D69C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rPr>
                  </w:pPr>
                </w:p>
              </w:tc>
            </w:tr>
            <w:tr w14:paraId="622257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245" w:type="pct"/>
                  <w:shd w:val="clear" w:color="auto" w:fill="auto"/>
                  <w:noWrap w:val="0"/>
                  <w:vAlign w:val="center"/>
                </w:tcPr>
                <w:p w14:paraId="25C397B1">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21</w:t>
                  </w:r>
                </w:p>
              </w:tc>
              <w:tc>
                <w:tcPr>
                  <w:tcW w:w="681" w:type="pct"/>
                  <w:noWrap w:val="0"/>
                  <w:vAlign w:val="center"/>
                </w:tcPr>
                <w:p w14:paraId="7AEC849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废包装桶</w:t>
                  </w:r>
                </w:p>
              </w:tc>
              <w:tc>
                <w:tcPr>
                  <w:tcW w:w="563" w:type="pct"/>
                  <w:noWrap w:val="0"/>
                  <w:vAlign w:val="center"/>
                </w:tcPr>
                <w:p w14:paraId="44A31BA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原料包装</w:t>
                  </w:r>
                </w:p>
              </w:tc>
              <w:tc>
                <w:tcPr>
                  <w:tcW w:w="395" w:type="pct"/>
                  <w:noWrap w:val="0"/>
                  <w:vAlign w:val="center"/>
                </w:tcPr>
                <w:p w14:paraId="74C43B9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553" w:type="pct"/>
                  <w:noWrap w:val="0"/>
                  <w:vAlign w:val="center"/>
                </w:tcPr>
                <w:p w14:paraId="481BB21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金属、</w:t>
                  </w:r>
                  <w:r>
                    <w:rPr>
                      <w:rFonts w:hint="eastAsia" w:cs="Times New Roman"/>
                      <w:color w:val="auto"/>
                      <w:sz w:val="21"/>
                      <w:szCs w:val="21"/>
                      <w:lang w:val="en-US" w:eastAsia="zh-CN"/>
                    </w:rPr>
                    <w:t>矿物</w:t>
                  </w:r>
                  <w:r>
                    <w:rPr>
                      <w:rFonts w:hint="eastAsia" w:ascii="Times New Roman" w:hAnsi="Times New Roman" w:eastAsia="宋体" w:cs="Times New Roman"/>
                      <w:color w:val="auto"/>
                      <w:sz w:val="21"/>
                      <w:szCs w:val="21"/>
                      <w:lang w:val="en-US" w:eastAsia="zh-CN"/>
                    </w:rPr>
                    <w:t>油</w:t>
                  </w:r>
                </w:p>
              </w:tc>
              <w:tc>
                <w:tcPr>
                  <w:tcW w:w="567" w:type="pct"/>
                  <w:noWrap w:val="0"/>
                  <w:vAlign w:val="center"/>
                </w:tcPr>
                <w:p w14:paraId="61C6166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4</w:t>
                  </w:r>
                </w:p>
              </w:tc>
              <w:tc>
                <w:tcPr>
                  <w:tcW w:w="405" w:type="pct"/>
                  <w:noWrap w:val="0"/>
                  <w:vAlign w:val="center"/>
                </w:tcPr>
                <w:p w14:paraId="41135B0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8" w:type="pct"/>
                  <w:noWrap w:val="0"/>
                  <w:vAlign w:val="center"/>
                </w:tcPr>
                <w:p w14:paraId="646AF46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0" w:type="pct"/>
                  <w:vMerge w:val="continue"/>
                  <w:noWrap w:val="0"/>
                  <w:vAlign w:val="center"/>
                </w:tcPr>
                <w:p w14:paraId="11BB9FA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rPr>
                  </w:pPr>
                </w:p>
              </w:tc>
            </w:tr>
            <w:tr w14:paraId="49389C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 w:type="pct"/>
                  <w:shd w:val="clear" w:color="auto" w:fill="auto"/>
                  <w:noWrap w:val="0"/>
                  <w:vAlign w:val="center"/>
                </w:tcPr>
                <w:p w14:paraId="78F96486">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22</w:t>
                  </w:r>
                </w:p>
              </w:tc>
              <w:tc>
                <w:tcPr>
                  <w:tcW w:w="681" w:type="pct"/>
                  <w:noWrap w:val="0"/>
                  <w:vAlign w:val="center"/>
                </w:tcPr>
                <w:p w14:paraId="41C4AE6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废活性炭</w:t>
                  </w:r>
                </w:p>
              </w:tc>
              <w:tc>
                <w:tcPr>
                  <w:tcW w:w="563" w:type="pct"/>
                  <w:noWrap w:val="0"/>
                  <w:vAlign w:val="center"/>
                </w:tcPr>
                <w:p w14:paraId="580FE91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废气处理</w:t>
                  </w:r>
                </w:p>
              </w:tc>
              <w:tc>
                <w:tcPr>
                  <w:tcW w:w="395" w:type="pct"/>
                  <w:noWrap w:val="0"/>
                  <w:vAlign w:val="center"/>
                </w:tcPr>
                <w:p w14:paraId="3EDA4A0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553" w:type="pct"/>
                  <w:noWrap w:val="0"/>
                  <w:vAlign w:val="center"/>
                </w:tcPr>
                <w:p w14:paraId="682BAC9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活性炭、有机物</w:t>
                  </w:r>
                </w:p>
              </w:tc>
              <w:tc>
                <w:tcPr>
                  <w:tcW w:w="567" w:type="pct"/>
                  <w:noWrap w:val="0"/>
                  <w:vAlign w:val="center"/>
                </w:tcPr>
                <w:p w14:paraId="2E42FC4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1.9</w:t>
                  </w:r>
                </w:p>
              </w:tc>
              <w:tc>
                <w:tcPr>
                  <w:tcW w:w="405" w:type="pct"/>
                  <w:noWrap w:val="0"/>
                  <w:vAlign w:val="center"/>
                </w:tcPr>
                <w:p w14:paraId="0AC74E0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8" w:type="pct"/>
                  <w:noWrap w:val="0"/>
                  <w:vAlign w:val="center"/>
                </w:tcPr>
                <w:p w14:paraId="180CD94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0" w:type="pct"/>
                  <w:vMerge w:val="continue"/>
                  <w:noWrap w:val="0"/>
                  <w:vAlign w:val="center"/>
                </w:tcPr>
                <w:p w14:paraId="21C3338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rPr>
                  </w:pPr>
                </w:p>
              </w:tc>
            </w:tr>
            <w:tr w14:paraId="1660BF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 w:type="pct"/>
                  <w:shd w:val="clear" w:color="auto" w:fill="auto"/>
                  <w:noWrap w:val="0"/>
                  <w:vAlign w:val="center"/>
                </w:tcPr>
                <w:p w14:paraId="7B04D228">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23</w:t>
                  </w:r>
                </w:p>
              </w:tc>
              <w:tc>
                <w:tcPr>
                  <w:tcW w:w="681" w:type="pct"/>
                  <w:noWrap w:val="0"/>
                  <w:vAlign w:val="center"/>
                </w:tcPr>
                <w:p w14:paraId="6F5825F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废抹布手套</w:t>
                  </w:r>
                </w:p>
              </w:tc>
              <w:tc>
                <w:tcPr>
                  <w:tcW w:w="563" w:type="pct"/>
                  <w:noWrap w:val="0"/>
                  <w:vAlign w:val="center"/>
                </w:tcPr>
                <w:p w14:paraId="301B1F7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设备维护</w:t>
                  </w:r>
                </w:p>
              </w:tc>
              <w:tc>
                <w:tcPr>
                  <w:tcW w:w="395" w:type="pct"/>
                  <w:noWrap w:val="0"/>
                  <w:vAlign w:val="center"/>
                </w:tcPr>
                <w:p w14:paraId="6EED9F7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553" w:type="pct"/>
                  <w:noWrap w:val="0"/>
                  <w:vAlign w:val="center"/>
                </w:tcPr>
                <w:p w14:paraId="15216C6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棉、</w:t>
                  </w:r>
                  <w:r>
                    <w:rPr>
                      <w:rFonts w:hint="eastAsia" w:cs="Times New Roman"/>
                      <w:color w:val="auto"/>
                      <w:sz w:val="21"/>
                      <w:szCs w:val="21"/>
                      <w:lang w:val="en-US" w:eastAsia="zh-CN"/>
                    </w:rPr>
                    <w:t>矿物油</w:t>
                  </w:r>
                </w:p>
              </w:tc>
              <w:tc>
                <w:tcPr>
                  <w:tcW w:w="567" w:type="pct"/>
                  <w:noWrap w:val="0"/>
                  <w:vAlign w:val="center"/>
                </w:tcPr>
                <w:p w14:paraId="20E7809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w:t>
                  </w:r>
                </w:p>
              </w:tc>
              <w:tc>
                <w:tcPr>
                  <w:tcW w:w="405" w:type="pct"/>
                  <w:noWrap w:val="0"/>
                  <w:vAlign w:val="center"/>
                </w:tcPr>
                <w:p w14:paraId="6F27C38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8" w:type="pct"/>
                  <w:noWrap w:val="0"/>
                  <w:vAlign w:val="center"/>
                </w:tcPr>
                <w:p w14:paraId="2C6503B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0" w:type="pct"/>
                  <w:vMerge w:val="continue"/>
                  <w:noWrap w:val="0"/>
                  <w:vAlign w:val="center"/>
                </w:tcPr>
                <w:p w14:paraId="2112A9B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rPr>
                  </w:pPr>
                </w:p>
              </w:tc>
            </w:tr>
          </w:tbl>
          <w:p w14:paraId="0D3B20C0">
            <w:pPr>
              <w:widowControl/>
              <w:ind w:firstLine="0" w:firstLineChars="0"/>
              <w:jc w:val="left"/>
              <w:textAlignment w:val="bottom"/>
              <w:rPr>
                <w:b/>
                <w:bCs/>
                <w:color w:val="auto"/>
                <w:sz w:val="24"/>
                <w:szCs w:val="24"/>
              </w:rPr>
            </w:pPr>
            <w:r>
              <w:rPr>
                <w:b/>
                <w:bCs/>
                <w:color w:val="auto"/>
                <w:sz w:val="24"/>
                <w:szCs w:val="24"/>
              </w:rPr>
              <w:t>4.</w:t>
            </w:r>
            <w:r>
              <w:rPr>
                <w:rFonts w:hint="eastAsia"/>
                <w:b/>
                <w:bCs/>
                <w:color w:val="auto"/>
                <w:sz w:val="24"/>
                <w:szCs w:val="24"/>
                <w:lang w:val="en-US" w:eastAsia="zh-CN"/>
              </w:rPr>
              <w:t>3</w:t>
            </w:r>
            <w:r>
              <w:rPr>
                <w:b/>
                <w:bCs/>
                <w:color w:val="auto"/>
                <w:sz w:val="24"/>
                <w:szCs w:val="24"/>
              </w:rPr>
              <w:t>固体废物分析结果汇总</w:t>
            </w:r>
          </w:p>
          <w:p w14:paraId="1312F663">
            <w:pPr>
              <w:widowControl/>
              <w:ind w:firstLine="420"/>
              <w:jc w:val="left"/>
              <w:textAlignment w:val="bottom"/>
              <w:rPr>
                <w:b/>
                <w:bCs/>
                <w:color w:val="auto"/>
                <w:sz w:val="24"/>
                <w:szCs w:val="24"/>
              </w:rPr>
            </w:pPr>
            <w:r>
              <w:rPr>
                <w:color w:val="auto"/>
                <w:sz w:val="24"/>
                <w:szCs w:val="24"/>
              </w:rPr>
              <w:t>项目产生的固体废物名称、类别、属性和数量等情况汇总见下表4</w:t>
            </w:r>
            <w:r>
              <w:rPr>
                <w:rFonts w:hint="eastAsia"/>
                <w:color w:val="auto"/>
                <w:sz w:val="24"/>
                <w:szCs w:val="24"/>
                <w:lang w:val="en-US" w:eastAsia="zh-CN"/>
              </w:rPr>
              <w:t>.4</w:t>
            </w:r>
            <w:r>
              <w:rPr>
                <w:color w:val="auto"/>
                <w:sz w:val="24"/>
                <w:szCs w:val="24"/>
              </w:rPr>
              <w:t>-2。</w:t>
            </w:r>
          </w:p>
          <w:p w14:paraId="214A3F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21"/>
                <w:szCs w:val="21"/>
              </w:rPr>
            </w:pPr>
            <w:r>
              <w:rPr>
                <w:b/>
                <w:color w:val="auto"/>
                <w:sz w:val="21"/>
                <w:szCs w:val="21"/>
              </w:rPr>
              <w:t>表4</w:t>
            </w:r>
            <w:r>
              <w:rPr>
                <w:rFonts w:hint="eastAsia"/>
                <w:b/>
                <w:color w:val="auto"/>
                <w:sz w:val="21"/>
                <w:szCs w:val="21"/>
                <w:lang w:val="en-US" w:eastAsia="zh-CN"/>
              </w:rPr>
              <w:t>.4</w:t>
            </w:r>
            <w:r>
              <w:rPr>
                <w:b/>
                <w:color w:val="auto"/>
                <w:sz w:val="21"/>
                <w:szCs w:val="21"/>
              </w:rPr>
              <w:t>-2  固体废物分析结果汇总表</w:t>
            </w:r>
          </w:p>
          <w:tbl>
            <w:tblPr>
              <w:tblStyle w:val="17"/>
              <w:tblW w:w="9573"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427"/>
              <w:gridCol w:w="657"/>
              <w:gridCol w:w="427"/>
              <w:gridCol w:w="871"/>
              <w:gridCol w:w="841"/>
              <w:gridCol w:w="823"/>
              <w:gridCol w:w="846"/>
              <w:gridCol w:w="694"/>
              <w:gridCol w:w="1157"/>
              <w:gridCol w:w="1336"/>
              <w:gridCol w:w="980"/>
              <w:gridCol w:w="514"/>
            </w:tblGrid>
            <w:tr w14:paraId="6F7493C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7" w:type="dxa"/>
                  <w:noWrap w:val="0"/>
                  <w:vAlign w:val="center"/>
                </w:tcPr>
                <w:p w14:paraId="0F4294ED">
                  <w:pPr>
                    <w:spacing w:line="240" w:lineRule="auto"/>
                    <w:ind w:firstLine="0" w:firstLineChars="0"/>
                    <w:jc w:val="center"/>
                    <w:rPr>
                      <w:b/>
                      <w:bCs/>
                      <w:color w:val="auto"/>
                      <w:sz w:val="21"/>
                      <w:szCs w:val="21"/>
                    </w:rPr>
                  </w:pPr>
                  <w:r>
                    <w:rPr>
                      <w:b/>
                      <w:bCs/>
                      <w:color w:val="auto"/>
                      <w:sz w:val="21"/>
                      <w:szCs w:val="21"/>
                    </w:rPr>
                    <w:t>序号</w:t>
                  </w:r>
                </w:p>
              </w:tc>
              <w:tc>
                <w:tcPr>
                  <w:tcW w:w="657" w:type="dxa"/>
                  <w:noWrap w:val="0"/>
                  <w:vAlign w:val="center"/>
                </w:tcPr>
                <w:p w14:paraId="7CF3D096">
                  <w:pPr>
                    <w:spacing w:line="240" w:lineRule="auto"/>
                    <w:ind w:firstLine="0" w:firstLineChars="0"/>
                    <w:jc w:val="center"/>
                    <w:rPr>
                      <w:b/>
                      <w:bCs/>
                      <w:color w:val="auto"/>
                      <w:sz w:val="21"/>
                      <w:szCs w:val="21"/>
                    </w:rPr>
                  </w:pPr>
                  <w:r>
                    <w:rPr>
                      <w:b/>
                      <w:bCs/>
                      <w:color w:val="auto"/>
                      <w:sz w:val="21"/>
                      <w:szCs w:val="21"/>
                    </w:rPr>
                    <w:t>固体废物名称</w:t>
                  </w:r>
                </w:p>
              </w:tc>
              <w:tc>
                <w:tcPr>
                  <w:tcW w:w="427" w:type="dxa"/>
                  <w:noWrap w:val="0"/>
                  <w:vAlign w:val="center"/>
                </w:tcPr>
                <w:p w14:paraId="4278BBB2">
                  <w:pPr>
                    <w:spacing w:line="240" w:lineRule="auto"/>
                    <w:ind w:firstLine="0" w:firstLineChars="0"/>
                    <w:jc w:val="center"/>
                    <w:rPr>
                      <w:b/>
                      <w:bCs/>
                      <w:color w:val="auto"/>
                      <w:sz w:val="21"/>
                      <w:szCs w:val="21"/>
                    </w:rPr>
                  </w:pPr>
                  <w:r>
                    <w:rPr>
                      <w:b/>
                      <w:bCs/>
                      <w:color w:val="auto"/>
                      <w:sz w:val="21"/>
                      <w:szCs w:val="21"/>
                    </w:rPr>
                    <w:t>属性</w:t>
                  </w:r>
                </w:p>
              </w:tc>
              <w:tc>
                <w:tcPr>
                  <w:tcW w:w="871" w:type="dxa"/>
                  <w:noWrap w:val="0"/>
                  <w:vAlign w:val="center"/>
                </w:tcPr>
                <w:p w14:paraId="02912018">
                  <w:pPr>
                    <w:spacing w:line="240" w:lineRule="auto"/>
                    <w:ind w:firstLine="0" w:firstLineChars="0"/>
                    <w:jc w:val="center"/>
                    <w:rPr>
                      <w:b/>
                      <w:bCs/>
                      <w:color w:val="auto"/>
                      <w:sz w:val="21"/>
                      <w:szCs w:val="21"/>
                    </w:rPr>
                  </w:pPr>
                  <w:r>
                    <w:rPr>
                      <w:b/>
                      <w:bCs/>
                      <w:color w:val="auto"/>
                      <w:sz w:val="21"/>
                      <w:szCs w:val="21"/>
                    </w:rPr>
                    <w:t>产生工序</w:t>
                  </w:r>
                </w:p>
              </w:tc>
              <w:tc>
                <w:tcPr>
                  <w:tcW w:w="841" w:type="dxa"/>
                  <w:noWrap w:val="0"/>
                  <w:vAlign w:val="center"/>
                </w:tcPr>
                <w:p w14:paraId="4437DA89">
                  <w:pPr>
                    <w:spacing w:line="240" w:lineRule="auto"/>
                    <w:ind w:firstLine="0" w:firstLineChars="0"/>
                    <w:jc w:val="center"/>
                    <w:rPr>
                      <w:b/>
                      <w:bCs/>
                      <w:color w:val="auto"/>
                      <w:sz w:val="21"/>
                      <w:szCs w:val="21"/>
                    </w:rPr>
                  </w:pPr>
                  <w:r>
                    <w:rPr>
                      <w:b/>
                      <w:bCs/>
                      <w:color w:val="auto"/>
                      <w:sz w:val="21"/>
                      <w:szCs w:val="21"/>
                    </w:rPr>
                    <w:t>形态</w:t>
                  </w:r>
                </w:p>
              </w:tc>
              <w:tc>
                <w:tcPr>
                  <w:tcW w:w="823" w:type="dxa"/>
                  <w:noWrap w:val="0"/>
                  <w:vAlign w:val="center"/>
                </w:tcPr>
                <w:p w14:paraId="600043BB">
                  <w:pPr>
                    <w:spacing w:line="240" w:lineRule="auto"/>
                    <w:ind w:firstLine="0" w:firstLineChars="0"/>
                    <w:jc w:val="center"/>
                    <w:rPr>
                      <w:b/>
                      <w:bCs/>
                      <w:color w:val="auto"/>
                      <w:sz w:val="21"/>
                      <w:szCs w:val="21"/>
                    </w:rPr>
                  </w:pPr>
                  <w:r>
                    <w:rPr>
                      <w:b/>
                      <w:bCs/>
                      <w:color w:val="auto"/>
                      <w:sz w:val="21"/>
                      <w:szCs w:val="21"/>
                    </w:rPr>
                    <w:t>主要成分</w:t>
                  </w:r>
                </w:p>
              </w:tc>
              <w:tc>
                <w:tcPr>
                  <w:tcW w:w="846" w:type="dxa"/>
                  <w:noWrap w:val="0"/>
                  <w:vAlign w:val="center"/>
                </w:tcPr>
                <w:p w14:paraId="026C82B6">
                  <w:pPr>
                    <w:spacing w:line="240" w:lineRule="auto"/>
                    <w:ind w:firstLine="0" w:firstLineChars="0"/>
                    <w:jc w:val="center"/>
                    <w:rPr>
                      <w:b/>
                      <w:bCs/>
                      <w:color w:val="auto"/>
                      <w:sz w:val="21"/>
                      <w:szCs w:val="21"/>
                    </w:rPr>
                  </w:pPr>
                  <w:r>
                    <w:rPr>
                      <w:b/>
                      <w:bCs/>
                      <w:color w:val="auto"/>
                      <w:sz w:val="21"/>
                      <w:szCs w:val="21"/>
                    </w:rPr>
                    <w:t>危险特性鉴别方法</w:t>
                  </w:r>
                </w:p>
              </w:tc>
              <w:tc>
                <w:tcPr>
                  <w:tcW w:w="694" w:type="dxa"/>
                  <w:noWrap w:val="0"/>
                  <w:vAlign w:val="center"/>
                </w:tcPr>
                <w:p w14:paraId="0CBB3DD2">
                  <w:pPr>
                    <w:spacing w:line="240" w:lineRule="auto"/>
                    <w:ind w:firstLine="0" w:firstLineChars="0"/>
                    <w:jc w:val="center"/>
                    <w:rPr>
                      <w:b/>
                      <w:bCs/>
                      <w:color w:val="auto"/>
                      <w:sz w:val="21"/>
                      <w:szCs w:val="21"/>
                    </w:rPr>
                  </w:pPr>
                  <w:r>
                    <w:rPr>
                      <w:b/>
                      <w:bCs/>
                      <w:color w:val="auto"/>
                      <w:sz w:val="21"/>
                      <w:szCs w:val="21"/>
                    </w:rPr>
                    <w:t>危险特性</w:t>
                  </w:r>
                </w:p>
              </w:tc>
              <w:tc>
                <w:tcPr>
                  <w:tcW w:w="1157" w:type="dxa"/>
                  <w:noWrap w:val="0"/>
                  <w:vAlign w:val="center"/>
                </w:tcPr>
                <w:p w14:paraId="2695433D">
                  <w:pPr>
                    <w:spacing w:line="240" w:lineRule="auto"/>
                    <w:ind w:firstLine="0" w:firstLineChars="0"/>
                    <w:jc w:val="center"/>
                    <w:rPr>
                      <w:b/>
                      <w:bCs/>
                      <w:color w:val="auto"/>
                      <w:sz w:val="21"/>
                      <w:szCs w:val="21"/>
                    </w:rPr>
                  </w:pPr>
                  <w:r>
                    <w:rPr>
                      <w:b/>
                      <w:bCs/>
                      <w:color w:val="auto"/>
                      <w:sz w:val="21"/>
                      <w:szCs w:val="21"/>
                    </w:rPr>
                    <w:t>废物类别</w:t>
                  </w:r>
                </w:p>
              </w:tc>
              <w:tc>
                <w:tcPr>
                  <w:tcW w:w="1336" w:type="dxa"/>
                  <w:noWrap w:val="0"/>
                  <w:vAlign w:val="center"/>
                </w:tcPr>
                <w:p w14:paraId="47AD61C6">
                  <w:pPr>
                    <w:spacing w:line="240" w:lineRule="auto"/>
                    <w:ind w:firstLine="0" w:firstLineChars="0"/>
                    <w:jc w:val="center"/>
                    <w:rPr>
                      <w:b/>
                      <w:bCs/>
                      <w:color w:val="auto"/>
                      <w:sz w:val="21"/>
                      <w:szCs w:val="21"/>
                    </w:rPr>
                  </w:pPr>
                  <w:r>
                    <w:rPr>
                      <w:b/>
                      <w:bCs/>
                      <w:color w:val="auto"/>
                      <w:sz w:val="21"/>
                      <w:szCs w:val="21"/>
                    </w:rPr>
                    <w:t>废物代码</w:t>
                  </w:r>
                </w:p>
              </w:tc>
              <w:tc>
                <w:tcPr>
                  <w:tcW w:w="980" w:type="dxa"/>
                  <w:noWrap w:val="0"/>
                  <w:vAlign w:val="center"/>
                </w:tcPr>
                <w:p w14:paraId="4576C66E">
                  <w:pPr>
                    <w:spacing w:line="240" w:lineRule="auto"/>
                    <w:ind w:firstLine="0" w:firstLineChars="0"/>
                    <w:jc w:val="center"/>
                    <w:rPr>
                      <w:b/>
                      <w:bCs/>
                      <w:color w:val="auto"/>
                      <w:sz w:val="21"/>
                      <w:szCs w:val="21"/>
                    </w:rPr>
                  </w:pPr>
                  <w:r>
                    <w:rPr>
                      <w:b/>
                      <w:bCs/>
                      <w:color w:val="auto"/>
                      <w:sz w:val="21"/>
                      <w:szCs w:val="21"/>
                    </w:rPr>
                    <w:t>估算产生量（t/a）</w:t>
                  </w:r>
                </w:p>
              </w:tc>
              <w:tc>
                <w:tcPr>
                  <w:tcW w:w="514" w:type="dxa"/>
                  <w:noWrap w:val="0"/>
                  <w:vAlign w:val="center"/>
                </w:tcPr>
                <w:p w14:paraId="58D55869">
                  <w:pPr>
                    <w:spacing w:line="240" w:lineRule="auto"/>
                    <w:ind w:firstLine="0" w:firstLineChars="0"/>
                    <w:jc w:val="center"/>
                    <w:rPr>
                      <w:b/>
                      <w:bCs/>
                      <w:color w:val="auto"/>
                      <w:sz w:val="21"/>
                      <w:szCs w:val="21"/>
                    </w:rPr>
                  </w:pPr>
                  <w:r>
                    <w:rPr>
                      <w:b/>
                      <w:bCs/>
                      <w:color w:val="auto"/>
                      <w:sz w:val="21"/>
                      <w:szCs w:val="21"/>
                    </w:rPr>
                    <w:t>利用处置方式</w:t>
                  </w:r>
                </w:p>
              </w:tc>
            </w:tr>
            <w:tr w14:paraId="33B0330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7" w:type="dxa"/>
                  <w:noWrap w:val="0"/>
                  <w:vAlign w:val="center"/>
                </w:tcPr>
                <w:p w14:paraId="7057C028">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57" w:type="dxa"/>
                  <w:noWrap w:val="0"/>
                  <w:vAlign w:val="center"/>
                </w:tcPr>
                <w:p w14:paraId="53C26A2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bCs/>
                      <w:color w:val="auto"/>
                      <w:kern w:val="2"/>
                      <w:sz w:val="21"/>
                      <w:szCs w:val="21"/>
                      <w:lang w:val="en-US" w:eastAsia="zh-CN" w:bidi="ar-SA"/>
                    </w:rPr>
                  </w:pPr>
                  <w:r>
                    <w:rPr>
                      <w:rFonts w:hint="eastAsia" w:cs="Times New Roman"/>
                      <w:color w:val="auto"/>
                      <w:sz w:val="21"/>
                      <w:szCs w:val="21"/>
                      <w:lang w:val="en-US" w:eastAsia="zh-CN"/>
                    </w:rPr>
                    <w:t>不合格品</w:t>
                  </w:r>
                </w:p>
              </w:tc>
              <w:tc>
                <w:tcPr>
                  <w:tcW w:w="427" w:type="dxa"/>
                  <w:vMerge w:val="restart"/>
                  <w:noWrap w:val="0"/>
                  <w:vAlign w:val="center"/>
                </w:tcPr>
                <w:p w14:paraId="006266E3">
                  <w:pPr>
                    <w:spacing w:line="240" w:lineRule="auto"/>
                    <w:ind w:firstLine="0" w:firstLineChars="0"/>
                    <w:jc w:val="center"/>
                    <w:rPr>
                      <w:color w:val="auto"/>
                      <w:sz w:val="21"/>
                      <w:szCs w:val="21"/>
                    </w:rPr>
                  </w:pPr>
                  <w:r>
                    <w:rPr>
                      <w:color w:val="auto"/>
                      <w:sz w:val="21"/>
                      <w:szCs w:val="21"/>
                    </w:rPr>
                    <w:t>一般工业固废</w:t>
                  </w:r>
                </w:p>
              </w:tc>
              <w:tc>
                <w:tcPr>
                  <w:tcW w:w="871" w:type="dxa"/>
                  <w:shd w:val="clear" w:color="auto" w:fill="auto"/>
                  <w:noWrap w:val="0"/>
                  <w:vAlign w:val="center"/>
                </w:tcPr>
                <w:p w14:paraId="63B103D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注塑后检验</w:t>
                  </w:r>
                </w:p>
              </w:tc>
              <w:tc>
                <w:tcPr>
                  <w:tcW w:w="841" w:type="dxa"/>
                  <w:shd w:val="clear" w:color="auto" w:fill="auto"/>
                  <w:noWrap w:val="0"/>
                  <w:vAlign w:val="center"/>
                </w:tcPr>
                <w:p w14:paraId="090E69A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823" w:type="dxa"/>
                  <w:shd w:val="clear" w:color="auto" w:fill="auto"/>
                  <w:noWrap w:val="0"/>
                  <w:vAlign w:val="center"/>
                </w:tcPr>
                <w:p w14:paraId="0B0EE5F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塑料</w:t>
                  </w:r>
                </w:p>
              </w:tc>
              <w:tc>
                <w:tcPr>
                  <w:tcW w:w="846" w:type="dxa"/>
                  <w:vMerge w:val="restart"/>
                  <w:noWrap w:val="0"/>
                  <w:vAlign w:val="center"/>
                </w:tcPr>
                <w:p w14:paraId="10876923">
                  <w:pPr>
                    <w:spacing w:line="240" w:lineRule="auto"/>
                    <w:ind w:firstLine="0" w:firstLineChars="0"/>
                    <w:jc w:val="center"/>
                    <w:rPr>
                      <w:rFonts w:hint="eastAsia" w:eastAsia="宋体"/>
                      <w:color w:val="auto"/>
                      <w:sz w:val="21"/>
                      <w:szCs w:val="21"/>
                      <w:lang w:eastAsia="zh-CN"/>
                    </w:rPr>
                  </w:pPr>
                  <w:r>
                    <w:rPr>
                      <w:rFonts w:hint="eastAsia"/>
                      <w:color w:val="auto"/>
                      <w:sz w:val="21"/>
                      <w:szCs w:val="21"/>
                      <w:lang w:eastAsia="zh-CN"/>
                    </w:rPr>
                    <w:t>《固体废物分类与代码目录》</w:t>
                  </w:r>
                </w:p>
              </w:tc>
              <w:tc>
                <w:tcPr>
                  <w:tcW w:w="694" w:type="dxa"/>
                  <w:noWrap w:val="0"/>
                  <w:vAlign w:val="center"/>
                </w:tcPr>
                <w:p w14:paraId="17B55723">
                  <w:pPr>
                    <w:spacing w:line="240" w:lineRule="auto"/>
                    <w:ind w:firstLine="0" w:firstLineChars="0"/>
                    <w:jc w:val="center"/>
                    <w:rPr>
                      <w:color w:val="auto"/>
                      <w:sz w:val="21"/>
                      <w:szCs w:val="21"/>
                    </w:rPr>
                  </w:pPr>
                  <w:r>
                    <w:rPr>
                      <w:color w:val="auto"/>
                      <w:sz w:val="21"/>
                      <w:szCs w:val="21"/>
                    </w:rPr>
                    <w:t>/</w:t>
                  </w:r>
                </w:p>
              </w:tc>
              <w:tc>
                <w:tcPr>
                  <w:tcW w:w="1157" w:type="dxa"/>
                  <w:noWrap w:val="0"/>
                  <w:vAlign w:val="center"/>
                </w:tcPr>
                <w:p w14:paraId="0A8C59A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SW17</w:t>
                  </w:r>
                </w:p>
              </w:tc>
              <w:tc>
                <w:tcPr>
                  <w:tcW w:w="1336" w:type="dxa"/>
                  <w:noWrap w:val="0"/>
                  <w:vAlign w:val="center"/>
                </w:tcPr>
                <w:p w14:paraId="476A3B3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900-003-S17</w:t>
                  </w:r>
                </w:p>
              </w:tc>
              <w:tc>
                <w:tcPr>
                  <w:tcW w:w="980" w:type="dxa"/>
                  <w:shd w:val="clear" w:color="auto" w:fill="auto"/>
                  <w:noWrap w:val="0"/>
                  <w:vAlign w:val="center"/>
                </w:tcPr>
                <w:p w14:paraId="2FD3A2B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w:t>
                  </w:r>
                </w:p>
              </w:tc>
              <w:tc>
                <w:tcPr>
                  <w:tcW w:w="514" w:type="dxa"/>
                  <w:noWrap w:val="0"/>
                  <w:vAlign w:val="center"/>
                </w:tcPr>
                <w:p w14:paraId="20599F03">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回用于生产</w:t>
                  </w:r>
                </w:p>
              </w:tc>
            </w:tr>
            <w:tr w14:paraId="4359494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7" w:type="dxa"/>
                  <w:noWrap w:val="0"/>
                  <w:vAlign w:val="center"/>
                </w:tcPr>
                <w:p w14:paraId="540E8FA0">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657" w:type="dxa"/>
                  <w:noWrap w:val="0"/>
                  <w:vAlign w:val="center"/>
                </w:tcPr>
                <w:p w14:paraId="1D5187C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bCs/>
                      <w:color w:val="auto"/>
                      <w:kern w:val="2"/>
                      <w:sz w:val="21"/>
                      <w:szCs w:val="21"/>
                      <w:lang w:val="en-US" w:eastAsia="zh-CN" w:bidi="ar-SA"/>
                    </w:rPr>
                  </w:pPr>
                  <w:r>
                    <w:rPr>
                      <w:rFonts w:hint="eastAsia" w:cs="Times New Roman"/>
                      <w:color w:val="auto"/>
                      <w:sz w:val="21"/>
                      <w:szCs w:val="21"/>
                      <w:lang w:val="en-US" w:eastAsia="zh-CN"/>
                    </w:rPr>
                    <w:t>不合格品</w:t>
                  </w:r>
                </w:p>
              </w:tc>
              <w:tc>
                <w:tcPr>
                  <w:tcW w:w="427" w:type="dxa"/>
                  <w:vMerge w:val="continue"/>
                  <w:noWrap w:val="0"/>
                  <w:vAlign w:val="center"/>
                </w:tcPr>
                <w:p w14:paraId="42DCCEDF">
                  <w:pPr>
                    <w:spacing w:line="240" w:lineRule="auto"/>
                    <w:ind w:firstLine="0" w:firstLineChars="0"/>
                    <w:jc w:val="center"/>
                    <w:rPr>
                      <w:color w:val="auto"/>
                      <w:sz w:val="21"/>
                      <w:szCs w:val="21"/>
                    </w:rPr>
                  </w:pPr>
                </w:p>
              </w:tc>
              <w:tc>
                <w:tcPr>
                  <w:tcW w:w="871" w:type="dxa"/>
                  <w:shd w:val="clear" w:color="auto" w:fill="auto"/>
                  <w:noWrap w:val="0"/>
                  <w:vAlign w:val="center"/>
                </w:tcPr>
                <w:p w14:paraId="4C5F6C0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组装后检验</w:t>
                  </w:r>
                </w:p>
              </w:tc>
              <w:tc>
                <w:tcPr>
                  <w:tcW w:w="841" w:type="dxa"/>
                  <w:shd w:val="clear" w:color="auto" w:fill="auto"/>
                  <w:noWrap w:val="0"/>
                  <w:vAlign w:val="center"/>
                </w:tcPr>
                <w:p w14:paraId="17D097D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823" w:type="dxa"/>
                  <w:shd w:val="clear" w:color="auto" w:fill="auto"/>
                  <w:noWrap w:val="0"/>
                  <w:vAlign w:val="center"/>
                </w:tcPr>
                <w:p w14:paraId="2379274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塑料</w:t>
                  </w:r>
                </w:p>
              </w:tc>
              <w:tc>
                <w:tcPr>
                  <w:tcW w:w="846" w:type="dxa"/>
                  <w:vMerge w:val="continue"/>
                  <w:noWrap w:val="0"/>
                  <w:vAlign w:val="center"/>
                </w:tcPr>
                <w:p w14:paraId="72289618">
                  <w:pPr>
                    <w:spacing w:line="240" w:lineRule="auto"/>
                    <w:ind w:firstLine="0" w:firstLineChars="0"/>
                    <w:jc w:val="center"/>
                    <w:rPr>
                      <w:color w:val="auto"/>
                      <w:sz w:val="21"/>
                      <w:szCs w:val="21"/>
                    </w:rPr>
                  </w:pPr>
                </w:p>
              </w:tc>
              <w:tc>
                <w:tcPr>
                  <w:tcW w:w="694" w:type="dxa"/>
                  <w:noWrap w:val="0"/>
                  <w:vAlign w:val="center"/>
                </w:tcPr>
                <w:p w14:paraId="14701E2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57" w:type="dxa"/>
                  <w:noWrap w:val="0"/>
                  <w:vAlign w:val="center"/>
                </w:tcPr>
                <w:p w14:paraId="7823EDF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SW17</w:t>
                  </w:r>
                </w:p>
              </w:tc>
              <w:tc>
                <w:tcPr>
                  <w:tcW w:w="1336" w:type="dxa"/>
                  <w:noWrap w:val="0"/>
                  <w:vAlign w:val="center"/>
                </w:tcPr>
                <w:p w14:paraId="6790903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900-003-S17</w:t>
                  </w:r>
                </w:p>
              </w:tc>
              <w:tc>
                <w:tcPr>
                  <w:tcW w:w="980" w:type="dxa"/>
                  <w:shd w:val="clear" w:color="auto" w:fill="auto"/>
                  <w:noWrap w:val="0"/>
                  <w:vAlign w:val="center"/>
                </w:tcPr>
                <w:p w14:paraId="285051D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w:t>
                  </w:r>
                </w:p>
              </w:tc>
              <w:tc>
                <w:tcPr>
                  <w:tcW w:w="514" w:type="dxa"/>
                  <w:vMerge w:val="continue"/>
                  <w:noWrap w:val="0"/>
                  <w:vAlign w:val="center"/>
                </w:tcPr>
                <w:p w14:paraId="70B58C94">
                  <w:pPr>
                    <w:spacing w:line="240" w:lineRule="auto"/>
                    <w:ind w:firstLine="0" w:firstLineChars="0"/>
                    <w:jc w:val="center"/>
                    <w:rPr>
                      <w:color w:val="auto"/>
                      <w:sz w:val="21"/>
                      <w:szCs w:val="21"/>
                    </w:rPr>
                  </w:pPr>
                </w:p>
              </w:tc>
            </w:tr>
            <w:tr w14:paraId="1D97BE1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6B1180B1">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highlight w:val="none"/>
                      <w:u w:val="none"/>
                      <w:lang w:val="en-US" w:eastAsia="zh-CN" w:bidi="ar"/>
                    </w:rPr>
                    <w:t>3</w:t>
                  </w:r>
                </w:p>
              </w:tc>
              <w:tc>
                <w:tcPr>
                  <w:tcW w:w="657" w:type="dxa"/>
                  <w:noWrap w:val="0"/>
                  <w:vAlign w:val="center"/>
                </w:tcPr>
                <w:p w14:paraId="376DD66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废磨料</w:t>
                  </w:r>
                </w:p>
              </w:tc>
              <w:tc>
                <w:tcPr>
                  <w:tcW w:w="427" w:type="dxa"/>
                  <w:vMerge w:val="continue"/>
                  <w:noWrap w:val="0"/>
                  <w:vAlign w:val="center"/>
                </w:tcPr>
                <w:p w14:paraId="4102300B">
                  <w:pPr>
                    <w:spacing w:line="240" w:lineRule="auto"/>
                    <w:ind w:firstLine="0" w:firstLineChars="0"/>
                    <w:jc w:val="center"/>
                    <w:rPr>
                      <w:color w:val="auto"/>
                      <w:sz w:val="21"/>
                      <w:szCs w:val="21"/>
                    </w:rPr>
                  </w:pPr>
                </w:p>
              </w:tc>
              <w:tc>
                <w:tcPr>
                  <w:tcW w:w="871" w:type="dxa"/>
                  <w:shd w:val="clear" w:color="auto" w:fill="auto"/>
                  <w:noWrap w:val="0"/>
                  <w:vAlign w:val="center"/>
                </w:tcPr>
                <w:p w14:paraId="09B8BB0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磁力抛光</w:t>
                  </w:r>
                </w:p>
              </w:tc>
              <w:tc>
                <w:tcPr>
                  <w:tcW w:w="841" w:type="dxa"/>
                  <w:shd w:val="clear" w:color="auto" w:fill="auto"/>
                  <w:noWrap w:val="0"/>
                  <w:vAlign w:val="center"/>
                </w:tcPr>
                <w:p w14:paraId="24C2D63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823" w:type="dxa"/>
                  <w:shd w:val="clear" w:color="auto" w:fill="auto"/>
                  <w:noWrap w:val="0"/>
                  <w:vAlign w:val="center"/>
                </w:tcPr>
                <w:p w14:paraId="4F935AB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碳化硅</w:t>
                  </w:r>
                </w:p>
              </w:tc>
              <w:tc>
                <w:tcPr>
                  <w:tcW w:w="846" w:type="dxa"/>
                  <w:vMerge w:val="continue"/>
                  <w:noWrap w:val="0"/>
                  <w:vAlign w:val="center"/>
                </w:tcPr>
                <w:p w14:paraId="281674C0">
                  <w:pPr>
                    <w:spacing w:line="240" w:lineRule="auto"/>
                    <w:ind w:firstLine="0" w:firstLineChars="0"/>
                    <w:jc w:val="center"/>
                    <w:rPr>
                      <w:color w:val="auto"/>
                      <w:sz w:val="21"/>
                      <w:szCs w:val="21"/>
                    </w:rPr>
                  </w:pPr>
                </w:p>
              </w:tc>
              <w:tc>
                <w:tcPr>
                  <w:tcW w:w="694" w:type="dxa"/>
                  <w:noWrap w:val="0"/>
                  <w:vAlign w:val="center"/>
                </w:tcPr>
                <w:p w14:paraId="0C135B7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157" w:type="dxa"/>
                  <w:shd w:val="clear" w:color="auto" w:fill="auto"/>
                  <w:noWrap w:val="0"/>
                  <w:vAlign w:val="center"/>
                </w:tcPr>
                <w:p w14:paraId="7537178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SW17</w:t>
                  </w:r>
                </w:p>
              </w:tc>
              <w:tc>
                <w:tcPr>
                  <w:tcW w:w="1336" w:type="dxa"/>
                  <w:shd w:val="clear" w:color="auto" w:fill="auto"/>
                  <w:noWrap w:val="0"/>
                  <w:vAlign w:val="center"/>
                </w:tcPr>
                <w:p w14:paraId="04A41D2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900-0</w:t>
                  </w:r>
                  <w:r>
                    <w:rPr>
                      <w:rFonts w:hint="eastAsia" w:ascii="Times New Roman" w:hAnsi="Times New Roman" w:eastAsia="宋体" w:cs="Times New Roman"/>
                      <w:color w:val="auto"/>
                      <w:sz w:val="21"/>
                      <w:szCs w:val="21"/>
                      <w:lang w:val="en-US" w:eastAsia="zh-CN"/>
                    </w:rPr>
                    <w:t>99</w:t>
                  </w:r>
                  <w:r>
                    <w:rPr>
                      <w:rFonts w:hint="default" w:ascii="Times New Roman" w:hAnsi="Times New Roman" w:eastAsia="宋体" w:cs="Times New Roman"/>
                      <w:color w:val="auto"/>
                      <w:sz w:val="21"/>
                      <w:szCs w:val="21"/>
                      <w:lang w:val="en-US" w:eastAsia="zh-CN"/>
                    </w:rPr>
                    <w:t>-S17</w:t>
                  </w:r>
                </w:p>
              </w:tc>
              <w:tc>
                <w:tcPr>
                  <w:tcW w:w="980" w:type="dxa"/>
                  <w:shd w:val="clear" w:color="auto" w:fill="auto"/>
                  <w:noWrap w:val="0"/>
                  <w:vAlign w:val="center"/>
                </w:tcPr>
                <w:p w14:paraId="597CAE8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0.08</w:t>
                  </w:r>
                </w:p>
              </w:tc>
              <w:tc>
                <w:tcPr>
                  <w:tcW w:w="514" w:type="dxa"/>
                  <w:vMerge w:val="continue"/>
                  <w:noWrap w:val="0"/>
                  <w:vAlign w:val="center"/>
                </w:tcPr>
                <w:p w14:paraId="494D137C">
                  <w:pPr>
                    <w:spacing w:line="240" w:lineRule="auto"/>
                    <w:ind w:firstLine="0" w:firstLineChars="0"/>
                    <w:jc w:val="center"/>
                    <w:rPr>
                      <w:color w:val="auto"/>
                      <w:sz w:val="21"/>
                      <w:szCs w:val="21"/>
                    </w:rPr>
                  </w:pPr>
                </w:p>
              </w:tc>
            </w:tr>
            <w:tr w14:paraId="715E93F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0EA3213C">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w:t>
                  </w:r>
                </w:p>
              </w:tc>
              <w:tc>
                <w:tcPr>
                  <w:tcW w:w="657" w:type="dxa"/>
                  <w:noWrap w:val="0"/>
                  <w:vAlign w:val="center"/>
                </w:tcPr>
                <w:p w14:paraId="6FB8320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废金属屑</w:t>
                  </w:r>
                </w:p>
              </w:tc>
              <w:tc>
                <w:tcPr>
                  <w:tcW w:w="427" w:type="dxa"/>
                  <w:vMerge w:val="continue"/>
                  <w:noWrap w:val="0"/>
                  <w:vAlign w:val="center"/>
                </w:tcPr>
                <w:p w14:paraId="72A65E6A">
                  <w:pPr>
                    <w:spacing w:line="240" w:lineRule="auto"/>
                    <w:ind w:firstLine="0" w:firstLineChars="0"/>
                    <w:jc w:val="center"/>
                    <w:rPr>
                      <w:color w:val="auto"/>
                      <w:sz w:val="21"/>
                      <w:szCs w:val="21"/>
                    </w:rPr>
                  </w:pPr>
                </w:p>
              </w:tc>
              <w:tc>
                <w:tcPr>
                  <w:tcW w:w="871" w:type="dxa"/>
                  <w:shd w:val="clear" w:color="auto" w:fill="auto"/>
                  <w:noWrap w:val="0"/>
                  <w:vAlign w:val="center"/>
                </w:tcPr>
                <w:p w14:paraId="1D82E3C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铣削</w:t>
                  </w:r>
                </w:p>
              </w:tc>
              <w:tc>
                <w:tcPr>
                  <w:tcW w:w="841" w:type="dxa"/>
                  <w:shd w:val="clear" w:color="auto" w:fill="auto"/>
                  <w:noWrap w:val="0"/>
                  <w:vAlign w:val="center"/>
                </w:tcPr>
                <w:p w14:paraId="0B5AFBB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823" w:type="dxa"/>
                  <w:shd w:val="clear" w:color="auto" w:fill="auto"/>
                  <w:noWrap w:val="0"/>
                  <w:vAlign w:val="center"/>
                </w:tcPr>
                <w:p w14:paraId="0313995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金属</w:t>
                  </w:r>
                </w:p>
              </w:tc>
              <w:tc>
                <w:tcPr>
                  <w:tcW w:w="846" w:type="dxa"/>
                  <w:vMerge w:val="continue"/>
                  <w:noWrap w:val="0"/>
                  <w:vAlign w:val="center"/>
                </w:tcPr>
                <w:p w14:paraId="003CD25F">
                  <w:pPr>
                    <w:spacing w:line="240" w:lineRule="auto"/>
                    <w:ind w:firstLine="0" w:firstLineChars="0"/>
                    <w:jc w:val="center"/>
                    <w:rPr>
                      <w:color w:val="auto"/>
                      <w:sz w:val="21"/>
                      <w:szCs w:val="21"/>
                    </w:rPr>
                  </w:pPr>
                </w:p>
              </w:tc>
              <w:tc>
                <w:tcPr>
                  <w:tcW w:w="694" w:type="dxa"/>
                  <w:noWrap w:val="0"/>
                  <w:vAlign w:val="center"/>
                </w:tcPr>
                <w:p w14:paraId="0B072A6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57" w:type="dxa"/>
                  <w:shd w:val="clear" w:color="auto" w:fill="auto"/>
                  <w:noWrap w:val="0"/>
                  <w:vAlign w:val="center"/>
                </w:tcPr>
                <w:p w14:paraId="053E816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SW17</w:t>
                  </w:r>
                </w:p>
              </w:tc>
              <w:tc>
                <w:tcPr>
                  <w:tcW w:w="1336" w:type="dxa"/>
                  <w:shd w:val="clear" w:color="auto" w:fill="auto"/>
                  <w:noWrap w:val="0"/>
                  <w:vAlign w:val="center"/>
                </w:tcPr>
                <w:p w14:paraId="41C3218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900-00</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-S17</w:t>
                  </w:r>
                </w:p>
              </w:tc>
              <w:tc>
                <w:tcPr>
                  <w:tcW w:w="980" w:type="dxa"/>
                  <w:shd w:val="clear" w:color="auto" w:fill="auto"/>
                  <w:noWrap w:val="0"/>
                  <w:vAlign w:val="center"/>
                </w:tcPr>
                <w:p w14:paraId="00CFAE9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0.1</w:t>
                  </w:r>
                </w:p>
              </w:tc>
              <w:tc>
                <w:tcPr>
                  <w:tcW w:w="514" w:type="dxa"/>
                  <w:vMerge w:val="continue"/>
                  <w:noWrap w:val="0"/>
                  <w:vAlign w:val="center"/>
                </w:tcPr>
                <w:p w14:paraId="76732E81">
                  <w:pPr>
                    <w:spacing w:line="240" w:lineRule="auto"/>
                    <w:ind w:firstLine="0" w:firstLineChars="0"/>
                    <w:jc w:val="center"/>
                    <w:rPr>
                      <w:color w:val="auto"/>
                      <w:sz w:val="21"/>
                      <w:szCs w:val="21"/>
                    </w:rPr>
                  </w:pPr>
                </w:p>
              </w:tc>
            </w:tr>
            <w:tr w14:paraId="1FE71A0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2BF28222">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657" w:type="dxa"/>
                  <w:noWrap w:val="0"/>
                  <w:vAlign w:val="center"/>
                </w:tcPr>
                <w:p w14:paraId="7A6B777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default" w:ascii="Times New Roman" w:hAnsi="Times New Roman" w:eastAsia="宋体" w:cs="Times New Roman"/>
                      <w:b w:val="0"/>
                      <w:bCs/>
                      <w:color w:val="auto"/>
                      <w:sz w:val="21"/>
                      <w:szCs w:val="21"/>
                      <w:highlight w:val="none"/>
                      <w:lang w:val="en-US" w:eastAsia="zh-CN"/>
                    </w:rPr>
                    <w:t>废石英砂</w:t>
                  </w:r>
                </w:p>
              </w:tc>
              <w:tc>
                <w:tcPr>
                  <w:tcW w:w="427" w:type="dxa"/>
                  <w:vMerge w:val="continue"/>
                  <w:noWrap w:val="0"/>
                  <w:vAlign w:val="center"/>
                </w:tcPr>
                <w:p w14:paraId="0412E3D4">
                  <w:pPr>
                    <w:spacing w:line="240" w:lineRule="auto"/>
                    <w:ind w:firstLine="0" w:firstLineChars="0"/>
                    <w:jc w:val="center"/>
                    <w:rPr>
                      <w:color w:val="auto"/>
                      <w:sz w:val="21"/>
                      <w:szCs w:val="21"/>
                    </w:rPr>
                  </w:pPr>
                </w:p>
              </w:tc>
              <w:tc>
                <w:tcPr>
                  <w:tcW w:w="871" w:type="dxa"/>
                  <w:shd w:val="clear" w:color="auto" w:fill="auto"/>
                  <w:noWrap w:val="0"/>
                  <w:vAlign w:val="center"/>
                </w:tcPr>
                <w:p w14:paraId="59632E3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纯水制备</w:t>
                  </w:r>
                </w:p>
              </w:tc>
              <w:tc>
                <w:tcPr>
                  <w:tcW w:w="841" w:type="dxa"/>
                  <w:shd w:val="clear" w:color="auto" w:fill="auto"/>
                  <w:noWrap w:val="0"/>
                  <w:vAlign w:val="center"/>
                </w:tcPr>
                <w:p w14:paraId="75DF623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823" w:type="dxa"/>
                  <w:shd w:val="clear" w:color="auto" w:fill="auto"/>
                  <w:noWrap w:val="0"/>
                  <w:vAlign w:val="center"/>
                </w:tcPr>
                <w:p w14:paraId="176A0D55">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石英砂</w:t>
                  </w:r>
                </w:p>
              </w:tc>
              <w:tc>
                <w:tcPr>
                  <w:tcW w:w="846" w:type="dxa"/>
                  <w:vMerge w:val="continue"/>
                  <w:noWrap w:val="0"/>
                  <w:vAlign w:val="center"/>
                </w:tcPr>
                <w:p w14:paraId="6460734F">
                  <w:pPr>
                    <w:spacing w:line="240" w:lineRule="auto"/>
                    <w:ind w:firstLine="0" w:firstLineChars="0"/>
                    <w:jc w:val="center"/>
                    <w:rPr>
                      <w:color w:val="auto"/>
                      <w:sz w:val="21"/>
                      <w:szCs w:val="21"/>
                    </w:rPr>
                  </w:pPr>
                </w:p>
              </w:tc>
              <w:tc>
                <w:tcPr>
                  <w:tcW w:w="694" w:type="dxa"/>
                  <w:noWrap w:val="0"/>
                  <w:vAlign w:val="center"/>
                </w:tcPr>
                <w:p w14:paraId="7E49292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57" w:type="dxa"/>
                  <w:noWrap w:val="0"/>
                  <w:vAlign w:val="center"/>
                </w:tcPr>
                <w:p w14:paraId="4DC3110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w:t>
                  </w:r>
                  <w:r>
                    <w:rPr>
                      <w:rFonts w:hint="eastAsia" w:ascii="Times New Roman" w:hAnsi="Times New Roman" w:eastAsia="宋体" w:cs="Times New Roman"/>
                      <w:color w:val="auto"/>
                      <w:sz w:val="21"/>
                      <w:szCs w:val="21"/>
                      <w:lang w:val="en-US" w:eastAsia="zh-CN"/>
                    </w:rPr>
                    <w:t>59</w:t>
                  </w:r>
                </w:p>
              </w:tc>
              <w:tc>
                <w:tcPr>
                  <w:tcW w:w="1336" w:type="dxa"/>
                  <w:noWrap w:val="0"/>
                  <w:vAlign w:val="center"/>
                </w:tcPr>
                <w:p w14:paraId="4216014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900-009-S59</w:t>
                  </w:r>
                </w:p>
              </w:tc>
              <w:tc>
                <w:tcPr>
                  <w:tcW w:w="980" w:type="dxa"/>
                  <w:shd w:val="clear" w:color="auto" w:fill="auto"/>
                  <w:noWrap w:val="0"/>
                  <w:vAlign w:val="center"/>
                </w:tcPr>
                <w:p w14:paraId="48C4AFA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0.6</w:t>
                  </w:r>
                </w:p>
              </w:tc>
              <w:tc>
                <w:tcPr>
                  <w:tcW w:w="514" w:type="dxa"/>
                  <w:vMerge w:val="continue"/>
                  <w:noWrap w:val="0"/>
                  <w:vAlign w:val="center"/>
                </w:tcPr>
                <w:p w14:paraId="0CDB385F">
                  <w:pPr>
                    <w:spacing w:line="240" w:lineRule="auto"/>
                    <w:ind w:firstLine="0" w:firstLineChars="0"/>
                    <w:jc w:val="center"/>
                    <w:rPr>
                      <w:color w:val="auto"/>
                      <w:sz w:val="21"/>
                      <w:szCs w:val="21"/>
                    </w:rPr>
                  </w:pPr>
                </w:p>
              </w:tc>
            </w:tr>
            <w:tr w14:paraId="4EA80F2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1768DACE">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657" w:type="dxa"/>
                  <w:noWrap w:val="0"/>
                  <w:vAlign w:val="center"/>
                </w:tcPr>
                <w:p w14:paraId="44C6C22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default" w:ascii="Times New Roman" w:hAnsi="Times New Roman" w:eastAsia="宋体" w:cs="Times New Roman"/>
                      <w:b w:val="0"/>
                      <w:bCs/>
                      <w:color w:val="auto"/>
                      <w:sz w:val="21"/>
                      <w:szCs w:val="21"/>
                      <w:highlight w:val="none"/>
                      <w:lang w:val="en-US" w:eastAsia="zh-CN"/>
                    </w:rPr>
                    <w:t>废活性炭</w:t>
                  </w:r>
                </w:p>
              </w:tc>
              <w:tc>
                <w:tcPr>
                  <w:tcW w:w="427" w:type="dxa"/>
                  <w:vMerge w:val="continue"/>
                  <w:noWrap w:val="0"/>
                  <w:vAlign w:val="center"/>
                </w:tcPr>
                <w:p w14:paraId="71D46678">
                  <w:pPr>
                    <w:spacing w:line="240" w:lineRule="auto"/>
                    <w:ind w:firstLine="0" w:firstLineChars="0"/>
                    <w:jc w:val="center"/>
                    <w:rPr>
                      <w:color w:val="auto"/>
                      <w:sz w:val="21"/>
                      <w:szCs w:val="21"/>
                    </w:rPr>
                  </w:pPr>
                </w:p>
              </w:tc>
              <w:tc>
                <w:tcPr>
                  <w:tcW w:w="871" w:type="dxa"/>
                  <w:shd w:val="clear" w:color="auto" w:fill="auto"/>
                  <w:noWrap w:val="0"/>
                  <w:vAlign w:val="center"/>
                </w:tcPr>
                <w:p w14:paraId="71E65F6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纯水制备</w:t>
                  </w:r>
                </w:p>
              </w:tc>
              <w:tc>
                <w:tcPr>
                  <w:tcW w:w="841" w:type="dxa"/>
                  <w:shd w:val="clear" w:color="auto" w:fill="auto"/>
                  <w:noWrap w:val="0"/>
                  <w:vAlign w:val="center"/>
                </w:tcPr>
                <w:p w14:paraId="50161E8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823" w:type="dxa"/>
                  <w:shd w:val="clear" w:color="auto" w:fill="auto"/>
                  <w:noWrap w:val="0"/>
                  <w:vAlign w:val="center"/>
                </w:tcPr>
                <w:p w14:paraId="2ED5A5E6">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活性炭</w:t>
                  </w:r>
                </w:p>
              </w:tc>
              <w:tc>
                <w:tcPr>
                  <w:tcW w:w="846" w:type="dxa"/>
                  <w:vMerge w:val="continue"/>
                  <w:noWrap w:val="0"/>
                  <w:vAlign w:val="center"/>
                </w:tcPr>
                <w:p w14:paraId="2169192C">
                  <w:pPr>
                    <w:spacing w:line="240" w:lineRule="auto"/>
                    <w:ind w:firstLine="0" w:firstLineChars="0"/>
                    <w:jc w:val="center"/>
                    <w:rPr>
                      <w:color w:val="auto"/>
                      <w:sz w:val="21"/>
                      <w:szCs w:val="21"/>
                    </w:rPr>
                  </w:pPr>
                </w:p>
              </w:tc>
              <w:tc>
                <w:tcPr>
                  <w:tcW w:w="694" w:type="dxa"/>
                  <w:noWrap w:val="0"/>
                  <w:vAlign w:val="center"/>
                </w:tcPr>
                <w:p w14:paraId="4D06579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57" w:type="dxa"/>
                  <w:noWrap w:val="0"/>
                  <w:vAlign w:val="center"/>
                </w:tcPr>
                <w:p w14:paraId="792EB61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w:t>
                  </w:r>
                  <w:r>
                    <w:rPr>
                      <w:rFonts w:hint="eastAsia" w:ascii="Times New Roman" w:hAnsi="Times New Roman" w:eastAsia="宋体" w:cs="Times New Roman"/>
                      <w:color w:val="auto"/>
                      <w:sz w:val="21"/>
                      <w:szCs w:val="21"/>
                      <w:lang w:val="en-US" w:eastAsia="zh-CN"/>
                    </w:rPr>
                    <w:t>59</w:t>
                  </w:r>
                </w:p>
              </w:tc>
              <w:tc>
                <w:tcPr>
                  <w:tcW w:w="1336" w:type="dxa"/>
                  <w:noWrap w:val="0"/>
                  <w:vAlign w:val="center"/>
                </w:tcPr>
                <w:p w14:paraId="2F36963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900-00</w:t>
                  </w:r>
                  <w:r>
                    <w:rPr>
                      <w:rFonts w:hint="eastAsia" w:cs="Times New Roman"/>
                      <w:color w:val="auto"/>
                      <w:sz w:val="21"/>
                      <w:szCs w:val="21"/>
                      <w:lang w:val="en-US" w:eastAsia="zh-CN"/>
                    </w:rPr>
                    <w:t>8</w:t>
                  </w:r>
                  <w:r>
                    <w:rPr>
                      <w:rFonts w:hint="eastAsia" w:ascii="Times New Roman" w:hAnsi="Times New Roman" w:eastAsia="宋体" w:cs="Times New Roman"/>
                      <w:color w:val="auto"/>
                      <w:sz w:val="21"/>
                      <w:szCs w:val="21"/>
                      <w:lang w:val="en-US" w:eastAsia="zh-CN"/>
                    </w:rPr>
                    <w:t>-S59</w:t>
                  </w:r>
                </w:p>
              </w:tc>
              <w:tc>
                <w:tcPr>
                  <w:tcW w:w="980" w:type="dxa"/>
                  <w:shd w:val="clear" w:color="auto" w:fill="auto"/>
                  <w:noWrap w:val="0"/>
                  <w:vAlign w:val="center"/>
                </w:tcPr>
                <w:p w14:paraId="059797D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0.4</w:t>
                  </w:r>
                </w:p>
              </w:tc>
              <w:tc>
                <w:tcPr>
                  <w:tcW w:w="514" w:type="dxa"/>
                  <w:vMerge w:val="continue"/>
                  <w:noWrap w:val="0"/>
                  <w:vAlign w:val="center"/>
                </w:tcPr>
                <w:p w14:paraId="6253E61E">
                  <w:pPr>
                    <w:spacing w:line="240" w:lineRule="auto"/>
                    <w:ind w:firstLine="0" w:firstLineChars="0"/>
                    <w:jc w:val="center"/>
                    <w:rPr>
                      <w:color w:val="auto"/>
                      <w:sz w:val="21"/>
                      <w:szCs w:val="21"/>
                    </w:rPr>
                  </w:pPr>
                </w:p>
              </w:tc>
            </w:tr>
            <w:tr w14:paraId="2933287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0013054B">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657" w:type="dxa"/>
                  <w:noWrap w:val="0"/>
                  <w:vAlign w:val="center"/>
                </w:tcPr>
                <w:p w14:paraId="56EC6F6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default" w:ascii="Times New Roman" w:hAnsi="Times New Roman" w:eastAsia="宋体" w:cs="Times New Roman"/>
                      <w:b w:val="0"/>
                      <w:bCs/>
                      <w:color w:val="auto"/>
                      <w:sz w:val="21"/>
                      <w:szCs w:val="21"/>
                      <w:highlight w:val="none"/>
                      <w:lang w:val="en-US" w:eastAsia="zh-CN"/>
                    </w:rPr>
                    <w:t>废滤芯</w:t>
                  </w:r>
                </w:p>
              </w:tc>
              <w:tc>
                <w:tcPr>
                  <w:tcW w:w="427" w:type="dxa"/>
                  <w:vMerge w:val="continue"/>
                  <w:noWrap w:val="0"/>
                  <w:vAlign w:val="center"/>
                </w:tcPr>
                <w:p w14:paraId="2B9441C9">
                  <w:pPr>
                    <w:spacing w:line="240" w:lineRule="auto"/>
                    <w:ind w:firstLine="0" w:firstLineChars="0"/>
                    <w:jc w:val="center"/>
                    <w:rPr>
                      <w:color w:val="auto"/>
                      <w:sz w:val="21"/>
                      <w:szCs w:val="21"/>
                    </w:rPr>
                  </w:pPr>
                </w:p>
              </w:tc>
              <w:tc>
                <w:tcPr>
                  <w:tcW w:w="871" w:type="dxa"/>
                  <w:shd w:val="clear" w:color="auto" w:fill="auto"/>
                  <w:noWrap w:val="0"/>
                  <w:vAlign w:val="center"/>
                </w:tcPr>
                <w:p w14:paraId="21372C1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纯水制备</w:t>
                  </w:r>
                </w:p>
              </w:tc>
              <w:tc>
                <w:tcPr>
                  <w:tcW w:w="841" w:type="dxa"/>
                  <w:shd w:val="clear" w:color="auto" w:fill="auto"/>
                  <w:noWrap w:val="0"/>
                  <w:vAlign w:val="center"/>
                </w:tcPr>
                <w:p w14:paraId="3C48697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823" w:type="dxa"/>
                  <w:shd w:val="clear" w:color="auto" w:fill="auto"/>
                  <w:noWrap w:val="0"/>
                  <w:vAlign w:val="center"/>
                </w:tcPr>
                <w:p w14:paraId="069B7812">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
                    </w:rPr>
                    <w:t>塑料</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纤维</w:t>
                  </w:r>
                </w:p>
              </w:tc>
              <w:tc>
                <w:tcPr>
                  <w:tcW w:w="846" w:type="dxa"/>
                  <w:vMerge w:val="continue"/>
                  <w:noWrap w:val="0"/>
                  <w:vAlign w:val="center"/>
                </w:tcPr>
                <w:p w14:paraId="5C30D649">
                  <w:pPr>
                    <w:spacing w:line="240" w:lineRule="auto"/>
                    <w:ind w:firstLine="0" w:firstLineChars="0"/>
                    <w:jc w:val="center"/>
                    <w:rPr>
                      <w:color w:val="auto"/>
                      <w:sz w:val="21"/>
                      <w:szCs w:val="21"/>
                    </w:rPr>
                  </w:pPr>
                </w:p>
              </w:tc>
              <w:tc>
                <w:tcPr>
                  <w:tcW w:w="694" w:type="dxa"/>
                  <w:noWrap w:val="0"/>
                  <w:vAlign w:val="center"/>
                </w:tcPr>
                <w:p w14:paraId="44C7A5C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57" w:type="dxa"/>
                  <w:noWrap w:val="0"/>
                  <w:vAlign w:val="center"/>
                </w:tcPr>
                <w:p w14:paraId="772706D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w:t>
                  </w:r>
                  <w:r>
                    <w:rPr>
                      <w:rFonts w:hint="eastAsia" w:ascii="Times New Roman" w:hAnsi="Times New Roman" w:eastAsia="宋体" w:cs="Times New Roman"/>
                      <w:color w:val="auto"/>
                      <w:sz w:val="21"/>
                      <w:szCs w:val="21"/>
                      <w:lang w:val="en-US" w:eastAsia="zh-CN"/>
                    </w:rPr>
                    <w:t>59</w:t>
                  </w:r>
                </w:p>
              </w:tc>
              <w:tc>
                <w:tcPr>
                  <w:tcW w:w="1336" w:type="dxa"/>
                  <w:noWrap w:val="0"/>
                  <w:vAlign w:val="center"/>
                </w:tcPr>
                <w:p w14:paraId="5F24BB7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900-009-S59</w:t>
                  </w:r>
                </w:p>
              </w:tc>
              <w:tc>
                <w:tcPr>
                  <w:tcW w:w="980" w:type="dxa"/>
                  <w:shd w:val="clear" w:color="auto" w:fill="auto"/>
                  <w:noWrap w:val="0"/>
                  <w:vAlign w:val="center"/>
                </w:tcPr>
                <w:p w14:paraId="14637E1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0.4</w:t>
                  </w:r>
                </w:p>
              </w:tc>
              <w:tc>
                <w:tcPr>
                  <w:tcW w:w="514" w:type="dxa"/>
                  <w:vMerge w:val="continue"/>
                  <w:noWrap w:val="0"/>
                  <w:vAlign w:val="center"/>
                </w:tcPr>
                <w:p w14:paraId="64F8A110">
                  <w:pPr>
                    <w:spacing w:line="240" w:lineRule="auto"/>
                    <w:ind w:firstLine="0" w:firstLineChars="0"/>
                    <w:jc w:val="center"/>
                    <w:rPr>
                      <w:color w:val="auto"/>
                      <w:sz w:val="21"/>
                      <w:szCs w:val="21"/>
                    </w:rPr>
                  </w:pPr>
                </w:p>
              </w:tc>
            </w:tr>
            <w:tr w14:paraId="23FFA9B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1996ABF3">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657" w:type="dxa"/>
                  <w:noWrap w:val="0"/>
                  <w:vAlign w:val="center"/>
                </w:tcPr>
                <w:p w14:paraId="440A2E4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default" w:ascii="Times New Roman" w:hAnsi="Times New Roman" w:eastAsia="宋体" w:cs="Times New Roman"/>
                      <w:b w:val="0"/>
                      <w:bCs/>
                      <w:color w:val="auto"/>
                      <w:sz w:val="21"/>
                      <w:szCs w:val="21"/>
                      <w:highlight w:val="none"/>
                      <w:lang w:val="en-US" w:eastAsia="zh-CN"/>
                    </w:rPr>
                    <w:t>废滤膜</w:t>
                  </w:r>
                </w:p>
              </w:tc>
              <w:tc>
                <w:tcPr>
                  <w:tcW w:w="427" w:type="dxa"/>
                  <w:vMerge w:val="continue"/>
                  <w:noWrap w:val="0"/>
                  <w:vAlign w:val="center"/>
                </w:tcPr>
                <w:p w14:paraId="7BFBAB95">
                  <w:pPr>
                    <w:spacing w:line="240" w:lineRule="auto"/>
                    <w:ind w:firstLine="0" w:firstLineChars="0"/>
                    <w:jc w:val="center"/>
                    <w:rPr>
                      <w:color w:val="auto"/>
                      <w:sz w:val="21"/>
                      <w:szCs w:val="21"/>
                    </w:rPr>
                  </w:pPr>
                </w:p>
              </w:tc>
              <w:tc>
                <w:tcPr>
                  <w:tcW w:w="871" w:type="dxa"/>
                  <w:shd w:val="clear" w:color="auto" w:fill="auto"/>
                  <w:noWrap w:val="0"/>
                  <w:vAlign w:val="center"/>
                </w:tcPr>
                <w:p w14:paraId="69EEEB6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纯水制备</w:t>
                  </w:r>
                </w:p>
              </w:tc>
              <w:tc>
                <w:tcPr>
                  <w:tcW w:w="841" w:type="dxa"/>
                  <w:shd w:val="clear" w:color="auto" w:fill="auto"/>
                  <w:noWrap w:val="0"/>
                  <w:vAlign w:val="center"/>
                </w:tcPr>
                <w:p w14:paraId="614A22D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823" w:type="dxa"/>
                  <w:shd w:val="clear" w:color="auto" w:fill="auto"/>
                  <w:noWrap w:val="0"/>
                  <w:vAlign w:val="center"/>
                </w:tcPr>
                <w:p w14:paraId="11CAA32C">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滤膜</w:t>
                  </w:r>
                </w:p>
              </w:tc>
              <w:tc>
                <w:tcPr>
                  <w:tcW w:w="846" w:type="dxa"/>
                  <w:vMerge w:val="continue"/>
                  <w:noWrap w:val="0"/>
                  <w:vAlign w:val="center"/>
                </w:tcPr>
                <w:p w14:paraId="796AEC5B">
                  <w:pPr>
                    <w:spacing w:line="240" w:lineRule="auto"/>
                    <w:ind w:firstLine="0" w:firstLineChars="0"/>
                    <w:jc w:val="center"/>
                    <w:rPr>
                      <w:color w:val="auto"/>
                      <w:sz w:val="21"/>
                      <w:szCs w:val="21"/>
                    </w:rPr>
                  </w:pPr>
                </w:p>
              </w:tc>
              <w:tc>
                <w:tcPr>
                  <w:tcW w:w="694" w:type="dxa"/>
                  <w:noWrap w:val="0"/>
                  <w:vAlign w:val="center"/>
                </w:tcPr>
                <w:p w14:paraId="370D20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57" w:type="dxa"/>
                  <w:noWrap w:val="0"/>
                  <w:vAlign w:val="center"/>
                </w:tcPr>
                <w:p w14:paraId="04B598D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w:t>
                  </w:r>
                  <w:r>
                    <w:rPr>
                      <w:rFonts w:hint="eastAsia" w:ascii="Times New Roman" w:hAnsi="Times New Roman" w:eastAsia="宋体" w:cs="Times New Roman"/>
                      <w:color w:val="auto"/>
                      <w:sz w:val="21"/>
                      <w:szCs w:val="21"/>
                      <w:lang w:val="en-US" w:eastAsia="zh-CN"/>
                    </w:rPr>
                    <w:t>59</w:t>
                  </w:r>
                </w:p>
              </w:tc>
              <w:tc>
                <w:tcPr>
                  <w:tcW w:w="1336" w:type="dxa"/>
                  <w:noWrap w:val="0"/>
                  <w:vAlign w:val="center"/>
                </w:tcPr>
                <w:p w14:paraId="05B759C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900-009-S59</w:t>
                  </w:r>
                </w:p>
              </w:tc>
              <w:tc>
                <w:tcPr>
                  <w:tcW w:w="980" w:type="dxa"/>
                  <w:shd w:val="clear" w:color="auto" w:fill="auto"/>
                  <w:noWrap w:val="0"/>
                  <w:vAlign w:val="center"/>
                </w:tcPr>
                <w:p w14:paraId="6D23066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0.2</w:t>
                  </w:r>
                </w:p>
              </w:tc>
              <w:tc>
                <w:tcPr>
                  <w:tcW w:w="514" w:type="dxa"/>
                  <w:vMerge w:val="continue"/>
                  <w:noWrap w:val="0"/>
                  <w:vAlign w:val="center"/>
                </w:tcPr>
                <w:p w14:paraId="18A01CAF">
                  <w:pPr>
                    <w:spacing w:line="240" w:lineRule="auto"/>
                    <w:ind w:firstLine="0" w:firstLineChars="0"/>
                    <w:jc w:val="center"/>
                    <w:rPr>
                      <w:color w:val="auto"/>
                      <w:sz w:val="21"/>
                      <w:szCs w:val="21"/>
                    </w:rPr>
                  </w:pPr>
                </w:p>
              </w:tc>
            </w:tr>
            <w:tr w14:paraId="188C045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30282F66">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657" w:type="dxa"/>
                  <w:noWrap w:val="0"/>
                  <w:vAlign w:val="center"/>
                </w:tcPr>
                <w:p w14:paraId="475F27A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废包装材料</w:t>
                  </w:r>
                </w:p>
              </w:tc>
              <w:tc>
                <w:tcPr>
                  <w:tcW w:w="427" w:type="dxa"/>
                  <w:vMerge w:val="continue"/>
                  <w:noWrap w:val="0"/>
                  <w:vAlign w:val="center"/>
                </w:tcPr>
                <w:p w14:paraId="07758333">
                  <w:pPr>
                    <w:spacing w:line="240" w:lineRule="auto"/>
                    <w:ind w:firstLine="0" w:firstLineChars="0"/>
                    <w:jc w:val="center"/>
                    <w:rPr>
                      <w:color w:val="auto"/>
                      <w:sz w:val="21"/>
                      <w:szCs w:val="21"/>
                    </w:rPr>
                  </w:pPr>
                </w:p>
              </w:tc>
              <w:tc>
                <w:tcPr>
                  <w:tcW w:w="871" w:type="dxa"/>
                  <w:shd w:val="clear" w:color="auto" w:fill="auto"/>
                  <w:noWrap w:val="0"/>
                  <w:vAlign w:val="center"/>
                </w:tcPr>
                <w:p w14:paraId="60F6EB7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原料包装</w:t>
                  </w:r>
                </w:p>
              </w:tc>
              <w:tc>
                <w:tcPr>
                  <w:tcW w:w="841" w:type="dxa"/>
                  <w:shd w:val="clear" w:color="auto" w:fill="auto"/>
                  <w:noWrap w:val="0"/>
                  <w:vAlign w:val="center"/>
                </w:tcPr>
                <w:p w14:paraId="08B4451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823" w:type="dxa"/>
                  <w:shd w:val="clear" w:color="auto" w:fill="auto"/>
                  <w:noWrap w:val="0"/>
                  <w:vAlign w:val="center"/>
                </w:tcPr>
                <w:p w14:paraId="2C21E97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塑料</w:t>
                  </w:r>
                </w:p>
              </w:tc>
              <w:tc>
                <w:tcPr>
                  <w:tcW w:w="846" w:type="dxa"/>
                  <w:vMerge w:val="continue"/>
                  <w:noWrap w:val="0"/>
                  <w:vAlign w:val="center"/>
                </w:tcPr>
                <w:p w14:paraId="4AA472AE">
                  <w:pPr>
                    <w:spacing w:line="240" w:lineRule="auto"/>
                    <w:ind w:firstLine="0" w:firstLineChars="0"/>
                    <w:jc w:val="center"/>
                    <w:rPr>
                      <w:color w:val="auto"/>
                      <w:sz w:val="21"/>
                      <w:szCs w:val="21"/>
                    </w:rPr>
                  </w:pPr>
                </w:p>
              </w:tc>
              <w:tc>
                <w:tcPr>
                  <w:tcW w:w="694" w:type="dxa"/>
                  <w:noWrap w:val="0"/>
                  <w:vAlign w:val="center"/>
                </w:tcPr>
                <w:p w14:paraId="7F85A8E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57" w:type="dxa"/>
                  <w:shd w:val="clear" w:color="auto" w:fill="auto"/>
                  <w:noWrap w:val="0"/>
                  <w:vAlign w:val="center"/>
                </w:tcPr>
                <w:p w14:paraId="51F5B1F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SW17</w:t>
                  </w:r>
                </w:p>
              </w:tc>
              <w:tc>
                <w:tcPr>
                  <w:tcW w:w="1336" w:type="dxa"/>
                  <w:shd w:val="clear" w:color="auto" w:fill="auto"/>
                  <w:noWrap w:val="0"/>
                  <w:vAlign w:val="center"/>
                </w:tcPr>
                <w:p w14:paraId="61C7688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900-003-S17</w:t>
                  </w:r>
                </w:p>
              </w:tc>
              <w:tc>
                <w:tcPr>
                  <w:tcW w:w="980" w:type="dxa"/>
                  <w:shd w:val="clear" w:color="auto" w:fill="auto"/>
                  <w:noWrap w:val="0"/>
                  <w:vAlign w:val="center"/>
                </w:tcPr>
                <w:p w14:paraId="1E1078D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w:t>
                  </w:r>
                </w:p>
              </w:tc>
              <w:tc>
                <w:tcPr>
                  <w:tcW w:w="514" w:type="dxa"/>
                  <w:vMerge w:val="continue"/>
                  <w:noWrap w:val="0"/>
                  <w:vAlign w:val="center"/>
                </w:tcPr>
                <w:p w14:paraId="7F6B0119">
                  <w:pPr>
                    <w:spacing w:line="240" w:lineRule="auto"/>
                    <w:ind w:firstLine="0" w:firstLineChars="0"/>
                    <w:jc w:val="center"/>
                    <w:rPr>
                      <w:color w:val="auto"/>
                      <w:sz w:val="21"/>
                      <w:szCs w:val="21"/>
                    </w:rPr>
                  </w:pPr>
                </w:p>
              </w:tc>
            </w:tr>
            <w:tr w14:paraId="38F8DE3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10049EF4">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657" w:type="dxa"/>
                  <w:noWrap w:val="0"/>
                  <w:vAlign w:val="center"/>
                </w:tcPr>
                <w:p w14:paraId="387FCEB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废布袋</w:t>
                  </w:r>
                </w:p>
              </w:tc>
              <w:tc>
                <w:tcPr>
                  <w:tcW w:w="427" w:type="dxa"/>
                  <w:vMerge w:val="continue"/>
                  <w:noWrap w:val="0"/>
                  <w:vAlign w:val="center"/>
                </w:tcPr>
                <w:p w14:paraId="4CE5C6C3">
                  <w:pPr>
                    <w:spacing w:line="240" w:lineRule="auto"/>
                    <w:ind w:firstLine="0" w:firstLineChars="0"/>
                    <w:jc w:val="center"/>
                    <w:rPr>
                      <w:color w:val="auto"/>
                      <w:sz w:val="21"/>
                      <w:szCs w:val="21"/>
                    </w:rPr>
                  </w:pPr>
                </w:p>
              </w:tc>
              <w:tc>
                <w:tcPr>
                  <w:tcW w:w="871" w:type="dxa"/>
                  <w:shd w:val="clear" w:color="auto" w:fill="auto"/>
                  <w:noWrap w:val="0"/>
                  <w:vAlign w:val="center"/>
                </w:tcPr>
                <w:p w14:paraId="25EB280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废气处理</w:t>
                  </w:r>
                </w:p>
              </w:tc>
              <w:tc>
                <w:tcPr>
                  <w:tcW w:w="841" w:type="dxa"/>
                  <w:shd w:val="clear" w:color="auto" w:fill="auto"/>
                  <w:noWrap w:val="0"/>
                  <w:vAlign w:val="center"/>
                </w:tcPr>
                <w:p w14:paraId="6FC7924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823" w:type="dxa"/>
                  <w:shd w:val="clear" w:color="auto" w:fill="auto"/>
                  <w:noWrap w:val="0"/>
                  <w:vAlign w:val="center"/>
                </w:tcPr>
                <w:p w14:paraId="4E4A5FE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布袋、塑料</w:t>
                  </w:r>
                </w:p>
              </w:tc>
              <w:tc>
                <w:tcPr>
                  <w:tcW w:w="846" w:type="dxa"/>
                  <w:vMerge w:val="continue"/>
                  <w:noWrap w:val="0"/>
                  <w:vAlign w:val="center"/>
                </w:tcPr>
                <w:p w14:paraId="0928FE58">
                  <w:pPr>
                    <w:spacing w:line="240" w:lineRule="auto"/>
                    <w:ind w:firstLine="0" w:firstLineChars="0"/>
                    <w:jc w:val="center"/>
                    <w:rPr>
                      <w:color w:val="auto"/>
                      <w:sz w:val="21"/>
                      <w:szCs w:val="21"/>
                    </w:rPr>
                  </w:pPr>
                </w:p>
              </w:tc>
              <w:tc>
                <w:tcPr>
                  <w:tcW w:w="694" w:type="dxa"/>
                  <w:noWrap w:val="0"/>
                  <w:vAlign w:val="center"/>
                </w:tcPr>
                <w:p w14:paraId="34233FC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57" w:type="dxa"/>
                  <w:shd w:val="clear" w:color="auto" w:fill="auto"/>
                  <w:noWrap w:val="0"/>
                  <w:vAlign w:val="center"/>
                </w:tcPr>
                <w:p w14:paraId="2FAC917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SW</w:t>
                  </w:r>
                  <w:r>
                    <w:rPr>
                      <w:rFonts w:hint="eastAsia" w:ascii="Times New Roman" w:hAnsi="Times New Roman" w:eastAsia="宋体" w:cs="Times New Roman"/>
                      <w:color w:val="auto"/>
                      <w:sz w:val="21"/>
                      <w:szCs w:val="21"/>
                      <w:lang w:val="en-US" w:eastAsia="zh-CN"/>
                    </w:rPr>
                    <w:t>59</w:t>
                  </w:r>
                </w:p>
              </w:tc>
              <w:tc>
                <w:tcPr>
                  <w:tcW w:w="1336" w:type="dxa"/>
                  <w:shd w:val="clear" w:color="auto" w:fill="auto"/>
                  <w:noWrap w:val="0"/>
                  <w:vAlign w:val="center"/>
                </w:tcPr>
                <w:p w14:paraId="0D12BB5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900-009-S59</w:t>
                  </w:r>
                </w:p>
              </w:tc>
              <w:tc>
                <w:tcPr>
                  <w:tcW w:w="980" w:type="dxa"/>
                  <w:shd w:val="clear" w:color="auto" w:fill="auto"/>
                  <w:noWrap w:val="0"/>
                  <w:vAlign w:val="center"/>
                </w:tcPr>
                <w:p w14:paraId="4F01457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0.1</w:t>
                  </w:r>
                </w:p>
              </w:tc>
              <w:tc>
                <w:tcPr>
                  <w:tcW w:w="514" w:type="dxa"/>
                  <w:vMerge w:val="continue"/>
                  <w:noWrap w:val="0"/>
                  <w:vAlign w:val="center"/>
                </w:tcPr>
                <w:p w14:paraId="5045D818">
                  <w:pPr>
                    <w:spacing w:line="240" w:lineRule="auto"/>
                    <w:ind w:firstLine="0" w:firstLineChars="0"/>
                    <w:jc w:val="center"/>
                    <w:rPr>
                      <w:color w:val="auto"/>
                      <w:sz w:val="21"/>
                      <w:szCs w:val="21"/>
                    </w:rPr>
                  </w:pPr>
                </w:p>
              </w:tc>
            </w:tr>
            <w:tr w14:paraId="0151E71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64AF4927">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657" w:type="dxa"/>
                  <w:noWrap w:val="0"/>
                  <w:vAlign w:val="center"/>
                </w:tcPr>
                <w:p w14:paraId="47450DF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废滤筒</w:t>
                  </w:r>
                </w:p>
              </w:tc>
              <w:tc>
                <w:tcPr>
                  <w:tcW w:w="427" w:type="dxa"/>
                  <w:vMerge w:val="continue"/>
                  <w:noWrap w:val="0"/>
                  <w:vAlign w:val="center"/>
                </w:tcPr>
                <w:p w14:paraId="2C610602">
                  <w:pPr>
                    <w:spacing w:line="240" w:lineRule="auto"/>
                    <w:ind w:firstLine="0" w:firstLineChars="0"/>
                    <w:jc w:val="center"/>
                    <w:rPr>
                      <w:color w:val="auto"/>
                      <w:sz w:val="21"/>
                      <w:szCs w:val="21"/>
                    </w:rPr>
                  </w:pPr>
                </w:p>
              </w:tc>
              <w:tc>
                <w:tcPr>
                  <w:tcW w:w="871" w:type="dxa"/>
                  <w:shd w:val="clear" w:color="auto" w:fill="auto"/>
                  <w:noWrap w:val="0"/>
                  <w:vAlign w:val="center"/>
                </w:tcPr>
                <w:p w14:paraId="4C3C0A0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废气处理</w:t>
                  </w:r>
                </w:p>
              </w:tc>
              <w:tc>
                <w:tcPr>
                  <w:tcW w:w="841" w:type="dxa"/>
                  <w:shd w:val="clear" w:color="auto" w:fill="auto"/>
                  <w:noWrap w:val="0"/>
                  <w:vAlign w:val="center"/>
                </w:tcPr>
                <w:p w14:paraId="59C4662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823" w:type="dxa"/>
                  <w:shd w:val="clear" w:color="auto" w:fill="auto"/>
                  <w:noWrap w:val="0"/>
                  <w:vAlign w:val="center"/>
                </w:tcPr>
                <w:p w14:paraId="00E8BF0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塑料、金属</w:t>
                  </w:r>
                </w:p>
              </w:tc>
              <w:tc>
                <w:tcPr>
                  <w:tcW w:w="846" w:type="dxa"/>
                  <w:vMerge w:val="continue"/>
                  <w:noWrap w:val="0"/>
                  <w:vAlign w:val="center"/>
                </w:tcPr>
                <w:p w14:paraId="5EF7C6FB">
                  <w:pPr>
                    <w:spacing w:line="240" w:lineRule="auto"/>
                    <w:ind w:firstLine="0" w:firstLineChars="0"/>
                    <w:jc w:val="center"/>
                    <w:rPr>
                      <w:color w:val="auto"/>
                      <w:sz w:val="21"/>
                      <w:szCs w:val="21"/>
                    </w:rPr>
                  </w:pPr>
                </w:p>
              </w:tc>
              <w:tc>
                <w:tcPr>
                  <w:tcW w:w="694" w:type="dxa"/>
                  <w:noWrap w:val="0"/>
                  <w:vAlign w:val="center"/>
                </w:tcPr>
                <w:p w14:paraId="3D6E363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57" w:type="dxa"/>
                  <w:noWrap w:val="0"/>
                  <w:vAlign w:val="center"/>
                </w:tcPr>
                <w:p w14:paraId="7ABB505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w:t>
                  </w:r>
                  <w:r>
                    <w:rPr>
                      <w:rFonts w:hint="eastAsia" w:ascii="Times New Roman" w:hAnsi="Times New Roman" w:eastAsia="宋体" w:cs="Times New Roman"/>
                      <w:color w:val="auto"/>
                      <w:sz w:val="21"/>
                      <w:szCs w:val="21"/>
                      <w:lang w:val="en-US" w:eastAsia="zh-CN"/>
                    </w:rPr>
                    <w:t>59</w:t>
                  </w:r>
                </w:p>
              </w:tc>
              <w:tc>
                <w:tcPr>
                  <w:tcW w:w="1336" w:type="dxa"/>
                  <w:noWrap w:val="0"/>
                  <w:vAlign w:val="center"/>
                </w:tcPr>
                <w:p w14:paraId="69C100B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900-009-S59</w:t>
                  </w:r>
                </w:p>
              </w:tc>
              <w:tc>
                <w:tcPr>
                  <w:tcW w:w="980" w:type="dxa"/>
                  <w:shd w:val="clear" w:color="auto" w:fill="auto"/>
                  <w:noWrap w:val="0"/>
                  <w:vAlign w:val="center"/>
                </w:tcPr>
                <w:p w14:paraId="73D9642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0.05</w:t>
                  </w:r>
                </w:p>
              </w:tc>
              <w:tc>
                <w:tcPr>
                  <w:tcW w:w="514" w:type="dxa"/>
                  <w:vMerge w:val="continue"/>
                  <w:noWrap w:val="0"/>
                  <w:vAlign w:val="center"/>
                </w:tcPr>
                <w:p w14:paraId="3C715E56">
                  <w:pPr>
                    <w:spacing w:line="240" w:lineRule="auto"/>
                    <w:ind w:firstLine="0" w:firstLineChars="0"/>
                    <w:jc w:val="center"/>
                    <w:rPr>
                      <w:color w:val="auto"/>
                      <w:sz w:val="21"/>
                      <w:szCs w:val="21"/>
                    </w:rPr>
                  </w:pPr>
                </w:p>
              </w:tc>
            </w:tr>
            <w:tr w14:paraId="0CAB691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30328676">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657" w:type="dxa"/>
                  <w:noWrap w:val="0"/>
                  <w:vAlign w:val="center"/>
                </w:tcPr>
                <w:p w14:paraId="6A7197D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bCs/>
                      <w:color w:val="auto"/>
                      <w:sz w:val="21"/>
                      <w:szCs w:val="21"/>
                    </w:rPr>
                  </w:pPr>
                  <w:r>
                    <w:rPr>
                      <w:rFonts w:hint="eastAsia" w:cs="Times New Roman"/>
                      <w:b w:val="0"/>
                      <w:bCs/>
                      <w:color w:val="auto"/>
                      <w:sz w:val="21"/>
                      <w:szCs w:val="21"/>
                      <w:highlight w:val="none"/>
                      <w:lang w:val="en-US" w:eastAsia="zh-CN"/>
                    </w:rPr>
                    <w:t>废墨盒</w:t>
                  </w:r>
                </w:p>
              </w:tc>
              <w:tc>
                <w:tcPr>
                  <w:tcW w:w="427" w:type="dxa"/>
                  <w:vMerge w:val="restart"/>
                  <w:noWrap w:val="0"/>
                  <w:vAlign w:val="center"/>
                </w:tcPr>
                <w:p w14:paraId="387E7218">
                  <w:pPr>
                    <w:spacing w:line="240" w:lineRule="auto"/>
                    <w:ind w:firstLine="0" w:firstLineChars="0"/>
                    <w:jc w:val="center"/>
                    <w:rPr>
                      <w:color w:val="auto"/>
                      <w:sz w:val="21"/>
                      <w:szCs w:val="21"/>
                    </w:rPr>
                  </w:pPr>
                  <w:r>
                    <w:rPr>
                      <w:color w:val="auto"/>
                      <w:sz w:val="21"/>
                      <w:szCs w:val="21"/>
                    </w:rPr>
                    <w:t>危险废物</w:t>
                  </w:r>
                </w:p>
              </w:tc>
              <w:tc>
                <w:tcPr>
                  <w:tcW w:w="871" w:type="dxa"/>
                  <w:noWrap w:val="0"/>
                  <w:vAlign w:val="center"/>
                </w:tcPr>
                <w:p w14:paraId="5E018C1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UV打印</w:t>
                  </w:r>
                </w:p>
              </w:tc>
              <w:tc>
                <w:tcPr>
                  <w:tcW w:w="841" w:type="dxa"/>
                  <w:noWrap w:val="0"/>
                  <w:vAlign w:val="center"/>
                </w:tcPr>
                <w:p w14:paraId="1BCBF3E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823" w:type="dxa"/>
                  <w:noWrap w:val="0"/>
                  <w:vAlign w:val="center"/>
                </w:tcPr>
                <w:p w14:paraId="3C703C7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auto"/>
                      <w:kern w:val="2"/>
                      <w:sz w:val="21"/>
                      <w:szCs w:val="21"/>
                      <w:lang w:val="en-US" w:eastAsia="zh-CN" w:bidi="ar-SA"/>
                    </w:rPr>
                  </w:pPr>
                  <w:r>
                    <w:rPr>
                      <w:rFonts w:hint="eastAsia" w:cs="Times New Roman"/>
                      <w:color w:val="auto"/>
                      <w:sz w:val="21"/>
                      <w:szCs w:val="21"/>
                      <w:lang w:val="en-US" w:eastAsia="zh-CN"/>
                    </w:rPr>
                    <w:t>塑料、油墨</w:t>
                  </w:r>
                </w:p>
              </w:tc>
              <w:tc>
                <w:tcPr>
                  <w:tcW w:w="846" w:type="dxa"/>
                  <w:vMerge w:val="restart"/>
                  <w:noWrap w:val="0"/>
                  <w:vAlign w:val="center"/>
                </w:tcPr>
                <w:p w14:paraId="2F754BE4">
                  <w:pPr>
                    <w:spacing w:line="240" w:lineRule="auto"/>
                    <w:ind w:firstLine="0" w:firstLineChars="0"/>
                    <w:jc w:val="center"/>
                    <w:rPr>
                      <w:rFonts w:hint="eastAsia" w:eastAsia="宋体"/>
                      <w:color w:val="auto"/>
                      <w:kern w:val="2"/>
                      <w:sz w:val="21"/>
                      <w:szCs w:val="21"/>
                      <w:lang w:val="en-US" w:eastAsia="zh-CN" w:bidi="ar-SA"/>
                    </w:rPr>
                  </w:pPr>
                  <w:r>
                    <w:rPr>
                      <w:color w:val="auto"/>
                      <w:sz w:val="21"/>
                      <w:szCs w:val="21"/>
                    </w:rPr>
                    <w:t>《国家危险废物名录》（202</w:t>
                  </w:r>
                  <w:r>
                    <w:rPr>
                      <w:rFonts w:hint="eastAsia"/>
                      <w:color w:val="auto"/>
                      <w:sz w:val="21"/>
                      <w:szCs w:val="21"/>
                      <w:lang w:val="en-US" w:eastAsia="zh-CN"/>
                    </w:rPr>
                    <w:t>5</w:t>
                  </w:r>
                  <w:r>
                    <w:rPr>
                      <w:color w:val="auto"/>
                      <w:sz w:val="21"/>
                      <w:szCs w:val="21"/>
                    </w:rPr>
                    <w:t>年）</w:t>
                  </w:r>
                </w:p>
              </w:tc>
              <w:tc>
                <w:tcPr>
                  <w:tcW w:w="694" w:type="dxa"/>
                  <w:noWrap w:val="0"/>
                  <w:vAlign w:val="center"/>
                </w:tcPr>
                <w:p w14:paraId="0374A7DF">
                  <w:pPr>
                    <w:spacing w:line="240" w:lineRule="auto"/>
                    <w:ind w:firstLine="0" w:firstLineChars="0"/>
                    <w:jc w:val="center"/>
                    <w:rPr>
                      <w:rFonts w:hint="eastAsia" w:eastAsia="宋体"/>
                      <w:color w:val="auto"/>
                      <w:sz w:val="21"/>
                      <w:szCs w:val="21"/>
                      <w:lang w:val="en-US" w:eastAsia="zh-CN"/>
                    </w:rPr>
                  </w:pPr>
                  <w:r>
                    <w:rPr>
                      <w:rFonts w:hint="default" w:ascii="Times New Roman" w:hAnsi="Times New Roman" w:eastAsia="宋体" w:cs="Times New Roman"/>
                      <w:bCs/>
                      <w:color w:val="auto"/>
                      <w:sz w:val="21"/>
                      <w:szCs w:val="21"/>
                      <w:highlight w:val="none"/>
                    </w:rPr>
                    <w:t>T/In</w:t>
                  </w:r>
                </w:p>
              </w:tc>
              <w:tc>
                <w:tcPr>
                  <w:tcW w:w="1157" w:type="dxa"/>
                  <w:noWrap w:val="0"/>
                  <w:vAlign w:val="center"/>
                </w:tcPr>
                <w:p w14:paraId="16455FA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HW49</w:t>
                  </w:r>
                </w:p>
              </w:tc>
              <w:tc>
                <w:tcPr>
                  <w:tcW w:w="1336" w:type="dxa"/>
                  <w:noWrap w:val="0"/>
                  <w:vAlign w:val="center"/>
                </w:tcPr>
                <w:p w14:paraId="10EEAD2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900-041-49</w:t>
                  </w:r>
                </w:p>
              </w:tc>
              <w:tc>
                <w:tcPr>
                  <w:tcW w:w="980" w:type="dxa"/>
                  <w:shd w:val="clear" w:color="auto" w:fill="auto"/>
                  <w:noWrap w:val="0"/>
                  <w:vAlign w:val="center"/>
                </w:tcPr>
                <w:p w14:paraId="4DBE434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0.04</w:t>
                  </w:r>
                </w:p>
              </w:tc>
              <w:tc>
                <w:tcPr>
                  <w:tcW w:w="514" w:type="dxa"/>
                  <w:vMerge w:val="restart"/>
                  <w:noWrap w:val="0"/>
                  <w:vAlign w:val="center"/>
                </w:tcPr>
                <w:p w14:paraId="47E70445">
                  <w:pPr>
                    <w:spacing w:line="240" w:lineRule="auto"/>
                    <w:ind w:firstLine="0" w:firstLineChars="0"/>
                    <w:jc w:val="center"/>
                    <w:rPr>
                      <w:color w:val="auto"/>
                      <w:sz w:val="21"/>
                      <w:szCs w:val="21"/>
                    </w:rPr>
                  </w:pPr>
                  <w:r>
                    <w:rPr>
                      <w:color w:val="auto"/>
                      <w:sz w:val="21"/>
                      <w:szCs w:val="21"/>
                    </w:rPr>
                    <w:t>委托有资质的单位处置</w:t>
                  </w:r>
                </w:p>
              </w:tc>
            </w:tr>
            <w:tr w14:paraId="0BA9182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7FF813CF">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w:t>
                  </w:r>
                </w:p>
              </w:tc>
              <w:tc>
                <w:tcPr>
                  <w:tcW w:w="657" w:type="dxa"/>
                  <w:shd w:val="clear" w:color="auto" w:fill="auto"/>
                  <w:noWrap w:val="0"/>
                  <w:vAlign w:val="center"/>
                </w:tcPr>
                <w:p w14:paraId="692EF1F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废擦拭布</w:t>
                  </w:r>
                </w:p>
              </w:tc>
              <w:tc>
                <w:tcPr>
                  <w:tcW w:w="427" w:type="dxa"/>
                  <w:vMerge w:val="continue"/>
                  <w:shd w:val="clear" w:color="auto" w:fill="auto"/>
                  <w:noWrap w:val="0"/>
                  <w:vAlign w:val="center"/>
                </w:tcPr>
                <w:p w14:paraId="051F38DE">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871" w:type="dxa"/>
                  <w:shd w:val="clear" w:color="auto" w:fill="auto"/>
                  <w:noWrap w:val="0"/>
                  <w:vAlign w:val="center"/>
                </w:tcPr>
                <w:p w14:paraId="5F06CD7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UV打印</w:t>
                  </w:r>
                </w:p>
              </w:tc>
              <w:tc>
                <w:tcPr>
                  <w:tcW w:w="841" w:type="dxa"/>
                  <w:shd w:val="clear" w:color="auto" w:fill="auto"/>
                  <w:noWrap w:val="0"/>
                  <w:vAlign w:val="center"/>
                </w:tcPr>
                <w:p w14:paraId="319E3B9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823" w:type="dxa"/>
                  <w:shd w:val="clear" w:color="auto" w:fill="auto"/>
                  <w:noWrap w:val="0"/>
                  <w:vAlign w:val="center"/>
                </w:tcPr>
                <w:p w14:paraId="3A2AF1A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棉、</w:t>
                  </w:r>
                  <w:r>
                    <w:rPr>
                      <w:rFonts w:hint="eastAsia" w:cs="Times New Roman"/>
                      <w:color w:val="auto"/>
                      <w:sz w:val="21"/>
                      <w:szCs w:val="21"/>
                      <w:lang w:val="en-US" w:eastAsia="zh-CN"/>
                    </w:rPr>
                    <w:t>油墨</w:t>
                  </w:r>
                </w:p>
              </w:tc>
              <w:tc>
                <w:tcPr>
                  <w:tcW w:w="846" w:type="dxa"/>
                  <w:vMerge w:val="continue"/>
                  <w:shd w:val="clear" w:color="auto" w:fill="auto"/>
                  <w:noWrap w:val="0"/>
                  <w:vAlign w:val="center"/>
                </w:tcPr>
                <w:p w14:paraId="111B3DC6">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694" w:type="dxa"/>
                  <w:shd w:val="clear" w:color="auto" w:fill="auto"/>
                  <w:noWrap w:val="0"/>
                  <w:vAlign w:val="center"/>
                </w:tcPr>
                <w:p w14:paraId="5768DB95">
                  <w:pPr>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T/In</w:t>
                  </w:r>
                </w:p>
              </w:tc>
              <w:tc>
                <w:tcPr>
                  <w:tcW w:w="1157" w:type="dxa"/>
                  <w:shd w:val="clear" w:color="auto" w:fill="auto"/>
                  <w:noWrap w:val="0"/>
                  <w:vAlign w:val="center"/>
                </w:tcPr>
                <w:p w14:paraId="3860E16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HW49</w:t>
                  </w:r>
                </w:p>
              </w:tc>
              <w:tc>
                <w:tcPr>
                  <w:tcW w:w="1336" w:type="dxa"/>
                  <w:shd w:val="clear" w:color="auto" w:fill="auto"/>
                  <w:noWrap w:val="0"/>
                  <w:vAlign w:val="center"/>
                </w:tcPr>
                <w:p w14:paraId="2EF7E96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900-0</w:t>
                  </w:r>
                  <w:r>
                    <w:rPr>
                      <w:rFonts w:hint="eastAsia" w:cs="Times New Roman"/>
                      <w:color w:val="auto"/>
                      <w:sz w:val="21"/>
                      <w:szCs w:val="21"/>
                      <w:lang w:val="en-US" w:eastAsia="zh-CN"/>
                    </w:rPr>
                    <w:t>41</w:t>
                  </w:r>
                  <w:r>
                    <w:rPr>
                      <w:rFonts w:hint="default" w:ascii="Times New Roman" w:hAnsi="Times New Roman" w:eastAsia="宋体" w:cs="Times New Roman"/>
                      <w:color w:val="auto"/>
                      <w:sz w:val="21"/>
                      <w:szCs w:val="21"/>
                      <w:lang w:val="en-US" w:eastAsia="zh-CN"/>
                    </w:rPr>
                    <w:t>-49</w:t>
                  </w:r>
                </w:p>
              </w:tc>
              <w:tc>
                <w:tcPr>
                  <w:tcW w:w="980" w:type="dxa"/>
                  <w:shd w:val="clear" w:color="auto" w:fill="auto"/>
                  <w:noWrap w:val="0"/>
                  <w:vAlign w:val="center"/>
                </w:tcPr>
                <w:p w14:paraId="1B069EF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highlight w:val="none"/>
                      <w:lang w:val="en-US" w:eastAsia="zh-CN"/>
                    </w:rPr>
                    <w:t>0.1</w:t>
                  </w:r>
                </w:p>
              </w:tc>
              <w:tc>
                <w:tcPr>
                  <w:tcW w:w="514" w:type="dxa"/>
                  <w:vMerge w:val="continue"/>
                  <w:noWrap w:val="0"/>
                  <w:vAlign w:val="center"/>
                </w:tcPr>
                <w:p w14:paraId="408807AF">
                  <w:pPr>
                    <w:spacing w:line="240" w:lineRule="auto"/>
                    <w:ind w:firstLine="0" w:firstLineChars="0"/>
                    <w:jc w:val="center"/>
                    <w:rPr>
                      <w:color w:val="auto"/>
                      <w:sz w:val="21"/>
                      <w:szCs w:val="21"/>
                    </w:rPr>
                  </w:pPr>
                </w:p>
              </w:tc>
            </w:tr>
            <w:tr w14:paraId="25851B4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5EC9BC00">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657" w:type="dxa"/>
                  <w:noWrap w:val="0"/>
                  <w:vAlign w:val="center"/>
                </w:tcPr>
                <w:p w14:paraId="76225C1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bCs/>
                      <w:color w:val="auto"/>
                      <w:kern w:val="2"/>
                      <w:sz w:val="21"/>
                      <w:szCs w:val="21"/>
                      <w:lang w:val="en-US" w:eastAsia="zh-CN" w:bidi="ar-SA"/>
                    </w:rPr>
                  </w:pPr>
                  <w:r>
                    <w:rPr>
                      <w:rFonts w:hint="eastAsia" w:cs="Times New Roman"/>
                      <w:b w:val="0"/>
                      <w:bCs/>
                      <w:color w:val="auto"/>
                      <w:sz w:val="21"/>
                      <w:szCs w:val="21"/>
                      <w:highlight w:val="none"/>
                      <w:lang w:val="en-US" w:eastAsia="zh-CN"/>
                    </w:rPr>
                    <w:t>清洗废液</w:t>
                  </w:r>
                </w:p>
              </w:tc>
              <w:tc>
                <w:tcPr>
                  <w:tcW w:w="427" w:type="dxa"/>
                  <w:vMerge w:val="continue"/>
                  <w:noWrap w:val="0"/>
                  <w:vAlign w:val="center"/>
                </w:tcPr>
                <w:p w14:paraId="36D1B5FA">
                  <w:pPr>
                    <w:spacing w:line="240" w:lineRule="auto"/>
                    <w:ind w:firstLine="0" w:firstLineChars="0"/>
                    <w:jc w:val="center"/>
                    <w:rPr>
                      <w:color w:val="auto"/>
                      <w:sz w:val="21"/>
                      <w:szCs w:val="21"/>
                    </w:rPr>
                  </w:pPr>
                </w:p>
              </w:tc>
              <w:tc>
                <w:tcPr>
                  <w:tcW w:w="871" w:type="dxa"/>
                  <w:noWrap w:val="0"/>
                  <w:vAlign w:val="center"/>
                </w:tcPr>
                <w:p w14:paraId="67F79DA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auto"/>
                      <w:kern w:val="2"/>
                      <w:sz w:val="21"/>
                      <w:szCs w:val="21"/>
                      <w:lang w:val="en-US" w:eastAsia="zh-CN" w:bidi="ar-SA"/>
                    </w:rPr>
                  </w:pPr>
                  <w:r>
                    <w:rPr>
                      <w:rFonts w:hint="eastAsia" w:cs="Times New Roman"/>
                      <w:color w:val="auto"/>
                      <w:sz w:val="21"/>
                      <w:szCs w:val="21"/>
                      <w:lang w:val="en-US" w:eastAsia="zh-CN"/>
                    </w:rPr>
                    <w:t>清洗</w:t>
                  </w:r>
                </w:p>
              </w:tc>
              <w:tc>
                <w:tcPr>
                  <w:tcW w:w="841" w:type="dxa"/>
                  <w:noWrap w:val="0"/>
                  <w:vAlign w:val="center"/>
                </w:tcPr>
                <w:p w14:paraId="2049CC1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color w:val="auto"/>
                      <w:kern w:val="2"/>
                      <w:sz w:val="21"/>
                      <w:szCs w:val="21"/>
                      <w:lang w:val="en-US" w:eastAsia="zh-CN" w:bidi="ar-SA"/>
                    </w:rPr>
                  </w:pPr>
                  <w:r>
                    <w:rPr>
                      <w:rFonts w:hint="eastAsia" w:cs="Times New Roman"/>
                      <w:color w:val="auto"/>
                      <w:sz w:val="21"/>
                      <w:szCs w:val="21"/>
                      <w:lang w:val="en-US" w:eastAsia="zh-CN"/>
                    </w:rPr>
                    <w:t>液态</w:t>
                  </w:r>
                </w:p>
              </w:tc>
              <w:tc>
                <w:tcPr>
                  <w:tcW w:w="823" w:type="dxa"/>
                  <w:noWrap w:val="0"/>
                  <w:vAlign w:val="center"/>
                </w:tcPr>
                <w:p w14:paraId="4B81335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auto"/>
                      <w:kern w:val="2"/>
                      <w:sz w:val="21"/>
                      <w:szCs w:val="21"/>
                      <w:lang w:val="en-US" w:eastAsia="zh-CN" w:bidi="ar-SA"/>
                    </w:rPr>
                  </w:pPr>
                  <w:r>
                    <w:rPr>
                      <w:rFonts w:hint="eastAsia" w:cs="Times New Roman"/>
                      <w:color w:val="auto"/>
                      <w:sz w:val="21"/>
                      <w:szCs w:val="21"/>
                      <w:lang w:val="en-US" w:eastAsia="zh-CN"/>
                    </w:rPr>
                    <w:t>碱液</w:t>
                  </w:r>
                </w:p>
              </w:tc>
              <w:tc>
                <w:tcPr>
                  <w:tcW w:w="846" w:type="dxa"/>
                  <w:vMerge w:val="continue"/>
                  <w:noWrap w:val="0"/>
                  <w:vAlign w:val="center"/>
                </w:tcPr>
                <w:p w14:paraId="1DED6AAA">
                  <w:pPr>
                    <w:spacing w:line="240" w:lineRule="auto"/>
                    <w:ind w:firstLine="0" w:firstLineChars="0"/>
                    <w:jc w:val="center"/>
                    <w:rPr>
                      <w:color w:val="auto"/>
                      <w:sz w:val="21"/>
                      <w:szCs w:val="21"/>
                    </w:rPr>
                  </w:pPr>
                </w:p>
              </w:tc>
              <w:tc>
                <w:tcPr>
                  <w:tcW w:w="694" w:type="dxa"/>
                  <w:noWrap w:val="0"/>
                  <w:vAlign w:val="center"/>
                </w:tcPr>
                <w:p w14:paraId="41590B41">
                  <w:pPr>
                    <w:spacing w:line="240" w:lineRule="auto"/>
                    <w:ind w:firstLine="0" w:firstLineChars="0"/>
                    <w:jc w:val="center"/>
                    <w:rPr>
                      <w:rFonts w:hint="eastAsia" w:eastAsia="宋体"/>
                      <w:color w:val="auto"/>
                      <w:sz w:val="21"/>
                      <w:szCs w:val="21"/>
                      <w:lang w:val="en-US" w:eastAsia="zh-CN"/>
                    </w:rPr>
                  </w:pPr>
                  <w:r>
                    <w:rPr>
                      <w:rFonts w:hint="eastAsia" w:cs="Times New Roman"/>
                      <w:bCs/>
                      <w:color w:val="auto"/>
                      <w:sz w:val="21"/>
                      <w:szCs w:val="21"/>
                      <w:highlight w:val="none"/>
                      <w:lang w:val="en-US" w:eastAsia="zh-CN"/>
                    </w:rPr>
                    <w:t>C，</w:t>
                  </w:r>
                  <w:r>
                    <w:rPr>
                      <w:rFonts w:hint="default" w:ascii="Times New Roman" w:hAnsi="Times New Roman" w:eastAsia="宋体" w:cs="Times New Roman"/>
                      <w:bCs/>
                      <w:color w:val="auto"/>
                      <w:sz w:val="21"/>
                      <w:szCs w:val="21"/>
                      <w:highlight w:val="none"/>
                    </w:rPr>
                    <w:t>T</w:t>
                  </w:r>
                </w:p>
              </w:tc>
              <w:tc>
                <w:tcPr>
                  <w:tcW w:w="1157" w:type="dxa"/>
                  <w:noWrap w:val="0"/>
                  <w:vAlign w:val="center"/>
                </w:tcPr>
                <w:p w14:paraId="7D3C2E2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color w:val="auto"/>
                      <w:sz w:val="21"/>
                      <w:szCs w:val="21"/>
                      <w:highlight w:val="none"/>
                      <w:lang w:val="en-US" w:eastAsia="zh-CN"/>
                    </w:rPr>
                    <w:t>HW</w:t>
                  </w:r>
                  <w:r>
                    <w:rPr>
                      <w:rFonts w:hint="eastAsia" w:cs="Times New Roman"/>
                      <w:b w:val="0"/>
                      <w:bCs/>
                      <w:color w:val="auto"/>
                      <w:sz w:val="21"/>
                      <w:szCs w:val="21"/>
                      <w:highlight w:val="none"/>
                      <w:lang w:val="en-US" w:eastAsia="zh-CN"/>
                    </w:rPr>
                    <w:t>35</w:t>
                  </w:r>
                </w:p>
              </w:tc>
              <w:tc>
                <w:tcPr>
                  <w:tcW w:w="1336" w:type="dxa"/>
                  <w:noWrap w:val="0"/>
                  <w:vAlign w:val="center"/>
                </w:tcPr>
                <w:p w14:paraId="36579D8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highlight w:val="none"/>
                    </w:rPr>
                    <w:t>900-</w:t>
                  </w:r>
                  <w:r>
                    <w:rPr>
                      <w:rFonts w:hint="eastAsia" w:cs="Times New Roman"/>
                      <w:b w:val="0"/>
                      <w:bCs/>
                      <w:color w:val="auto"/>
                      <w:sz w:val="21"/>
                      <w:szCs w:val="21"/>
                      <w:highlight w:val="none"/>
                      <w:lang w:val="en-US" w:eastAsia="zh-CN"/>
                    </w:rPr>
                    <w:t>352</w:t>
                  </w:r>
                  <w:r>
                    <w:rPr>
                      <w:rFonts w:hint="default" w:ascii="Times New Roman" w:hAnsi="Times New Roman" w:eastAsia="宋体" w:cs="Times New Roman"/>
                      <w:b w:val="0"/>
                      <w:bCs/>
                      <w:color w:val="auto"/>
                      <w:sz w:val="21"/>
                      <w:szCs w:val="21"/>
                      <w:highlight w:val="none"/>
                    </w:rPr>
                    <w:t>-</w:t>
                  </w:r>
                  <w:r>
                    <w:rPr>
                      <w:rFonts w:hint="eastAsia" w:cs="Times New Roman"/>
                      <w:b w:val="0"/>
                      <w:bCs/>
                      <w:color w:val="auto"/>
                      <w:sz w:val="21"/>
                      <w:szCs w:val="21"/>
                      <w:highlight w:val="none"/>
                      <w:lang w:val="en-US" w:eastAsia="zh-CN"/>
                    </w:rPr>
                    <w:t>35</w:t>
                  </w:r>
                </w:p>
              </w:tc>
              <w:tc>
                <w:tcPr>
                  <w:tcW w:w="980" w:type="dxa"/>
                  <w:shd w:val="clear" w:color="auto" w:fill="auto"/>
                  <w:noWrap w:val="0"/>
                  <w:vAlign w:val="center"/>
                </w:tcPr>
                <w:p w14:paraId="3486ECA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w:t>
                  </w:r>
                </w:p>
              </w:tc>
              <w:tc>
                <w:tcPr>
                  <w:tcW w:w="514" w:type="dxa"/>
                  <w:vMerge w:val="continue"/>
                  <w:noWrap w:val="0"/>
                  <w:vAlign w:val="center"/>
                </w:tcPr>
                <w:p w14:paraId="7A129E3F">
                  <w:pPr>
                    <w:spacing w:line="240" w:lineRule="auto"/>
                    <w:ind w:firstLine="0" w:firstLineChars="0"/>
                    <w:jc w:val="center"/>
                    <w:rPr>
                      <w:color w:val="auto"/>
                      <w:sz w:val="21"/>
                      <w:szCs w:val="21"/>
                    </w:rPr>
                  </w:pPr>
                </w:p>
              </w:tc>
            </w:tr>
            <w:tr w14:paraId="030379F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6C521525">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657" w:type="dxa"/>
                  <w:shd w:val="clear" w:color="auto" w:fill="auto"/>
                  <w:noWrap w:val="0"/>
                  <w:vAlign w:val="center"/>
                </w:tcPr>
                <w:p w14:paraId="261506A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抛光废液</w:t>
                  </w:r>
                </w:p>
              </w:tc>
              <w:tc>
                <w:tcPr>
                  <w:tcW w:w="427" w:type="dxa"/>
                  <w:vMerge w:val="continue"/>
                  <w:shd w:val="clear" w:color="auto" w:fill="auto"/>
                  <w:noWrap w:val="0"/>
                  <w:vAlign w:val="center"/>
                </w:tcPr>
                <w:p w14:paraId="19C14133">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871" w:type="dxa"/>
                  <w:shd w:val="clear" w:color="auto" w:fill="auto"/>
                  <w:noWrap w:val="0"/>
                  <w:vAlign w:val="center"/>
                </w:tcPr>
                <w:p w14:paraId="6C5497A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磁力抛光</w:t>
                  </w:r>
                </w:p>
              </w:tc>
              <w:tc>
                <w:tcPr>
                  <w:tcW w:w="841" w:type="dxa"/>
                  <w:shd w:val="clear" w:color="auto" w:fill="auto"/>
                  <w:noWrap w:val="0"/>
                  <w:vAlign w:val="center"/>
                </w:tcPr>
                <w:p w14:paraId="28660D0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液态</w:t>
                  </w:r>
                </w:p>
              </w:tc>
              <w:tc>
                <w:tcPr>
                  <w:tcW w:w="823" w:type="dxa"/>
                  <w:shd w:val="clear" w:color="auto" w:fill="auto"/>
                  <w:noWrap w:val="0"/>
                  <w:vAlign w:val="center"/>
                </w:tcPr>
                <w:p w14:paraId="62224A1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水、金属</w:t>
                  </w:r>
                </w:p>
              </w:tc>
              <w:tc>
                <w:tcPr>
                  <w:tcW w:w="846" w:type="dxa"/>
                  <w:vMerge w:val="continue"/>
                  <w:shd w:val="clear" w:color="auto" w:fill="auto"/>
                  <w:noWrap w:val="0"/>
                  <w:vAlign w:val="center"/>
                </w:tcPr>
                <w:p w14:paraId="500EB141">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694" w:type="dxa"/>
                  <w:shd w:val="clear" w:color="auto" w:fill="auto"/>
                  <w:noWrap w:val="0"/>
                  <w:vAlign w:val="center"/>
                </w:tcPr>
                <w:p w14:paraId="65B34180">
                  <w:pPr>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T/</w:t>
                  </w:r>
                  <w:r>
                    <w:rPr>
                      <w:rFonts w:hint="eastAsia" w:cs="Times New Roman"/>
                      <w:bCs/>
                      <w:color w:val="auto"/>
                      <w:sz w:val="21"/>
                      <w:szCs w:val="21"/>
                      <w:highlight w:val="none"/>
                      <w:lang w:val="en-US" w:eastAsia="zh-CN"/>
                    </w:rPr>
                    <w:t>C</w:t>
                  </w:r>
                </w:p>
              </w:tc>
              <w:tc>
                <w:tcPr>
                  <w:tcW w:w="1157" w:type="dxa"/>
                  <w:shd w:val="clear" w:color="auto" w:fill="auto"/>
                  <w:noWrap w:val="0"/>
                  <w:vAlign w:val="center"/>
                </w:tcPr>
                <w:p w14:paraId="09B6FE8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HW17</w:t>
                  </w:r>
                </w:p>
              </w:tc>
              <w:tc>
                <w:tcPr>
                  <w:tcW w:w="1336" w:type="dxa"/>
                  <w:shd w:val="clear" w:color="auto" w:fill="auto"/>
                  <w:noWrap w:val="0"/>
                  <w:vAlign w:val="center"/>
                </w:tcPr>
                <w:p w14:paraId="2DD0446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color w:val="auto"/>
                    </w:rPr>
                    <w:t>336-064-17</w:t>
                  </w:r>
                </w:p>
              </w:tc>
              <w:tc>
                <w:tcPr>
                  <w:tcW w:w="980" w:type="dxa"/>
                  <w:shd w:val="clear" w:color="auto" w:fill="auto"/>
                  <w:noWrap w:val="0"/>
                  <w:vAlign w:val="center"/>
                </w:tcPr>
                <w:p w14:paraId="2E6FFFE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c>
                <w:tcPr>
                  <w:tcW w:w="514" w:type="dxa"/>
                  <w:vMerge w:val="continue"/>
                  <w:noWrap w:val="0"/>
                  <w:vAlign w:val="center"/>
                </w:tcPr>
                <w:p w14:paraId="7923FFF9">
                  <w:pPr>
                    <w:spacing w:line="240" w:lineRule="auto"/>
                    <w:ind w:firstLine="0" w:firstLineChars="0"/>
                    <w:jc w:val="center"/>
                    <w:rPr>
                      <w:color w:val="auto"/>
                      <w:sz w:val="21"/>
                      <w:szCs w:val="21"/>
                    </w:rPr>
                  </w:pPr>
                </w:p>
              </w:tc>
            </w:tr>
            <w:tr w14:paraId="2E68129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544DD710">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657" w:type="dxa"/>
                  <w:noWrap w:val="0"/>
                  <w:vAlign w:val="center"/>
                </w:tcPr>
                <w:p w14:paraId="1F2886B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b w:val="0"/>
                      <w:bCs/>
                      <w:color w:val="auto"/>
                      <w:sz w:val="21"/>
                      <w:szCs w:val="21"/>
                      <w:highlight w:val="none"/>
                      <w:lang w:val="en-US" w:eastAsia="zh-CN"/>
                    </w:rPr>
                    <w:t>废</w:t>
                  </w:r>
                  <w:r>
                    <w:rPr>
                      <w:rFonts w:hint="eastAsia" w:ascii="Times New Roman" w:hAnsi="Times New Roman" w:eastAsia="宋体" w:cs="Times New Roman"/>
                      <w:b w:val="0"/>
                      <w:bCs/>
                      <w:color w:val="auto"/>
                      <w:kern w:val="2"/>
                      <w:sz w:val="21"/>
                      <w:szCs w:val="21"/>
                      <w:highlight w:val="none"/>
                      <w:lang w:val="en-US" w:eastAsia="zh-CN" w:bidi="ar-SA"/>
                    </w:rPr>
                    <w:t>切削液</w:t>
                  </w:r>
                </w:p>
              </w:tc>
              <w:tc>
                <w:tcPr>
                  <w:tcW w:w="427" w:type="dxa"/>
                  <w:vMerge w:val="continue"/>
                  <w:noWrap w:val="0"/>
                  <w:vAlign w:val="center"/>
                </w:tcPr>
                <w:p w14:paraId="1F117153">
                  <w:pPr>
                    <w:spacing w:line="240" w:lineRule="auto"/>
                    <w:ind w:firstLine="0" w:firstLineChars="0"/>
                    <w:jc w:val="center"/>
                    <w:rPr>
                      <w:color w:val="auto"/>
                      <w:sz w:val="21"/>
                      <w:szCs w:val="21"/>
                    </w:rPr>
                  </w:pPr>
                </w:p>
              </w:tc>
              <w:tc>
                <w:tcPr>
                  <w:tcW w:w="871" w:type="dxa"/>
                  <w:noWrap w:val="0"/>
                  <w:vAlign w:val="center"/>
                </w:tcPr>
                <w:p w14:paraId="26D38D4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铣削</w:t>
                  </w:r>
                </w:p>
              </w:tc>
              <w:tc>
                <w:tcPr>
                  <w:tcW w:w="841" w:type="dxa"/>
                  <w:noWrap w:val="0"/>
                  <w:vAlign w:val="center"/>
                </w:tcPr>
                <w:p w14:paraId="0385ABA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液态</w:t>
                  </w:r>
                </w:p>
              </w:tc>
              <w:tc>
                <w:tcPr>
                  <w:tcW w:w="823" w:type="dxa"/>
                  <w:noWrap w:val="0"/>
                  <w:vAlign w:val="center"/>
                </w:tcPr>
                <w:p w14:paraId="79B8FDE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矿物</w:t>
                  </w:r>
                  <w:r>
                    <w:rPr>
                      <w:rFonts w:hint="eastAsia" w:ascii="Times New Roman" w:hAnsi="Times New Roman" w:eastAsia="宋体" w:cs="Times New Roman"/>
                      <w:color w:val="auto"/>
                      <w:sz w:val="21"/>
                      <w:szCs w:val="21"/>
                      <w:lang w:val="en-US" w:eastAsia="zh-CN"/>
                    </w:rPr>
                    <w:t>油</w:t>
                  </w:r>
                </w:p>
              </w:tc>
              <w:tc>
                <w:tcPr>
                  <w:tcW w:w="846" w:type="dxa"/>
                  <w:vMerge w:val="continue"/>
                  <w:noWrap w:val="0"/>
                  <w:vAlign w:val="center"/>
                </w:tcPr>
                <w:p w14:paraId="2FF98C8E">
                  <w:pPr>
                    <w:spacing w:line="240" w:lineRule="auto"/>
                    <w:ind w:firstLine="0" w:firstLineChars="0"/>
                    <w:jc w:val="center"/>
                    <w:rPr>
                      <w:color w:val="auto"/>
                      <w:sz w:val="21"/>
                      <w:szCs w:val="21"/>
                    </w:rPr>
                  </w:pPr>
                </w:p>
              </w:tc>
              <w:tc>
                <w:tcPr>
                  <w:tcW w:w="694" w:type="dxa"/>
                  <w:noWrap w:val="0"/>
                  <w:vAlign w:val="center"/>
                </w:tcPr>
                <w:p w14:paraId="4D8CE082">
                  <w:pPr>
                    <w:spacing w:line="240" w:lineRule="auto"/>
                    <w:ind w:firstLine="0" w:firstLineChars="0"/>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T</w:t>
                  </w:r>
                </w:p>
              </w:tc>
              <w:tc>
                <w:tcPr>
                  <w:tcW w:w="1157" w:type="dxa"/>
                  <w:noWrap w:val="0"/>
                  <w:vAlign w:val="center"/>
                </w:tcPr>
                <w:p w14:paraId="5E95585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color w:val="auto"/>
                      <w:kern w:val="2"/>
                      <w:sz w:val="21"/>
                      <w:szCs w:val="21"/>
                      <w:highlight w:val="none"/>
                      <w:lang w:val="en-US" w:eastAsia="zh-CN" w:bidi="ar-SA"/>
                    </w:rPr>
                    <w:t>HW09</w:t>
                  </w:r>
                </w:p>
              </w:tc>
              <w:tc>
                <w:tcPr>
                  <w:tcW w:w="1336" w:type="dxa"/>
                  <w:noWrap w:val="0"/>
                  <w:vAlign w:val="center"/>
                </w:tcPr>
                <w:p w14:paraId="5285028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highlight w:val="none"/>
                    </w:rPr>
                    <w:t>900-0</w:t>
                  </w:r>
                  <w:r>
                    <w:rPr>
                      <w:rFonts w:hint="eastAsia" w:ascii="Times New Roman" w:hAnsi="Times New Roman" w:eastAsia="宋体" w:cs="Times New Roman"/>
                      <w:b w:val="0"/>
                      <w:bCs/>
                      <w:color w:val="auto"/>
                      <w:sz w:val="21"/>
                      <w:szCs w:val="21"/>
                      <w:highlight w:val="none"/>
                      <w:lang w:val="en-US" w:eastAsia="zh-CN"/>
                    </w:rPr>
                    <w:t>06</w:t>
                  </w:r>
                  <w:r>
                    <w:rPr>
                      <w:rFonts w:hint="default" w:ascii="Times New Roman" w:hAnsi="Times New Roman" w:eastAsia="宋体" w:cs="Times New Roman"/>
                      <w:b w:val="0"/>
                      <w:bCs/>
                      <w:color w:val="auto"/>
                      <w:sz w:val="21"/>
                      <w:szCs w:val="21"/>
                      <w:highlight w:val="none"/>
                    </w:rPr>
                    <w:t>-</w:t>
                  </w:r>
                  <w:r>
                    <w:rPr>
                      <w:rFonts w:hint="eastAsia" w:ascii="Times New Roman" w:hAnsi="Times New Roman" w:eastAsia="宋体" w:cs="Times New Roman"/>
                      <w:b w:val="0"/>
                      <w:bCs/>
                      <w:color w:val="auto"/>
                      <w:sz w:val="21"/>
                      <w:szCs w:val="21"/>
                      <w:highlight w:val="none"/>
                      <w:lang w:val="en-US" w:eastAsia="zh-CN"/>
                    </w:rPr>
                    <w:t>0</w:t>
                  </w:r>
                  <w:r>
                    <w:rPr>
                      <w:rFonts w:hint="default" w:ascii="Times New Roman" w:hAnsi="Times New Roman" w:eastAsia="宋体" w:cs="Times New Roman"/>
                      <w:b w:val="0"/>
                      <w:bCs/>
                      <w:color w:val="auto"/>
                      <w:sz w:val="21"/>
                      <w:szCs w:val="21"/>
                      <w:highlight w:val="none"/>
                    </w:rPr>
                    <w:t>9</w:t>
                  </w:r>
                </w:p>
              </w:tc>
              <w:tc>
                <w:tcPr>
                  <w:tcW w:w="980" w:type="dxa"/>
                  <w:shd w:val="clear" w:color="auto" w:fill="auto"/>
                  <w:noWrap w:val="0"/>
                  <w:vAlign w:val="center"/>
                </w:tcPr>
                <w:p w14:paraId="0C3A919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0.61</w:t>
                  </w:r>
                </w:p>
              </w:tc>
              <w:tc>
                <w:tcPr>
                  <w:tcW w:w="514" w:type="dxa"/>
                  <w:vMerge w:val="continue"/>
                  <w:noWrap w:val="0"/>
                  <w:vAlign w:val="center"/>
                </w:tcPr>
                <w:p w14:paraId="58307AD8">
                  <w:pPr>
                    <w:spacing w:line="240" w:lineRule="auto"/>
                    <w:ind w:firstLine="0" w:firstLineChars="0"/>
                    <w:jc w:val="center"/>
                    <w:rPr>
                      <w:color w:val="auto"/>
                      <w:sz w:val="21"/>
                      <w:szCs w:val="21"/>
                    </w:rPr>
                  </w:pPr>
                </w:p>
              </w:tc>
            </w:tr>
            <w:tr w14:paraId="2A0D8E4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197488D1">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17</w:t>
                  </w:r>
                </w:p>
              </w:tc>
              <w:tc>
                <w:tcPr>
                  <w:tcW w:w="657" w:type="dxa"/>
                  <w:noWrap w:val="0"/>
                  <w:vAlign w:val="center"/>
                </w:tcPr>
                <w:p w14:paraId="5003263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b w:val="0"/>
                      <w:bCs/>
                      <w:color w:val="auto"/>
                      <w:sz w:val="21"/>
                      <w:szCs w:val="21"/>
                      <w:highlight w:val="none"/>
                      <w:lang w:val="en-US" w:eastAsia="zh-CN"/>
                    </w:rPr>
                    <w:t>废滤芯</w:t>
                  </w:r>
                </w:p>
              </w:tc>
              <w:tc>
                <w:tcPr>
                  <w:tcW w:w="427" w:type="dxa"/>
                  <w:vMerge w:val="continue"/>
                  <w:noWrap w:val="0"/>
                  <w:vAlign w:val="center"/>
                </w:tcPr>
                <w:p w14:paraId="55B31C1B">
                  <w:pPr>
                    <w:spacing w:line="240" w:lineRule="auto"/>
                    <w:ind w:firstLine="0" w:firstLineChars="0"/>
                    <w:jc w:val="center"/>
                    <w:rPr>
                      <w:color w:val="auto"/>
                      <w:sz w:val="21"/>
                      <w:szCs w:val="21"/>
                    </w:rPr>
                  </w:pPr>
                </w:p>
              </w:tc>
              <w:tc>
                <w:tcPr>
                  <w:tcW w:w="871" w:type="dxa"/>
                  <w:noWrap w:val="0"/>
                  <w:vAlign w:val="center"/>
                </w:tcPr>
                <w:p w14:paraId="39B7698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电火花</w:t>
                  </w:r>
                </w:p>
              </w:tc>
              <w:tc>
                <w:tcPr>
                  <w:tcW w:w="841" w:type="dxa"/>
                  <w:noWrap w:val="0"/>
                  <w:vAlign w:val="center"/>
                </w:tcPr>
                <w:p w14:paraId="3F0030E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823" w:type="dxa"/>
                  <w:noWrap w:val="0"/>
                  <w:vAlign w:val="center"/>
                </w:tcPr>
                <w:p w14:paraId="5BC585A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塑料、矿物</w:t>
                  </w:r>
                  <w:r>
                    <w:rPr>
                      <w:rFonts w:hint="eastAsia" w:ascii="Times New Roman" w:hAnsi="Times New Roman" w:eastAsia="宋体" w:cs="Times New Roman"/>
                      <w:color w:val="auto"/>
                      <w:sz w:val="21"/>
                      <w:szCs w:val="21"/>
                      <w:lang w:val="en-US" w:eastAsia="zh-CN"/>
                    </w:rPr>
                    <w:t>油</w:t>
                  </w:r>
                </w:p>
              </w:tc>
              <w:tc>
                <w:tcPr>
                  <w:tcW w:w="846" w:type="dxa"/>
                  <w:vMerge w:val="continue"/>
                  <w:noWrap w:val="0"/>
                  <w:vAlign w:val="center"/>
                </w:tcPr>
                <w:p w14:paraId="0E3F76E1">
                  <w:pPr>
                    <w:spacing w:line="240" w:lineRule="auto"/>
                    <w:ind w:firstLine="0" w:firstLineChars="0"/>
                    <w:jc w:val="center"/>
                    <w:rPr>
                      <w:color w:val="auto"/>
                      <w:sz w:val="21"/>
                      <w:szCs w:val="21"/>
                    </w:rPr>
                  </w:pPr>
                </w:p>
              </w:tc>
              <w:tc>
                <w:tcPr>
                  <w:tcW w:w="694" w:type="dxa"/>
                  <w:noWrap w:val="0"/>
                  <w:vAlign w:val="center"/>
                </w:tcPr>
                <w:p w14:paraId="3D310AC5">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T</w:t>
                  </w:r>
                  <w:r>
                    <w:rPr>
                      <w:rFonts w:hint="eastAsia"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I</w:t>
                  </w:r>
                </w:p>
              </w:tc>
              <w:tc>
                <w:tcPr>
                  <w:tcW w:w="1157" w:type="dxa"/>
                  <w:noWrap w:val="0"/>
                  <w:vAlign w:val="center"/>
                </w:tcPr>
                <w:p w14:paraId="2E89B80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w:t>
                  </w:r>
                  <w:r>
                    <w:rPr>
                      <w:rFonts w:hint="eastAsia" w:cs="Times New Roman"/>
                      <w:color w:val="auto"/>
                      <w:sz w:val="21"/>
                      <w:szCs w:val="21"/>
                      <w:lang w:val="en-US" w:eastAsia="zh-CN"/>
                    </w:rPr>
                    <w:t>08</w:t>
                  </w:r>
                </w:p>
              </w:tc>
              <w:tc>
                <w:tcPr>
                  <w:tcW w:w="1336" w:type="dxa"/>
                  <w:noWrap w:val="0"/>
                  <w:vAlign w:val="center"/>
                </w:tcPr>
                <w:p w14:paraId="513A7EF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w:t>
                  </w:r>
                  <w:r>
                    <w:rPr>
                      <w:rFonts w:hint="eastAsia" w:cs="Times New Roman"/>
                      <w:color w:val="auto"/>
                      <w:sz w:val="21"/>
                      <w:szCs w:val="21"/>
                      <w:lang w:val="en-US" w:eastAsia="zh-CN"/>
                    </w:rPr>
                    <w:t>213</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08</w:t>
                  </w:r>
                </w:p>
              </w:tc>
              <w:tc>
                <w:tcPr>
                  <w:tcW w:w="980" w:type="dxa"/>
                  <w:shd w:val="clear" w:color="auto" w:fill="auto"/>
                  <w:noWrap w:val="0"/>
                  <w:vAlign w:val="center"/>
                </w:tcPr>
                <w:p w14:paraId="1DE358A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0.1</w:t>
                  </w:r>
                </w:p>
              </w:tc>
              <w:tc>
                <w:tcPr>
                  <w:tcW w:w="514" w:type="dxa"/>
                  <w:vMerge w:val="continue"/>
                  <w:noWrap w:val="0"/>
                  <w:vAlign w:val="center"/>
                </w:tcPr>
                <w:p w14:paraId="5D5700D2">
                  <w:pPr>
                    <w:spacing w:line="240" w:lineRule="auto"/>
                    <w:ind w:firstLine="0" w:firstLineChars="0"/>
                    <w:jc w:val="center"/>
                    <w:rPr>
                      <w:color w:val="auto"/>
                      <w:sz w:val="21"/>
                      <w:szCs w:val="21"/>
                    </w:rPr>
                  </w:pPr>
                </w:p>
              </w:tc>
            </w:tr>
            <w:tr w14:paraId="20B765A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1AA75F34">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kern w:val="2"/>
                      <w:sz w:val="21"/>
                      <w:szCs w:val="21"/>
                      <w:lang w:val="en-US" w:eastAsia="zh-CN" w:bidi="ar-SA"/>
                    </w:rPr>
                    <w:t>18</w:t>
                  </w:r>
                </w:p>
              </w:tc>
              <w:tc>
                <w:tcPr>
                  <w:tcW w:w="657" w:type="dxa"/>
                  <w:shd w:val="clear" w:color="auto" w:fill="auto"/>
                  <w:noWrap w:val="0"/>
                  <w:vAlign w:val="center"/>
                </w:tcPr>
                <w:p w14:paraId="1F1CBBF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废煤油</w:t>
                  </w:r>
                </w:p>
              </w:tc>
              <w:tc>
                <w:tcPr>
                  <w:tcW w:w="427" w:type="dxa"/>
                  <w:vMerge w:val="continue"/>
                  <w:shd w:val="clear" w:color="auto" w:fill="auto"/>
                  <w:noWrap w:val="0"/>
                  <w:vAlign w:val="center"/>
                </w:tcPr>
                <w:p w14:paraId="40009B73">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871" w:type="dxa"/>
                  <w:shd w:val="clear" w:color="auto" w:fill="auto"/>
                  <w:noWrap w:val="0"/>
                  <w:vAlign w:val="center"/>
                </w:tcPr>
                <w:p w14:paraId="6C43288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电火花</w:t>
                  </w:r>
                </w:p>
              </w:tc>
              <w:tc>
                <w:tcPr>
                  <w:tcW w:w="841" w:type="dxa"/>
                  <w:shd w:val="clear" w:color="auto" w:fill="auto"/>
                  <w:noWrap w:val="0"/>
                  <w:vAlign w:val="center"/>
                </w:tcPr>
                <w:p w14:paraId="6AD0C52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液态</w:t>
                  </w:r>
                </w:p>
              </w:tc>
              <w:tc>
                <w:tcPr>
                  <w:tcW w:w="823" w:type="dxa"/>
                  <w:shd w:val="clear" w:color="auto" w:fill="auto"/>
                  <w:noWrap w:val="0"/>
                  <w:vAlign w:val="center"/>
                </w:tcPr>
                <w:p w14:paraId="1412438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矿物</w:t>
                  </w:r>
                  <w:r>
                    <w:rPr>
                      <w:rFonts w:hint="eastAsia" w:ascii="Times New Roman" w:hAnsi="Times New Roman" w:eastAsia="宋体" w:cs="Times New Roman"/>
                      <w:color w:val="auto"/>
                      <w:sz w:val="21"/>
                      <w:szCs w:val="21"/>
                      <w:lang w:val="en-US" w:eastAsia="zh-CN"/>
                    </w:rPr>
                    <w:t>油</w:t>
                  </w:r>
                </w:p>
              </w:tc>
              <w:tc>
                <w:tcPr>
                  <w:tcW w:w="846" w:type="dxa"/>
                  <w:vMerge w:val="continue"/>
                  <w:shd w:val="clear" w:color="auto" w:fill="auto"/>
                  <w:noWrap w:val="0"/>
                  <w:vAlign w:val="center"/>
                </w:tcPr>
                <w:p w14:paraId="0B6EF9E2">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694" w:type="dxa"/>
                  <w:shd w:val="clear" w:color="auto" w:fill="auto"/>
                  <w:noWrap w:val="0"/>
                  <w:vAlign w:val="center"/>
                </w:tcPr>
                <w:p w14:paraId="6A91ED6F">
                  <w:pPr>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T</w:t>
                  </w:r>
                  <w:r>
                    <w:rPr>
                      <w:rFonts w:hint="eastAsia"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I</w:t>
                  </w:r>
                </w:p>
              </w:tc>
              <w:tc>
                <w:tcPr>
                  <w:tcW w:w="1157" w:type="dxa"/>
                  <w:shd w:val="clear" w:color="auto" w:fill="auto"/>
                  <w:noWrap w:val="0"/>
                  <w:vAlign w:val="center"/>
                </w:tcPr>
                <w:p w14:paraId="7735C54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HW</w:t>
                  </w:r>
                  <w:r>
                    <w:rPr>
                      <w:rFonts w:hint="eastAsia" w:cs="Times New Roman"/>
                      <w:color w:val="auto"/>
                      <w:sz w:val="21"/>
                      <w:szCs w:val="21"/>
                      <w:lang w:val="en-US" w:eastAsia="zh-CN"/>
                    </w:rPr>
                    <w:t>08</w:t>
                  </w:r>
                </w:p>
              </w:tc>
              <w:tc>
                <w:tcPr>
                  <w:tcW w:w="1336" w:type="dxa"/>
                  <w:shd w:val="clear" w:color="auto" w:fill="auto"/>
                  <w:noWrap w:val="0"/>
                  <w:vAlign w:val="center"/>
                </w:tcPr>
                <w:p w14:paraId="3D007EB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w:t>
                  </w:r>
                  <w:r>
                    <w:rPr>
                      <w:rFonts w:hint="eastAsia" w:cs="Times New Roman"/>
                      <w:color w:val="auto"/>
                      <w:sz w:val="21"/>
                      <w:szCs w:val="21"/>
                      <w:lang w:val="en-US" w:eastAsia="zh-CN"/>
                    </w:rPr>
                    <w:t>249</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08</w:t>
                  </w:r>
                </w:p>
              </w:tc>
              <w:tc>
                <w:tcPr>
                  <w:tcW w:w="980" w:type="dxa"/>
                  <w:shd w:val="clear" w:color="auto" w:fill="auto"/>
                  <w:noWrap w:val="0"/>
                  <w:vAlign w:val="center"/>
                </w:tcPr>
                <w:p w14:paraId="60DEC3E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0.041</w:t>
                  </w:r>
                </w:p>
              </w:tc>
              <w:tc>
                <w:tcPr>
                  <w:tcW w:w="514" w:type="dxa"/>
                  <w:vMerge w:val="continue"/>
                  <w:noWrap w:val="0"/>
                  <w:vAlign w:val="center"/>
                </w:tcPr>
                <w:p w14:paraId="3B920958">
                  <w:pPr>
                    <w:spacing w:line="240" w:lineRule="auto"/>
                    <w:ind w:firstLine="0" w:firstLineChars="0"/>
                    <w:jc w:val="center"/>
                    <w:rPr>
                      <w:color w:val="auto"/>
                      <w:sz w:val="21"/>
                      <w:szCs w:val="21"/>
                    </w:rPr>
                  </w:pPr>
                </w:p>
              </w:tc>
            </w:tr>
            <w:tr w14:paraId="513B3D4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1B6B0B3A">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657" w:type="dxa"/>
                  <w:shd w:val="clear" w:color="auto" w:fill="auto"/>
                  <w:noWrap w:val="0"/>
                  <w:vAlign w:val="center"/>
                </w:tcPr>
                <w:p w14:paraId="1584178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废抹布</w:t>
                  </w:r>
                </w:p>
              </w:tc>
              <w:tc>
                <w:tcPr>
                  <w:tcW w:w="427" w:type="dxa"/>
                  <w:vMerge w:val="continue"/>
                  <w:shd w:val="clear" w:color="auto" w:fill="auto"/>
                  <w:noWrap w:val="0"/>
                  <w:vAlign w:val="center"/>
                </w:tcPr>
                <w:p w14:paraId="0562B3C8">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871" w:type="dxa"/>
                  <w:shd w:val="clear" w:color="auto" w:fill="auto"/>
                  <w:noWrap w:val="0"/>
                  <w:vAlign w:val="center"/>
                </w:tcPr>
                <w:p w14:paraId="1F33851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电火花</w:t>
                  </w:r>
                </w:p>
              </w:tc>
              <w:tc>
                <w:tcPr>
                  <w:tcW w:w="841" w:type="dxa"/>
                  <w:shd w:val="clear" w:color="auto" w:fill="auto"/>
                  <w:noWrap w:val="0"/>
                  <w:vAlign w:val="center"/>
                </w:tcPr>
                <w:p w14:paraId="3948BCB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823" w:type="dxa"/>
                  <w:shd w:val="clear" w:color="auto" w:fill="auto"/>
                  <w:noWrap w:val="0"/>
                  <w:vAlign w:val="center"/>
                </w:tcPr>
                <w:p w14:paraId="0911337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棉、矿物</w:t>
                  </w:r>
                  <w:r>
                    <w:rPr>
                      <w:rFonts w:hint="eastAsia" w:ascii="Times New Roman" w:hAnsi="Times New Roman" w:eastAsia="宋体" w:cs="Times New Roman"/>
                      <w:color w:val="auto"/>
                      <w:sz w:val="21"/>
                      <w:szCs w:val="21"/>
                      <w:lang w:val="en-US" w:eastAsia="zh-CN"/>
                    </w:rPr>
                    <w:t>油</w:t>
                  </w:r>
                </w:p>
              </w:tc>
              <w:tc>
                <w:tcPr>
                  <w:tcW w:w="846" w:type="dxa"/>
                  <w:vMerge w:val="continue"/>
                  <w:shd w:val="clear" w:color="auto" w:fill="auto"/>
                  <w:noWrap w:val="0"/>
                  <w:vAlign w:val="center"/>
                </w:tcPr>
                <w:p w14:paraId="1136F9F3">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694" w:type="dxa"/>
                  <w:shd w:val="clear" w:color="auto" w:fill="auto"/>
                  <w:noWrap w:val="0"/>
                  <w:vAlign w:val="center"/>
                </w:tcPr>
                <w:p w14:paraId="78D65260">
                  <w:pPr>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T</w:t>
                  </w:r>
                  <w:r>
                    <w:rPr>
                      <w:rFonts w:hint="eastAsia"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I</w:t>
                  </w:r>
                </w:p>
              </w:tc>
              <w:tc>
                <w:tcPr>
                  <w:tcW w:w="1157" w:type="dxa"/>
                  <w:shd w:val="clear" w:color="auto" w:fill="auto"/>
                  <w:noWrap w:val="0"/>
                  <w:vAlign w:val="center"/>
                </w:tcPr>
                <w:p w14:paraId="40C8989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HW</w:t>
                  </w:r>
                  <w:r>
                    <w:rPr>
                      <w:rFonts w:hint="eastAsia" w:cs="Times New Roman"/>
                      <w:color w:val="auto"/>
                      <w:sz w:val="21"/>
                      <w:szCs w:val="21"/>
                      <w:lang w:val="en-US" w:eastAsia="zh-CN"/>
                    </w:rPr>
                    <w:t>08</w:t>
                  </w:r>
                </w:p>
              </w:tc>
              <w:tc>
                <w:tcPr>
                  <w:tcW w:w="1336" w:type="dxa"/>
                  <w:shd w:val="clear" w:color="auto" w:fill="auto"/>
                  <w:noWrap w:val="0"/>
                  <w:vAlign w:val="center"/>
                </w:tcPr>
                <w:p w14:paraId="7CCFAF3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900-249-08</w:t>
                  </w:r>
                </w:p>
              </w:tc>
              <w:tc>
                <w:tcPr>
                  <w:tcW w:w="980" w:type="dxa"/>
                  <w:shd w:val="clear" w:color="auto" w:fill="auto"/>
                  <w:noWrap w:val="0"/>
                  <w:vAlign w:val="center"/>
                </w:tcPr>
                <w:p w14:paraId="50D0F60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0.2</w:t>
                  </w:r>
                </w:p>
              </w:tc>
              <w:tc>
                <w:tcPr>
                  <w:tcW w:w="514" w:type="dxa"/>
                  <w:vMerge w:val="continue"/>
                  <w:noWrap w:val="0"/>
                  <w:vAlign w:val="center"/>
                </w:tcPr>
                <w:p w14:paraId="1FB0A740">
                  <w:pPr>
                    <w:spacing w:line="240" w:lineRule="auto"/>
                    <w:ind w:firstLine="0" w:firstLineChars="0"/>
                    <w:jc w:val="center"/>
                    <w:rPr>
                      <w:color w:val="auto"/>
                      <w:sz w:val="21"/>
                      <w:szCs w:val="21"/>
                    </w:rPr>
                  </w:pPr>
                </w:p>
              </w:tc>
            </w:tr>
            <w:tr w14:paraId="2000E9B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44351203">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657" w:type="dxa"/>
                  <w:noWrap w:val="0"/>
                  <w:vAlign w:val="center"/>
                </w:tcPr>
                <w:p w14:paraId="366AFE2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废包装桶</w:t>
                  </w:r>
                </w:p>
              </w:tc>
              <w:tc>
                <w:tcPr>
                  <w:tcW w:w="427" w:type="dxa"/>
                  <w:vMerge w:val="continue"/>
                  <w:noWrap w:val="0"/>
                  <w:vAlign w:val="center"/>
                </w:tcPr>
                <w:p w14:paraId="2679A235">
                  <w:pPr>
                    <w:spacing w:line="240" w:lineRule="auto"/>
                    <w:ind w:firstLine="0" w:firstLineChars="0"/>
                    <w:jc w:val="center"/>
                    <w:rPr>
                      <w:color w:val="auto"/>
                      <w:sz w:val="21"/>
                      <w:szCs w:val="21"/>
                    </w:rPr>
                  </w:pPr>
                </w:p>
              </w:tc>
              <w:tc>
                <w:tcPr>
                  <w:tcW w:w="871" w:type="dxa"/>
                  <w:noWrap w:val="0"/>
                  <w:vAlign w:val="center"/>
                </w:tcPr>
                <w:p w14:paraId="0B9DC08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原料包装</w:t>
                  </w:r>
                </w:p>
              </w:tc>
              <w:tc>
                <w:tcPr>
                  <w:tcW w:w="841" w:type="dxa"/>
                  <w:noWrap w:val="0"/>
                  <w:vAlign w:val="center"/>
                </w:tcPr>
                <w:p w14:paraId="5AD8530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823" w:type="dxa"/>
                  <w:noWrap w:val="0"/>
                  <w:vAlign w:val="center"/>
                </w:tcPr>
                <w:p w14:paraId="49F8188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金属、</w:t>
                  </w:r>
                  <w:r>
                    <w:rPr>
                      <w:rFonts w:hint="eastAsia" w:cs="Times New Roman"/>
                      <w:color w:val="auto"/>
                      <w:sz w:val="21"/>
                      <w:szCs w:val="21"/>
                      <w:lang w:val="en-US" w:eastAsia="zh-CN"/>
                    </w:rPr>
                    <w:t>矿物</w:t>
                  </w:r>
                  <w:r>
                    <w:rPr>
                      <w:rFonts w:hint="eastAsia" w:ascii="Times New Roman" w:hAnsi="Times New Roman" w:eastAsia="宋体" w:cs="Times New Roman"/>
                      <w:color w:val="auto"/>
                      <w:sz w:val="21"/>
                      <w:szCs w:val="21"/>
                      <w:lang w:val="en-US" w:eastAsia="zh-CN"/>
                    </w:rPr>
                    <w:t>油</w:t>
                  </w:r>
                </w:p>
              </w:tc>
              <w:tc>
                <w:tcPr>
                  <w:tcW w:w="846" w:type="dxa"/>
                  <w:vMerge w:val="continue"/>
                  <w:noWrap w:val="0"/>
                  <w:vAlign w:val="center"/>
                </w:tcPr>
                <w:p w14:paraId="71698827">
                  <w:pPr>
                    <w:spacing w:line="240" w:lineRule="auto"/>
                    <w:ind w:firstLine="0" w:firstLineChars="0"/>
                    <w:jc w:val="center"/>
                    <w:rPr>
                      <w:color w:val="auto"/>
                      <w:sz w:val="21"/>
                      <w:szCs w:val="21"/>
                    </w:rPr>
                  </w:pPr>
                </w:p>
              </w:tc>
              <w:tc>
                <w:tcPr>
                  <w:tcW w:w="694" w:type="dxa"/>
                  <w:noWrap w:val="0"/>
                  <w:vAlign w:val="center"/>
                </w:tcPr>
                <w:p w14:paraId="6E2EBA71">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T</w:t>
                  </w:r>
                  <w:r>
                    <w:rPr>
                      <w:rFonts w:hint="eastAsia"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I</w:t>
                  </w:r>
                </w:p>
              </w:tc>
              <w:tc>
                <w:tcPr>
                  <w:tcW w:w="1157" w:type="dxa"/>
                  <w:noWrap w:val="0"/>
                  <w:vAlign w:val="center"/>
                </w:tcPr>
                <w:p w14:paraId="6169F7A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w:t>
                  </w:r>
                  <w:r>
                    <w:rPr>
                      <w:rFonts w:hint="eastAsia" w:cs="Times New Roman"/>
                      <w:color w:val="auto"/>
                      <w:sz w:val="21"/>
                      <w:szCs w:val="21"/>
                      <w:lang w:val="en-US" w:eastAsia="zh-CN"/>
                    </w:rPr>
                    <w:t>08</w:t>
                  </w:r>
                </w:p>
              </w:tc>
              <w:tc>
                <w:tcPr>
                  <w:tcW w:w="1336" w:type="dxa"/>
                  <w:noWrap w:val="0"/>
                  <w:vAlign w:val="center"/>
                </w:tcPr>
                <w:p w14:paraId="017DE40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w:t>
                  </w:r>
                  <w:r>
                    <w:rPr>
                      <w:rFonts w:hint="eastAsia" w:cs="Times New Roman"/>
                      <w:color w:val="auto"/>
                      <w:sz w:val="21"/>
                      <w:szCs w:val="21"/>
                      <w:lang w:val="en-US" w:eastAsia="zh-CN"/>
                    </w:rPr>
                    <w:t>249</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08</w:t>
                  </w:r>
                </w:p>
              </w:tc>
              <w:tc>
                <w:tcPr>
                  <w:tcW w:w="980" w:type="dxa"/>
                  <w:shd w:val="clear" w:color="auto" w:fill="auto"/>
                  <w:noWrap w:val="0"/>
                  <w:vAlign w:val="center"/>
                </w:tcPr>
                <w:p w14:paraId="2239E03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4</w:t>
                  </w:r>
                </w:p>
              </w:tc>
              <w:tc>
                <w:tcPr>
                  <w:tcW w:w="514" w:type="dxa"/>
                  <w:vMerge w:val="continue"/>
                  <w:noWrap w:val="0"/>
                  <w:vAlign w:val="center"/>
                </w:tcPr>
                <w:p w14:paraId="2989271D">
                  <w:pPr>
                    <w:spacing w:line="240" w:lineRule="auto"/>
                    <w:ind w:firstLine="0" w:firstLineChars="0"/>
                    <w:jc w:val="center"/>
                    <w:rPr>
                      <w:color w:val="auto"/>
                      <w:sz w:val="21"/>
                      <w:szCs w:val="21"/>
                    </w:rPr>
                  </w:pPr>
                </w:p>
              </w:tc>
            </w:tr>
            <w:tr w14:paraId="14784E8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2D29360D">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21</w:t>
                  </w:r>
                </w:p>
              </w:tc>
              <w:tc>
                <w:tcPr>
                  <w:tcW w:w="657" w:type="dxa"/>
                  <w:noWrap w:val="0"/>
                  <w:vAlign w:val="center"/>
                </w:tcPr>
                <w:p w14:paraId="53A4989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废活性炭</w:t>
                  </w:r>
                </w:p>
              </w:tc>
              <w:tc>
                <w:tcPr>
                  <w:tcW w:w="427" w:type="dxa"/>
                  <w:vMerge w:val="continue"/>
                  <w:noWrap w:val="0"/>
                  <w:vAlign w:val="center"/>
                </w:tcPr>
                <w:p w14:paraId="21447FAE">
                  <w:pPr>
                    <w:spacing w:line="240" w:lineRule="auto"/>
                    <w:ind w:firstLine="0" w:firstLineChars="0"/>
                    <w:jc w:val="center"/>
                    <w:rPr>
                      <w:color w:val="auto"/>
                      <w:sz w:val="21"/>
                      <w:szCs w:val="21"/>
                    </w:rPr>
                  </w:pPr>
                </w:p>
              </w:tc>
              <w:tc>
                <w:tcPr>
                  <w:tcW w:w="871" w:type="dxa"/>
                  <w:noWrap w:val="0"/>
                  <w:vAlign w:val="center"/>
                </w:tcPr>
                <w:p w14:paraId="4377477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废气处理</w:t>
                  </w:r>
                </w:p>
              </w:tc>
              <w:tc>
                <w:tcPr>
                  <w:tcW w:w="841" w:type="dxa"/>
                  <w:noWrap w:val="0"/>
                  <w:vAlign w:val="center"/>
                </w:tcPr>
                <w:p w14:paraId="222061C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823" w:type="dxa"/>
                  <w:noWrap w:val="0"/>
                  <w:vAlign w:val="center"/>
                </w:tcPr>
                <w:p w14:paraId="5BA4184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活性炭、有机物</w:t>
                  </w:r>
                </w:p>
              </w:tc>
              <w:tc>
                <w:tcPr>
                  <w:tcW w:w="846" w:type="dxa"/>
                  <w:vMerge w:val="continue"/>
                  <w:noWrap w:val="0"/>
                  <w:vAlign w:val="center"/>
                </w:tcPr>
                <w:p w14:paraId="03B468AF">
                  <w:pPr>
                    <w:spacing w:line="240" w:lineRule="auto"/>
                    <w:ind w:firstLine="0" w:firstLineChars="0"/>
                    <w:jc w:val="center"/>
                    <w:rPr>
                      <w:color w:val="auto"/>
                      <w:sz w:val="21"/>
                      <w:szCs w:val="21"/>
                    </w:rPr>
                  </w:pPr>
                </w:p>
              </w:tc>
              <w:tc>
                <w:tcPr>
                  <w:tcW w:w="694" w:type="dxa"/>
                  <w:shd w:val="clear" w:color="auto" w:fill="auto"/>
                  <w:noWrap w:val="0"/>
                  <w:vAlign w:val="center"/>
                </w:tcPr>
                <w:p w14:paraId="037B205E">
                  <w:pPr>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T</w:t>
                  </w:r>
                </w:p>
              </w:tc>
              <w:tc>
                <w:tcPr>
                  <w:tcW w:w="1157" w:type="dxa"/>
                  <w:shd w:val="clear" w:color="auto" w:fill="auto"/>
                  <w:noWrap w:val="0"/>
                  <w:vAlign w:val="center"/>
                </w:tcPr>
                <w:p w14:paraId="6116C43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HW49</w:t>
                  </w:r>
                </w:p>
              </w:tc>
              <w:tc>
                <w:tcPr>
                  <w:tcW w:w="1336" w:type="dxa"/>
                  <w:shd w:val="clear" w:color="auto" w:fill="auto"/>
                  <w:noWrap w:val="0"/>
                  <w:vAlign w:val="center"/>
                </w:tcPr>
                <w:p w14:paraId="3656373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900-0</w:t>
                  </w:r>
                  <w:r>
                    <w:rPr>
                      <w:rFonts w:hint="eastAsia" w:ascii="Times New Roman" w:hAnsi="Times New Roman" w:eastAsia="宋体" w:cs="Times New Roman"/>
                      <w:color w:val="auto"/>
                      <w:sz w:val="21"/>
                      <w:szCs w:val="21"/>
                      <w:lang w:val="en-US" w:eastAsia="zh-CN"/>
                    </w:rPr>
                    <w:t>39</w:t>
                  </w:r>
                  <w:r>
                    <w:rPr>
                      <w:rFonts w:hint="default" w:ascii="Times New Roman" w:hAnsi="Times New Roman" w:eastAsia="宋体" w:cs="Times New Roman"/>
                      <w:color w:val="auto"/>
                      <w:sz w:val="21"/>
                      <w:szCs w:val="21"/>
                      <w:lang w:val="en-US" w:eastAsia="zh-CN"/>
                    </w:rPr>
                    <w:t>-49</w:t>
                  </w:r>
                </w:p>
              </w:tc>
              <w:tc>
                <w:tcPr>
                  <w:tcW w:w="980" w:type="dxa"/>
                  <w:shd w:val="clear" w:color="auto" w:fill="auto"/>
                  <w:noWrap w:val="0"/>
                  <w:vAlign w:val="center"/>
                </w:tcPr>
                <w:p w14:paraId="6797F82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highlight w:val="none"/>
                      <w:lang w:val="en-US" w:eastAsia="zh-CN"/>
                    </w:rPr>
                    <w:t>1.9</w:t>
                  </w:r>
                </w:p>
              </w:tc>
              <w:tc>
                <w:tcPr>
                  <w:tcW w:w="514" w:type="dxa"/>
                  <w:vMerge w:val="continue"/>
                  <w:noWrap w:val="0"/>
                  <w:vAlign w:val="center"/>
                </w:tcPr>
                <w:p w14:paraId="6EBF872C">
                  <w:pPr>
                    <w:spacing w:line="240" w:lineRule="auto"/>
                    <w:ind w:firstLine="0" w:firstLineChars="0"/>
                    <w:jc w:val="center"/>
                    <w:rPr>
                      <w:color w:val="auto"/>
                      <w:sz w:val="21"/>
                      <w:szCs w:val="21"/>
                    </w:rPr>
                  </w:pPr>
                </w:p>
              </w:tc>
            </w:tr>
            <w:tr w14:paraId="3FE72E8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6661DECD">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lang w:val="en-US" w:eastAsia="zh-CN"/>
                    </w:rPr>
                    <w:t>22</w:t>
                  </w:r>
                </w:p>
              </w:tc>
              <w:tc>
                <w:tcPr>
                  <w:tcW w:w="657" w:type="dxa"/>
                  <w:noWrap w:val="0"/>
                  <w:vAlign w:val="center"/>
                </w:tcPr>
                <w:p w14:paraId="527CE10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废抹布手套</w:t>
                  </w:r>
                </w:p>
              </w:tc>
              <w:tc>
                <w:tcPr>
                  <w:tcW w:w="427" w:type="dxa"/>
                  <w:vMerge w:val="continue"/>
                  <w:noWrap w:val="0"/>
                  <w:vAlign w:val="center"/>
                </w:tcPr>
                <w:p w14:paraId="2CC711E0">
                  <w:pPr>
                    <w:spacing w:line="240" w:lineRule="auto"/>
                    <w:ind w:firstLine="0" w:firstLineChars="0"/>
                    <w:jc w:val="center"/>
                    <w:rPr>
                      <w:color w:val="auto"/>
                      <w:sz w:val="21"/>
                      <w:szCs w:val="21"/>
                    </w:rPr>
                  </w:pPr>
                </w:p>
              </w:tc>
              <w:tc>
                <w:tcPr>
                  <w:tcW w:w="871" w:type="dxa"/>
                  <w:noWrap w:val="0"/>
                  <w:vAlign w:val="center"/>
                </w:tcPr>
                <w:p w14:paraId="2F7D4B7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设备维护</w:t>
                  </w:r>
                </w:p>
              </w:tc>
              <w:tc>
                <w:tcPr>
                  <w:tcW w:w="841" w:type="dxa"/>
                  <w:noWrap w:val="0"/>
                  <w:vAlign w:val="center"/>
                </w:tcPr>
                <w:p w14:paraId="4BA7E31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823" w:type="dxa"/>
                  <w:noWrap w:val="0"/>
                  <w:vAlign w:val="center"/>
                </w:tcPr>
                <w:p w14:paraId="24B7AC6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棉、矿物油</w:t>
                  </w:r>
                </w:p>
              </w:tc>
              <w:tc>
                <w:tcPr>
                  <w:tcW w:w="846" w:type="dxa"/>
                  <w:vMerge w:val="continue"/>
                  <w:noWrap w:val="0"/>
                  <w:vAlign w:val="center"/>
                </w:tcPr>
                <w:p w14:paraId="64B84EA4">
                  <w:pPr>
                    <w:spacing w:line="240" w:lineRule="auto"/>
                    <w:ind w:firstLine="0" w:firstLineChars="0"/>
                    <w:jc w:val="center"/>
                    <w:rPr>
                      <w:color w:val="auto"/>
                      <w:sz w:val="21"/>
                      <w:szCs w:val="21"/>
                    </w:rPr>
                  </w:pPr>
                </w:p>
              </w:tc>
              <w:tc>
                <w:tcPr>
                  <w:tcW w:w="694" w:type="dxa"/>
                  <w:noWrap w:val="0"/>
                  <w:vAlign w:val="center"/>
                </w:tcPr>
                <w:p w14:paraId="3C1DB593">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T</w:t>
                  </w:r>
                  <w:r>
                    <w:rPr>
                      <w:rFonts w:hint="eastAsia"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I</w:t>
                  </w:r>
                </w:p>
              </w:tc>
              <w:tc>
                <w:tcPr>
                  <w:tcW w:w="1157" w:type="dxa"/>
                  <w:noWrap w:val="0"/>
                  <w:vAlign w:val="center"/>
                </w:tcPr>
                <w:p w14:paraId="6044F83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w:t>
                  </w:r>
                  <w:r>
                    <w:rPr>
                      <w:rFonts w:hint="eastAsia" w:cs="Times New Roman"/>
                      <w:color w:val="auto"/>
                      <w:sz w:val="21"/>
                      <w:szCs w:val="21"/>
                      <w:lang w:val="en-US" w:eastAsia="zh-CN"/>
                    </w:rPr>
                    <w:t>08</w:t>
                  </w:r>
                </w:p>
              </w:tc>
              <w:tc>
                <w:tcPr>
                  <w:tcW w:w="1336" w:type="dxa"/>
                  <w:noWrap w:val="0"/>
                  <w:vAlign w:val="center"/>
                </w:tcPr>
                <w:p w14:paraId="2BA7ECF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900-249-08</w:t>
                  </w:r>
                </w:p>
              </w:tc>
              <w:tc>
                <w:tcPr>
                  <w:tcW w:w="980" w:type="dxa"/>
                  <w:shd w:val="clear" w:color="auto" w:fill="auto"/>
                  <w:noWrap w:val="0"/>
                  <w:vAlign w:val="center"/>
                </w:tcPr>
                <w:p w14:paraId="245ADA2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0.1</w:t>
                  </w:r>
                </w:p>
              </w:tc>
              <w:tc>
                <w:tcPr>
                  <w:tcW w:w="514" w:type="dxa"/>
                  <w:vMerge w:val="continue"/>
                  <w:noWrap w:val="0"/>
                  <w:vAlign w:val="center"/>
                </w:tcPr>
                <w:p w14:paraId="653A9436">
                  <w:pPr>
                    <w:spacing w:line="240" w:lineRule="auto"/>
                    <w:ind w:firstLine="0" w:firstLineChars="0"/>
                    <w:jc w:val="center"/>
                    <w:rPr>
                      <w:color w:val="auto"/>
                      <w:sz w:val="21"/>
                      <w:szCs w:val="21"/>
                    </w:rPr>
                  </w:pPr>
                </w:p>
              </w:tc>
            </w:tr>
            <w:tr w14:paraId="61FD78A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7" w:type="dxa"/>
                  <w:noWrap w:val="0"/>
                  <w:vAlign w:val="center"/>
                </w:tcPr>
                <w:p w14:paraId="7BC811DF">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eastAsia="宋体"/>
                      <w:color w:val="auto"/>
                      <w:kern w:val="2"/>
                      <w:sz w:val="21"/>
                      <w:szCs w:val="21"/>
                      <w:lang w:val="en-US" w:eastAsia="zh-CN" w:bidi="ar-SA"/>
                    </w:rPr>
                  </w:pPr>
                  <w:r>
                    <w:rPr>
                      <w:rFonts w:hint="eastAsia" w:cs="Times New Roman"/>
                      <w:color w:val="auto"/>
                      <w:sz w:val="21"/>
                      <w:szCs w:val="21"/>
                      <w:lang w:val="en-US" w:eastAsia="zh-CN"/>
                    </w:rPr>
                    <w:t>23</w:t>
                  </w:r>
                </w:p>
              </w:tc>
              <w:tc>
                <w:tcPr>
                  <w:tcW w:w="657" w:type="dxa"/>
                  <w:noWrap w:val="0"/>
                  <w:vAlign w:val="center"/>
                </w:tcPr>
                <w:p w14:paraId="098FC3D1">
                  <w:pPr>
                    <w:spacing w:line="240" w:lineRule="auto"/>
                    <w:ind w:firstLine="0" w:firstLineChars="0"/>
                    <w:jc w:val="center"/>
                    <w:rPr>
                      <w:rFonts w:hint="default"/>
                      <w:color w:val="auto"/>
                      <w:kern w:val="2"/>
                      <w:sz w:val="21"/>
                      <w:szCs w:val="21"/>
                      <w:lang w:val="en-US" w:eastAsia="zh-CN" w:bidi="ar-SA"/>
                    </w:rPr>
                  </w:pPr>
                  <w:r>
                    <w:rPr>
                      <w:color w:val="auto"/>
                      <w:sz w:val="21"/>
                      <w:szCs w:val="21"/>
                    </w:rPr>
                    <w:t>生活垃圾</w:t>
                  </w:r>
                </w:p>
              </w:tc>
              <w:tc>
                <w:tcPr>
                  <w:tcW w:w="427" w:type="dxa"/>
                  <w:noWrap w:val="0"/>
                  <w:vAlign w:val="center"/>
                </w:tcPr>
                <w:p w14:paraId="4DB9594E">
                  <w:pPr>
                    <w:spacing w:line="240" w:lineRule="auto"/>
                    <w:ind w:firstLine="0" w:firstLineChars="0"/>
                    <w:jc w:val="center"/>
                    <w:rPr>
                      <w:rFonts w:hint="default" w:eastAsia="宋体"/>
                      <w:color w:val="auto"/>
                      <w:sz w:val="21"/>
                      <w:szCs w:val="21"/>
                      <w:lang w:val="en-US" w:eastAsia="zh-CN"/>
                    </w:rPr>
                  </w:pPr>
                  <w:r>
                    <w:rPr>
                      <w:color w:val="auto"/>
                      <w:sz w:val="21"/>
                      <w:szCs w:val="21"/>
                    </w:rPr>
                    <w:t>生活垃圾</w:t>
                  </w:r>
                </w:p>
              </w:tc>
              <w:tc>
                <w:tcPr>
                  <w:tcW w:w="871" w:type="dxa"/>
                  <w:noWrap w:val="0"/>
                  <w:vAlign w:val="center"/>
                </w:tcPr>
                <w:p w14:paraId="2562487A">
                  <w:pPr>
                    <w:spacing w:line="240" w:lineRule="auto"/>
                    <w:ind w:firstLine="0" w:firstLineChars="0"/>
                    <w:jc w:val="center"/>
                    <w:rPr>
                      <w:color w:val="auto"/>
                      <w:kern w:val="2"/>
                      <w:sz w:val="21"/>
                      <w:szCs w:val="21"/>
                      <w:lang w:val="en-US" w:eastAsia="zh-CN" w:bidi="ar-SA"/>
                    </w:rPr>
                  </w:pPr>
                  <w:r>
                    <w:rPr>
                      <w:color w:val="auto"/>
                      <w:sz w:val="21"/>
                      <w:szCs w:val="21"/>
                    </w:rPr>
                    <w:t>职工生活</w:t>
                  </w:r>
                </w:p>
              </w:tc>
              <w:tc>
                <w:tcPr>
                  <w:tcW w:w="841" w:type="dxa"/>
                  <w:noWrap w:val="0"/>
                  <w:vAlign w:val="center"/>
                </w:tcPr>
                <w:p w14:paraId="3AD9B91D">
                  <w:pPr>
                    <w:spacing w:line="240" w:lineRule="auto"/>
                    <w:ind w:firstLine="0" w:firstLineChars="0"/>
                    <w:jc w:val="center"/>
                    <w:rPr>
                      <w:rFonts w:hint="eastAsia" w:eastAsia="宋体"/>
                      <w:color w:val="auto"/>
                      <w:kern w:val="2"/>
                      <w:sz w:val="21"/>
                      <w:szCs w:val="21"/>
                      <w:lang w:val="en-US" w:eastAsia="zh-CN" w:bidi="ar-SA"/>
                    </w:rPr>
                  </w:pPr>
                  <w:r>
                    <w:rPr>
                      <w:color w:val="auto"/>
                      <w:sz w:val="21"/>
                      <w:szCs w:val="21"/>
                    </w:rPr>
                    <w:t>固</w:t>
                  </w:r>
                  <w:r>
                    <w:rPr>
                      <w:rFonts w:hint="eastAsia"/>
                      <w:color w:val="auto"/>
                      <w:sz w:val="21"/>
                      <w:szCs w:val="21"/>
                      <w:lang w:val="en-US" w:eastAsia="zh-CN"/>
                    </w:rPr>
                    <w:t>态</w:t>
                  </w:r>
                </w:p>
              </w:tc>
              <w:tc>
                <w:tcPr>
                  <w:tcW w:w="823" w:type="dxa"/>
                  <w:noWrap w:val="0"/>
                  <w:vAlign w:val="center"/>
                </w:tcPr>
                <w:p w14:paraId="401DFA63">
                  <w:pPr>
                    <w:spacing w:line="240" w:lineRule="auto"/>
                    <w:ind w:firstLine="0" w:firstLineChars="0"/>
                    <w:jc w:val="center"/>
                    <w:rPr>
                      <w:color w:val="auto"/>
                      <w:kern w:val="2"/>
                      <w:sz w:val="21"/>
                      <w:szCs w:val="21"/>
                      <w:lang w:val="en-US" w:eastAsia="zh-CN" w:bidi="ar-SA"/>
                    </w:rPr>
                  </w:pPr>
                  <w:r>
                    <w:rPr>
                      <w:color w:val="auto"/>
                      <w:sz w:val="21"/>
                      <w:szCs w:val="21"/>
                    </w:rPr>
                    <w:t>废纸、废塑料袋等</w:t>
                  </w:r>
                </w:p>
              </w:tc>
              <w:tc>
                <w:tcPr>
                  <w:tcW w:w="846" w:type="dxa"/>
                  <w:noWrap w:val="0"/>
                  <w:vAlign w:val="center"/>
                </w:tcPr>
                <w:p w14:paraId="7F10CD27">
                  <w:pPr>
                    <w:spacing w:line="240" w:lineRule="auto"/>
                    <w:ind w:firstLine="0" w:firstLineChars="0"/>
                    <w:jc w:val="center"/>
                    <w:rPr>
                      <w:color w:val="auto"/>
                      <w:kern w:val="2"/>
                      <w:sz w:val="21"/>
                      <w:szCs w:val="21"/>
                      <w:lang w:val="en-US" w:eastAsia="zh-CN" w:bidi="ar-SA"/>
                    </w:rPr>
                  </w:pPr>
                  <w:r>
                    <w:rPr>
                      <w:rFonts w:hint="eastAsia"/>
                      <w:color w:val="auto"/>
                      <w:sz w:val="21"/>
                      <w:szCs w:val="21"/>
                      <w:lang w:eastAsia="zh-CN"/>
                    </w:rPr>
                    <w:t>《固体废物分类与代码目录》</w:t>
                  </w:r>
                </w:p>
              </w:tc>
              <w:tc>
                <w:tcPr>
                  <w:tcW w:w="694" w:type="dxa"/>
                  <w:noWrap w:val="0"/>
                  <w:vAlign w:val="center"/>
                </w:tcPr>
                <w:p w14:paraId="096803F9">
                  <w:pPr>
                    <w:spacing w:line="240" w:lineRule="auto"/>
                    <w:ind w:firstLine="0" w:firstLineChars="0"/>
                    <w:jc w:val="center"/>
                    <w:rPr>
                      <w:color w:val="auto"/>
                      <w:kern w:val="2"/>
                      <w:sz w:val="21"/>
                      <w:szCs w:val="21"/>
                      <w:lang w:val="en-US" w:eastAsia="zh-CN" w:bidi="ar-SA"/>
                    </w:rPr>
                  </w:pPr>
                  <w:r>
                    <w:rPr>
                      <w:color w:val="auto"/>
                      <w:sz w:val="21"/>
                      <w:szCs w:val="21"/>
                    </w:rPr>
                    <w:t>/</w:t>
                  </w:r>
                </w:p>
              </w:tc>
              <w:tc>
                <w:tcPr>
                  <w:tcW w:w="1157" w:type="dxa"/>
                  <w:noWrap w:val="0"/>
                  <w:vAlign w:val="center"/>
                </w:tcPr>
                <w:p w14:paraId="6A53835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SW6</w:t>
                  </w:r>
                  <w:r>
                    <w:rPr>
                      <w:rFonts w:hint="eastAsia" w:ascii="Times New Roman" w:hAnsi="Times New Roman" w:eastAsia="宋体" w:cs="Times New Roman"/>
                      <w:color w:val="auto"/>
                      <w:sz w:val="21"/>
                      <w:szCs w:val="21"/>
                      <w:lang w:val="en-US" w:eastAsia="zh-CN"/>
                    </w:rPr>
                    <w:t>4</w:t>
                  </w:r>
                </w:p>
              </w:tc>
              <w:tc>
                <w:tcPr>
                  <w:tcW w:w="1336" w:type="dxa"/>
                  <w:noWrap w:val="0"/>
                  <w:vAlign w:val="center"/>
                </w:tcPr>
                <w:p w14:paraId="466B9C8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900</w:t>
                  </w: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99</w:t>
                  </w:r>
                  <w:r>
                    <w:rPr>
                      <w:rFonts w:hint="default" w:ascii="Times New Roman" w:hAnsi="Times New Roman" w:eastAsia="宋体" w:cs="Times New Roman"/>
                      <w:color w:val="auto"/>
                      <w:sz w:val="21"/>
                      <w:szCs w:val="21"/>
                      <w:lang w:val="en-US" w:eastAsia="zh-CN"/>
                    </w:rPr>
                    <w:t>-S64</w:t>
                  </w:r>
                </w:p>
              </w:tc>
              <w:tc>
                <w:tcPr>
                  <w:tcW w:w="980" w:type="dxa"/>
                  <w:noWrap w:val="0"/>
                  <w:vAlign w:val="center"/>
                </w:tcPr>
                <w:p w14:paraId="260F7B0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auto"/>
                      <w:kern w:val="2"/>
                      <w:sz w:val="21"/>
                      <w:szCs w:val="21"/>
                      <w:lang w:val="en-US" w:eastAsia="zh-CN" w:bidi="ar-SA"/>
                    </w:rPr>
                  </w:pPr>
                  <w:r>
                    <w:rPr>
                      <w:rFonts w:hint="eastAsia" w:cs="Times New Roman"/>
                      <w:color w:val="auto"/>
                      <w:sz w:val="21"/>
                      <w:szCs w:val="21"/>
                      <w:lang w:val="en-US" w:eastAsia="zh-CN"/>
                    </w:rPr>
                    <w:t>7.5</w:t>
                  </w:r>
                </w:p>
              </w:tc>
              <w:tc>
                <w:tcPr>
                  <w:tcW w:w="514" w:type="dxa"/>
                  <w:noWrap w:val="0"/>
                  <w:vAlign w:val="center"/>
                </w:tcPr>
                <w:p w14:paraId="34A0905B">
                  <w:pPr>
                    <w:spacing w:line="240" w:lineRule="auto"/>
                    <w:ind w:firstLine="0" w:firstLineChars="0"/>
                    <w:jc w:val="center"/>
                    <w:rPr>
                      <w:rFonts w:hint="default"/>
                      <w:color w:val="auto"/>
                      <w:kern w:val="2"/>
                      <w:sz w:val="21"/>
                      <w:szCs w:val="21"/>
                      <w:lang w:val="en-US" w:eastAsia="zh-CN" w:bidi="ar-SA"/>
                    </w:rPr>
                  </w:pPr>
                  <w:r>
                    <w:rPr>
                      <w:rFonts w:hint="eastAsia"/>
                      <w:color w:val="auto"/>
                      <w:kern w:val="2"/>
                      <w:sz w:val="21"/>
                      <w:szCs w:val="21"/>
                      <w:lang w:val="en-US" w:eastAsia="zh-CN" w:bidi="ar-SA"/>
                    </w:rPr>
                    <w:t>环卫清运</w:t>
                  </w:r>
                </w:p>
              </w:tc>
            </w:tr>
          </w:tbl>
          <w:p w14:paraId="3D615F07">
            <w:pPr>
              <w:widowControl/>
              <w:ind w:firstLine="420"/>
              <w:rPr>
                <w:color w:val="auto"/>
                <w:sz w:val="24"/>
                <w:szCs w:val="24"/>
              </w:rPr>
            </w:pPr>
            <w:r>
              <w:rPr>
                <w:color w:val="auto"/>
                <w:sz w:val="24"/>
                <w:szCs w:val="24"/>
              </w:rPr>
              <w:t>根据《建设项目危险废物环境影响评价指南》，项目危险废物的名称、数量、类别、形态、危险特性和污染防治措施等内容，详见下表。</w:t>
            </w:r>
          </w:p>
          <w:p w14:paraId="54F6DEBB">
            <w:pPr>
              <w:snapToGrid w:val="0"/>
              <w:spacing w:line="240" w:lineRule="auto"/>
              <w:ind w:firstLine="361"/>
              <w:jc w:val="center"/>
              <w:rPr>
                <w:b/>
                <w:color w:val="auto"/>
                <w:sz w:val="21"/>
                <w:szCs w:val="21"/>
              </w:rPr>
            </w:pPr>
            <w:r>
              <w:rPr>
                <w:b/>
                <w:color w:val="auto"/>
                <w:sz w:val="21"/>
                <w:szCs w:val="21"/>
              </w:rPr>
              <w:t>表4</w:t>
            </w:r>
            <w:r>
              <w:rPr>
                <w:rFonts w:hint="eastAsia"/>
                <w:b/>
                <w:color w:val="auto"/>
                <w:sz w:val="21"/>
                <w:szCs w:val="21"/>
                <w:lang w:val="en-US" w:eastAsia="zh-CN"/>
              </w:rPr>
              <w:t>.4</w:t>
            </w:r>
            <w:r>
              <w:rPr>
                <w:b/>
                <w:color w:val="auto"/>
                <w:sz w:val="21"/>
                <w:szCs w:val="21"/>
              </w:rPr>
              <w:t>-</w:t>
            </w:r>
            <w:r>
              <w:rPr>
                <w:rFonts w:hint="eastAsia"/>
                <w:b/>
                <w:color w:val="auto"/>
                <w:sz w:val="21"/>
                <w:szCs w:val="21"/>
                <w:lang w:val="en-US" w:eastAsia="zh-CN"/>
              </w:rPr>
              <w:t>3</w:t>
            </w:r>
            <w:r>
              <w:rPr>
                <w:b/>
                <w:color w:val="auto"/>
                <w:sz w:val="21"/>
                <w:szCs w:val="21"/>
              </w:rPr>
              <w:t xml:space="preserve">  危险废物指南表</w:t>
            </w:r>
          </w:p>
          <w:tbl>
            <w:tblPr>
              <w:tblStyle w:val="17"/>
              <w:tblW w:w="491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757"/>
              <w:gridCol w:w="1090"/>
              <w:gridCol w:w="1483"/>
              <w:gridCol w:w="909"/>
              <w:gridCol w:w="762"/>
              <w:gridCol w:w="427"/>
              <w:gridCol w:w="956"/>
              <w:gridCol w:w="772"/>
              <w:gridCol w:w="602"/>
              <w:gridCol w:w="579"/>
              <w:gridCol w:w="637"/>
            </w:tblGrid>
            <w:tr w14:paraId="7886E4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227" w:type="pct"/>
                  <w:noWrap w:val="0"/>
                  <w:vAlign w:val="center"/>
                </w:tcPr>
                <w:p w14:paraId="52D8C1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编号</w:t>
                  </w:r>
                </w:p>
              </w:tc>
              <w:tc>
                <w:tcPr>
                  <w:tcW w:w="402" w:type="pct"/>
                  <w:noWrap w:val="0"/>
                  <w:vAlign w:val="center"/>
                </w:tcPr>
                <w:p w14:paraId="7C773A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危险废物名称</w:t>
                  </w:r>
                </w:p>
              </w:tc>
              <w:tc>
                <w:tcPr>
                  <w:tcW w:w="579" w:type="pct"/>
                  <w:noWrap w:val="0"/>
                  <w:vAlign w:val="center"/>
                </w:tcPr>
                <w:p w14:paraId="25CF69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危险废物类别</w:t>
                  </w:r>
                </w:p>
              </w:tc>
              <w:tc>
                <w:tcPr>
                  <w:tcW w:w="788" w:type="pct"/>
                  <w:noWrap w:val="0"/>
                  <w:vAlign w:val="center"/>
                </w:tcPr>
                <w:p w14:paraId="4DD071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危险废物代码</w:t>
                  </w:r>
                </w:p>
              </w:tc>
              <w:tc>
                <w:tcPr>
                  <w:tcW w:w="483" w:type="pct"/>
                  <w:noWrap w:val="0"/>
                  <w:vAlign w:val="center"/>
                </w:tcPr>
                <w:p w14:paraId="59040F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产生量t/a</w:t>
                  </w:r>
                </w:p>
              </w:tc>
              <w:tc>
                <w:tcPr>
                  <w:tcW w:w="405" w:type="pct"/>
                  <w:noWrap w:val="0"/>
                  <w:vAlign w:val="center"/>
                </w:tcPr>
                <w:p w14:paraId="368260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产生工序及装置</w:t>
                  </w:r>
                </w:p>
              </w:tc>
              <w:tc>
                <w:tcPr>
                  <w:tcW w:w="227" w:type="pct"/>
                  <w:noWrap w:val="0"/>
                  <w:vAlign w:val="center"/>
                </w:tcPr>
                <w:p w14:paraId="55125D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形态</w:t>
                  </w:r>
                </w:p>
              </w:tc>
              <w:tc>
                <w:tcPr>
                  <w:tcW w:w="508" w:type="pct"/>
                  <w:noWrap w:val="0"/>
                  <w:vAlign w:val="center"/>
                </w:tcPr>
                <w:p w14:paraId="15C2E3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主要成分</w:t>
                  </w:r>
                </w:p>
              </w:tc>
              <w:tc>
                <w:tcPr>
                  <w:tcW w:w="410" w:type="pct"/>
                  <w:noWrap w:val="0"/>
                  <w:vAlign w:val="center"/>
                </w:tcPr>
                <w:p w14:paraId="210CFB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有害成分</w:t>
                  </w:r>
                </w:p>
              </w:tc>
              <w:tc>
                <w:tcPr>
                  <w:tcW w:w="320" w:type="pct"/>
                  <w:noWrap w:val="0"/>
                  <w:vAlign w:val="center"/>
                </w:tcPr>
                <w:p w14:paraId="39B1DA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产废周期</w:t>
                  </w:r>
                </w:p>
              </w:tc>
              <w:tc>
                <w:tcPr>
                  <w:tcW w:w="307" w:type="pct"/>
                  <w:noWrap w:val="0"/>
                  <w:vAlign w:val="center"/>
                </w:tcPr>
                <w:p w14:paraId="72D9F6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危险</w:t>
                  </w:r>
                </w:p>
                <w:p w14:paraId="40CD9E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特性</w:t>
                  </w:r>
                </w:p>
              </w:tc>
              <w:tc>
                <w:tcPr>
                  <w:tcW w:w="338" w:type="pct"/>
                  <w:noWrap w:val="0"/>
                  <w:vAlign w:val="center"/>
                </w:tcPr>
                <w:p w14:paraId="485289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污染防治措施</w:t>
                  </w:r>
                </w:p>
              </w:tc>
            </w:tr>
            <w:tr w14:paraId="24A3D8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7" w:type="pct"/>
                  <w:noWrap w:val="0"/>
                  <w:vAlign w:val="center"/>
                </w:tcPr>
                <w:p w14:paraId="490EE7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402" w:type="pct"/>
                  <w:shd w:val="clear" w:color="auto" w:fill="auto"/>
                  <w:noWrap w:val="0"/>
                  <w:vAlign w:val="center"/>
                </w:tcPr>
                <w:p w14:paraId="2AEBD0D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cs="Times New Roman"/>
                      <w:b w:val="0"/>
                      <w:bCs/>
                      <w:color w:val="auto"/>
                      <w:sz w:val="21"/>
                      <w:szCs w:val="21"/>
                      <w:highlight w:val="none"/>
                      <w:lang w:val="en-US" w:eastAsia="zh-CN"/>
                    </w:rPr>
                    <w:t>废墨盒</w:t>
                  </w:r>
                </w:p>
              </w:tc>
              <w:tc>
                <w:tcPr>
                  <w:tcW w:w="579" w:type="pct"/>
                  <w:shd w:val="clear" w:color="auto" w:fill="auto"/>
                  <w:noWrap w:val="0"/>
                  <w:vAlign w:val="center"/>
                </w:tcPr>
                <w:p w14:paraId="7DE4CBD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HW49</w:t>
                  </w:r>
                </w:p>
              </w:tc>
              <w:tc>
                <w:tcPr>
                  <w:tcW w:w="788" w:type="pct"/>
                  <w:shd w:val="clear" w:color="auto" w:fill="auto"/>
                  <w:noWrap w:val="0"/>
                  <w:vAlign w:val="center"/>
                </w:tcPr>
                <w:p w14:paraId="19C9E9A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900-041-49</w:t>
                  </w:r>
                </w:p>
              </w:tc>
              <w:tc>
                <w:tcPr>
                  <w:tcW w:w="483" w:type="pct"/>
                  <w:shd w:val="clear" w:color="auto" w:fill="auto"/>
                  <w:noWrap w:val="0"/>
                  <w:vAlign w:val="center"/>
                </w:tcPr>
                <w:p w14:paraId="2D29BAB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0.04</w:t>
                  </w:r>
                </w:p>
              </w:tc>
              <w:tc>
                <w:tcPr>
                  <w:tcW w:w="405" w:type="pct"/>
                  <w:shd w:val="clear" w:color="auto" w:fill="auto"/>
                  <w:noWrap w:val="0"/>
                  <w:vAlign w:val="center"/>
                </w:tcPr>
                <w:p w14:paraId="3B4A664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UV打印</w:t>
                  </w:r>
                </w:p>
              </w:tc>
              <w:tc>
                <w:tcPr>
                  <w:tcW w:w="227" w:type="pct"/>
                  <w:shd w:val="clear" w:color="auto" w:fill="auto"/>
                  <w:noWrap w:val="0"/>
                  <w:vAlign w:val="center"/>
                </w:tcPr>
                <w:p w14:paraId="3C201C9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508" w:type="pct"/>
                  <w:shd w:val="clear" w:color="auto" w:fill="auto"/>
                  <w:noWrap w:val="0"/>
                  <w:vAlign w:val="center"/>
                </w:tcPr>
                <w:p w14:paraId="27823AA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塑料、油墨</w:t>
                  </w:r>
                </w:p>
              </w:tc>
              <w:tc>
                <w:tcPr>
                  <w:tcW w:w="410" w:type="pct"/>
                  <w:shd w:val="clear" w:color="auto" w:fill="auto"/>
                  <w:noWrap w:val="0"/>
                  <w:vAlign w:val="center"/>
                </w:tcPr>
                <w:p w14:paraId="4201597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油墨</w:t>
                  </w:r>
                </w:p>
              </w:tc>
              <w:tc>
                <w:tcPr>
                  <w:tcW w:w="320" w:type="pct"/>
                  <w:noWrap w:val="0"/>
                  <w:vAlign w:val="center"/>
                </w:tcPr>
                <w:p w14:paraId="7155CBF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每月</w:t>
                  </w:r>
                </w:p>
              </w:tc>
              <w:tc>
                <w:tcPr>
                  <w:tcW w:w="307" w:type="pct"/>
                  <w:shd w:val="clear" w:color="auto" w:fill="auto"/>
                  <w:noWrap w:val="0"/>
                  <w:vAlign w:val="center"/>
                </w:tcPr>
                <w:p w14:paraId="6A5FC848">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highlight w:val="none"/>
                    </w:rPr>
                    <w:t>T/In</w:t>
                  </w:r>
                </w:p>
              </w:tc>
              <w:tc>
                <w:tcPr>
                  <w:tcW w:w="338" w:type="pct"/>
                  <w:vMerge w:val="restart"/>
                  <w:noWrap w:val="0"/>
                  <w:vAlign w:val="center"/>
                </w:tcPr>
                <w:p w14:paraId="5BB77F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密闭包装、危废仓库暂存、委托有资质单位处置</w:t>
                  </w:r>
                </w:p>
              </w:tc>
            </w:tr>
            <w:tr w14:paraId="1EE749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7" w:type="pct"/>
                  <w:noWrap w:val="0"/>
                  <w:vAlign w:val="center"/>
                </w:tcPr>
                <w:p w14:paraId="0EB549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402" w:type="pct"/>
                  <w:shd w:val="clear" w:color="auto" w:fill="auto"/>
                  <w:noWrap w:val="0"/>
                  <w:vAlign w:val="center"/>
                </w:tcPr>
                <w:p w14:paraId="43A12D9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cs="Times New Roman"/>
                      <w:b w:val="0"/>
                      <w:bCs/>
                      <w:color w:val="auto"/>
                      <w:sz w:val="21"/>
                      <w:szCs w:val="21"/>
                      <w:highlight w:val="none"/>
                      <w:lang w:val="en-US" w:eastAsia="zh-CN"/>
                    </w:rPr>
                    <w:t>清洗废液</w:t>
                  </w:r>
                </w:p>
              </w:tc>
              <w:tc>
                <w:tcPr>
                  <w:tcW w:w="579" w:type="pct"/>
                  <w:shd w:val="clear" w:color="auto" w:fill="auto"/>
                  <w:noWrap w:val="0"/>
                  <w:vAlign w:val="center"/>
                </w:tcPr>
                <w:p w14:paraId="6063BF6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color w:val="auto"/>
                      <w:sz w:val="21"/>
                      <w:szCs w:val="21"/>
                      <w:highlight w:val="none"/>
                      <w:lang w:val="en-US" w:eastAsia="zh-CN"/>
                    </w:rPr>
                    <w:t>HW</w:t>
                  </w:r>
                  <w:r>
                    <w:rPr>
                      <w:rFonts w:hint="eastAsia" w:cs="Times New Roman"/>
                      <w:b w:val="0"/>
                      <w:bCs/>
                      <w:color w:val="auto"/>
                      <w:sz w:val="21"/>
                      <w:szCs w:val="21"/>
                      <w:highlight w:val="none"/>
                      <w:lang w:val="en-US" w:eastAsia="zh-CN"/>
                    </w:rPr>
                    <w:t>35</w:t>
                  </w:r>
                </w:p>
              </w:tc>
              <w:tc>
                <w:tcPr>
                  <w:tcW w:w="788" w:type="pct"/>
                  <w:shd w:val="clear" w:color="auto" w:fill="auto"/>
                  <w:noWrap w:val="0"/>
                  <w:vAlign w:val="center"/>
                </w:tcPr>
                <w:p w14:paraId="2D7CF19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sz w:val="21"/>
                      <w:szCs w:val="21"/>
                      <w:highlight w:val="none"/>
                    </w:rPr>
                    <w:t>900-</w:t>
                  </w:r>
                  <w:r>
                    <w:rPr>
                      <w:rFonts w:hint="eastAsia" w:cs="Times New Roman"/>
                      <w:b w:val="0"/>
                      <w:bCs/>
                      <w:color w:val="auto"/>
                      <w:sz w:val="21"/>
                      <w:szCs w:val="21"/>
                      <w:highlight w:val="none"/>
                      <w:lang w:val="en-US" w:eastAsia="zh-CN"/>
                    </w:rPr>
                    <w:t>352</w:t>
                  </w:r>
                  <w:r>
                    <w:rPr>
                      <w:rFonts w:hint="default" w:ascii="Times New Roman" w:hAnsi="Times New Roman" w:eastAsia="宋体" w:cs="Times New Roman"/>
                      <w:b w:val="0"/>
                      <w:bCs/>
                      <w:color w:val="auto"/>
                      <w:sz w:val="21"/>
                      <w:szCs w:val="21"/>
                      <w:highlight w:val="none"/>
                    </w:rPr>
                    <w:t>-</w:t>
                  </w:r>
                  <w:r>
                    <w:rPr>
                      <w:rFonts w:hint="eastAsia" w:cs="Times New Roman"/>
                      <w:b w:val="0"/>
                      <w:bCs/>
                      <w:color w:val="auto"/>
                      <w:sz w:val="21"/>
                      <w:szCs w:val="21"/>
                      <w:highlight w:val="none"/>
                      <w:lang w:val="en-US" w:eastAsia="zh-CN"/>
                    </w:rPr>
                    <w:t>35</w:t>
                  </w:r>
                </w:p>
              </w:tc>
              <w:tc>
                <w:tcPr>
                  <w:tcW w:w="483" w:type="pct"/>
                  <w:shd w:val="clear" w:color="auto" w:fill="auto"/>
                  <w:noWrap w:val="0"/>
                  <w:vAlign w:val="center"/>
                </w:tcPr>
                <w:p w14:paraId="4C4B75D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w:t>
                  </w:r>
                </w:p>
              </w:tc>
              <w:tc>
                <w:tcPr>
                  <w:tcW w:w="405" w:type="pct"/>
                  <w:shd w:val="clear" w:color="auto" w:fill="auto"/>
                  <w:noWrap w:val="0"/>
                  <w:vAlign w:val="center"/>
                </w:tcPr>
                <w:p w14:paraId="49E1D8F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清洗</w:t>
                  </w:r>
                </w:p>
              </w:tc>
              <w:tc>
                <w:tcPr>
                  <w:tcW w:w="227" w:type="pct"/>
                  <w:shd w:val="clear" w:color="auto" w:fill="auto"/>
                  <w:noWrap w:val="0"/>
                  <w:vAlign w:val="center"/>
                </w:tcPr>
                <w:p w14:paraId="2AD3C69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液态</w:t>
                  </w:r>
                </w:p>
              </w:tc>
              <w:tc>
                <w:tcPr>
                  <w:tcW w:w="508" w:type="pct"/>
                  <w:shd w:val="clear" w:color="auto" w:fill="auto"/>
                  <w:noWrap w:val="0"/>
                  <w:vAlign w:val="center"/>
                </w:tcPr>
                <w:p w14:paraId="1C74E5C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碱液</w:t>
                  </w:r>
                </w:p>
              </w:tc>
              <w:tc>
                <w:tcPr>
                  <w:tcW w:w="410" w:type="pct"/>
                  <w:shd w:val="clear" w:color="auto" w:fill="auto"/>
                  <w:noWrap w:val="0"/>
                  <w:vAlign w:val="center"/>
                </w:tcPr>
                <w:p w14:paraId="4CA90C9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碱液</w:t>
                  </w:r>
                </w:p>
              </w:tc>
              <w:tc>
                <w:tcPr>
                  <w:tcW w:w="320" w:type="pct"/>
                  <w:noWrap w:val="0"/>
                  <w:vAlign w:val="center"/>
                </w:tcPr>
                <w:p w14:paraId="31DF069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每</w:t>
                  </w:r>
                  <w:r>
                    <w:rPr>
                      <w:rFonts w:hint="eastAsia" w:cs="Times New Roman"/>
                      <w:color w:val="auto"/>
                      <w:sz w:val="21"/>
                      <w:szCs w:val="21"/>
                      <w:lang w:val="en-US" w:eastAsia="zh-CN"/>
                    </w:rPr>
                    <w:t>9天</w:t>
                  </w:r>
                </w:p>
              </w:tc>
              <w:tc>
                <w:tcPr>
                  <w:tcW w:w="307" w:type="pct"/>
                  <w:shd w:val="clear" w:color="auto" w:fill="auto"/>
                  <w:noWrap w:val="0"/>
                  <w:vAlign w:val="center"/>
                </w:tcPr>
                <w:p w14:paraId="33FD8AE3">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bCs/>
                      <w:color w:val="auto"/>
                      <w:sz w:val="21"/>
                      <w:szCs w:val="21"/>
                      <w:highlight w:val="none"/>
                      <w:lang w:val="en-US" w:eastAsia="zh-CN"/>
                    </w:rPr>
                    <w:t>C，</w:t>
                  </w:r>
                  <w:r>
                    <w:rPr>
                      <w:rFonts w:hint="default" w:ascii="Times New Roman" w:hAnsi="Times New Roman" w:eastAsia="宋体" w:cs="Times New Roman"/>
                      <w:bCs/>
                      <w:color w:val="auto"/>
                      <w:sz w:val="21"/>
                      <w:szCs w:val="21"/>
                      <w:highlight w:val="none"/>
                    </w:rPr>
                    <w:t>T</w:t>
                  </w:r>
                </w:p>
              </w:tc>
              <w:tc>
                <w:tcPr>
                  <w:tcW w:w="338" w:type="pct"/>
                  <w:vMerge w:val="continue"/>
                  <w:noWrap w:val="0"/>
                  <w:vAlign w:val="center"/>
                </w:tcPr>
                <w:p w14:paraId="54B7BA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r>
            <w:tr w14:paraId="3FC5A1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7" w:type="pct"/>
                  <w:noWrap w:val="0"/>
                  <w:vAlign w:val="center"/>
                </w:tcPr>
                <w:p w14:paraId="74AE27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402" w:type="pct"/>
                  <w:shd w:val="clear" w:color="auto" w:fill="auto"/>
                  <w:noWrap w:val="0"/>
                  <w:vAlign w:val="center"/>
                </w:tcPr>
                <w:p w14:paraId="716140B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b w:val="0"/>
                      <w:bCs/>
                      <w:color w:val="auto"/>
                      <w:sz w:val="21"/>
                      <w:szCs w:val="21"/>
                      <w:highlight w:val="none"/>
                      <w:lang w:val="en-US" w:eastAsia="zh-CN"/>
                    </w:rPr>
                    <w:t>废</w:t>
                  </w:r>
                  <w:r>
                    <w:rPr>
                      <w:rFonts w:hint="eastAsia" w:ascii="Times New Roman" w:hAnsi="Times New Roman" w:eastAsia="宋体" w:cs="Times New Roman"/>
                      <w:b w:val="0"/>
                      <w:bCs/>
                      <w:color w:val="auto"/>
                      <w:kern w:val="2"/>
                      <w:sz w:val="21"/>
                      <w:szCs w:val="21"/>
                      <w:highlight w:val="none"/>
                      <w:lang w:val="en-US" w:eastAsia="zh-CN" w:bidi="ar-SA"/>
                    </w:rPr>
                    <w:t>切削液</w:t>
                  </w:r>
                </w:p>
              </w:tc>
              <w:tc>
                <w:tcPr>
                  <w:tcW w:w="579" w:type="pct"/>
                  <w:shd w:val="clear" w:color="auto" w:fill="auto"/>
                  <w:noWrap w:val="0"/>
                  <w:vAlign w:val="center"/>
                </w:tcPr>
                <w:p w14:paraId="065EECF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HW09</w:t>
                  </w:r>
                </w:p>
              </w:tc>
              <w:tc>
                <w:tcPr>
                  <w:tcW w:w="788" w:type="pct"/>
                  <w:shd w:val="clear" w:color="auto" w:fill="auto"/>
                  <w:noWrap w:val="0"/>
                  <w:vAlign w:val="center"/>
                </w:tcPr>
                <w:p w14:paraId="6B8A526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sz w:val="21"/>
                      <w:szCs w:val="21"/>
                      <w:highlight w:val="none"/>
                    </w:rPr>
                    <w:t>900-0</w:t>
                  </w:r>
                  <w:r>
                    <w:rPr>
                      <w:rFonts w:hint="eastAsia" w:ascii="Times New Roman" w:hAnsi="Times New Roman" w:eastAsia="宋体" w:cs="Times New Roman"/>
                      <w:b w:val="0"/>
                      <w:bCs/>
                      <w:color w:val="auto"/>
                      <w:sz w:val="21"/>
                      <w:szCs w:val="21"/>
                      <w:highlight w:val="none"/>
                      <w:lang w:val="en-US" w:eastAsia="zh-CN"/>
                    </w:rPr>
                    <w:t>06</w:t>
                  </w:r>
                  <w:r>
                    <w:rPr>
                      <w:rFonts w:hint="default" w:ascii="Times New Roman" w:hAnsi="Times New Roman" w:eastAsia="宋体" w:cs="Times New Roman"/>
                      <w:b w:val="0"/>
                      <w:bCs/>
                      <w:color w:val="auto"/>
                      <w:sz w:val="21"/>
                      <w:szCs w:val="21"/>
                      <w:highlight w:val="none"/>
                    </w:rPr>
                    <w:t>-</w:t>
                  </w:r>
                  <w:r>
                    <w:rPr>
                      <w:rFonts w:hint="eastAsia" w:ascii="Times New Roman" w:hAnsi="Times New Roman" w:eastAsia="宋体" w:cs="Times New Roman"/>
                      <w:b w:val="0"/>
                      <w:bCs/>
                      <w:color w:val="auto"/>
                      <w:sz w:val="21"/>
                      <w:szCs w:val="21"/>
                      <w:highlight w:val="none"/>
                      <w:lang w:val="en-US" w:eastAsia="zh-CN"/>
                    </w:rPr>
                    <w:t>0</w:t>
                  </w:r>
                  <w:r>
                    <w:rPr>
                      <w:rFonts w:hint="default" w:ascii="Times New Roman" w:hAnsi="Times New Roman" w:eastAsia="宋体" w:cs="Times New Roman"/>
                      <w:b w:val="0"/>
                      <w:bCs/>
                      <w:color w:val="auto"/>
                      <w:sz w:val="21"/>
                      <w:szCs w:val="21"/>
                      <w:highlight w:val="none"/>
                    </w:rPr>
                    <w:t>9</w:t>
                  </w:r>
                </w:p>
              </w:tc>
              <w:tc>
                <w:tcPr>
                  <w:tcW w:w="483" w:type="pct"/>
                  <w:shd w:val="clear" w:color="auto" w:fill="auto"/>
                  <w:noWrap w:val="0"/>
                  <w:vAlign w:val="center"/>
                </w:tcPr>
                <w:p w14:paraId="5DAD6B8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0.61</w:t>
                  </w:r>
                </w:p>
              </w:tc>
              <w:tc>
                <w:tcPr>
                  <w:tcW w:w="405" w:type="pct"/>
                  <w:shd w:val="clear" w:color="auto" w:fill="auto"/>
                  <w:noWrap w:val="0"/>
                  <w:vAlign w:val="center"/>
                </w:tcPr>
                <w:p w14:paraId="13E8D87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铣削</w:t>
                  </w:r>
                </w:p>
              </w:tc>
              <w:tc>
                <w:tcPr>
                  <w:tcW w:w="227" w:type="pct"/>
                  <w:shd w:val="clear" w:color="auto" w:fill="auto"/>
                  <w:noWrap w:val="0"/>
                  <w:vAlign w:val="center"/>
                </w:tcPr>
                <w:p w14:paraId="3490E07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液态</w:t>
                  </w:r>
                </w:p>
              </w:tc>
              <w:tc>
                <w:tcPr>
                  <w:tcW w:w="508" w:type="pct"/>
                  <w:shd w:val="clear" w:color="auto" w:fill="auto"/>
                  <w:noWrap w:val="0"/>
                  <w:vAlign w:val="center"/>
                </w:tcPr>
                <w:p w14:paraId="132AC59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矿物</w:t>
                  </w:r>
                  <w:r>
                    <w:rPr>
                      <w:rFonts w:hint="eastAsia" w:ascii="Times New Roman" w:hAnsi="Times New Roman" w:eastAsia="宋体" w:cs="Times New Roman"/>
                      <w:color w:val="auto"/>
                      <w:sz w:val="21"/>
                      <w:szCs w:val="21"/>
                      <w:lang w:val="en-US" w:eastAsia="zh-CN"/>
                    </w:rPr>
                    <w:t>油</w:t>
                  </w:r>
                </w:p>
              </w:tc>
              <w:tc>
                <w:tcPr>
                  <w:tcW w:w="410" w:type="pct"/>
                  <w:shd w:val="clear" w:color="auto" w:fill="auto"/>
                  <w:noWrap w:val="0"/>
                  <w:vAlign w:val="center"/>
                </w:tcPr>
                <w:p w14:paraId="22EABB7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矿物</w:t>
                  </w:r>
                  <w:r>
                    <w:rPr>
                      <w:rFonts w:hint="eastAsia" w:ascii="Times New Roman" w:hAnsi="Times New Roman" w:eastAsia="宋体" w:cs="Times New Roman"/>
                      <w:color w:val="auto"/>
                      <w:sz w:val="21"/>
                      <w:szCs w:val="21"/>
                      <w:lang w:val="en-US" w:eastAsia="zh-CN"/>
                    </w:rPr>
                    <w:t>油</w:t>
                  </w:r>
                </w:p>
              </w:tc>
              <w:tc>
                <w:tcPr>
                  <w:tcW w:w="320" w:type="pct"/>
                  <w:noWrap w:val="0"/>
                  <w:vAlign w:val="center"/>
                </w:tcPr>
                <w:p w14:paraId="5891A77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每月</w:t>
                  </w:r>
                </w:p>
              </w:tc>
              <w:tc>
                <w:tcPr>
                  <w:tcW w:w="307" w:type="pct"/>
                  <w:shd w:val="clear" w:color="auto" w:fill="auto"/>
                  <w:noWrap w:val="0"/>
                  <w:vAlign w:val="center"/>
                </w:tcPr>
                <w:p w14:paraId="05D0A563">
                  <w:pPr>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T</w:t>
                  </w:r>
                </w:p>
              </w:tc>
              <w:tc>
                <w:tcPr>
                  <w:tcW w:w="338" w:type="pct"/>
                  <w:vMerge w:val="continue"/>
                  <w:noWrap w:val="0"/>
                  <w:vAlign w:val="center"/>
                </w:tcPr>
                <w:p w14:paraId="62C45F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r>
            <w:tr w14:paraId="2AD60A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7" w:type="pct"/>
                  <w:noWrap w:val="0"/>
                  <w:vAlign w:val="center"/>
                </w:tcPr>
                <w:p w14:paraId="47C4EF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4</w:t>
                  </w:r>
                </w:p>
              </w:tc>
              <w:tc>
                <w:tcPr>
                  <w:tcW w:w="402" w:type="pct"/>
                  <w:shd w:val="clear" w:color="auto" w:fill="auto"/>
                  <w:noWrap w:val="0"/>
                  <w:vAlign w:val="center"/>
                </w:tcPr>
                <w:p w14:paraId="7F062F1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b w:val="0"/>
                      <w:bCs/>
                      <w:color w:val="auto"/>
                      <w:sz w:val="21"/>
                      <w:szCs w:val="21"/>
                      <w:highlight w:val="none"/>
                      <w:lang w:val="en-US" w:eastAsia="zh-CN"/>
                    </w:rPr>
                    <w:t>废滤芯</w:t>
                  </w:r>
                </w:p>
              </w:tc>
              <w:tc>
                <w:tcPr>
                  <w:tcW w:w="579" w:type="pct"/>
                  <w:shd w:val="clear" w:color="auto" w:fill="auto"/>
                  <w:noWrap w:val="0"/>
                  <w:vAlign w:val="center"/>
                </w:tcPr>
                <w:p w14:paraId="73D0BB6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HW</w:t>
                  </w:r>
                  <w:r>
                    <w:rPr>
                      <w:rFonts w:hint="eastAsia" w:cs="Times New Roman"/>
                      <w:color w:val="auto"/>
                      <w:sz w:val="21"/>
                      <w:szCs w:val="21"/>
                      <w:lang w:val="en-US" w:eastAsia="zh-CN"/>
                    </w:rPr>
                    <w:t>08</w:t>
                  </w:r>
                </w:p>
              </w:tc>
              <w:tc>
                <w:tcPr>
                  <w:tcW w:w="788" w:type="pct"/>
                  <w:shd w:val="clear" w:color="auto" w:fill="auto"/>
                  <w:noWrap w:val="0"/>
                  <w:vAlign w:val="center"/>
                </w:tcPr>
                <w:p w14:paraId="46EC5A1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w:t>
                  </w:r>
                  <w:r>
                    <w:rPr>
                      <w:rFonts w:hint="eastAsia" w:cs="Times New Roman"/>
                      <w:color w:val="auto"/>
                      <w:sz w:val="21"/>
                      <w:szCs w:val="21"/>
                      <w:lang w:val="en-US" w:eastAsia="zh-CN"/>
                    </w:rPr>
                    <w:t>213</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08</w:t>
                  </w:r>
                </w:p>
              </w:tc>
              <w:tc>
                <w:tcPr>
                  <w:tcW w:w="483" w:type="pct"/>
                  <w:shd w:val="clear" w:color="auto" w:fill="auto"/>
                  <w:noWrap w:val="0"/>
                  <w:vAlign w:val="center"/>
                </w:tcPr>
                <w:p w14:paraId="3675C2C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0.1</w:t>
                  </w:r>
                </w:p>
              </w:tc>
              <w:tc>
                <w:tcPr>
                  <w:tcW w:w="405" w:type="pct"/>
                  <w:shd w:val="clear" w:color="auto" w:fill="auto"/>
                  <w:noWrap w:val="0"/>
                  <w:vAlign w:val="center"/>
                </w:tcPr>
                <w:p w14:paraId="014189C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电火花</w:t>
                  </w:r>
                </w:p>
              </w:tc>
              <w:tc>
                <w:tcPr>
                  <w:tcW w:w="227" w:type="pct"/>
                  <w:shd w:val="clear" w:color="auto" w:fill="auto"/>
                  <w:noWrap w:val="0"/>
                  <w:vAlign w:val="center"/>
                </w:tcPr>
                <w:p w14:paraId="5CC4E58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508" w:type="pct"/>
                  <w:shd w:val="clear" w:color="auto" w:fill="auto"/>
                  <w:noWrap w:val="0"/>
                  <w:vAlign w:val="center"/>
                </w:tcPr>
                <w:p w14:paraId="753040C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塑料、矿物</w:t>
                  </w:r>
                  <w:r>
                    <w:rPr>
                      <w:rFonts w:hint="eastAsia" w:ascii="Times New Roman" w:hAnsi="Times New Roman" w:eastAsia="宋体" w:cs="Times New Roman"/>
                      <w:color w:val="auto"/>
                      <w:sz w:val="21"/>
                      <w:szCs w:val="21"/>
                      <w:lang w:val="en-US" w:eastAsia="zh-CN"/>
                    </w:rPr>
                    <w:t>油</w:t>
                  </w:r>
                </w:p>
              </w:tc>
              <w:tc>
                <w:tcPr>
                  <w:tcW w:w="410" w:type="pct"/>
                  <w:shd w:val="clear" w:color="auto" w:fill="auto"/>
                  <w:noWrap w:val="0"/>
                  <w:vAlign w:val="center"/>
                </w:tcPr>
                <w:p w14:paraId="161EB2C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矿物</w:t>
                  </w:r>
                  <w:r>
                    <w:rPr>
                      <w:rFonts w:hint="eastAsia" w:ascii="Times New Roman" w:hAnsi="Times New Roman" w:eastAsia="宋体" w:cs="Times New Roman"/>
                      <w:color w:val="auto"/>
                      <w:sz w:val="21"/>
                      <w:szCs w:val="21"/>
                      <w:lang w:val="en-US" w:eastAsia="zh-CN"/>
                    </w:rPr>
                    <w:t>油</w:t>
                  </w:r>
                </w:p>
              </w:tc>
              <w:tc>
                <w:tcPr>
                  <w:tcW w:w="320" w:type="pct"/>
                  <w:noWrap w:val="0"/>
                  <w:vAlign w:val="center"/>
                </w:tcPr>
                <w:p w14:paraId="47C8E4A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每三个月</w:t>
                  </w:r>
                </w:p>
              </w:tc>
              <w:tc>
                <w:tcPr>
                  <w:tcW w:w="307" w:type="pct"/>
                  <w:shd w:val="clear" w:color="auto" w:fill="auto"/>
                  <w:noWrap w:val="0"/>
                  <w:vAlign w:val="center"/>
                </w:tcPr>
                <w:p w14:paraId="5F3D6C33">
                  <w:pPr>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T</w:t>
                  </w:r>
                  <w:r>
                    <w:rPr>
                      <w:rFonts w:hint="eastAsia"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I</w:t>
                  </w:r>
                </w:p>
              </w:tc>
              <w:tc>
                <w:tcPr>
                  <w:tcW w:w="338" w:type="pct"/>
                  <w:vMerge w:val="continue"/>
                  <w:noWrap w:val="0"/>
                  <w:vAlign w:val="center"/>
                </w:tcPr>
                <w:p w14:paraId="2250E9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r>
            <w:tr w14:paraId="1D21CA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7" w:type="pct"/>
                  <w:shd w:val="clear" w:color="auto" w:fill="auto"/>
                  <w:noWrap w:val="0"/>
                  <w:vAlign w:val="center"/>
                </w:tcPr>
                <w:p w14:paraId="298C00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w:t>
                  </w:r>
                </w:p>
              </w:tc>
              <w:tc>
                <w:tcPr>
                  <w:tcW w:w="402" w:type="pct"/>
                  <w:shd w:val="clear" w:color="auto" w:fill="auto"/>
                  <w:noWrap w:val="0"/>
                  <w:vAlign w:val="center"/>
                </w:tcPr>
                <w:p w14:paraId="57CF923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b w:val="0"/>
                      <w:bCs/>
                      <w:color w:val="auto"/>
                      <w:sz w:val="21"/>
                      <w:szCs w:val="21"/>
                      <w:highlight w:val="none"/>
                      <w:lang w:val="en-US" w:eastAsia="zh-CN"/>
                    </w:rPr>
                    <w:t>废煤油</w:t>
                  </w:r>
                </w:p>
              </w:tc>
              <w:tc>
                <w:tcPr>
                  <w:tcW w:w="579" w:type="pct"/>
                  <w:shd w:val="clear" w:color="auto" w:fill="auto"/>
                  <w:noWrap w:val="0"/>
                  <w:vAlign w:val="center"/>
                </w:tcPr>
                <w:p w14:paraId="35985BA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HW</w:t>
                  </w:r>
                  <w:r>
                    <w:rPr>
                      <w:rFonts w:hint="eastAsia" w:cs="Times New Roman"/>
                      <w:color w:val="auto"/>
                      <w:sz w:val="21"/>
                      <w:szCs w:val="21"/>
                      <w:lang w:val="en-US" w:eastAsia="zh-CN"/>
                    </w:rPr>
                    <w:t>08</w:t>
                  </w:r>
                </w:p>
              </w:tc>
              <w:tc>
                <w:tcPr>
                  <w:tcW w:w="788" w:type="pct"/>
                  <w:shd w:val="clear" w:color="auto" w:fill="auto"/>
                  <w:noWrap w:val="0"/>
                  <w:vAlign w:val="center"/>
                </w:tcPr>
                <w:p w14:paraId="4AE3DF5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w:t>
                  </w:r>
                  <w:r>
                    <w:rPr>
                      <w:rFonts w:hint="eastAsia" w:cs="Times New Roman"/>
                      <w:color w:val="auto"/>
                      <w:sz w:val="21"/>
                      <w:szCs w:val="21"/>
                      <w:lang w:val="en-US" w:eastAsia="zh-CN"/>
                    </w:rPr>
                    <w:t>249</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08</w:t>
                  </w:r>
                </w:p>
              </w:tc>
              <w:tc>
                <w:tcPr>
                  <w:tcW w:w="483" w:type="pct"/>
                  <w:shd w:val="clear" w:color="auto" w:fill="auto"/>
                  <w:noWrap w:val="0"/>
                  <w:vAlign w:val="center"/>
                </w:tcPr>
                <w:p w14:paraId="75C135A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0.041</w:t>
                  </w:r>
                </w:p>
              </w:tc>
              <w:tc>
                <w:tcPr>
                  <w:tcW w:w="405" w:type="pct"/>
                  <w:shd w:val="clear" w:color="auto" w:fill="auto"/>
                  <w:noWrap w:val="0"/>
                  <w:vAlign w:val="center"/>
                </w:tcPr>
                <w:p w14:paraId="31FE5E5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电火花</w:t>
                  </w:r>
                </w:p>
              </w:tc>
              <w:tc>
                <w:tcPr>
                  <w:tcW w:w="227" w:type="pct"/>
                  <w:shd w:val="clear" w:color="auto" w:fill="auto"/>
                  <w:noWrap w:val="0"/>
                  <w:vAlign w:val="center"/>
                </w:tcPr>
                <w:p w14:paraId="2E87463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液</w:t>
                  </w:r>
                  <w:r>
                    <w:rPr>
                      <w:rFonts w:hint="default" w:ascii="Times New Roman" w:hAnsi="Times New Roman" w:eastAsia="宋体" w:cs="Times New Roman"/>
                      <w:color w:val="auto"/>
                      <w:sz w:val="21"/>
                      <w:szCs w:val="21"/>
                      <w:lang w:val="en-US" w:eastAsia="zh-CN"/>
                    </w:rPr>
                    <w:t>态</w:t>
                  </w:r>
                </w:p>
              </w:tc>
              <w:tc>
                <w:tcPr>
                  <w:tcW w:w="508" w:type="pct"/>
                  <w:shd w:val="clear" w:color="auto" w:fill="auto"/>
                  <w:noWrap w:val="0"/>
                  <w:vAlign w:val="center"/>
                </w:tcPr>
                <w:p w14:paraId="3312053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矿物</w:t>
                  </w:r>
                  <w:r>
                    <w:rPr>
                      <w:rFonts w:hint="eastAsia" w:ascii="Times New Roman" w:hAnsi="Times New Roman" w:eastAsia="宋体" w:cs="Times New Roman"/>
                      <w:color w:val="auto"/>
                      <w:sz w:val="21"/>
                      <w:szCs w:val="21"/>
                      <w:lang w:val="en-US" w:eastAsia="zh-CN"/>
                    </w:rPr>
                    <w:t>油</w:t>
                  </w:r>
                </w:p>
              </w:tc>
              <w:tc>
                <w:tcPr>
                  <w:tcW w:w="410" w:type="pct"/>
                  <w:shd w:val="clear" w:color="auto" w:fill="auto"/>
                  <w:noWrap w:val="0"/>
                  <w:vAlign w:val="center"/>
                </w:tcPr>
                <w:p w14:paraId="0E65810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矿物</w:t>
                  </w:r>
                  <w:r>
                    <w:rPr>
                      <w:rFonts w:hint="eastAsia" w:ascii="Times New Roman" w:hAnsi="Times New Roman" w:eastAsia="宋体" w:cs="Times New Roman"/>
                      <w:color w:val="auto"/>
                      <w:sz w:val="21"/>
                      <w:szCs w:val="21"/>
                      <w:lang w:val="en-US" w:eastAsia="zh-CN"/>
                    </w:rPr>
                    <w:t>油</w:t>
                  </w:r>
                </w:p>
              </w:tc>
              <w:tc>
                <w:tcPr>
                  <w:tcW w:w="320" w:type="pct"/>
                  <w:shd w:val="clear" w:color="auto" w:fill="auto"/>
                  <w:noWrap w:val="0"/>
                  <w:vAlign w:val="center"/>
                </w:tcPr>
                <w:p w14:paraId="7AEF6B6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每年</w:t>
                  </w:r>
                </w:p>
              </w:tc>
              <w:tc>
                <w:tcPr>
                  <w:tcW w:w="307" w:type="pct"/>
                  <w:shd w:val="clear" w:color="auto" w:fill="auto"/>
                  <w:noWrap w:val="0"/>
                  <w:vAlign w:val="center"/>
                </w:tcPr>
                <w:p w14:paraId="421BCCD0">
                  <w:pPr>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T</w:t>
                  </w:r>
                  <w:r>
                    <w:rPr>
                      <w:rFonts w:hint="eastAsia"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I</w:t>
                  </w:r>
                </w:p>
              </w:tc>
              <w:tc>
                <w:tcPr>
                  <w:tcW w:w="338" w:type="pct"/>
                  <w:vMerge w:val="continue"/>
                  <w:noWrap w:val="0"/>
                  <w:vAlign w:val="center"/>
                </w:tcPr>
                <w:p w14:paraId="74110E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r>
            <w:tr w14:paraId="43B9C9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7" w:type="pct"/>
                  <w:shd w:val="clear" w:color="auto" w:fill="auto"/>
                  <w:noWrap w:val="0"/>
                  <w:vAlign w:val="center"/>
                </w:tcPr>
                <w:p w14:paraId="286C33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6</w:t>
                  </w:r>
                </w:p>
              </w:tc>
              <w:tc>
                <w:tcPr>
                  <w:tcW w:w="402" w:type="pct"/>
                  <w:shd w:val="clear" w:color="auto" w:fill="auto"/>
                  <w:noWrap w:val="0"/>
                  <w:vAlign w:val="center"/>
                </w:tcPr>
                <w:p w14:paraId="3F26269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废包装桶</w:t>
                  </w:r>
                </w:p>
              </w:tc>
              <w:tc>
                <w:tcPr>
                  <w:tcW w:w="579" w:type="pct"/>
                  <w:shd w:val="clear" w:color="auto" w:fill="auto"/>
                  <w:noWrap w:val="0"/>
                  <w:vAlign w:val="center"/>
                </w:tcPr>
                <w:p w14:paraId="3FB3C86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HW</w:t>
                  </w:r>
                  <w:r>
                    <w:rPr>
                      <w:rFonts w:hint="eastAsia" w:cs="Times New Roman"/>
                      <w:color w:val="auto"/>
                      <w:sz w:val="21"/>
                      <w:szCs w:val="21"/>
                      <w:lang w:val="en-US" w:eastAsia="zh-CN"/>
                    </w:rPr>
                    <w:t>08</w:t>
                  </w:r>
                </w:p>
              </w:tc>
              <w:tc>
                <w:tcPr>
                  <w:tcW w:w="788" w:type="pct"/>
                  <w:shd w:val="clear" w:color="auto" w:fill="auto"/>
                  <w:noWrap w:val="0"/>
                  <w:vAlign w:val="center"/>
                </w:tcPr>
                <w:p w14:paraId="3DD65D4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w:t>
                  </w:r>
                  <w:r>
                    <w:rPr>
                      <w:rFonts w:hint="eastAsia" w:cs="Times New Roman"/>
                      <w:color w:val="auto"/>
                      <w:sz w:val="21"/>
                      <w:szCs w:val="21"/>
                      <w:lang w:val="en-US" w:eastAsia="zh-CN"/>
                    </w:rPr>
                    <w:t>249</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08</w:t>
                  </w:r>
                </w:p>
              </w:tc>
              <w:tc>
                <w:tcPr>
                  <w:tcW w:w="483" w:type="pct"/>
                  <w:shd w:val="clear" w:color="auto" w:fill="auto"/>
                  <w:noWrap w:val="0"/>
                  <w:vAlign w:val="center"/>
                </w:tcPr>
                <w:p w14:paraId="03318AB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4</w:t>
                  </w:r>
                </w:p>
              </w:tc>
              <w:tc>
                <w:tcPr>
                  <w:tcW w:w="405" w:type="pct"/>
                  <w:shd w:val="clear" w:color="auto" w:fill="auto"/>
                  <w:noWrap w:val="0"/>
                  <w:vAlign w:val="center"/>
                </w:tcPr>
                <w:p w14:paraId="630D236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原料包装</w:t>
                  </w:r>
                </w:p>
              </w:tc>
              <w:tc>
                <w:tcPr>
                  <w:tcW w:w="227" w:type="pct"/>
                  <w:shd w:val="clear" w:color="auto" w:fill="auto"/>
                  <w:noWrap w:val="0"/>
                  <w:vAlign w:val="center"/>
                </w:tcPr>
                <w:p w14:paraId="7D6C9BD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508" w:type="pct"/>
                  <w:shd w:val="clear" w:color="auto" w:fill="auto"/>
                  <w:noWrap w:val="0"/>
                  <w:vAlign w:val="center"/>
                </w:tcPr>
                <w:p w14:paraId="21DEBEE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金属、</w:t>
                  </w:r>
                  <w:r>
                    <w:rPr>
                      <w:rFonts w:hint="eastAsia" w:cs="Times New Roman"/>
                      <w:color w:val="auto"/>
                      <w:sz w:val="21"/>
                      <w:szCs w:val="21"/>
                      <w:lang w:val="en-US" w:eastAsia="zh-CN"/>
                    </w:rPr>
                    <w:t>矿物</w:t>
                  </w:r>
                  <w:r>
                    <w:rPr>
                      <w:rFonts w:hint="eastAsia" w:ascii="Times New Roman" w:hAnsi="Times New Roman" w:eastAsia="宋体" w:cs="Times New Roman"/>
                      <w:color w:val="auto"/>
                      <w:sz w:val="21"/>
                      <w:szCs w:val="21"/>
                      <w:lang w:val="en-US" w:eastAsia="zh-CN"/>
                    </w:rPr>
                    <w:t>油</w:t>
                  </w:r>
                </w:p>
              </w:tc>
              <w:tc>
                <w:tcPr>
                  <w:tcW w:w="410" w:type="pct"/>
                  <w:shd w:val="clear" w:color="auto" w:fill="auto"/>
                  <w:noWrap w:val="0"/>
                  <w:vAlign w:val="center"/>
                </w:tcPr>
                <w:p w14:paraId="41BF502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矿物</w:t>
                  </w:r>
                  <w:r>
                    <w:rPr>
                      <w:rFonts w:hint="eastAsia" w:ascii="Times New Roman" w:hAnsi="Times New Roman" w:eastAsia="宋体" w:cs="Times New Roman"/>
                      <w:color w:val="auto"/>
                      <w:sz w:val="21"/>
                      <w:szCs w:val="21"/>
                      <w:lang w:val="en-US" w:eastAsia="zh-CN"/>
                    </w:rPr>
                    <w:t>油</w:t>
                  </w:r>
                </w:p>
              </w:tc>
              <w:tc>
                <w:tcPr>
                  <w:tcW w:w="320" w:type="pct"/>
                  <w:noWrap w:val="0"/>
                  <w:vAlign w:val="center"/>
                </w:tcPr>
                <w:p w14:paraId="1530C6E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2年</w:t>
                  </w:r>
                </w:p>
              </w:tc>
              <w:tc>
                <w:tcPr>
                  <w:tcW w:w="307" w:type="pct"/>
                  <w:shd w:val="clear" w:color="auto" w:fill="auto"/>
                  <w:noWrap w:val="0"/>
                  <w:vAlign w:val="center"/>
                </w:tcPr>
                <w:p w14:paraId="090A68CA">
                  <w:pPr>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T</w:t>
                  </w:r>
                  <w:r>
                    <w:rPr>
                      <w:rFonts w:hint="eastAsia"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I</w:t>
                  </w:r>
                </w:p>
              </w:tc>
              <w:tc>
                <w:tcPr>
                  <w:tcW w:w="338" w:type="pct"/>
                  <w:vMerge w:val="continue"/>
                  <w:noWrap w:val="0"/>
                  <w:vAlign w:val="center"/>
                </w:tcPr>
                <w:p w14:paraId="2572E3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r>
            <w:tr w14:paraId="7566BD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7" w:type="pct"/>
                  <w:shd w:val="clear" w:color="auto" w:fill="auto"/>
                  <w:noWrap w:val="0"/>
                  <w:vAlign w:val="center"/>
                </w:tcPr>
                <w:p w14:paraId="40FD36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7</w:t>
                  </w:r>
                </w:p>
              </w:tc>
              <w:tc>
                <w:tcPr>
                  <w:tcW w:w="402" w:type="pct"/>
                  <w:shd w:val="clear" w:color="auto" w:fill="auto"/>
                  <w:noWrap w:val="0"/>
                  <w:vAlign w:val="center"/>
                </w:tcPr>
                <w:p w14:paraId="3176825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废活性炭</w:t>
                  </w:r>
                </w:p>
              </w:tc>
              <w:tc>
                <w:tcPr>
                  <w:tcW w:w="579" w:type="pct"/>
                  <w:shd w:val="clear" w:color="auto" w:fill="auto"/>
                  <w:noWrap w:val="0"/>
                  <w:vAlign w:val="center"/>
                </w:tcPr>
                <w:p w14:paraId="6A9F4BE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HW49</w:t>
                  </w:r>
                </w:p>
              </w:tc>
              <w:tc>
                <w:tcPr>
                  <w:tcW w:w="788" w:type="pct"/>
                  <w:shd w:val="clear" w:color="auto" w:fill="auto"/>
                  <w:noWrap w:val="0"/>
                  <w:vAlign w:val="center"/>
                </w:tcPr>
                <w:p w14:paraId="0C24E5B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900-0</w:t>
                  </w:r>
                  <w:r>
                    <w:rPr>
                      <w:rFonts w:hint="eastAsia" w:ascii="Times New Roman" w:hAnsi="Times New Roman" w:eastAsia="宋体" w:cs="Times New Roman"/>
                      <w:color w:val="auto"/>
                      <w:sz w:val="21"/>
                      <w:szCs w:val="21"/>
                      <w:lang w:val="en-US" w:eastAsia="zh-CN"/>
                    </w:rPr>
                    <w:t>39</w:t>
                  </w:r>
                  <w:r>
                    <w:rPr>
                      <w:rFonts w:hint="default" w:ascii="Times New Roman" w:hAnsi="Times New Roman" w:eastAsia="宋体" w:cs="Times New Roman"/>
                      <w:color w:val="auto"/>
                      <w:sz w:val="21"/>
                      <w:szCs w:val="21"/>
                      <w:lang w:val="en-US" w:eastAsia="zh-CN"/>
                    </w:rPr>
                    <w:t>-49</w:t>
                  </w:r>
                </w:p>
              </w:tc>
              <w:tc>
                <w:tcPr>
                  <w:tcW w:w="483" w:type="pct"/>
                  <w:shd w:val="clear" w:color="auto" w:fill="auto"/>
                  <w:noWrap w:val="0"/>
                  <w:vAlign w:val="center"/>
                </w:tcPr>
                <w:p w14:paraId="51E5B8F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highlight w:val="none"/>
                      <w:lang w:val="en-US" w:eastAsia="zh-CN"/>
                    </w:rPr>
                    <w:t>1.9</w:t>
                  </w:r>
                </w:p>
              </w:tc>
              <w:tc>
                <w:tcPr>
                  <w:tcW w:w="405" w:type="pct"/>
                  <w:shd w:val="clear" w:color="auto" w:fill="auto"/>
                  <w:noWrap w:val="0"/>
                  <w:vAlign w:val="center"/>
                </w:tcPr>
                <w:p w14:paraId="556FBD6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废气处理</w:t>
                  </w:r>
                </w:p>
              </w:tc>
              <w:tc>
                <w:tcPr>
                  <w:tcW w:w="227" w:type="pct"/>
                  <w:shd w:val="clear" w:color="auto" w:fill="auto"/>
                  <w:noWrap w:val="0"/>
                  <w:vAlign w:val="center"/>
                </w:tcPr>
                <w:p w14:paraId="3888888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508" w:type="pct"/>
                  <w:shd w:val="clear" w:color="auto" w:fill="auto"/>
                  <w:noWrap w:val="0"/>
                  <w:vAlign w:val="center"/>
                </w:tcPr>
                <w:p w14:paraId="4FCC742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活性炭、有机物</w:t>
                  </w:r>
                </w:p>
              </w:tc>
              <w:tc>
                <w:tcPr>
                  <w:tcW w:w="410" w:type="pct"/>
                  <w:shd w:val="clear" w:color="auto" w:fill="auto"/>
                  <w:noWrap w:val="0"/>
                  <w:vAlign w:val="center"/>
                </w:tcPr>
                <w:p w14:paraId="6BC939B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有机物</w:t>
                  </w:r>
                </w:p>
              </w:tc>
              <w:tc>
                <w:tcPr>
                  <w:tcW w:w="320" w:type="pct"/>
                  <w:noWrap w:val="0"/>
                  <w:vAlign w:val="center"/>
                </w:tcPr>
                <w:p w14:paraId="5CA6F28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每三个月</w:t>
                  </w:r>
                </w:p>
              </w:tc>
              <w:tc>
                <w:tcPr>
                  <w:tcW w:w="307" w:type="pct"/>
                  <w:shd w:val="clear" w:color="auto" w:fill="auto"/>
                  <w:noWrap w:val="0"/>
                  <w:vAlign w:val="center"/>
                </w:tcPr>
                <w:p w14:paraId="1B81F97E">
                  <w:pPr>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T</w:t>
                  </w:r>
                </w:p>
              </w:tc>
              <w:tc>
                <w:tcPr>
                  <w:tcW w:w="338" w:type="pct"/>
                  <w:vMerge w:val="continue"/>
                  <w:noWrap w:val="0"/>
                  <w:vAlign w:val="center"/>
                </w:tcPr>
                <w:p w14:paraId="216441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r>
            <w:tr w14:paraId="08E4B7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7" w:type="pct"/>
                  <w:shd w:val="clear" w:color="auto" w:fill="auto"/>
                  <w:noWrap w:val="0"/>
                  <w:vAlign w:val="center"/>
                </w:tcPr>
                <w:p w14:paraId="639AFF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8</w:t>
                  </w:r>
                </w:p>
              </w:tc>
              <w:tc>
                <w:tcPr>
                  <w:tcW w:w="402" w:type="pct"/>
                  <w:shd w:val="clear" w:color="auto" w:fill="auto"/>
                  <w:noWrap w:val="0"/>
                  <w:vAlign w:val="center"/>
                </w:tcPr>
                <w:p w14:paraId="0464D25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废抹布手套</w:t>
                  </w:r>
                </w:p>
              </w:tc>
              <w:tc>
                <w:tcPr>
                  <w:tcW w:w="579" w:type="pct"/>
                  <w:shd w:val="clear" w:color="auto" w:fill="auto"/>
                  <w:noWrap w:val="0"/>
                  <w:vAlign w:val="center"/>
                </w:tcPr>
                <w:p w14:paraId="3417ECD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HW</w:t>
                  </w:r>
                  <w:r>
                    <w:rPr>
                      <w:rFonts w:hint="eastAsia" w:cs="Times New Roman"/>
                      <w:color w:val="auto"/>
                      <w:sz w:val="21"/>
                      <w:szCs w:val="21"/>
                      <w:lang w:val="en-US" w:eastAsia="zh-CN"/>
                    </w:rPr>
                    <w:t>08</w:t>
                  </w:r>
                </w:p>
              </w:tc>
              <w:tc>
                <w:tcPr>
                  <w:tcW w:w="788" w:type="pct"/>
                  <w:shd w:val="clear" w:color="auto" w:fill="auto"/>
                  <w:noWrap w:val="0"/>
                  <w:vAlign w:val="center"/>
                </w:tcPr>
                <w:p w14:paraId="2837F76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900-249-08</w:t>
                  </w:r>
                </w:p>
              </w:tc>
              <w:tc>
                <w:tcPr>
                  <w:tcW w:w="483" w:type="pct"/>
                  <w:shd w:val="clear" w:color="auto" w:fill="auto"/>
                  <w:noWrap w:val="0"/>
                  <w:vAlign w:val="center"/>
                </w:tcPr>
                <w:p w14:paraId="14C4046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0.1</w:t>
                  </w:r>
                </w:p>
              </w:tc>
              <w:tc>
                <w:tcPr>
                  <w:tcW w:w="405" w:type="pct"/>
                  <w:shd w:val="clear" w:color="auto" w:fill="auto"/>
                  <w:noWrap w:val="0"/>
                  <w:vAlign w:val="center"/>
                </w:tcPr>
                <w:p w14:paraId="5BEEDD5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设备维护</w:t>
                  </w:r>
                </w:p>
              </w:tc>
              <w:tc>
                <w:tcPr>
                  <w:tcW w:w="227" w:type="pct"/>
                  <w:shd w:val="clear" w:color="auto" w:fill="auto"/>
                  <w:noWrap w:val="0"/>
                  <w:vAlign w:val="center"/>
                </w:tcPr>
                <w:p w14:paraId="0AA4C29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508" w:type="pct"/>
                  <w:shd w:val="clear" w:color="auto" w:fill="auto"/>
                  <w:noWrap w:val="0"/>
                  <w:vAlign w:val="center"/>
                </w:tcPr>
                <w:p w14:paraId="55D5477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棉、矿物油</w:t>
                  </w:r>
                </w:p>
              </w:tc>
              <w:tc>
                <w:tcPr>
                  <w:tcW w:w="410" w:type="pct"/>
                  <w:shd w:val="clear" w:color="auto" w:fill="auto"/>
                  <w:noWrap w:val="0"/>
                  <w:vAlign w:val="center"/>
                </w:tcPr>
                <w:p w14:paraId="53B01B3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矿物油</w:t>
                  </w:r>
                </w:p>
              </w:tc>
              <w:tc>
                <w:tcPr>
                  <w:tcW w:w="320" w:type="pct"/>
                  <w:noWrap w:val="0"/>
                  <w:vAlign w:val="center"/>
                </w:tcPr>
                <w:p w14:paraId="07B6957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每三个月</w:t>
                  </w:r>
                </w:p>
              </w:tc>
              <w:tc>
                <w:tcPr>
                  <w:tcW w:w="307" w:type="pct"/>
                  <w:shd w:val="clear" w:color="auto" w:fill="auto"/>
                  <w:noWrap w:val="0"/>
                  <w:vAlign w:val="center"/>
                </w:tcPr>
                <w:p w14:paraId="1C006888">
                  <w:pPr>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T</w:t>
                  </w:r>
                  <w:r>
                    <w:rPr>
                      <w:rFonts w:hint="eastAsia"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I</w:t>
                  </w:r>
                </w:p>
              </w:tc>
              <w:tc>
                <w:tcPr>
                  <w:tcW w:w="338" w:type="pct"/>
                  <w:vMerge w:val="continue"/>
                  <w:noWrap w:val="0"/>
                  <w:vAlign w:val="center"/>
                </w:tcPr>
                <w:p w14:paraId="151D2F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r>
            <w:tr w14:paraId="3815FC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7" w:type="pct"/>
                  <w:shd w:val="clear" w:color="auto" w:fill="auto"/>
                  <w:noWrap w:val="0"/>
                  <w:vAlign w:val="center"/>
                </w:tcPr>
                <w:p w14:paraId="1BE00D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9</w:t>
                  </w:r>
                </w:p>
              </w:tc>
              <w:tc>
                <w:tcPr>
                  <w:tcW w:w="402" w:type="pct"/>
                  <w:shd w:val="clear" w:color="auto" w:fill="auto"/>
                  <w:noWrap w:val="0"/>
                  <w:vAlign w:val="center"/>
                </w:tcPr>
                <w:p w14:paraId="042844B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废擦拭布</w:t>
                  </w:r>
                </w:p>
              </w:tc>
              <w:tc>
                <w:tcPr>
                  <w:tcW w:w="579" w:type="pct"/>
                  <w:shd w:val="clear" w:color="auto" w:fill="auto"/>
                  <w:noWrap w:val="0"/>
                  <w:vAlign w:val="center"/>
                </w:tcPr>
                <w:p w14:paraId="287FDEB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HW49</w:t>
                  </w:r>
                </w:p>
              </w:tc>
              <w:tc>
                <w:tcPr>
                  <w:tcW w:w="788" w:type="pct"/>
                  <w:shd w:val="clear" w:color="auto" w:fill="auto"/>
                  <w:noWrap w:val="0"/>
                  <w:vAlign w:val="center"/>
                </w:tcPr>
                <w:p w14:paraId="7B445A3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900-0</w:t>
                  </w:r>
                  <w:r>
                    <w:rPr>
                      <w:rFonts w:hint="eastAsia" w:cs="Times New Roman"/>
                      <w:color w:val="auto"/>
                      <w:sz w:val="21"/>
                      <w:szCs w:val="21"/>
                      <w:lang w:val="en-US" w:eastAsia="zh-CN"/>
                    </w:rPr>
                    <w:t>41</w:t>
                  </w:r>
                  <w:r>
                    <w:rPr>
                      <w:rFonts w:hint="default" w:ascii="Times New Roman" w:hAnsi="Times New Roman" w:eastAsia="宋体" w:cs="Times New Roman"/>
                      <w:color w:val="auto"/>
                      <w:sz w:val="21"/>
                      <w:szCs w:val="21"/>
                      <w:lang w:val="en-US" w:eastAsia="zh-CN"/>
                    </w:rPr>
                    <w:t>-49</w:t>
                  </w:r>
                </w:p>
              </w:tc>
              <w:tc>
                <w:tcPr>
                  <w:tcW w:w="483" w:type="pct"/>
                  <w:shd w:val="clear" w:color="auto" w:fill="auto"/>
                  <w:noWrap w:val="0"/>
                  <w:vAlign w:val="center"/>
                </w:tcPr>
                <w:p w14:paraId="3BF9DB5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highlight w:val="none"/>
                      <w:lang w:val="en-US" w:eastAsia="zh-CN"/>
                    </w:rPr>
                    <w:t>0.1</w:t>
                  </w:r>
                </w:p>
              </w:tc>
              <w:tc>
                <w:tcPr>
                  <w:tcW w:w="405" w:type="pct"/>
                  <w:shd w:val="clear" w:color="auto" w:fill="auto"/>
                  <w:noWrap w:val="0"/>
                  <w:vAlign w:val="center"/>
                </w:tcPr>
                <w:p w14:paraId="38E8078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UV打印</w:t>
                  </w:r>
                </w:p>
              </w:tc>
              <w:tc>
                <w:tcPr>
                  <w:tcW w:w="227" w:type="pct"/>
                  <w:shd w:val="clear" w:color="auto" w:fill="auto"/>
                  <w:noWrap w:val="0"/>
                  <w:vAlign w:val="center"/>
                </w:tcPr>
                <w:p w14:paraId="18ABE7D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508" w:type="pct"/>
                  <w:shd w:val="clear" w:color="auto" w:fill="auto"/>
                  <w:noWrap w:val="0"/>
                  <w:vAlign w:val="center"/>
                </w:tcPr>
                <w:p w14:paraId="08C1DAA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棉、</w:t>
                  </w:r>
                  <w:r>
                    <w:rPr>
                      <w:rFonts w:hint="eastAsia" w:cs="Times New Roman"/>
                      <w:color w:val="auto"/>
                      <w:sz w:val="21"/>
                      <w:szCs w:val="21"/>
                      <w:lang w:val="en-US" w:eastAsia="zh-CN"/>
                    </w:rPr>
                    <w:t>油墨</w:t>
                  </w:r>
                </w:p>
              </w:tc>
              <w:tc>
                <w:tcPr>
                  <w:tcW w:w="410" w:type="pct"/>
                  <w:shd w:val="clear" w:color="auto" w:fill="auto"/>
                  <w:noWrap w:val="0"/>
                  <w:vAlign w:val="center"/>
                </w:tcPr>
                <w:p w14:paraId="3801946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油墨</w:t>
                  </w:r>
                </w:p>
              </w:tc>
              <w:tc>
                <w:tcPr>
                  <w:tcW w:w="320" w:type="pct"/>
                  <w:noWrap w:val="0"/>
                  <w:vAlign w:val="center"/>
                </w:tcPr>
                <w:p w14:paraId="7CCDAF6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每月</w:t>
                  </w:r>
                </w:p>
              </w:tc>
              <w:tc>
                <w:tcPr>
                  <w:tcW w:w="307" w:type="pct"/>
                  <w:shd w:val="clear" w:color="auto" w:fill="auto"/>
                  <w:noWrap w:val="0"/>
                  <w:vAlign w:val="center"/>
                </w:tcPr>
                <w:p w14:paraId="41D59B60">
                  <w:pPr>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T/In</w:t>
                  </w:r>
                </w:p>
              </w:tc>
              <w:tc>
                <w:tcPr>
                  <w:tcW w:w="338" w:type="pct"/>
                  <w:vMerge w:val="continue"/>
                  <w:noWrap w:val="0"/>
                  <w:vAlign w:val="center"/>
                </w:tcPr>
                <w:p w14:paraId="72BA63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r>
            <w:tr w14:paraId="5C083A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7" w:type="pct"/>
                  <w:noWrap w:val="0"/>
                  <w:vAlign w:val="center"/>
                </w:tcPr>
                <w:p w14:paraId="72E3DE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10</w:t>
                  </w:r>
                </w:p>
              </w:tc>
              <w:tc>
                <w:tcPr>
                  <w:tcW w:w="402" w:type="pct"/>
                  <w:shd w:val="clear" w:color="auto" w:fill="auto"/>
                  <w:noWrap w:val="0"/>
                  <w:vAlign w:val="center"/>
                </w:tcPr>
                <w:p w14:paraId="2D3DC49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抛光废液</w:t>
                  </w:r>
                </w:p>
              </w:tc>
              <w:tc>
                <w:tcPr>
                  <w:tcW w:w="579" w:type="pct"/>
                  <w:shd w:val="clear" w:color="auto" w:fill="auto"/>
                  <w:noWrap w:val="0"/>
                  <w:vAlign w:val="center"/>
                </w:tcPr>
                <w:p w14:paraId="5B93341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HW17</w:t>
                  </w:r>
                </w:p>
              </w:tc>
              <w:tc>
                <w:tcPr>
                  <w:tcW w:w="788" w:type="pct"/>
                  <w:shd w:val="clear" w:color="auto" w:fill="auto"/>
                  <w:noWrap w:val="0"/>
                  <w:vAlign w:val="center"/>
                </w:tcPr>
                <w:p w14:paraId="350B3D3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color w:val="auto"/>
                    </w:rPr>
                    <w:t>336-064-17</w:t>
                  </w:r>
                </w:p>
              </w:tc>
              <w:tc>
                <w:tcPr>
                  <w:tcW w:w="483" w:type="pct"/>
                  <w:shd w:val="clear" w:color="auto" w:fill="auto"/>
                  <w:noWrap w:val="0"/>
                  <w:vAlign w:val="center"/>
                </w:tcPr>
                <w:p w14:paraId="35712AF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c>
                <w:tcPr>
                  <w:tcW w:w="405" w:type="pct"/>
                  <w:shd w:val="clear" w:color="auto" w:fill="auto"/>
                  <w:noWrap w:val="0"/>
                  <w:vAlign w:val="center"/>
                </w:tcPr>
                <w:p w14:paraId="2A57B82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磁力抛光</w:t>
                  </w:r>
                </w:p>
              </w:tc>
              <w:tc>
                <w:tcPr>
                  <w:tcW w:w="227" w:type="pct"/>
                  <w:shd w:val="clear" w:color="auto" w:fill="auto"/>
                  <w:noWrap w:val="0"/>
                  <w:vAlign w:val="center"/>
                </w:tcPr>
                <w:p w14:paraId="24204CD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液态</w:t>
                  </w:r>
                </w:p>
              </w:tc>
              <w:tc>
                <w:tcPr>
                  <w:tcW w:w="508" w:type="pct"/>
                  <w:shd w:val="clear" w:color="auto" w:fill="auto"/>
                  <w:noWrap w:val="0"/>
                  <w:vAlign w:val="center"/>
                </w:tcPr>
                <w:p w14:paraId="41579E6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水、金属</w:t>
                  </w:r>
                </w:p>
              </w:tc>
              <w:tc>
                <w:tcPr>
                  <w:tcW w:w="410" w:type="pct"/>
                  <w:shd w:val="clear" w:color="auto" w:fill="auto"/>
                  <w:noWrap w:val="0"/>
                  <w:vAlign w:val="center"/>
                </w:tcPr>
                <w:p w14:paraId="5AD8FDA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金属</w:t>
                  </w:r>
                </w:p>
              </w:tc>
              <w:tc>
                <w:tcPr>
                  <w:tcW w:w="320" w:type="pct"/>
                  <w:noWrap w:val="0"/>
                  <w:vAlign w:val="center"/>
                </w:tcPr>
                <w:p w14:paraId="268474D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每月</w:t>
                  </w:r>
                </w:p>
              </w:tc>
              <w:tc>
                <w:tcPr>
                  <w:tcW w:w="307" w:type="pct"/>
                  <w:shd w:val="clear" w:color="auto" w:fill="auto"/>
                  <w:noWrap w:val="0"/>
                  <w:vAlign w:val="center"/>
                </w:tcPr>
                <w:p w14:paraId="48F46B36">
                  <w:pPr>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T/</w:t>
                  </w:r>
                  <w:r>
                    <w:rPr>
                      <w:rFonts w:hint="eastAsia" w:cs="Times New Roman"/>
                      <w:bCs/>
                      <w:color w:val="auto"/>
                      <w:sz w:val="21"/>
                      <w:szCs w:val="21"/>
                      <w:highlight w:val="none"/>
                      <w:lang w:val="en-US" w:eastAsia="zh-CN"/>
                    </w:rPr>
                    <w:t>C</w:t>
                  </w:r>
                </w:p>
              </w:tc>
              <w:tc>
                <w:tcPr>
                  <w:tcW w:w="338" w:type="pct"/>
                  <w:vMerge w:val="continue"/>
                  <w:noWrap w:val="0"/>
                  <w:vAlign w:val="center"/>
                </w:tcPr>
                <w:p w14:paraId="13C048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r>
            <w:tr w14:paraId="56ADC0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7" w:type="pct"/>
                  <w:noWrap w:val="0"/>
                  <w:vAlign w:val="center"/>
                </w:tcPr>
                <w:p w14:paraId="069C0D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11</w:t>
                  </w:r>
                </w:p>
              </w:tc>
              <w:tc>
                <w:tcPr>
                  <w:tcW w:w="402" w:type="pct"/>
                  <w:shd w:val="clear" w:color="auto" w:fill="auto"/>
                  <w:noWrap w:val="0"/>
                  <w:vAlign w:val="center"/>
                </w:tcPr>
                <w:p w14:paraId="6DA7A3B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废抹布</w:t>
                  </w:r>
                </w:p>
              </w:tc>
              <w:tc>
                <w:tcPr>
                  <w:tcW w:w="579" w:type="pct"/>
                  <w:shd w:val="clear" w:color="auto" w:fill="auto"/>
                  <w:noWrap w:val="0"/>
                  <w:vAlign w:val="center"/>
                </w:tcPr>
                <w:p w14:paraId="76C37D6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HW</w:t>
                  </w:r>
                  <w:r>
                    <w:rPr>
                      <w:rFonts w:hint="eastAsia" w:cs="Times New Roman"/>
                      <w:color w:val="auto"/>
                      <w:sz w:val="21"/>
                      <w:szCs w:val="21"/>
                      <w:lang w:val="en-US" w:eastAsia="zh-CN"/>
                    </w:rPr>
                    <w:t>08</w:t>
                  </w:r>
                </w:p>
              </w:tc>
              <w:tc>
                <w:tcPr>
                  <w:tcW w:w="788" w:type="pct"/>
                  <w:shd w:val="clear" w:color="auto" w:fill="auto"/>
                  <w:noWrap w:val="0"/>
                  <w:vAlign w:val="center"/>
                </w:tcPr>
                <w:p w14:paraId="05EAAFA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900-249-08</w:t>
                  </w:r>
                </w:p>
              </w:tc>
              <w:tc>
                <w:tcPr>
                  <w:tcW w:w="483" w:type="pct"/>
                  <w:shd w:val="clear" w:color="auto" w:fill="auto"/>
                  <w:noWrap w:val="0"/>
                  <w:vAlign w:val="center"/>
                </w:tcPr>
                <w:p w14:paraId="74D0D87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0.2</w:t>
                  </w:r>
                </w:p>
              </w:tc>
              <w:tc>
                <w:tcPr>
                  <w:tcW w:w="405" w:type="pct"/>
                  <w:shd w:val="clear" w:color="auto" w:fill="auto"/>
                  <w:noWrap w:val="0"/>
                  <w:vAlign w:val="center"/>
                </w:tcPr>
                <w:p w14:paraId="592FB98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电火花</w:t>
                  </w:r>
                </w:p>
              </w:tc>
              <w:tc>
                <w:tcPr>
                  <w:tcW w:w="227" w:type="pct"/>
                  <w:shd w:val="clear" w:color="auto" w:fill="auto"/>
                  <w:noWrap w:val="0"/>
                  <w:vAlign w:val="center"/>
                </w:tcPr>
                <w:p w14:paraId="29C1694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508" w:type="pct"/>
                  <w:shd w:val="clear" w:color="auto" w:fill="auto"/>
                  <w:noWrap w:val="0"/>
                  <w:vAlign w:val="center"/>
                </w:tcPr>
                <w:p w14:paraId="5D9A086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棉、矿物</w:t>
                  </w:r>
                  <w:r>
                    <w:rPr>
                      <w:rFonts w:hint="eastAsia" w:ascii="Times New Roman" w:hAnsi="Times New Roman" w:eastAsia="宋体" w:cs="Times New Roman"/>
                      <w:color w:val="auto"/>
                      <w:sz w:val="21"/>
                      <w:szCs w:val="21"/>
                      <w:lang w:val="en-US" w:eastAsia="zh-CN"/>
                    </w:rPr>
                    <w:t>油</w:t>
                  </w:r>
                </w:p>
              </w:tc>
              <w:tc>
                <w:tcPr>
                  <w:tcW w:w="410" w:type="pct"/>
                  <w:shd w:val="clear" w:color="auto" w:fill="auto"/>
                  <w:noWrap w:val="0"/>
                  <w:vAlign w:val="center"/>
                </w:tcPr>
                <w:p w14:paraId="37DD157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矿物</w:t>
                  </w:r>
                  <w:r>
                    <w:rPr>
                      <w:rFonts w:hint="eastAsia" w:ascii="Times New Roman" w:hAnsi="Times New Roman" w:eastAsia="宋体" w:cs="Times New Roman"/>
                      <w:color w:val="auto"/>
                      <w:sz w:val="21"/>
                      <w:szCs w:val="21"/>
                      <w:lang w:val="en-US" w:eastAsia="zh-CN"/>
                    </w:rPr>
                    <w:t>油</w:t>
                  </w:r>
                </w:p>
              </w:tc>
              <w:tc>
                <w:tcPr>
                  <w:tcW w:w="320" w:type="pct"/>
                  <w:shd w:val="clear" w:color="auto" w:fill="auto"/>
                  <w:noWrap w:val="0"/>
                  <w:vAlign w:val="center"/>
                </w:tcPr>
                <w:p w14:paraId="752C811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每三个月</w:t>
                  </w:r>
                </w:p>
              </w:tc>
              <w:tc>
                <w:tcPr>
                  <w:tcW w:w="307" w:type="pct"/>
                  <w:shd w:val="clear" w:color="auto" w:fill="auto"/>
                  <w:noWrap w:val="0"/>
                  <w:vAlign w:val="center"/>
                </w:tcPr>
                <w:p w14:paraId="529CC151">
                  <w:pPr>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T</w:t>
                  </w:r>
                  <w:r>
                    <w:rPr>
                      <w:rFonts w:hint="eastAsia"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I</w:t>
                  </w:r>
                </w:p>
              </w:tc>
              <w:tc>
                <w:tcPr>
                  <w:tcW w:w="338" w:type="pct"/>
                  <w:vMerge w:val="continue"/>
                  <w:noWrap w:val="0"/>
                  <w:vAlign w:val="center"/>
                </w:tcPr>
                <w:p w14:paraId="492C59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r>
          </w:tbl>
          <w:p w14:paraId="59145DF3">
            <w:pPr>
              <w:ind w:firstLine="0" w:firstLineChars="0"/>
              <w:rPr>
                <w:b/>
                <w:bCs/>
                <w:color w:val="auto"/>
                <w:sz w:val="24"/>
                <w:szCs w:val="24"/>
              </w:rPr>
            </w:pPr>
            <w:r>
              <w:rPr>
                <w:b/>
                <w:bCs/>
                <w:color w:val="auto"/>
                <w:sz w:val="24"/>
                <w:szCs w:val="24"/>
              </w:rPr>
              <w:t>4.</w:t>
            </w:r>
            <w:r>
              <w:rPr>
                <w:rFonts w:hint="eastAsia"/>
                <w:b/>
                <w:bCs/>
                <w:color w:val="auto"/>
                <w:sz w:val="24"/>
                <w:szCs w:val="24"/>
                <w:lang w:val="en-US" w:eastAsia="zh-CN"/>
              </w:rPr>
              <w:t>4</w:t>
            </w:r>
            <w:r>
              <w:rPr>
                <w:b/>
                <w:bCs/>
                <w:color w:val="auto"/>
                <w:sz w:val="24"/>
                <w:szCs w:val="24"/>
              </w:rPr>
              <w:t>固体废物环境影响分析</w:t>
            </w:r>
          </w:p>
          <w:p w14:paraId="19D1E305">
            <w:pPr>
              <w:snapToGrid w:val="0"/>
              <w:ind w:firstLine="0" w:firstLineChars="0"/>
              <w:rPr>
                <w:rFonts w:hint="eastAsia" w:eastAsia="宋体"/>
                <w:bCs/>
                <w:color w:val="auto"/>
                <w:sz w:val="24"/>
                <w:szCs w:val="24"/>
                <w:lang w:eastAsia="zh-CN"/>
              </w:rPr>
            </w:pPr>
            <w:r>
              <w:rPr>
                <w:b/>
                <w:bCs/>
                <w:color w:val="auto"/>
                <w:sz w:val="24"/>
                <w:szCs w:val="24"/>
              </w:rPr>
              <w:t>4.</w:t>
            </w:r>
            <w:r>
              <w:rPr>
                <w:rFonts w:hint="eastAsia"/>
                <w:b/>
                <w:bCs/>
                <w:color w:val="auto"/>
                <w:sz w:val="24"/>
                <w:szCs w:val="24"/>
                <w:lang w:val="en-US" w:eastAsia="zh-CN"/>
              </w:rPr>
              <w:t>4</w:t>
            </w:r>
            <w:r>
              <w:rPr>
                <w:b/>
                <w:bCs/>
                <w:color w:val="auto"/>
                <w:sz w:val="24"/>
                <w:szCs w:val="24"/>
              </w:rPr>
              <w:t>.1</w:t>
            </w:r>
            <w:r>
              <w:rPr>
                <w:rFonts w:hint="eastAsia"/>
                <w:b/>
                <w:bCs/>
                <w:color w:val="auto"/>
                <w:sz w:val="24"/>
                <w:szCs w:val="24"/>
                <w:lang w:val="en-US" w:eastAsia="zh-CN"/>
              </w:rPr>
              <w:t>治理措施</w:t>
            </w:r>
          </w:p>
          <w:p w14:paraId="3A14AAA1">
            <w:pPr>
              <w:snapToGrid w:val="0"/>
              <w:ind w:firstLine="422"/>
              <w:rPr>
                <w:b w:val="0"/>
                <w:bCs w:val="0"/>
                <w:color w:val="auto"/>
                <w:sz w:val="24"/>
                <w:szCs w:val="24"/>
              </w:rPr>
            </w:pPr>
            <w:r>
              <w:rPr>
                <w:rFonts w:hint="eastAsia"/>
                <w:b w:val="0"/>
                <w:bCs w:val="0"/>
                <w:color w:val="auto"/>
                <w:sz w:val="24"/>
                <w:szCs w:val="24"/>
              </w:rPr>
              <w:t>生活垃圾由环卫部门统一收集处理；</w:t>
            </w:r>
            <w:r>
              <w:rPr>
                <w:rFonts w:hint="eastAsia"/>
                <w:b w:val="0"/>
                <w:bCs w:val="0"/>
                <w:color w:val="auto"/>
                <w:sz w:val="24"/>
                <w:szCs w:val="24"/>
                <w:lang w:val="en-US" w:eastAsia="zh-CN"/>
              </w:rPr>
              <w:t>不合格品（组装后检验产生）、废金属屑、废石英砂、废活性炭（制纯水产生）、废滤芯（制纯水产生）、废滤膜、废包装材料、废布袋、废滤筒</w:t>
            </w:r>
            <w:r>
              <w:rPr>
                <w:rFonts w:hint="eastAsia"/>
                <w:b w:val="0"/>
                <w:bCs w:val="0"/>
                <w:color w:val="auto"/>
                <w:sz w:val="24"/>
                <w:szCs w:val="24"/>
              </w:rPr>
              <w:t>外售综合利用</w:t>
            </w:r>
            <w:r>
              <w:rPr>
                <w:rFonts w:hint="eastAsia"/>
                <w:b w:val="0"/>
                <w:bCs w:val="0"/>
                <w:color w:val="auto"/>
                <w:sz w:val="24"/>
                <w:szCs w:val="24"/>
                <w:lang w:eastAsia="zh-CN"/>
              </w:rPr>
              <w:t>，</w:t>
            </w:r>
            <w:r>
              <w:rPr>
                <w:rFonts w:hint="eastAsia" w:ascii="Times New Roman" w:hAnsi="Times New Roman" w:eastAsia="宋体" w:cs="Times New Roman"/>
                <w:b w:val="0"/>
                <w:bCs/>
                <w:color w:val="auto"/>
                <w:sz w:val="24"/>
                <w:highlight w:val="none"/>
                <w:shd w:val="clear" w:color="auto" w:fill="auto"/>
                <w:lang w:val="en-US" w:eastAsia="zh-CN"/>
              </w:rPr>
              <w:t>不合格品（</w:t>
            </w:r>
            <w:r>
              <w:rPr>
                <w:rFonts w:hint="eastAsia"/>
                <w:b w:val="0"/>
                <w:bCs w:val="0"/>
                <w:color w:val="auto"/>
                <w:sz w:val="24"/>
                <w:szCs w:val="24"/>
                <w:lang w:val="en-US" w:eastAsia="zh-CN"/>
              </w:rPr>
              <w:t>注塑后检验产生</w:t>
            </w:r>
            <w:r>
              <w:rPr>
                <w:rFonts w:hint="eastAsia" w:ascii="Times New Roman" w:hAnsi="Times New Roman" w:eastAsia="宋体" w:cs="Times New Roman"/>
                <w:b w:val="0"/>
                <w:bCs/>
                <w:color w:val="auto"/>
                <w:sz w:val="24"/>
                <w:highlight w:val="none"/>
                <w:shd w:val="clear" w:color="auto" w:fill="auto"/>
                <w:lang w:val="en-US" w:eastAsia="zh-CN"/>
              </w:rPr>
              <w:t>）经破碎后回用于生产</w:t>
            </w:r>
            <w:r>
              <w:rPr>
                <w:rFonts w:hint="eastAsia"/>
                <w:b w:val="0"/>
                <w:bCs w:val="0"/>
                <w:color w:val="auto"/>
                <w:sz w:val="24"/>
                <w:szCs w:val="24"/>
                <w:lang w:eastAsia="zh-CN"/>
              </w:rPr>
              <w:t>；废墨盒、清洗废液、废切削液、废滤芯（</w:t>
            </w:r>
            <w:r>
              <w:rPr>
                <w:rFonts w:hint="eastAsia"/>
                <w:b w:val="0"/>
                <w:bCs w:val="0"/>
                <w:color w:val="auto"/>
                <w:sz w:val="24"/>
                <w:szCs w:val="24"/>
                <w:lang w:val="en-US" w:eastAsia="zh-CN"/>
              </w:rPr>
              <w:t>过滤煤油产生</w:t>
            </w:r>
            <w:r>
              <w:rPr>
                <w:rFonts w:hint="eastAsia"/>
                <w:b w:val="0"/>
                <w:bCs w:val="0"/>
                <w:color w:val="auto"/>
                <w:sz w:val="24"/>
                <w:szCs w:val="24"/>
                <w:lang w:eastAsia="zh-CN"/>
              </w:rPr>
              <w:t>）、废煤油、废包装桶、废抹布手套、废活性炭（</w:t>
            </w:r>
            <w:r>
              <w:rPr>
                <w:rFonts w:hint="eastAsia"/>
                <w:b w:val="0"/>
                <w:bCs w:val="0"/>
                <w:color w:val="auto"/>
                <w:sz w:val="24"/>
                <w:szCs w:val="24"/>
                <w:lang w:val="en-US" w:eastAsia="zh-CN"/>
              </w:rPr>
              <w:t>废气处理产生</w:t>
            </w:r>
            <w:r>
              <w:rPr>
                <w:rFonts w:hint="eastAsia"/>
                <w:b w:val="0"/>
                <w:bCs w:val="0"/>
                <w:color w:val="auto"/>
                <w:sz w:val="24"/>
                <w:szCs w:val="24"/>
                <w:lang w:eastAsia="zh-CN"/>
              </w:rPr>
              <w:t>）、</w:t>
            </w:r>
            <w:r>
              <w:rPr>
                <w:rFonts w:hint="eastAsia"/>
                <w:b w:val="0"/>
                <w:bCs w:val="0"/>
                <w:color w:val="auto"/>
                <w:sz w:val="24"/>
                <w:szCs w:val="24"/>
                <w:lang w:val="en-US" w:eastAsia="zh-CN"/>
              </w:rPr>
              <w:t>废擦拭布、抛光废液、废抹布</w:t>
            </w:r>
            <w:r>
              <w:rPr>
                <w:rFonts w:hint="eastAsia"/>
                <w:b w:val="0"/>
                <w:bCs w:val="0"/>
                <w:color w:val="auto"/>
                <w:sz w:val="24"/>
                <w:szCs w:val="24"/>
              </w:rPr>
              <w:t>委托有</w:t>
            </w:r>
            <w:r>
              <w:rPr>
                <w:rFonts w:hint="eastAsia"/>
                <w:b w:val="0"/>
                <w:bCs w:val="0"/>
                <w:color w:val="auto"/>
                <w:sz w:val="24"/>
                <w:szCs w:val="24"/>
                <w:lang w:val="en-US" w:eastAsia="zh-CN"/>
              </w:rPr>
              <w:t>资质</w:t>
            </w:r>
            <w:r>
              <w:rPr>
                <w:rFonts w:hint="eastAsia"/>
                <w:b w:val="0"/>
                <w:bCs w:val="0"/>
                <w:color w:val="auto"/>
                <w:sz w:val="24"/>
                <w:szCs w:val="24"/>
              </w:rPr>
              <w:t>单位处置。</w:t>
            </w:r>
          </w:p>
          <w:p w14:paraId="3BD51C98">
            <w:pPr>
              <w:snapToGrid w:val="0"/>
              <w:ind w:firstLine="0" w:firstLineChars="0"/>
              <w:rPr>
                <w:rFonts w:hint="eastAsia" w:eastAsia="宋体"/>
                <w:bCs/>
                <w:color w:val="auto"/>
                <w:sz w:val="24"/>
                <w:szCs w:val="24"/>
                <w:lang w:eastAsia="zh-CN"/>
              </w:rPr>
            </w:pPr>
            <w:r>
              <w:rPr>
                <w:b/>
                <w:bCs/>
                <w:color w:val="auto"/>
                <w:sz w:val="24"/>
                <w:szCs w:val="24"/>
              </w:rPr>
              <w:t>4.</w:t>
            </w:r>
            <w:r>
              <w:rPr>
                <w:rFonts w:hint="eastAsia"/>
                <w:b/>
                <w:bCs/>
                <w:color w:val="auto"/>
                <w:sz w:val="24"/>
                <w:szCs w:val="24"/>
                <w:lang w:val="en-US" w:eastAsia="zh-CN"/>
              </w:rPr>
              <w:t>4</w:t>
            </w:r>
            <w:r>
              <w:rPr>
                <w:b/>
                <w:bCs/>
                <w:color w:val="auto"/>
                <w:sz w:val="24"/>
                <w:szCs w:val="24"/>
              </w:rPr>
              <w:t>.</w:t>
            </w:r>
            <w:r>
              <w:rPr>
                <w:rFonts w:hint="eastAsia"/>
                <w:b/>
                <w:bCs/>
                <w:color w:val="auto"/>
                <w:sz w:val="24"/>
                <w:szCs w:val="24"/>
                <w:lang w:val="en-US" w:eastAsia="zh-CN"/>
              </w:rPr>
              <w:t>2排放情况</w:t>
            </w:r>
          </w:p>
          <w:p w14:paraId="123300A2">
            <w:pPr>
              <w:adjustRightInd w:val="0"/>
              <w:snapToGrid w:val="0"/>
              <w:textAlignment w:val="baseline"/>
              <w:rPr>
                <w:color w:val="auto"/>
                <w:sz w:val="24"/>
                <w:szCs w:val="24"/>
              </w:rPr>
            </w:pPr>
            <w:r>
              <w:rPr>
                <w:rFonts w:hint="eastAsia"/>
                <w:color w:val="auto"/>
                <w:sz w:val="24"/>
                <w:szCs w:val="24"/>
              </w:rPr>
              <w:t>固废处理处置率100%，固体废物不直接排放外环境。</w:t>
            </w:r>
          </w:p>
          <w:p w14:paraId="16770431">
            <w:pPr>
              <w:widowControl/>
              <w:ind w:firstLine="0" w:firstLineChars="0"/>
              <w:jc w:val="left"/>
              <w:textAlignment w:val="bottom"/>
              <w:rPr>
                <w:rFonts w:hint="default" w:eastAsia="宋体"/>
                <w:b/>
                <w:bCs/>
                <w:color w:val="auto"/>
                <w:sz w:val="24"/>
                <w:szCs w:val="24"/>
                <w:lang w:val="en-US" w:eastAsia="zh-CN"/>
              </w:rPr>
            </w:pPr>
            <w:r>
              <w:rPr>
                <w:rFonts w:hint="eastAsia"/>
                <w:b/>
                <w:bCs/>
                <w:color w:val="auto"/>
                <w:sz w:val="24"/>
                <w:szCs w:val="24"/>
                <w:lang w:val="en-US" w:eastAsia="zh-CN"/>
              </w:rPr>
              <w:t>4.4.3固废储存场所面积合理性分析</w:t>
            </w:r>
          </w:p>
          <w:p w14:paraId="018AE799">
            <w:pPr>
              <w:keepNext w:val="0"/>
              <w:keepLines w:val="0"/>
              <w:pageBreakBefore w:val="0"/>
              <w:widowControl/>
              <w:kinsoku/>
              <w:wordWrap/>
              <w:overflowPunct/>
              <w:topLinePunct w:val="0"/>
              <w:autoSpaceDE/>
              <w:autoSpaceDN/>
              <w:bidi w:val="0"/>
              <w:adjustRightInd/>
              <w:snapToGrid/>
              <w:ind w:firstLine="480" w:firstLineChars="200"/>
              <w:jc w:val="left"/>
              <w:textAlignment w:val="bottom"/>
              <w:rPr>
                <w:b w:val="0"/>
                <w:bCs w:val="0"/>
                <w:color w:val="auto"/>
                <w:sz w:val="24"/>
                <w:szCs w:val="24"/>
              </w:rPr>
            </w:pPr>
            <w:r>
              <w:rPr>
                <w:rFonts w:hint="eastAsia"/>
                <w:b w:val="0"/>
                <w:bCs w:val="0"/>
                <w:color w:val="auto"/>
                <w:sz w:val="24"/>
                <w:szCs w:val="24"/>
              </w:rPr>
              <w:t>根据《江苏省危险废物集中收集体系建设工作方案（试行）（苏环保</w:t>
            </w:r>
            <w:r>
              <w:rPr>
                <w:rFonts w:hint="eastAsia"/>
                <w:b w:val="0"/>
                <w:bCs w:val="0"/>
                <w:color w:val="auto"/>
                <w:sz w:val="24"/>
                <w:szCs w:val="24"/>
                <w:lang w:eastAsia="zh-CN"/>
              </w:rPr>
              <w:t>〔2021〕290号</w:t>
            </w:r>
            <w:r>
              <w:rPr>
                <w:rFonts w:hint="eastAsia"/>
                <w:b w:val="0"/>
                <w:bCs w:val="0"/>
                <w:color w:val="auto"/>
                <w:sz w:val="24"/>
                <w:szCs w:val="24"/>
              </w:rPr>
              <w:t>）》和《省生态环境厅关于印发《江苏省固体废物全过程环境监管工作意见》的通知》（苏环办</w:t>
            </w:r>
            <w:r>
              <w:rPr>
                <w:rFonts w:hint="eastAsia"/>
                <w:b w:val="0"/>
                <w:bCs w:val="0"/>
                <w:color w:val="auto"/>
                <w:sz w:val="24"/>
                <w:szCs w:val="24"/>
                <w:lang w:eastAsia="zh-CN"/>
              </w:rPr>
              <w:t>〔2024〕16号</w:t>
            </w:r>
            <w:r>
              <w:rPr>
                <w:rFonts w:hint="eastAsia"/>
                <w:b w:val="0"/>
                <w:bCs w:val="0"/>
                <w:color w:val="auto"/>
                <w:sz w:val="24"/>
                <w:szCs w:val="24"/>
              </w:rPr>
              <w:t>）中的要求，企业应根据危险废物的种类和特性进行分区、分类贮存，设置防雨、防火、防雷、防扬散、防渗漏装置及泄漏液体收集装置。对易爆、易燃及排出有毒气体的危险废物进行预处理，稳定后贮存，否则按易爆、易燃危险品贮存。贮存废弃剧毒化学品的，应按照公安机关要求落实治安防范措施。危险废物经营单位需制定废物入场控制措施，并不得接受核准经营许可以外的种类；贮存设施周转的累积贮存量不得超过年许可经营能力的六分之一，贮存期限原则上不得超过三个月，最大贮存周期均以90天计。根据产废周期核算，最大贮存量</w:t>
            </w:r>
            <w:r>
              <w:rPr>
                <w:rFonts w:hint="eastAsia"/>
                <w:b w:val="0"/>
                <w:bCs w:val="0"/>
                <w:color w:val="auto"/>
                <w:sz w:val="24"/>
                <w:szCs w:val="24"/>
                <w:lang w:val="en-US" w:eastAsia="zh-CN"/>
              </w:rPr>
              <w:t>约2.78t</w:t>
            </w:r>
            <w:r>
              <w:rPr>
                <w:rFonts w:hint="eastAsia"/>
                <w:b w:val="0"/>
                <w:bCs w:val="0"/>
                <w:color w:val="auto"/>
                <w:sz w:val="24"/>
                <w:szCs w:val="24"/>
              </w:rPr>
              <w:t>。厂区</w:t>
            </w:r>
            <w:r>
              <w:rPr>
                <w:rFonts w:hint="eastAsia"/>
                <w:b w:val="0"/>
                <w:bCs w:val="0"/>
                <w:color w:val="auto"/>
                <w:sz w:val="24"/>
                <w:szCs w:val="24"/>
                <w:lang w:val="en-US" w:eastAsia="zh-CN"/>
              </w:rPr>
              <w:t>新建</w:t>
            </w:r>
            <w:r>
              <w:rPr>
                <w:rFonts w:hint="eastAsia"/>
                <w:b w:val="0"/>
                <w:bCs w:val="0"/>
                <w:color w:val="auto"/>
                <w:sz w:val="24"/>
                <w:szCs w:val="24"/>
              </w:rPr>
              <w:t>1座</w:t>
            </w:r>
            <w:r>
              <w:rPr>
                <w:rFonts w:hint="eastAsia"/>
                <w:b w:val="0"/>
                <w:bCs w:val="0"/>
                <w:color w:val="auto"/>
                <w:sz w:val="24"/>
                <w:szCs w:val="24"/>
                <w:lang w:val="en-US" w:eastAsia="zh-CN"/>
              </w:rPr>
              <w:t>12</w:t>
            </w:r>
            <w:r>
              <w:rPr>
                <w:rFonts w:hint="eastAsia"/>
                <w:b w:val="0"/>
                <w:bCs w:val="0"/>
                <w:color w:val="auto"/>
                <w:sz w:val="24"/>
                <w:szCs w:val="24"/>
              </w:rPr>
              <w:t>m</w:t>
            </w:r>
            <w:r>
              <w:rPr>
                <w:rFonts w:hint="eastAsia"/>
                <w:b w:val="0"/>
                <w:bCs w:val="0"/>
                <w:color w:val="auto"/>
                <w:sz w:val="24"/>
                <w:szCs w:val="24"/>
                <w:vertAlign w:val="superscript"/>
              </w:rPr>
              <w:t>2</w:t>
            </w:r>
            <w:r>
              <w:rPr>
                <w:rFonts w:hint="eastAsia"/>
                <w:b w:val="0"/>
                <w:bCs w:val="0"/>
                <w:color w:val="auto"/>
                <w:sz w:val="24"/>
                <w:szCs w:val="24"/>
              </w:rPr>
              <w:t>危废仓库，危险废物采用桶装/袋装方式堆放于防渗托盘上，考虑货架间距及人行通道，危废仓库有效面积以总面积8</w:t>
            </w:r>
            <w:r>
              <w:rPr>
                <w:rFonts w:hint="eastAsia"/>
                <w:b w:val="0"/>
                <w:bCs w:val="0"/>
                <w:color w:val="auto"/>
                <w:sz w:val="24"/>
                <w:szCs w:val="24"/>
                <w:lang w:val="en-US" w:eastAsia="zh-CN"/>
              </w:rPr>
              <w:t>0</w:t>
            </w:r>
            <w:r>
              <w:rPr>
                <w:rFonts w:hint="eastAsia"/>
                <w:b w:val="0"/>
                <w:bCs w:val="0"/>
                <w:color w:val="auto"/>
                <w:sz w:val="24"/>
                <w:szCs w:val="24"/>
              </w:rPr>
              <w:t>%计（</w:t>
            </w:r>
            <w:r>
              <w:rPr>
                <w:rFonts w:hint="eastAsia"/>
                <w:b w:val="0"/>
                <w:bCs w:val="0"/>
                <w:color w:val="auto"/>
                <w:sz w:val="24"/>
                <w:szCs w:val="24"/>
                <w:lang w:val="en-US" w:eastAsia="zh-CN"/>
              </w:rPr>
              <w:t>9.6</w:t>
            </w:r>
            <w:r>
              <w:rPr>
                <w:rFonts w:hint="eastAsia"/>
                <w:b w:val="0"/>
                <w:bCs w:val="0"/>
                <w:color w:val="auto"/>
                <w:sz w:val="24"/>
                <w:szCs w:val="24"/>
              </w:rPr>
              <w:t>m</w:t>
            </w:r>
            <w:r>
              <w:rPr>
                <w:rFonts w:hint="eastAsia"/>
                <w:b w:val="0"/>
                <w:bCs w:val="0"/>
                <w:color w:val="auto"/>
                <w:sz w:val="24"/>
                <w:szCs w:val="24"/>
                <w:vertAlign w:val="superscript"/>
              </w:rPr>
              <w:t>2</w:t>
            </w:r>
            <w:r>
              <w:rPr>
                <w:rFonts w:hint="eastAsia"/>
                <w:b w:val="0"/>
                <w:bCs w:val="0"/>
                <w:color w:val="auto"/>
                <w:sz w:val="24"/>
                <w:szCs w:val="24"/>
              </w:rPr>
              <w:t>），可以满足本项目危险废物暂存需要。本项目各类危险废物暂存情况及占地面积分析见</w:t>
            </w:r>
            <w:r>
              <w:rPr>
                <w:rFonts w:hint="eastAsia"/>
                <w:b w:val="0"/>
                <w:bCs w:val="0"/>
                <w:color w:val="auto"/>
                <w:sz w:val="24"/>
                <w:szCs w:val="24"/>
                <w:lang w:val="en-US" w:eastAsia="zh-CN"/>
              </w:rPr>
              <w:t>下表</w:t>
            </w:r>
            <w:r>
              <w:rPr>
                <w:rFonts w:hint="eastAsia"/>
                <w:b w:val="0"/>
                <w:bCs w:val="0"/>
                <w:color w:val="auto"/>
                <w:sz w:val="24"/>
                <w:szCs w:val="24"/>
              </w:rPr>
              <w:t>。</w:t>
            </w:r>
          </w:p>
          <w:p w14:paraId="177B723D">
            <w:pPr>
              <w:snapToGrid w:val="0"/>
              <w:spacing w:line="240" w:lineRule="auto"/>
              <w:ind w:firstLine="361"/>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表4</w:t>
            </w:r>
            <w:r>
              <w:rPr>
                <w:rFonts w:hint="eastAsia" w:ascii="Times New Roman" w:hAnsi="Times New Roman" w:eastAsia="宋体" w:cs="Times New Roman"/>
                <w:b/>
                <w:color w:val="auto"/>
                <w:sz w:val="21"/>
                <w:szCs w:val="21"/>
                <w:highlight w:val="none"/>
                <w:lang w:val="en-US" w:eastAsia="zh-CN"/>
              </w:rPr>
              <w:t>.4</w:t>
            </w:r>
            <w:r>
              <w:rPr>
                <w:rFonts w:hint="default" w:ascii="Times New Roman" w:hAnsi="Times New Roman" w:eastAsia="宋体" w:cs="Times New Roman"/>
                <w:b/>
                <w:color w:val="auto"/>
                <w:sz w:val="21"/>
                <w:szCs w:val="21"/>
                <w:highlight w:val="none"/>
                <w:lang w:val="en-US" w:eastAsia="zh-CN"/>
              </w:rPr>
              <w:t>-</w:t>
            </w:r>
            <w:r>
              <w:rPr>
                <w:rFonts w:hint="eastAsia" w:ascii="Times New Roman" w:hAnsi="Times New Roman" w:eastAsia="宋体" w:cs="Times New Roman"/>
                <w:b/>
                <w:color w:val="auto"/>
                <w:sz w:val="21"/>
                <w:szCs w:val="21"/>
                <w:highlight w:val="none"/>
                <w:lang w:val="en-US" w:eastAsia="zh-CN"/>
              </w:rPr>
              <w:t xml:space="preserve">4 </w:t>
            </w:r>
            <w:r>
              <w:rPr>
                <w:rFonts w:hint="eastAsia" w:cs="Times New Roman"/>
                <w:b/>
                <w:color w:val="auto"/>
                <w:sz w:val="21"/>
                <w:szCs w:val="21"/>
                <w:highlight w:val="none"/>
                <w:lang w:val="en-US" w:eastAsia="zh-CN"/>
              </w:rPr>
              <w:t xml:space="preserve"> </w:t>
            </w:r>
            <w:r>
              <w:rPr>
                <w:rFonts w:hint="eastAsia" w:ascii="Times New Roman" w:hAnsi="Times New Roman" w:eastAsia="宋体" w:cs="Times New Roman"/>
                <w:b/>
                <w:color w:val="auto"/>
                <w:sz w:val="21"/>
                <w:szCs w:val="21"/>
                <w:highlight w:val="none"/>
                <w:lang w:val="en-US" w:eastAsia="zh-CN"/>
              </w:rPr>
              <w:t>建设项目危险废物暂存情况及占地面积一览表</w:t>
            </w:r>
          </w:p>
          <w:tbl>
            <w:tblPr>
              <w:tblStyle w:val="31"/>
              <w:tblW w:w="4904"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368"/>
              <w:gridCol w:w="1368"/>
              <w:gridCol w:w="699"/>
              <w:gridCol w:w="1088"/>
              <w:gridCol w:w="1065"/>
              <w:gridCol w:w="1276"/>
              <w:gridCol w:w="740"/>
              <w:gridCol w:w="1095"/>
              <w:gridCol w:w="843"/>
              <w:gridCol w:w="847"/>
            </w:tblGrid>
            <w:tr w14:paraId="6DE1449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96" w:type="pct"/>
                  <w:tcBorders>
                    <w:tl2br w:val="nil"/>
                    <w:tr2bl w:val="nil"/>
                  </w:tcBorders>
                  <w:noWrap w:val="0"/>
                  <w:vAlign w:val="center"/>
                </w:tcPr>
                <w:p w14:paraId="53E9372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color w:val="auto"/>
                      <w:spacing w:val="0"/>
                      <w:kern w:val="0"/>
                      <w:sz w:val="21"/>
                      <w:szCs w:val="21"/>
                    </w:rPr>
                  </w:pPr>
                  <w:r>
                    <w:rPr>
                      <w:rFonts w:hint="default" w:ascii="Times New Roman" w:hAnsi="Times New Roman" w:eastAsia="宋体" w:cs="Times New Roman"/>
                      <w:b/>
                      <w:bCs/>
                      <w:color w:val="auto"/>
                      <w:spacing w:val="0"/>
                      <w:kern w:val="0"/>
                      <w:sz w:val="21"/>
                      <w:szCs w:val="21"/>
                    </w:rPr>
                    <w:t>序号</w:t>
                  </w:r>
                </w:p>
              </w:tc>
              <w:tc>
                <w:tcPr>
                  <w:tcW w:w="728" w:type="pct"/>
                  <w:tcBorders>
                    <w:tl2br w:val="nil"/>
                    <w:tr2bl w:val="nil"/>
                  </w:tcBorders>
                  <w:noWrap w:val="0"/>
                  <w:vAlign w:val="center"/>
                </w:tcPr>
                <w:p w14:paraId="616EA3F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color w:val="auto"/>
                      <w:spacing w:val="0"/>
                      <w:kern w:val="0"/>
                      <w:sz w:val="21"/>
                      <w:szCs w:val="21"/>
                    </w:rPr>
                  </w:pPr>
                  <w:r>
                    <w:rPr>
                      <w:rFonts w:hint="default" w:ascii="Times New Roman" w:hAnsi="Times New Roman" w:eastAsia="宋体" w:cs="Times New Roman"/>
                      <w:b/>
                      <w:bCs/>
                      <w:color w:val="auto"/>
                      <w:spacing w:val="0"/>
                      <w:kern w:val="0"/>
                      <w:sz w:val="21"/>
                      <w:szCs w:val="21"/>
                    </w:rPr>
                    <w:t>危废名称</w:t>
                  </w:r>
                </w:p>
              </w:tc>
              <w:tc>
                <w:tcPr>
                  <w:tcW w:w="372" w:type="pct"/>
                  <w:tcBorders>
                    <w:tl2br w:val="nil"/>
                    <w:tr2bl w:val="nil"/>
                  </w:tcBorders>
                  <w:noWrap w:val="0"/>
                  <w:vAlign w:val="center"/>
                </w:tcPr>
                <w:p w14:paraId="1775EC1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color w:val="auto"/>
                      <w:spacing w:val="0"/>
                      <w:kern w:val="0"/>
                      <w:sz w:val="21"/>
                      <w:szCs w:val="21"/>
                    </w:rPr>
                  </w:pPr>
                  <w:r>
                    <w:rPr>
                      <w:rFonts w:hint="default" w:ascii="Times New Roman" w:hAnsi="Times New Roman" w:eastAsia="宋体" w:cs="Times New Roman"/>
                      <w:b/>
                      <w:bCs/>
                      <w:color w:val="auto"/>
                      <w:spacing w:val="0"/>
                      <w:kern w:val="0"/>
                      <w:sz w:val="21"/>
                      <w:szCs w:val="21"/>
                    </w:rPr>
                    <w:t>危废类别</w:t>
                  </w:r>
                </w:p>
              </w:tc>
              <w:tc>
                <w:tcPr>
                  <w:tcW w:w="579" w:type="pct"/>
                  <w:tcBorders>
                    <w:tl2br w:val="nil"/>
                    <w:tr2bl w:val="nil"/>
                  </w:tcBorders>
                  <w:noWrap w:val="0"/>
                  <w:vAlign w:val="center"/>
                </w:tcPr>
                <w:p w14:paraId="405DAD4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color w:val="auto"/>
                      <w:spacing w:val="0"/>
                      <w:kern w:val="0"/>
                      <w:sz w:val="21"/>
                      <w:szCs w:val="21"/>
                    </w:rPr>
                  </w:pPr>
                  <w:r>
                    <w:rPr>
                      <w:rFonts w:hint="default" w:ascii="Times New Roman" w:hAnsi="Times New Roman" w:eastAsia="宋体" w:cs="Times New Roman"/>
                      <w:b/>
                      <w:bCs/>
                      <w:color w:val="auto"/>
                      <w:spacing w:val="0"/>
                      <w:kern w:val="0"/>
                      <w:sz w:val="21"/>
                      <w:szCs w:val="21"/>
                    </w:rPr>
                    <w:t>危废代码</w:t>
                  </w:r>
                </w:p>
              </w:tc>
              <w:tc>
                <w:tcPr>
                  <w:tcW w:w="567" w:type="pct"/>
                  <w:tcBorders>
                    <w:tl2br w:val="nil"/>
                    <w:tr2bl w:val="nil"/>
                  </w:tcBorders>
                  <w:noWrap w:val="0"/>
                  <w:vAlign w:val="center"/>
                </w:tcPr>
                <w:p w14:paraId="22ABB888">
                  <w:pPr>
                    <w:pStyle w:val="32"/>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color w:val="auto"/>
                      <w:spacing w:val="0"/>
                      <w:kern w:val="0"/>
                      <w:sz w:val="21"/>
                      <w:szCs w:val="21"/>
                    </w:rPr>
                  </w:pPr>
                  <w:r>
                    <w:rPr>
                      <w:rFonts w:hint="default" w:ascii="Times New Roman" w:hAnsi="Times New Roman" w:eastAsia="宋体" w:cs="Times New Roman"/>
                      <w:b/>
                      <w:bCs/>
                      <w:color w:val="auto"/>
                      <w:spacing w:val="0"/>
                      <w:kern w:val="0"/>
                      <w:sz w:val="21"/>
                      <w:szCs w:val="21"/>
                    </w:rPr>
                    <w:t>产生量（t/a）</w:t>
                  </w:r>
                </w:p>
              </w:tc>
              <w:tc>
                <w:tcPr>
                  <w:tcW w:w="679" w:type="pct"/>
                  <w:tcBorders>
                    <w:tl2br w:val="nil"/>
                    <w:tr2bl w:val="nil"/>
                  </w:tcBorders>
                  <w:noWrap w:val="0"/>
                  <w:vAlign w:val="center"/>
                </w:tcPr>
                <w:p w14:paraId="0F9CA3A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color w:val="auto"/>
                      <w:spacing w:val="0"/>
                      <w:kern w:val="0"/>
                      <w:sz w:val="21"/>
                      <w:szCs w:val="21"/>
                    </w:rPr>
                  </w:pPr>
                  <w:r>
                    <w:rPr>
                      <w:rFonts w:hint="default" w:ascii="Times New Roman" w:hAnsi="Times New Roman" w:eastAsia="宋体" w:cs="Times New Roman"/>
                      <w:b/>
                      <w:bCs/>
                      <w:color w:val="auto"/>
                      <w:spacing w:val="0"/>
                      <w:kern w:val="0"/>
                      <w:sz w:val="21"/>
                      <w:szCs w:val="21"/>
                    </w:rPr>
                    <w:t>产生工序</w:t>
                  </w:r>
                </w:p>
              </w:tc>
              <w:tc>
                <w:tcPr>
                  <w:tcW w:w="391" w:type="pct"/>
                  <w:tcBorders>
                    <w:tl2br w:val="nil"/>
                    <w:tr2bl w:val="nil"/>
                  </w:tcBorders>
                  <w:noWrap w:val="0"/>
                  <w:vAlign w:val="center"/>
                </w:tcPr>
                <w:p w14:paraId="75D1777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color w:val="auto"/>
                      <w:spacing w:val="0"/>
                      <w:kern w:val="0"/>
                      <w:sz w:val="21"/>
                      <w:szCs w:val="21"/>
                    </w:rPr>
                  </w:pPr>
                  <w:r>
                    <w:rPr>
                      <w:rFonts w:hint="default" w:ascii="Times New Roman" w:hAnsi="Times New Roman" w:eastAsia="宋体" w:cs="Times New Roman"/>
                      <w:b/>
                      <w:bCs/>
                      <w:color w:val="auto"/>
                      <w:spacing w:val="0"/>
                      <w:kern w:val="0"/>
                      <w:sz w:val="21"/>
                      <w:szCs w:val="21"/>
                    </w:rPr>
                    <w:t>产废周期</w:t>
                  </w:r>
                </w:p>
              </w:tc>
              <w:tc>
                <w:tcPr>
                  <w:tcW w:w="583" w:type="pct"/>
                  <w:tcBorders>
                    <w:tl2br w:val="nil"/>
                    <w:tr2bl w:val="nil"/>
                  </w:tcBorders>
                  <w:noWrap w:val="0"/>
                  <w:vAlign w:val="center"/>
                </w:tcPr>
                <w:p w14:paraId="1416C041">
                  <w:pPr>
                    <w:pStyle w:val="32"/>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color w:val="auto"/>
                      <w:spacing w:val="0"/>
                      <w:kern w:val="0"/>
                      <w:sz w:val="21"/>
                      <w:szCs w:val="21"/>
                    </w:rPr>
                  </w:pPr>
                  <w:r>
                    <w:rPr>
                      <w:rFonts w:hint="default" w:ascii="Times New Roman" w:hAnsi="Times New Roman" w:eastAsia="宋体" w:cs="Times New Roman"/>
                      <w:b/>
                      <w:bCs/>
                      <w:color w:val="auto"/>
                      <w:spacing w:val="0"/>
                      <w:kern w:val="0"/>
                      <w:sz w:val="21"/>
                      <w:szCs w:val="21"/>
                    </w:rPr>
                    <w:t>最大贮存量</w:t>
                  </w:r>
                </w:p>
                <w:p w14:paraId="66160DE3">
                  <w:pPr>
                    <w:pStyle w:val="32"/>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color w:val="auto"/>
                      <w:spacing w:val="0"/>
                      <w:kern w:val="0"/>
                      <w:sz w:val="21"/>
                      <w:szCs w:val="21"/>
                    </w:rPr>
                  </w:pPr>
                  <w:r>
                    <w:rPr>
                      <w:rFonts w:hint="default" w:ascii="Times New Roman" w:hAnsi="Times New Roman" w:eastAsia="宋体" w:cs="Times New Roman"/>
                      <w:b/>
                      <w:bCs/>
                      <w:color w:val="auto"/>
                      <w:spacing w:val="0"/>
                      <w:kern w:val="0"/>
                      <w:sz w:val="21"/>
                      <w:szCs w:val="21"/>
                    </w:rPr>
                    <w:t>（90d计）</w:t>
                  </w:r>
                </w:p>
              </w:tc>
              <w:tc>
                <w:tcPr>
                  <w:tcW w:w="449" w:type="pct"/>
                  <w:tcBorders>
                    <w:tl2br w:val="nil"/>
                    <w:tr2bl w:val="nil"/>
                  </w:tcBorders>
                  <w:noWrap w:val="0"/>
                  <w:vAlign w:val="center"/>
                </w:tcPr>
                <w:p w14:paraId="423C4584">
                  <w:pPr>
                    <w:pStyle w:val="32"/>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b/>
                      <w:bCs/>
                      <w:color w:val="auto"/>
                      <w:spacing w:val="0"/>
                      <w:kern w:val="0"/>
                      <w:sz w:val="21"/>
                      <w:szCs w:val="21"/>
                      <w:lang w:val="en-US" w:eastAsia="zh-CN"/>
                    </w:rPr>
                  </w:pPr>
                  <w:r>
                    <w:rPr>
                      <w:rFonts w:hint="default" w:ascii="Times New Roman" w:hAnsi="Times New Roman" w:eastAsia="宋体" w:cs="Times New Roman"/>
                      <w:b/>
                      <w:bCs/>
                      <w:color w:val="auto"/>
                      <w:spacing w:val="0"/>
                      <w:kern w:val="0"/>
                      <w:sz w:val="21"/>
                      <w:szCs w:val="21"/>
                    </w:rPr>
                    <w:t>占地面积m</w:t>
                  </w:r>
                  <w:r>
                    <w:rPr>
                      <w:rFonts w:hint="eastAsia" w:ascii="Times New Roman" w:hAnsi="Times New Roman" w:cs="Times New Roman"/>
                      <w:b/>
                      <w:bCs/>
                      <w:color w:val="auto"/>
                      <w:spacing w:val="0"/>
                      <w:kern w:val="0"/>
                      <w:sz w:val="21"/>
                      <w:szCs w:val="21"/>
                      <w:vertAlign w:val="superscript"/>
                      <w:lang w:val="en-US" w:eastAsia="zh-CN"/>
                    </w:rPr>
                    <w:t>2</w:t>
                  </w:r>
                </w:p>
              </w:tc>
              <w:tc>
                <w:tcPr>
                  <w:tcW w:w="451" w:type="pct"/>
                  <w:tcBorders>
                    <w:tl2br w:val="nil"/>
                    <w:tr2bl w:val="nil"/>
                  </w:tcBorders>
                  <w:noWrap w:val="0"/>
                  <w:vAlign w:val="center"/>
                </w:tcPr>
                <w:p w14:paraId="5ABB26C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color w:val="auto"/>
                      <w:spacing w:val="0"/>
                      <w:kern w:val="0"/>
                      <w:sz w:val="21"/>
                      <w:szCs w:val="21"/>
                    </w:rPr>
                  </w:pPr>
                  <w:r>
                    <w:rPr>
                      <w:rFonts w:hint="default" w:ascii="Times New Roman" w:hAnsi="Times New Roman" w:eastAsia="宋体" w:cs="Times New Roman"/>
                      <w:b/>
                      <w:bCs/>
                      <w:color w:val="auto"/>
                      <w:spacing w:val="0"/>
                      <w:kern w:val="0"/>
                      <w:sz w:val="21"/>
                      <w:szCs w:val="21"/>
                    </w:rPr>
                    <w:t>贮存方式</w:t>
                  </w:r>
                </w:p>
              </w:tc>
            </w:tr>
            <w:tr w14:paraId="5C9EA78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96" w:type="pct"/>
                  <w:tcBorders>
                    <w:tl2br w:val="nil"/>
                    <w:tr2bl w:val="nil"/>
                  </w:tcBorders>
                  <w:shd w:val="clear" w:color="auto" w:fill="auto"/>
                  <w:noWrap w:val="0"/>
                  <w:vAlign w:val="center"/>
                </w:tcPr>
                <w:p w14:paraId="3DFC8A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w:t>
                  </w:r>
                </w:p>
              </w:tc>
              <w:tc>
                <w:tcPr>
                  <w:tcW w:w="728" w:type="pct"/>
                  <w:tcBorders>
                    <w:tl2br w:val="nil"/>
                    <w:tr2bl w:val="nil"/>
                  </w:tcBorders>
                  <w:shd w:val="clear" w:color="auto" w:fill="auto"/>
                  <w:noWrap w:val="0"/>
                  <w:vAlign w:val="center"/>
                </w:tcPr>
                <w:p w14:paraId="1836CA2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 w:val="0"/>
                      <w:bCs/>
                      <w:color w:val="auto"/>
                      <w:sz w:val="21"/>
                      <w:szCs w:val="21"/>
                      <w:highlight w:val="none"/>
                      <w:lang w:val="en-US" w:eastAsia="zh-CN"/>
                    </w:rPr>
                    <w:t>废墨盒</w:t>
                  </w:r>
                </w:p>
              </w:tc>
              <w:tc>
                <w:tcPr>
                  <w:tcW w:w="372" w:type="pct"/>
                  <w:tcBorders>
                    <w:tl2br w:val="nil"/>
                    <w:tr2bl w:val="nil"/>
                  </w:tcBorders>
                  <w:shd w:val="clear" w:color="auto" w:fill="auto"/>
                  <w:noWrap w:val="0"/>
                  <w:vAlign w:val="center"/>
                </w:tcPr>
                <w:p w14:paraId="45807B7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HW49</w:t>
                  </w:r>
                </w:p>
              </w:tc>
              <w:tc>
                <w:tcPr>
                  <w:tcW w:w="579" w:type="pct"/>
                  <w:tcBorders>
                    <w:tl2br w:val="nil"/>
                    <w:tr2bl w:val="nil"/>
                  </w:tcBorders>
                  <w:shd w:val="clear" w:color="auto" w:fill="auto"/>
                  <w:noWrap w:val="0"/>
                  <w:vAlign w:val="center"/>
                </w:tcPr>
                <w:p w14:paraId="4A4DB4E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900-041-49</w:t>
                  </w:r>
                </w:p>
              </w:tc>
              <w:tc>
                <w:tcPr>
                  <w:tcW w:w="567" w:type="pct"/>
                  <w:tcBorders>
                    <w:tl2br w:val="nil"/>
                    <w:tr2bl w:val="nil"/>
                  </w:tcBorders>
                  <w:shd w:val="clear" w:color="auto" w:fill="auto"/>
                  <w:noWrap w:val="0"/>
                  <w:vAlign w:val="center"/>
                </w:tcPr>
                <w:p w14:paraId="73330BE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0.04</w:t>
                  </w:r>
                </w:p>
              </w:tc>
              <w:tc>
                <w:tcPr>
                  <w:tcW w:w="679" w:type="pct"/>
                  <w:tcBorders>
                    <w:tl2br w:val="nil"/>
                    <w:tr2bl w:val="nil"/>
                  </w:tcBorders>
                  <w:noWrap w:val="0"/>
                  <w:vAlign w:val="center"/>
                </w:tcPr>
                <w:p w14:paraId="41EE523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auto"/>
                      <w:kern w:val="2"/>
                      <w:sz w:val="21"/>
                      <w:szCs w:val="21"/>
                      <w:lang w:val="en-US" w:eastAsia="zh-CN" w:bidi="ar-SA"/>
                    </w:rPr>
                  </w:pPr>
                  <w:r>
                    <w:rPr>
                      <w:rFonts w:hint="eastAsia" w:cs="Times New Roman"/>
                      <w:color w:val="auto"/>
                      <w:sz w:val="21"/>
                      <w:szCs w:val="21"/>
                      <w:lang w:val="en-US" w:eastAsia="zh-CN"/>
                    </w:rPr>
                    <w:t>UV打印</w:t>
                  </w:r>
                </w:p>
              </w:tc>
              <w:tc>
                <w:tcPr>
                  <w:tcW w:w="391" w:type="pct"/>
                  <w:tcBorders>
                    <w:tl2br w:val="nil"/>
                    <w:tr2bl w:val="nil"/>
                  </w:tcBorders>
                  <w:noWrap w:val="0"/>
                  <w:vAlign w:val="center"/>
                </w:tcPr>
                <w:p w14:paraId="1CA85AB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每月</w:t>
                  </w:r>
                </w:p>
              </w:tc>
              <w:tc>
                <w:tcPr>
                  <w:tcW w:w="583" w:type="pct"/>
                  <w:tcBorders>
                    <w:tl2br w:val="nil"/>
                    <w:tr2bl w:val="nil"/>
                  </w:tcBorders>
                  <w:noWrap w:val="0"/>
                  <w:vAlign w:val="center"/>
                </w:tcPr>
                <w:p w14:paraId="43A2B7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pacing w:val="0"/>
                      <w:kern w:val="0"/>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449" w:type="pct"/>
                  <w:tcBorders>
                    <w:tl2br w:val="nil"/>
                    <w:tr2bl w:val="nil"/>
                  </w:tcBorders>
                  <w:noWrap w:val="0"/>
                  <w:vAlign w:val="center"/>
                </w:tcPr>
                <w:p w14:paraId="36831A6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spacing w:val="0"/>
                      <w:kern w:val="0"/>
                      <w:sz w:val="21"/>
                      <w:szCs w:val="21"/>
                      <w:lang w:val="en-US"/>
                    </w:rPr>
                  </w:pPr>
                  <w:r>
                    <w:rPr>
                      <w:rFonts w:hint="eastAsia" w:ascii="Times New Roman" w:hAnsi="Times New Roman" w:eastAsia="宋体" w:cs="Times New Roman"/>
                      <w:i w:val="0"/>
                      <w:iCs w:val="0"/>
                      <w:color w:val="auto"/>
                      <w:spacing w:val="0"/>
                      <w:kern w:val="0"/>
                      <w:sz w:val="21"/>
                      <w:szCs w:val="21"/>
                      <w:u w:val="none"/>
                      <w:lang w:val="en-US" w:eastAsia="zh-CN" w:bidi="ar"/>
                    </w:rPr>
                    <w:t>0.</w:t>
                  </w:r>
                  <w:r>
                    <w:rPr>
                      <w:rFonts w:hint="eastAsia" w:cs="Times New Roman"/>
                      <w:i w:val="0"/>
                      <w:iCs w:val="0"/>
                      <w:color w:val="auto"/>
                      <w:spacing w:val="0"/>
                      <w:kern w:val="0"/>
                      <w:sz w:val="21"/>
                      <w:szCs w:val="21"/>
                      <w:u w:val="none"/>
                      <w:lang w:val="en-US" w:eastAsia="zh-CN" w:bidi="ar"/>
                    </w:rPr>
                    <w:t>5</w:t>
                  </w:r>
                </w:p>
              </w:tc>
              <w:tc>
                <w:tcPr>
                  <w:tcW w:w="451" w:type="pct"/>
                  <w:tcBorders>
                    <w:tl2br w:val="nil"/>
                    <w:tr2bl w:val="nil"/>
                  </w:tcBorders>
                  <w:noWrap w:val="0"/>
                  <w:vAlign w:val="center"/>
                </w:tcPr>
                <w:p w14:paraId="7768B22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缠绕膜包装</w:t>
                  </w:r>
                  <w:r>
                    <w:rPr>
                      <w:rFonts w:hint="eastAsia" w:ascii="Times New Roman" w:hAnsi="Times New Roman" w:eastAsia="宋体" w:cs="Times New Roman"/>
                      <w:color w:val="auto"/>
                      <w:spacing w:val="0"/>
                      <w:kern w:val="0"/>
                      <w:sz w:val="21"/>
                      <w:szCs w:val="21"/>
                      <w:lang w:eastAsia="zh-CN"/>
                    </w:rPr>
                    <w:t>，</w:t>
                  </w:r>
                  <w:r>
                    <w:rPr>
                      <w:rFonts w:hint="eastAsia" w:ascii="Times New Roman" w:hAnsi="Times New Roman" w:eastAsia="宋体" w:cs="Times New Roman"/>
                      <w:color w:val="auto"/>
                      <w:spacing w:val="0"/>
                      <w:kern w:val="0"/>
                      <w:sz w:val="21"/>
                      <w:szCs w:val="21"/>
                      <w:lang w:val="en-US" w:eastAsia="zh-CN"/>
                    </w:rPr>
                    <w:t>托盘</w:t>
                  </w:r>
                </w:p>
              </w:tc>
            </w:tr>
            <w:tr w14:paraId="29798E9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96" w:type="pct"/>
                  <w:tcBorders>
                    <w:tl2br w:val="nil"/>
                    <w:tr2bl w:val="nil"/>
                  </w:tcBorders>
                  <w:shd w:val="clear" w:color="auto" w:fill="auto"/>
                  <w:noWrap w:val="0"/>
                  <w:vAlign w:val="center"/>
                </w:tcPr>
                <w:p w14:paraId="72B3C5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w:t>
                  </w:r>
                </w:p>
              </w:tc>
              <w:tc>
                <w:tcPr>
                  <w:tcW w:w="728" w:type="pct"/>
                  <w:tcBorders>
                    <w:tl2br w:val="nil"/>
                    <w:tr2bl w:val="nil"/>
                  </w:tcBorders>
                  <w:shd w:val="clear" w:color="auto" w:fill="auto"/>
                  <w:noWrap w:val="0"/>
                  <w:vAlign w:val="center"/>
                </w:tcPr>
                <w:p w14:paraId="399FE9E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 w:val="0"/>
                      <w:bCs/>
                      <w:color w:val="auto"/>
                      <w:sz w:val="21"/>
                      <w:szCs w:val="21"/>
                      <w:highlight w:val="none"/>
                      <w:lang w:val="en-US" w:eastAsia="zh-CN"/>
                    </w:rPr>
                    <w:t>清洗废液</w:t>
                  </w:r>
                </w:p>
              </w:tc>
              <w:tc>
                <w:tcPr>
                  <w:tcW w:w="372" w:type="pct"/>
                  <w:tcBorders>
                    <w:tl2br w:val="nil"/>
                    <w:tr2bl w:val="nil"/>
                  </w:tcBorders>
                  <w:shd w:val="clear" w:color="auto" w:fill="auto"/>
                  <w:noWrap w:val="0"/>
                  <w:vAlign w:val="center"/>
                </w:tcPr>
                <w:p w14:paraId="699BA1D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color w:val="auto"/>
                      <w:sz w:val="21"/>
                      <w:szCs w:val="21"/>
                      <w:highlight w:val="none"/>
                      <w:lang w:val="en-US" w:eastAsia="zh-CN"/>
                    </w:rPr>
                    <w:t>HW</w:t>
                  </w:r>
                  <w:r>
                    <w:rPr>
                      <w:rFonts w:hint="eastAsia" w:cs="Times New Roman"/>
                      <w:b w:val="0"/>
                      <w:bCs/>
                      <w:color w:val="auto"/>
                      <w:sz w:val="21"/>
                      <w:szCs w:val="21"/>
                      <w:highlight w:val="none"/>
                      <w:lang w:val="en-US" w:eastAsia="zh-CN"/>
                    </w:rPr>
                    <w:t>35</w:t>
                  </w:r>
                </w:p>
              </w:tc>
              <w:tc>
                <w:tcPr>
                  <w:tcW w:w="579" w:type="pct"/>
                  <w:tcBorders>
                    <w:tl2br w:val="nil"/>
                    <w:tr2bl w:val="nil"/>
                  </w:tcBorders>
                  <w:shd w:val="clear" w:color="auto" w:fill="auto"/>
                  <w:noWrap w:val="0"/>
                  <w:vAlign w:val="center"/>
                </w:tcPr>
                <w:p w14:paraId="0A14B9D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sz w:val="21"/>
                      <w:szCs w:val="21"/>
                      <w:highlight w:val="none"/>
                    </w:rPr>
                    <w:t>900-</w:t>
                  </w:r>
                  <w:r>
                    <w:rPr>
                      <w:rFonts w:hint="eastAsia" w:cs="Times New Roman"/>
                      <w:b w:val="0"/>
                      <w:bCs/>
                      <w:color w:val="auto"/>
                      <w:sz w:val="21"/>
                      <w:szCs w:val="21"/>
                      <w:highlight w:val="none"/>
                      <w:lang w:val="en-US" w:eastAsia="zh-CN"/>
                    </w:rPr>
                    <w:t>352</w:t>
                  </w:r>
                  <w:r>
                    <w:rPr>
                      <w:rFonts w:hint="default" w:ascii="Times New Roman" w:hAnsi="Times New Roman" w:eastAsia="宋体" w:cs="Times New Roman"/>
                      <w:b w:val="0"/>
                      <w:bCs/>
                      <w:color w:val="auto"/>
                      <w:sz w:val="21"/>
                      <w:szCs w:val="21"/>
                      <w:highlight w:val="none"/>
                    </w:rPr>
                    <w:t>-</w:t>
                  </w:r>
                  <w:r>
                    <w:rPr>
                      <w:rFonts w:hint="eastAsia" w:cs="Times New Roman"/>
                      <w:b w:val="0"/>
                      <w:bCs/>
                      <w:color w:val="auto"/>
                      <w:sz w:val="21"/>
                      <w:szCs w:val="21"/>
                      <w:highlight w:val="none"/>
                      <w:lang w:val="en-US" w:eastAsia="zh-CN"/>
                    </w:rPr>
                    <w:t>35</w:t>
                  </w:r>
                </w:p>
              </w:tc>
              <w:tc>
                <w:tcPr>
                  <w:tcW w:w="567" w:type="pct"/>
                  <w:tcBorders>
                    <w:tl2br w:val="nil"/>
                    <w:tr2bl w:val="nil"/>
                  </w:tcBorders>
                  <w:shd w:val="clear" w:color="auto" w:fill="auto"/>
                  <w:noWrap w:val="0"/>
                  <w:vAlign w:val="center"/>
                </w:tcPr>
                <w:p w14:paraId="7144E3E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w:t>
                  </w:r>
                </w:p>
              </w:tc>
              <w:tc>
                <w:tcPr>
                  <w:tcW w:w="679" w:type="pct"/>
                  <w:tcBorders>
                    <w:tl2br w:val="nil"/>
                    <w:tr2bl w:val="nil"/>
                  </w:tcBorders>
                  <w:noWrap w:val="0"/>
                  <w:vAlign w:val="center"/>
                </w:tcPr>
                <w:p w14:paraId="754421B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auto"/>
                      <w:kern w:val="2"/>
                      <w:sz w:val="21"/>
                      <w:szCs w:val="21"/>
                      <w:lang w:val="en-US" w:eastAsia="zh-CN" w:bidi="ar-SA"/>
                    </w:rPr>
                  </w:pPr>
                  <w:r>
                    <w:rPr>
                      <w:rFonts w:hint="eastAsia" w:cs="Times New Roman"/>
                      <w:color w:val="auto"/>
                      <w:sz w:val="21"/>
                      <w:szCs w:val="21"/>
                      <w:lang w:val="en-US" w:eastAsia="zh-CN"/>
                    </w:rPr>
                    <w:t>清洗</w:t>
                  </w:r>
                </w:p>
              </w:tc>
              <w:tc>
                <w:tcPr>
                  <w:tcW w:w="391" w:type="pct"/>
                  <w:tcBorders>
                    <w:tl2br w:val="nil"/>
                    <w:tr2bl w:val="nil"/>
                  </w:tcBorders>
                  <w:noWrap w:val="0"/>
                  <w:vAlign w:val="center"/>
                </w:tcPr>
                <w:p w14:paraId="04BA884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每</w:t>
                  </w:r>
                  <w:r>
                    <w:rPr>
                      <w:rFonts w:hint="eastAsia" w:cs="Times New Roman"/>
                      <w:color w:val="auto"/>
                      <w:sz w:val="21"/>
                      <w:szCs w:val="21"/>
                      <w:lang w:val="en-US" w:eastAsia="zh-CN"/>
                    </w:rPr>
                    <w:t>9天</w:t>
                  </w:r>
                </w:p>
              </w:tc>
              <w:tc>
                <w:tcPr>
                  <w:tcW w:w="583" w:type="pct"/>
                  <w:tcBorders>
                    <w:tl2br w:val="nil"/>
                    <w:tr2bl w:val="nil"/>
                  </w:tcBorders>
                  <w:noWrap w:val="0"/>
                  <w:vAlign w:val="center"/>
                </w:tcPr>
                <w:p w14:paraId="30B5D0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pacing w:val="0"/>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cs="Times New Roman"/>
                      <w:i w:val="0"/>
                      <w:iCs w:val="0"/>
                      <w:color w:val="auto"/>
                      <w:kern w:val="0"/>
                      <w:sz w:val="21"/>
                      <w:szCs w:val="21"/>
                      <w:u w:val="none"/>
                      <w:lang w:val="en-US" w:eastAsia="zh-CN" w:bidi="ar"/>
                    </w:rPr>
                    <w:t>25</w:t>
                  </w:r>
                </w:p>
              </w:tc>
              <w:tc>
                <w:tcPr>
                  <w:tcW w:w="449" w:type="pct"/>
                  <w:tcBorders>
                    <w:tl2br w:val="nil"/>
                    <w:tr2bl w:val="nil"/>
                  </w:tcBorders>
                  <w:noWrap w:val="0"/>
                  <w:vAlign w:val="center"/>
                </w:tcPr>
                <w:p w14:paraId="6BDE67B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spacing w:val="0"/>
                      <w:kern w:val="0"/>
                      <w:sz w:val="21"/>
                      <w:szCs w:val="21"/>
                      <w:lang w:val="en-US" w:eastAsia="zh-CN" w:bidi="ar-SA"/>
                    </w:rPr>
                  </w:pPr>
                  <w:r>
                    <w:rPr>
                      <w:rFonts w:hint="eastAsia" w:cs="Times New Roman"/>
                      <w:i w:val="0"/>
                      <w:iCs w:val="0"/>
                      <w:color w:val="auto"/>
                      <w:spacing w:val="0"/>
                      <w:kern w:val="0"/>
                      <w:sz w:val="21"/>
                      <w:szCs w:val="21"/>
                      <w:u w:val="none"/>
                      <w:lang w:val="en-US" w:eastAsia="zh-CN" w:bidi="ar"/>
                    </w:rPr>
                    <w:t>2</w:t>
                  </w:r>
                </w:p>
              </w:tc>
              <w:tc>
                <w:tcPr>
                  <w:tcW w:w="451" w:type="pct"/>
                  <w:tcBorders>
                    <w:tl2br w:val="nil"/>
                    <w:tr2bl w:val="nil"/>
                  </w:tcBorders>
                  <w:noWrap w:val="0"/>
                  <w:vAlign w:val="center"/>
                </w:tcPr>
                <w:p w14:paraId="5EE734D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sz w:val="21"/>
                      <w:szCs w:val="21"/>
                      <w:lang w:val="en-US" w:eastAsia="zh-CN" w:bidi="ar-SA"/>
                    </w:rPr>
                  </w:pPr>
                  <w:r>
                    <w:rPr>
                      <w:rFonts w:hint="eastAsia" w:ascii="Times New Roman" w:hAnsi="Times New Roman" w:cs="Times New Roman"/>
                      <w:color w:val="auto"/>
                      <w:spacing w:val="0"/>
                      <w:kern w:val="0"/>
                      <w:sz w:val="21"/>
                      <w:szCs w:val="21"/>
                      <w:lang w:val="en-US" w:eastAsia="zh-CN"/>
                    </w:rPr>
                    <w:t>桶装</w:t>
                  </w:r>
                </w:p>
              </w:tc>
            </w:tr>
            <w:tr w14:paraId="76FB5F9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96" w:type="pct"/>
                  <w:tcBorders>
                    <w:tl2br w:val="nil"/>
                    <w:tr2bl w:val="nil"/>
                  </w:tcBorders>
                  <w:shd w:val="clear" w:color="auto" w:fill="auto"/>
                  <w:noWrap w:val="0"/>
                  <w:vAlign w:val="center"/>
                </w:tcPr>
                <w:p w14:paraId="24A888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c>
                <w:tcPr>
                  <w:tcW w:w="728" w:type="pct"/>
                  <w:tcBorders>
                    <w:tl2br w:val="nil"/>
                    <w:tr2bl w:val="nil"/>
                  </w:tcBorders>
                  <w:shd w:val="clear" w:color="auto" w:fill="auto"/>
                  <w:noWrap w:val="0"/>
                  <w:vAlign w:val="center"/>
                </w:tcPr>
                <w:p w14:paraId="729E33C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b w:val="0"/>
                      <w:bCs/>
                      <w:color w:val="auto"/>
                      <w:sz w:val="21"/>
                      <w:szCs w:val="21"/>
                      <w:highlight w:val="none"/>
                      <w:lang w:val="en-US" w:eastAsia="zh-CN"/>
                    </w:rPr>
                    <w:t>废</w:t>
                  </w:r>
                  <w:r>
                    <w:rPr>
                      <w:rFonts w:hint="eastAsia" w:ascii="Times New Roman" w:hAnsi="Times New Roman" w:eastAsia="宋体" w:cs="Times New Roman"/>
                      <w:b w:val="0"/>
                      <w:bCs/>
                      <w:color w:val="auto"/>
                      <w:kern w:val="2"/>
                      <w:sz w:val="21"/>
                      <w:szCs w:val="21"/>
                      <w:highlight w:val="none"/>
                      <w:lang w:val="en-US" w:eastAsia="zh-CN" w:bidi="ar-SA"/>
                    </w:rPr>
                    <w:t>切削液</w:t>
                  </w:r>
                </w:p>
              </w:tc>
              <w:tc>
                <w:tcPr>
                  <w:tcW w:w="372" w:type="pct"/>
                  <w:tcBorders>
                    <w:tl2br w:val="nil"/>
                    <w:tr2bl w:val="nil"/>
                  </w:tcBorders>
                  <w:shd w:val="clear" w:color="auto" w:fill="auto"/>
                  <w:noWrap w:val="0"/>
                  <w:vAlign w:val="center"/>
                </w:tcPr>
                <w:p w14:paraId="0C3384A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HW09</w:t>
                  </w:r>
                </w:p>
              </w:tc>
              <w:tc>
                <w:tcPr>
                  <w:tcW w:w="579" w:type="pct"/>
                  <w:tcBorders>
                    <w:tl2br w:val="nil"/>
                    <w:tr2bl w:val="nil"/>
                  </w:tcBorders>
                  <w:shd w:val="clear" w:color="auto" w:fill="auto"/>
                  <w:noWrap w:val="0"/>
                  <w:vAlign w:val="center"/>
                </w:tcPr>
                <w:p w14:paraId="68B966D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sz w:val="21"/>
                      <w:szCs w:val="21"/>
                      <w:highlight w:val="none"/>
                    </w:rPr>
                    <w:t>900-0</w:t>
                  </w:r>
                  <w:r>
                    <w:rPr>
                      <w:rFonts w:hint="eastAsia" w:ascii="Times New Roman" w:hAnsi="Times New Roman" w:eastAsia="宋体" w:cs="Times New Roman"/>
                      <w:b w:val="0"/>
                      <w:bCs/>
                      <w:color w:val="auto"/>
                      <w:sz w:val="21"/>
                      <w:szCs w:val="21"/>
                      <w:highlight w:val="none"/>
                      <w:lang w:val="en-US" w:eastAsia="zh-CN"/>
                    </w:rPr>
                    <w:t>06</w:t>
                  </w:r>
                  <w:r>
                    <w:rPr>
                      <w:rFonts w:hint="default" w:ascii="Times New Roman" w:hAnsi="Times New Roman" w:eastAsia="宋体" w:cs="Times New Roman"/>
                      <w:b w:val="0"/>
                      <w:bCs/>
                      <w:color w:val="auto"/>
                      <w:sz w:val="21"/>
                      <w:szCs w:val="21"/>
                      <w:highlight w:val="none"/>
                    </w:rPr>
                    <w:t>-</w:t>
                  </w:r>
                  <w:r>
                    <w:rPr>
                      <w:rFonts w:hint="eastAsia" w:ascii="Times New Roman" w:hAnsi="Times New Roman" w:eastAsia="宋体" w:cs="Times New Roman"/>
                      <w:b w:val="0"/>
                      <w:bCs/>
                      <w:color w:val="auto"/>
                      <w:sz w:val="21"/>
                      <w:szCs w:val="21"/>
                      <w:highlight w:val="none"/>
                      <w:lang w:val="en-US" w:eastAsia="zh-CN"/>
                    </w:rPr>
                    <w:t>0</w:t>
                  </w:r>
                  <w:r>
                    <w:rPr>
                      <w:rFonts w:hint="default" w:ascii="Times New Roman" w:hAnsi="Times New Roman" w:eastAsia="宋体" w:cs="Times New Roman"/>
                      <w:b w:val="0"/>
                      <w:bCs/>
                      <w:color w:val="auto"/>
                      <w:sz w:val="21"/>
                      <w:szCs w:val="21"/>
                      <w:highlight w:val="none"/>
                    </w:rPr>
                    <w:t>9</w:t>
                  </w:r>
                </w:p>
              </w:tc>
              <w:tc>
                <w:tcPr>
                  <w:tcW w:w="567" w:type="pct"/>
                  <w:tcBorders>
                    <w:tl2br w:val="nil"/>
                    <w:tr2bl w:val="nil"/>
                  </w:tcBorders>
                  <w:shd w:val="clear" w:color="auto" w:fill="auto"/>
                  <w:noWrap w:val="0"/>
                  <w:vAlign w:val="center"/>
                </w:tcPr>
                <w:p w14:paraId="783D434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0.61</w:t>
                  </w:r>
                </w:p>
              </w:tc>
              <w:tc>
                <w:tcPr>
                  <w:tcW w:w="679" w:type="pct"/>
                  <w:tcBorders>
                    <w:tl2br w:val="nil"/>
                    <w:tr2bl w:val="nil"/>
                  </w:tcBorders>
                  <w:noWrap w:val="0"/>
                  <w:vAlign w:val="center"/>
                </w:tcPr>
                <w:p w14:paraId="29C6365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铣削</w:t>
                  </w:r>
                </w:p>
              </w:tc>
              <w:tc>
                <w:tcPr>
                  <w:tcW w:w="391" w:type="pct"/>
                  <w:tcBorders>
                    <w:tl2br w:val="nil"/>
                    <w:tr2bl w:val="nil"/>
                  </w:tcBorders>
                  <w:noWrap w:val="0"/>
                  <w:vAlign w:val="center"/>
                </w:tcPr>
                <w:p w14:paraId="15D2F05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每月</w:t>
                  </w:r>
                </w:p>
              </w:tc>
              <w:tc>
                <w:tcPr>
                  <w:tcW w:w="583" w:type="pct"/>
                  <w:tcBorders>
                    <w:tl2br w:val="nil"/>
                    <w:tr2bl w:val="nil"/>
                  </w:tcBorders>
                  <w:noWrap w:val="0"/>
                  <w:vAlign w:val="center"/>
                </w:tcPr>
                <w:p w14:paraId="4E75F8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w:t>
                  </w:r>
                  <w:r>
                    <w:rPr>
                      <w:rFonts w:hint="eastAsia" w:cs="Times New Roman"/>
                      <w:i w:val="0"/>
                      <w:iCs w:val="0"/>
                      <w:color w:val="auto"/>
                      <w:kern w:val="0"/>
                      <w:sz w:val="21"/>
                      <w:szCs w:val="21"/>
                      <w:u w:val="none"/>
                      <w:lang w:val="en-US" w:eastAsia="zh-CN" w:bidi="ar"/>
                    </w:rPr>
                    <w:t>5</w:t>
                  </w:r>
                </w:p>
              </w:tc>
              <w:tc>
                <w:tcPr>
                  <w:tcW w:w="449" w:type="pct"/>
                  <w:tcBorders>
                    <w:tl2br w:val="nil"/>
                    <w:tr2bl w:val="nil"/>
                  </w:tcBorders>
                  <w:noWrap w:val="0"/>
                  <w:vAlign w:val="center"/>
                </w:tcPr>
                <w:p w14:paraId="4767F33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1</w:t>
                  </w:r>
                </w:p>
              </w:tc>
              <w:tc>
                <w:tcPr>
                  <w:tcW w:w="451" w:type="pct"/>
                  <w:tcBorders>
                    <w:tl2br w:val="nil"/>
                    <w:tr2bl w:val="nil"/>
                  </w:tcBorders>
                  <w:shd w:val="clear" w:color="auto" w:fill="auto"/>
                  <w:noWrap w:val="0"/>
                  <w:vAlign w:val="center"/>
                </w:tcPr>
                <w:p w14:paraId="57831D1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sz w:val="21"/>
                      <w:szCs w:val="21"/>
                      <w:lang w:val="en-US" w:eastAsia="zh-CN" w:bidi="ar-SA"/>
                    </w:rPr>
                  </w:pPr>
                  <w:r>
                    <w:rPr>
                      <w:rFonts w:hint="eastAsia" w:ascii="Times New Roman" w:hAnsi="Times New Roman" w:cs="Times New Roman"/>
                      <w:color w:val="auto"/>
                      <w:spacing w:val="0"/>
                      <w:kern w:val="0"/>
                      <w:sz w:val="21"/>
                      <w:szCs w:val="21"/>
                      <w:lang w:val="en-US" w:eastAsia="zh-CN"/>
                    </w:rPr>
                    <w:t>桶装</w:t>
                  </w:r>
                </w:p>
              </w:tc>
            </w:tr>
            <w:tr w14:paraId="1778D9F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96" w:type="pct"/>
                  <w:tcBorders>
                    <w:tl2br w:val="nil"/>
                    <w:tr2bl w:val="nil"/>
                  </w:tcBorders>
                  <w:shd w:val="clear" w:color="auto" w:fill="auto"/>
                  <w:noWrap w:val="0"/>
                  <w:vAlign w:val="center"/>
                </w:tcPr>
                <w:p w14:paraId="5AABDE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w:t>
                  </w:r>
                </w:p>
              </w:tc>
              <w:tc>
                <w:tcPr>
                  <w:tcW w:w="728" w:type="pct"/>
                  <w:tcBorders>
                    <w:tl2br w:val="nil"/>
                    <w:tr2bl w:val="nil"/>
                  </w:tcBorders>
                  <w:shd w:val="clear" w:color="auto" w:fill="auto"/>
                  <w:noWrap w:val="0"/>
                  <w:vAlign w:val="center"/>
                </w:tcPr>
                <w:p w14:paraId="79CB883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b w:val="0"/>
                      <w:bCs/>
                      <w:color w:val="auto"/>
                      <w:sz w:val="21"/>
                      <w:szCs w:val="21"/>
                      <w:highlight w:val="none"/>
                      <w:lang w:val="en-US" w:eastAsia="zh-CN"/>
                    </w:rPr>
                    <w:t>废滤芯</w:t>
                  </w:r>
                </w:p>
              </w:tc>
              <w:tc>
                <w:tcPr>
                  <w:tcW w:w="372" w:type="pct"/>
                  <w:tcBorders>
                    <w:tl2br w:val="nil"/>
                    <w:tr2bl w:val="nil"/>
                  </w:tcBorders>
                  <w:shd w:val="clear" w:color="auto" w:fill="auto"/>
                  <w:noWrap w:val="0"/>
                  <w:vAlign w:val="center"/>
                </w:tcPr>
                <w:p w14:paraId="1F640CD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HW</w:t>
                  </w:r>
                  <w:r>
                    <w:rPr>
                      <w:rFonts w:hint="eastAsia" w:cs="Times New Roman"/>
                      <w:color w:val="auto"/>
                      <w:sz w:val="21"/>
                      <w:szCs w:val="21"/>
                      <w:lang w:val="en-US" w:eastAsia="zh-CN"/>
                    </w:rPr>
                    <w:t>08</w:t>
                  </w:r>
                </w:p>
              </w:tc>
              <w:tc>
                <w:tcPr>
                  <w:tcW w:w="579" w:type="pct"/>
                  <w:tcBorders>
                    <w:tl2br w:val="nil"/>
                    <w:tr2bl w:val="nil"/>
                  </w:tcBorders>
                  <w:shd w:val="clear" w:color="auto" w:fill="auto"/>
                  <w:noWrap w:val="0"/>
                  <w:vAlign w:val="center"/>
                </w:tcPr>
                <w:p w14:paraId="33DBAAB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w:t>
                  </w:r>
                  <w:r>
                    <w:rPr>
                      <w:rFonts w:hint="eastAsia" w:cs="Times New Roman"/>
                      <w:color w:val="auto"/>
                      <w:sz w:val="21"/>
                      <w:szCs w:val="21"/>
                      <w:lang w:val="en-US" w:eastAsia="zh-CN"/>
                    </w:rPr>
                    <w:t>213</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08</w:t>
                  </w:r>
                </w:p>
              </w:tc>
              <w:tc>
                <w:tcPr>
                  <w:tcW w:w="567" w:type="pct"/>
                  <w:tcBorders>
                    <w:tl2br w:val="nil"/>
                    <w:tr2bl w:val="nil"/>
                  </w:tcBorders>
                  <w:shd w:val="clear" w:color="auto" w:fill="auto"/>
                  <w:noWrap w:val="0"/>
                  <w:vAlign w:val="center"/>
                </w:tcPr>
                <w:p w14:paraId="4BC9ABE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0.1</w:t>
                  </w:r>
                </w:p>
              </w:tc>
              <w:tc>
                <w:tcPr>
                  <w:tcW w:w="679" w:type="pct"/>
                  <w:tcBorders>
                    <w:tl2br w:val="nil"/>
                    <w:tr2bl w:val="nil"/>
                  </w:tcBorders>
                  <w:noWrap w:val="0"/>
                  <w:vAlign w:val="center"/>
                </w:tcPr>
                <w:p w14:paraId="069443B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电火花</w:t>
                  </w:r>
                </w:p>
              </w:tc>
              <w:tc>
                <w:tcPr>
                  <w:tcW w:w="391" w:type="pct"/>
                  <w:tcBorders>
                    <w:tl2br w:val="nil"/>
                    <w:tr2bl w:val="nil"/>
                  </w:tcBorders>
                  <w:noWrap w:val="0"/>
                  <w:vAlign w:val="center"/>
                </w:tcPr>
                <w:p w14:paraId="1521D84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每三个月</w:t>
                  </w:r>
                </w:p>
              </w:tc>
              <w:tc>
                <w:tcPr>
                  <w:tcW w:w="583" w:type="pct"/>
                  <w:tcBorders>
                    <w:tl2br w:val="nil"/>
                    <w:tr2bl w:val="nil"/>
                  </w:tcBorders>
                  <w:noWrap w:val="0"/>
                  <w:vAlign w:val="center"/>
                </w:tcPr>
                <w:p w14:paraId="286F5B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0.025</w:t>
                  </w:r>
                </w:p>
              </w:tc>
              <w:tc>
                <w:tcPr>
                  <w:tcW w:w="449" w:type="pct"/>
                  <w:tcBorders>
                    <w:tl2br w:val="nil"/>
                    <w:tr2bl w:val="nil"/>
                  </w:tcBorders>
                  <w:noWrap w:val="0"/>
                  <w:vAlign w:val="center"/>
                </w:tcPr>
                <w:p w14:paraId="15FA843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0.5</w:t>
                  </w:r>
                </w:p>
              </w:tc>
              <w:tc>
                <w:tcPr>
                  <w:tcW w:w="451" w:type="pct"/>
                  <w:tcBorders>
                    <w:tl2br w:val="nil"/>
                    <w:tr2bl w:val="nil"/>
                  </w:tcBorders>
                  <w:shd w:val="clear" w:color="auto" w:fill="auto"/>
                  <w:noWrap w:val="0"/>
                  <w:vAlign w:val="center"/>
                </w:tcPr>
                <w:p w14:paraId="071DD25A">
                  <w:pPr>
                    <w:pStyle w:val="3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袋/桶</w:t>
                  </w:r>
                </w:p>
              </w:tc>
            </w:tr>
            <w:tr w14:paraId="36F4AD9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96" w:type="pct"/>
                  <w:tcBorders>
                    <w:tl2br w:val="nil"/>
                    <w:tr2bl w:val="nil"/>
                  </w:tcBorders>
                  <w:shd w:val="clear" w:color="auto" w:fill="auto"/>
                  <w:noWrap w:val="0"/>
                  <w:vAlign w:val="center"/>
                </w:tcPr>
                <w:p w14:paraId="4F1FFF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w:t>
                  </w:r>
                </w:p>
              </w:tc>
              <w:tc>
                <w:tcPr>
                  <w:tcW w:w="728" w:type="pct"/>
                  <w:tcBorders>
                    <w:tl2br w:val="nil"/>
                    <w:tr2bl w:val="nil"/>
                  </w:tcBorders>
                  <w:shd w:val="clear" w:color="auto" w:fill="auto"/>
                  <w:noWrap w:val="0"/>
                  <w:vAlign w:val="center"/>
                </w:tcPr>
                <w:p w14:paraId="71E326F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b w:val="0"/>
                      <w:bCs/>
                      <w:color w:val="auto"/>
                      <w:sz w:val="21"/>
                      <w:szCs w:val="21"/>
                      <w:highlight w:val="none"/>
                      <w:lang w:val="en-US" w:eastAsia="zh-CN"/>
                    </w:rPr>
                    <w:t>废煤油</w:t>
                  </w:r>
                </w:p>
              </w:tc>
              <w:tc>
                <w:tcPr>
                  <w:tcW w:w="372" w:type="pct"/>
                  <w:tcBorders>
                    <w:tl2br w:val="nil"/>
                    <w:tr2bl w:val="nil"/>
                  </w:tcBorders>
                  <w:shd w:val="clear" w:color="auto" w:fill="auto"/>
                  <w:noWrap w:val="0"/>
                  <w:vAlign w:val="center"/>
                </w:tcPr>
                <w:p w14:paraId="037E04D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HW</w:t>
                  </w:r>
                  <w:r>
                    <w:rPr>
                      <w:rFonts w:hint="eastAsia" w:cs="Times New Roman"/>
                      <w:color w:val="auto"/>
                      <w:sz w:val="21"/>
                      <w:szCs w:val="21"/>
                      <w:lang w:val="en-US" w:eastAsia="zh-CN"/>
                    </w:rPr>
                    <w:t>08</w:t>
                  </w:r>
                </w:p>
              </w:tc>
              <w:tc>
                <w:tcPr>
                  <w:tcW w:w="579" w:type="pct"/>
                  <w:tcBorders>
                    <w:tl2br w:val="nil"/>
                    <w:tr2bl w:val="nil"/>
                  </w:tcBorders>
                  <w:shd w:val="clear" w:color="auto" w:fill="auto"/>
                  <w:noWrap w:val="0"/>
                  <w:vAlign w:val="center"/>
                </w:tcPr>
                <w:p w14:paraId="4BCCDF0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w:t>
                  </w:r>
                  <w:r>
                    <w:rPr>
                      <w:rFonts w:hint="eastAsia" w:cs="Times New Roman"/>
                      <w:color w:val="auto"/>
                      <w:sz w:val="21"/>
                      <w:szCs w:val="21"/>
                      <w:lang w:val="en-US" w:eastAsia="zh-CN"/>
                    </w:rPr>
                    <w:t>249</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08</w:t>
                  </w:r>
                </w:p>
              </w:tc>
              <w:tc>
                <w:tcPr>
                  <w:tcW w:w="567" w:type="pct"/>
                  <w:tcBorders>
                    <w:tl2br w:val="nil"/>
                    <w:tr2bl w:val="nil"/>
                  </w:tcBorders>
                  <w:shd w:val="clear" w:color="auto" w:fill="auto"/>
                  <w:noWrap w:val="0"/>
                  <w:vAlign w:val="center"/>
                </w:tcPr>
                <w:p w14:paraId="2BE0AF4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0.041</w:t>
                  </w:r>
                </w:p>
              </w:tc>
              <w:tc>
                <w:tcPr>
                  <w:tcW w:w="679" w:type="pct"/>
                  <w:tcBorders>
                    <w:tl2br w:val="nil"/>
                    <w:tr2bl w:val="nil"/>
                  </w:tcBorders>
                  <w:shd w:val="clear" w:color="auto" w:fill="auto"/>
                  <w:noWrap w:val="0"/>
                  <w:vAlign w:val="center"/>
                </w:tcPr>
                <w:p w14:paraId="45456DA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电火花</w:t>
                  </w:r>
                </w:p>
              </w:tc>
              <w:tc>
                <w:tcPr>
                  <w:tcW w:w="391" w:type="pct"/>
                  <w:tcBorders>
                    <w:tl2br w:val="nil"/>
                    <w:tr2bl w:val="nil"/>
                  </w:tcBorders>
                  <w:shd w:val="clear" w:color="auto" w:fill="auto"/>
                  <w:noWrap w:val="0"/>
                  <w:vAlign w:val="center"/>
                </w:tcPr>
                <w:p w14:paraId="5D61473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每年</w:t>
                  </w:r>
                </w:p>
              </w:tc>
              <w:tc>
                <w:tcPr>
                  <w:tcW w:w="583" w:type="pct"/>
                  <w:tcBorders>
                    <w:tl2br w:val="nil"/>
                    <w:tr2bl w:val="nil"/>
                  </w:tcBorders>
                  <w:shd w:val="clear" w:color="auto" w:fill="auto"/>
                  <w:noWrap w:val="0"/>
                  <w:vAlign w:val="center"/>
                </w:tcPr>
                <w:p w14:paraId="6CF9E9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0.01</w:t>
                  </w:r>
                </w:p>
              </w:tc>
              <w:tc>
                <w:tcPr>
                  <w:tcW w:w="449" w:type="pct"/>
                  <w:tcBorders>
                    <w:tl2br w:val="nil"/>
                    <w:tr2bl w:val="nil"/>
                  </w:tcBorders>
                  <w:shd w:val="clear" w:color="auto" w:fill="auto"/>
                  <w:noWrap w:val="0"/>
                  <w:vAlign w:val="center"/>
                </w:tcPr>
                <w:p w14:paraId="3089280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1</w:t>
                  </w:r>
                </w:p>
              </w:tc>
              <w:tc>
                <w:tcPr>
                  <w:tcW w:w="451" w:type="pct"/>
                  <w:tcBorders>
                    <w:tl2br w:val="nil"/>
                    <w:tr2bl w:val="nil"/>
                  </w:tcBorders>
                  <w:shd w:val="clear" w:color="auto" w:fill="auto"/>
                  <w:noWrap w:val="0"/>
                  <w:vAlign w:val="center"/>
                </w:tcPr>
                <w:p w14:paraId="745F9213">
                  <w:pPr>
                    <w:pStyle w:val="3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sz w:val="21"/>
                      <w:szCs w:val="21"/>
                      <w:lang w:val="en-US" w:eastAsia="en-US" w:bidi="ar-SA"/>
                    </w:rPr>
                  </w:pPr>
                  <w:r>
                    <w:rPr>
                      <w:rFonts w:hint="eastAsia" w:ascii="Times New Roman" w:hAnsi="Times New Roman" w:cs="Times New Roman"/>
                      <w:color w:val="auto"/>
                      <w:spacing w:val="0"/>
                      <w:kern w:val="0"/>
                      <w:sz w:val="21"/>
                      <w:szCs w:val="21"/>
                      <w:lang w:val="en-US" w:eastAsia="zh-CN"/>
                    </w:rPr>
                    <w:t>桶装</w:t>
                  </w:r>
                </w:p>
              </w:tc>
            </w:tr>
            <w:tr w14:paraId="254956F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96" w:type="pct"/>
                  <w:tcBorders>
                    <w:tl2br w:val="nil"/>
                    <w:tr2bl w:val="nil"/>
                  </w:tcBorders>
                  <w:shd w:val="clear" w:color="auto" w:fill="auto"/>
                  <w:noWrap w:val="0"/>
                  <w:vAlign w:val="center"/>
                </w:tcPr>
                <w:p w14:paraId="2EE762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6</w:t>
                  </w:r>
                </w:p>
              </w:tc>
              <w:tc>
                <w:tcPr>
                  <w:tcW w:w="728" w:type="pct"/>
                  <w:tcBorders>
                    <w:tl2br w:val="nil"/>
                    <w:tr2bl w:val="nil"/>
                  </w:tcBorders>
                  <w:shd w:val="clear" w:color="auto" w:fill="auto"/>
                  <w:noWrap w:val="0"/>
                  <w:vAlign w:val="center"/>
                </w:tcPr>
                <w:p w14:paraId="71E0F79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废包装桶</w:t>
                  </w:r>
                </w:p>
              </w:tc>
              <w:tc>
                <w:tcPr>
                  <w:tcW w:w="372" w:type="pct"/>
                  <w:tcBorders>
                    <w:tl2br w:val="nil"/>
                    <w:tr2bl w:val="nil"/>
                  </w:tcBorders>
                  <w:shd w:val="clear" w:color="auto" w:fill="auto"/>
                  <w:noWrap w:val="0"/>
                  <w:vAlign w:val="center"/>
                </w:tcPr>
                <w:p w14:paraId="38FC9BC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HW</w:t>
                  </w:r>
                  <w:r>
                    <w:rPr>
                      <w:rFonts w:hint="eastAsia" w:cs="Times New Roman"/>
                      <w:color w:val="auto"/>
                      <w:sz w:val="21"/>
                      <w:szCs w:val="21"/>
                      <w:lang w:val="en-US" w:eastAsia="zh-CN"/>
                    </w:rPr>
                    <w:t>08</w:t>
                  </w:r>
                </w:p>
              </w:tc>
              <w:tc>
                <w:tcPr>
                  <w:tcW w:w="579" w:type="pct"/>
                  <w:tcBorders>
                    <w:tl2br w:val="nil"/>
                    <w:tr2bl w:val="nil"/>
                  </w:tcBorders>
                  <w:shd w:val="clear" w:color="auto" w:fill="auto"/>
                  <w:noWrap w:val="0"/>
                  <w:vAlign w:val="center"/>
                </w:tcPr>
                <w:p w14:paraId="349A52E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w:t>
                  </w:r>
                  <w:r>
                    <w:rPr>
                      <w:rFonts w:hint="eastAsia" w:cs="Times New Roman"/>
                      <w:color w:val="auto"/>
                      <w:sz w:val="21"/>
                      <w:szCs w:val="21"/>
                      <w:lang w:val="en-US" w:eastAsia="zh-CN"/>
                    </w:rPr>
                    <w:t>249</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08</w:t>
                  </w:r>
                </w:p>
              </w:tc>
              <w:tc>
                <w:tcPr>
                  <w:tcW w:w="567" w:type="pct"/>
                  <w:tcBorders>
                    <w:tl2br w:val="nil"/>
                    <w:tr2bl w:val="nil"/>
                  </w:tcBorders>
                  <w:shd w:val="clear" w:color="auto" w:fill="auto"/>
                  <w:noWrap w:val="0"/>
                  <w:vAlign w:val="center"/>
                </w:tcPr>
                <w:p w14:paraId="74A9295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4</w:t>
                  </w:r>
                </w:p>
              </w:tc>
              <w:tc>
                <w:tcPr>
                  <w:tcW w:w="679" w:type="pct"/>
                  <w:tcBorders>
                    <w:tl2br w:val="nil"/>
                    <w:tr2bl w:val="nil"/>
                  </w:tcBorders>
                  <w:noWrap w:val="0"/>
                  <w:vAlign w:val="center"/>
                </w:tcPr>
                <w:p w14:paraId="165F7D2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原料包装</w:t>
                  </w:r>
                </w:p>
              </w:tc>
              <w:tc>
                <w:tcPr>
                  <w:tcW w:w="391" w:type="pct"/>
                  <w:tcBorders>
                    <w:tl2br w:val="nil"/>
                    <w:tr2bl w:val="nil"/>
                  </w:tcBorders>
                  <w:noWrap w:val="0"/>
                  <w:vAlign w:val="center"/>
                </w:tcPr>
                <w:p w14:paraId="1B29EA2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每月</w:t>
                  </w:r>
                </w:p>
              </w:tc>
              <w:tc>
                <w:tcPr>
                  <w:tcW w:w="583" w:type="pct"/>
                  <w:tcBorders>
                    <w:tl2br w:val="nil"/>
                    <w:tr2bl w:val="nil"/>
                  </w:tcBorders>
                  <w:noWrap w:val="0"/>
                  <w:vAlign w:val="center"/>
                </w:tcPr>
                <w:p w14:paraId="393B41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1</w:t>
                  </w:r>
                </w:p>
              </w:tc>
              <w:tc>
                <w:tcPr>
                  <w:tcW w:w="449" w:type="pct"/>
                  <w:tcBorders>
                    <w:tl2br w:val="nil"/>
                    <w:tr2bl w:val="nil"/>
                  </w:tcBorders>
                  <w:noWrap w:val="0"/>
                  <w:vAlign w:val="center"/>
                </w:tcPr>
                <w:p w14:paraId="5926CB5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1</w:t>
                  </w:r>
                </w:p>
              </w:tc>
              <w:tc>
                <w:tcPr>
                  <w:tcW w:w="451" w:type="pct"/>
                  <w:tcBorders>
                    <w:tl2br w:val="nil"/>
                    <w:tr2bl w:val="nil"/>
                  </w:tcBorders>
                  <w:shd w:val="clear" w:color="auto" w:fill="auto"/>
                  <w:noWrap w:val="0"/>
                  <w:vAlign w:val="center"/>
                </w:tcPr>
                <w:p w14:paraId="4CFD8629">
                  <w:pPr>
                    <w:pStyle w:val="3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0"/>
                      <w:kern w:val="0"/>
                      <w:sz w:val="21"/>
                      <w:szCs w:val="21"/>
                      <w:lang w:val="en-US" w:eastAsia="zh-CN"/>
                    </w:rPr>
                  </w:pPr>
                  <w:r>
                    <w:rPr>
                      <w:rFonts w:hint="eastAsia" w:ascii="Times New Roman" w:hAnsi="Times New Roman" w:cs="Times New Roman"/>
                      <w:color w:val="auto"/>
                      <w:spacing w:val="0"/>
                      <w:kern w:val="0"/>
                      <w:sz w:val="21"/>
                      <w:szCs w:val="21"/>
                      <w:lang w:val="en-US" w:eastAsia="zh-CN"/>
                    </w:rPr>
                    <w:t>堆叠</w:t>
                  </w:r>
                </w:p>
              </w:tc>
            </w:tr>
            <w:tr w14:paraId="78DC3BA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96" w:type="pct"/>
                  <w:tcBorders>
                    <w:tl2br w:val="nil"/>
                    <w:tr2bl w:val="nil"/>
                  </w:tcBorders>
                  <w:shd w:val="clear" w:color="auto" w:fill="auto"/>
                  <w:noWrap w:val="0"/>
                  <w:vAlign w:val="center"/>
                </w:tcPr>
                <w:p w14:paraId="5AFD01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7</w:t>
                  </w:r>
                </w:p>
              </w:tc>
              <w:tc>
                <w:tcPr>
                  <w:tcW w:w="728" w:type="pct"/>
                  <w:tcBorders>
                    <w:tl2br w:val="nil"/>
                    <w:tr2bl w:val="nil"/>
                  </w:tcBorders>
                  <w:shd w:val="clear" w:color="auto" w:fill="auto"/>
                  <w:noWrap w:val="0"/>
                  <w:vAlign w:val="center"/>
                </w:tcPr>
                <w:p w14:paraId="579D2A8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废活性炭</w:t>
                  </w:r>
                </w:p>
              </w:tc>
              <w:tc>
                <w:tcPr>
                  <w:tcW w:w="372" w:type="pct"/>
                  <w:tcBorders>
                    <w:tl2br w:val="nil"/>
                    <w:tr2bl w:val="nil"/>
                  </w:tcBorders>
                  <w:shd w:val="clear" w:color="auto" w:fill="auto"/>
                  <w:noWrap w:val="0"/>
                  <w:vAlign w:val="center"/>
                </w:tcPr>
                <w:p w14:paraId="7086BDC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HW49</w:t>
                  </w:r>
                </w:p>
              </w:tc>
              <w:tc>
                <w:tcPr>
                  <w:tcW w:w="579" w:type="pct"/>
                  <w:tcBorders>
                    <w:tl2br w:val="nil"/>
                    <w:tr2bl w:val="nil"/>
                  </w:tcBorders>
                  <w:shd w:val="clear" w:color="auto" w:fill="auto"/>
                  <w:noWrap w:val="0"/>
                  <w:vAlign w:val="center"/>
                </w:tcPr>
                <w:p w14:paraId="509750C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900-0</w:t>
                  </w:r>
                  <w:r>
                    <w:rPr>
                      <w:rFonts w:hint="eastAsia" w:ascii="Times New Roman" w:hAnsi="Times New Roman" w:eastAsia="宋体" w:cs="Times New Roman"/>
                      <w:color w:val="auto"/>
                      <w:sz w:val="21"/>
                      <w:szCs w:val="21"/>
                      <w:lang w:val="en-US" w:eastAsia="zh-CN"/>
                    </w:rPr>
                    <w:t>39</w:t>
                  </w:r>
                  <w:r>
                    <w:rPr>
                      <w:rFonts w:hint="default" w:ascii="Times New Roman" w:hAnsi="Times New Roman" w:eastAsia="宋体" w:cs="Times New Roman"/>
                      <w:color w:val="auto"/>
                      <w:sz w:val="21"/>
                      <w:szCs w:val="21"/>
                      <w:lang w:val="en-US" w:eastAsia="zh-CN"/>
                    </w:rPr>
                    <w:t>-49</w:t>
                  </w:r>
                </w:p>
              </w:tc>
              <w:tc>
                <w:tcPr>
                  <w:tcW w:w="567" w:type="pct"/>
                  <w:tcBorders>
                    <w:tl2br w:val="nil"/>
                    <w:tr2bl w:val="nil"/>
                  </w:tcBorders>
                  <w:shd w:val="clear" w:color="auto" w:fill="auto"/>
                  <w:noWrap w:val="0"/>
                  <w:vAlign w:val="center"/>
                </w:tcPr>
                <w:p w14:paraId="5777F4C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highlight w:val="none"/>
                      <w:lang w:val="en-US" w:eastAsia="zh-CN"/>
                    </w:rPr>
                    <w:t>1.9</w:t>
                  </w:r>
                </w:p>
              </w:tc>
              <w:tc>
                <w:tcPr>
                  <w:tcW w:w="679" w:type="pct"/>
                  <w:tcBorders>
                    <w:tl2br w:val="nil"/>
                    <w:tr2bl w:val="nil"/>
                  </w:tcBorders>
                  <w:noWrap w:val="0"/>
                  <w:vAlign w:val="center"/>
                </w:tcPr>
                <w:p w14:paraId="291CEDD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废气处理</w:t>
                  </w:r>
                </w:p>
              </w:tc>
              <w:tc>
                <w:tcPr>
                  <w:tcW w:w="391" w:type="pct"/>
                  <w:tcBorders>
                    <w:tl2br w:val="nil"/>
                    <w:tr2bl w:val="nil"/>
                  </w:tcBorders>
                  <w:noWrap w:val="0"/>
                  <w:vAlign w:val="center"/>
                </w:tcPr>
                <w:p w14:paraId="7495240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75个工作日</w:t>
                  </w:r>
                </w:p>
              </w:tc>
              <w:tc>
                <w:tcPr>
                  <w:tcW w:w="583" w:type="pct"/>
                  <w:tcBorders>
                    <w:tl2br w:val="nil"/>
                    <w:tr2bl w:val="nil"/>
                  </w:tcBorders>
                  <w:noWrap w:val="0"/>
                  <w:vAlign w:val="center"/>
                </w:tcPr>
                <w:p w14:paraId="68D05E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0.475</w:t>
                  </w:r>
                </w:p>
              </w:tc>
              <w:tc>
                <w:tcPr>
                  <w:tcW w:w="449" w:type="pct"/>
                  <w:tcBorders>
                    <w:tl2br w:val="nil"/>
                    <w:tr2bl w:val="nil"/>
                  </w:tcBorders>
                  <w:noWrap w:val="0"/>
                  <w:vAlign w:val="center"/>
                </w:tcPr>
                <w:p w14:paraId="2F2FF5B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0.5</w:t>
                  </w:r>
                </w:p>
              </w:tc>
              <w:tc>
                <w:tcPr>
                  <w:tcW w:w="451" w:type="pct"/>
                  <w:tcBorders>
                    <w:tl2br w:val="nil"/>
                    <w:tr2bl w:val="nil"/>
                  </w:tcBorders>
                  <w:shd w:val="clear" w:color="auto" w:fill="auto"/>
                  <w:noWrap w:val="0"/>
                  <w:vAlign w:val="center"/>
                </w:tcPr>
                <w:p w14:paraId="261B4624">
                  <w:pPr>
                    <w:pStyle w:val="3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袋/桶</w:t>
                  </w:r>
                </w:p>
              </w:tc>
            </w:tr>
            <w:tr w14:paraId="1C58341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96" w:type="pct"/>
                  <w:tcBorders>
                    <w:tl2br w:val="nil"/>
                    <w:tr2bl w:val="nil"/>
                  </w:tcBorders>
                  <w:shd w:val="clear" w:color="auto" w:fill="auto"/>
                  <w:noWrap w:val="0"/>
                  <w:vAlign w:val="center"/>
                </w:tcPr>
                <w:p w14:paraId="7D59E0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8</w:t>
                  </w:r>
                </w:p>
              </w:tc>
              <w:tc>
                <w:tcPr>
                  <w:tcW w:w="728" w:type="pct"/>
                  <w:tcBorders>
                    <w:tl2br w:val="nil"/>
                    <w:tr2bl w:val="nil"/>
                  </w:tcBorders>
                  <w:shd w:val="clear" w:color="auto" w:fill="auto"/>
                  <w:noWrap w:val="0"/>
                  <w:vAlign w:val="center"/>
                </w:tcPr>
                <w:p w14:paraId="1A9C1C0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废抹布手套</w:t>
                  </w:r>
                </w:p>
              </w:tc>
              <w:tc>
                <w:tcPr>
                  <w:tcW w:w="372" w:type="pct"/>
                  <w:tcBorders>
                    <w:tl2br w:val="nil"/>
                    <w:tr2bl w:val="nil"/>
                  </w:tcBorders>
                  <w:shd w:val="clear" w:color="auto" w:fill="auto"/>
                  <w:noWrap w:val="0"/>
                  <w:vAlign w:val="center"/>
                </w:tcPr>
                <w:p w14:paraId="326F66E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HW</w:t>
                  </w:r>
                  <w:r>
                    <w:rPr>
                      <w:rFonts w:hint="eastAsia" w:cs="Times New Roman"/>
                      <w:color w:val="auto"/>
                      <w:sz w:val="21"/>
                      <w:szCs w:val="21"/>
                      <w:lang w:val="en-US" w:eastAsia="zh-CN"/>
                    </w:rPr>
                    <w:t>08</w:t>
                  </w:r>
                </w:p>
              </w:tc>
              <w:tc>
                <w:tcPr>
                  <w:tcW w:w="579" w:type="pct"/>
                  <w:tcBorders>
                    <w:tl2br w:val="nil"/>
                    <w:tr2bl w:val="nil"/>
                  </w:tcBorders>
                  <w:shd w:val="clear" w:color="auto" w:fill="auto"/>
                  <w:noWrap w:val="0"/>
                  <w:vAlign w:val="center"/>
                </w:tcPr>
                <w:p w14:paraId="509C358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900-249-08</w:t>
                  </w:r>
                </w:p>
              </w:tc>
              <w:tc>
                <w:tcPr>
                  <w:tcW w:w="567" w:type="pct"/>
                  <w:tcBorders>
                    <w:tl2br w:val="nil"/>
                    <w:tr2bl w:val="nil"/>
                  </w:tcBorders>
                  <w:shd w:val="clear" w:color="auto" w:fill="auto"/>
                  <w:noWrap w:val="0"/>
                  <w:vAlign w:val="center"/>
                </w:tcPr>
                <w:p w14:paraId="7B5A145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0.1</w:t>
                  </w:r>
                </w:p>
              </w:tc>
              <w:tc>
                <w:tcPr>
                  <w:tcW w:w="679" w:type="pct"/>
                  <w:tcBorders>
                    <w:tl2br w:val="nil"/>
                    <w:tr2bl w:val="nil"/>
                  </w:tcBorders>
                  <w:noWrap w:val="0"/>
                  <w:vAlign w:val="center"/>
                </w:tcPr>
                <w:p w14:paraId="6F839B8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设备维护</w:t>
                  </w:r>
                </w:p>
              </w:tc>
              <w:tc>
                <w:tcPr>
                  <w:tcW w:w="391" w:type="pct"/>
                  <w:tcBorders>
                    <w:tl2br w:val="nil"/>
                    <w:tr2bl w:val="nil"/>
                  </w:tcBorders>
                  <w:noWrap w:val="0"/>
                  <w:vAlign w:val="center"/>
                </w:tcPr>
                <w:p w14:paraId="05213FD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每三个月</w:t>
                  </w:r>
                </w:p>
              </w:tc>
              <w:tc>
                <w:tcPr>
                  <w:tcW w:w="583" w:type="pct"/>
                  <w:tcBorders>
                    <w:tl2br w:val="nil"/>
                    <w:tr2bl w:val="nil"/>
                  </w:tcBorders>
                  <w:noWrap w:val="0"/>
                  <w:vAlign w:val="center"/>
                </w:tcPr>
                <w:p w14:paraId="2A0056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0.025</w:t>
                  </w:r>
                </w:p>
              </w:tc>
              <w:tc>
                <w:tcPr>
                  <w:tcW w:w="449" w:type="pct"/>
                  <w:tcBorders>
                    <w:tl2br w:val="nil"/>
                    <w:tr2bl w:val="nil"/>
                  </w:tcBorders>
                  <w:noWrap w:val="0"/>
                  <w:vAlign w:val="center"/>
                </w:tcPr>
                <w:p w14:paraId="7A8EAEB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0.5</w:t>
                  </w:r>
                </w:p>
              </w:tc>
              <w:tc>
                <w:tcPr>
                  <w:tcW w:w="451" w:type="pct"/>
                  <w:tcBorders>
                    <w:tl2br w:val="nil"/>
                    <w:tr2bl w:val="nil"/>
                  </w:tcBorders>
                  <w:shd w:val="clear" w:color="auto" w:fill="auto"/>
                  <w:noWrap w:val="0"/>
                  <w:vAlign w:val="center"/>
                </w:tcPr>
                <w:p w14:paraId="550BE11E">
                  <w:pPr>
                    <w:pStyle w:val="3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袋/桶</w:t>
                  </w:r>
                </w:p>
              </w:tc>
            </w:tr>
            <w:tr w14:paraId="6036337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96" w:type="pct"/>
                  <w:tcBorders>
                    <w:tl2br w:val="nil"/>
                    <w:tr2bl w:val="nil"/>
                  </w:tcBorders>
                  <w:shd w:val="clear" w:color="auto" w:fill="auto"/>
                  <w:noWrap w:val="0"/>
                  <w:vAlign w:val="center"/>
                </w:tcPr>
                <w:p w14:paraId="3811FD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w:t>
                  </w:r>
                </w:p>
              </w:tc>
              <w:tc>
                <w:tcPr>
                  <w:tcW w:w="728" w:type="pct"/>
                  <w:tcBorders>
                    <w:tl2br w:val="nil"/>
                    <w:tr2bl w:val="nil"/>
                  </w:tcBorders>
                  <w:shd w:val="clear" w:color="auto" w:fill="auto"/>
                  <w:noWrap w:val="0"/>
                  <w:vAlign w:val="center"/>
                </w:tcPr>
                <w:p w14:paraId="17727D9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废擦拭布</w:t>
                  </w:r>
                </w:p>
              </w:tc>
              <w:tc>
                <w:tcPr>
                  <w:tcW w:w="372" w:type="pct"/>
                  <w:tcBorders>
                    <w:tl2br w:val="nil"/>
                    <w:tr2bl w:val="nil"/>
                  </w:tcBorders>
                  <w:shd w:val="clear" w:color="auto" w:fill="auto"/>
                  <w:noWrap w:val="0"/>
                  <w:vAlign w:val="center"/>
                </w:tcPr>
                <w:p w14:paraId="245BA7A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HW49</w:t>
                  </w:r>
                </w:p>
              </w:tc>
              <w:tc>
                <w:tcPr>
                  <w:tcW w:w="579" w:type="pct"/>
                  <w:tcBorders>
                    <w:tl2br w:val="nil"/>
                    <w:tr2bl w:val="nil"/>
                  </w:tcBorders>
                  <w:shd w:val="clear" w:color="auto" w:fill="auto"/>
                  <w:noWrap w:val="0"/>
                  <w:vAlign w:val="center"/>
                </w:tcPr>
                <w:p w14:paraId="585825E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900-0</w:t>
                  </w:r>
                  <w:r>
                    <w:rPr>
                      <w:rFonts w:hint="eastAsia" w:cs="Times New Roman"/>
                      <w:color w:val="auto"/>
                      <w:sz w:val="21"/>
                      <w:szCs w:val="21"/>
                      <w:lang w:val="en-US" w:eastAsia="zh-CN"/>
                    </w:rPr>
                    <w:t>41</w:t>
                  </w:r>
                  <w:r>
                    <w:rPr>
                      <w:rFonts w:hint="default" w:ascii="Times New Roman" w:hAnsi="Times New Roman" w:eastAsia="宋体" w:cs="Times New Roman"/>
                      <w:color w:val="auto"/>
                      <w:sz w:val="21"/>
                      <w:szCs w:val="21"/>
                      <w:lang w:val="en-US" w:eastAsia="zh-CN"/>
                    </w:rPr>
                    <w:t>-49</w:t>
                  </w:r>
                </w:p>
              </w:tc>
              <w:tc>
                <w:tcPr>
                  <w:tcW w:w="567" w:type="pct"/>
                  <w:tcBorders>
                    <w:tl2br w:val="nil"/>
                    <w:tr2bl w:val="nil"/>
                  </w:tcBorders>
                  <w:shd w:val="clear" w:color="auto" w:fill="auto"/>
                  <w:noWrap w:val="0"/>
                  <w:vAlign w:val="center"/>
                </w:tcPr>
                <w:p w14:paraId="3C53219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highlight w:val="none"/>
                      <w:lang w:val="en-US" w:eastAsia="zh-CN"/>
                    </w:rPr>
                    <w:t>0.1</w:t>
                  </w:r>
                </w:p>
              </w:tc>
              <w:tc>
                <w:tcPr>
                  <w:tcW w:w="679" w:type="pct"/>
                  <w:tcBorders>
                    <w:tl2br w:val="nil"/>
                    <w:tr2bl w:val="nil"/>
                  </w:tcBorders>
                  <w:shd w:val="clear" w:color="auto" w:fill="auto"/>
                  <w:noWrap w:val="0"/>
                  <w:vAlign w:val="center"/>
                </w:tcPr>
                <w:p w14:paraId="1F1F7B0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UV打印</w:t>
                  </w:r>
                </w:p>
              </w:tc>
              <w:tc>
                <w:tcPr>
                  <w:tcW w:w="391" w:type="pct"/>
                  <w:tcBorders>
                    <w:tl2br w:val="nil"/>
                    <w:tr2bl w:val="nil"/>
                  </w:tcBorders>
                  <w:shd w:val="clear" w:color="auto" w:fill="auto"/>
                  <w:noWrap w:val="0"/>
                  <w:vAlign w:val="center"/>
                </w:tcPr>
                <w:p w14:paraId="222A246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每月</w:t>
                  </w:r>
                </w:p>
              </w:tc>
              <w:tc>
                <w:tcPr>
                  <w:tcW w:w="583" w:type="pct"/>
                  <w:tcBorders>
                    <w:tl2br w:val="nil"/>
                    <w:tr2bl w:val="nil"/>
                  </w:tcBorders>
                  <w:noWrap w:val="0"/>
                  <w:vAlign w:val="center"/>
                </w:tcPr>
                <w:p w14:paraId="3A306E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0.025</w:t>
                  </w:r>
                </w:p>
              </w:tc>
              <w:tc>
                <w:tcPr>
                  <w:tcW w:w="449" w:type="pct"/>
                  <w:tcBorders>
                    <w:tl2br w:val="nil"/>
                    <w:tr2bl w:val="nil"/>
                  </w:tcBorders>
                  <w:noWrap w:val="0"/>
                  <w:vAlign w:val="center"/>
                </w:tcPr>
                <w:p w14:paraId="0502E39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0.5</w:t>
                  </w:r>
                </w:p>
              </w:tc>
              <w:tc>
                <w:tcPr>
                  <w:tcW w:w="451" w:type="pct"/>
                  <w:tcBorders>
                    <w:tl2br w:val="nil"/>
                    <w:tr2bl w:val="nil"/>
                  </w:tcBorders>
                  <w:shd w:val="clear" w:color="auto" w:fill="auto"/>
                  <w:noWrap w:val="0"/>
                  <w:vAlign w:val="center"/>
                </w:tcPr>
                <w:p w14:paraId="22C64A46">
                  <w:pPr>
                    <w:pStyle w:val="3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0"/>
                      <w:kern w:val="0"/>
                      <w:sz w:val="21"/>
                      <w:szCs w:val="21"/>
                      <w:lang w:val="en-US" w:eastAsia="zh-CN"/>
                    </w:rPr>
                  </w:pPr>
                  <w:r>
                    <w:rPr>
                      <w:rFonts w:hint="eastAsia" w:ascii="Times New Roman" w:hAnsi="Times New Roman" w:cs="Times New Roman"/>
                      <w:color w:val="auto"/>
                      <w:spacing w:val="0"/>
                      <w:kern w:val="0"/>
                      <w:sz w:val="21"/>
                      <w:szCs w:val="21"/>
                      <w:lang w:val="en-US" w:eastAsia="zh-CN"/>
                    </w:rPr>
                    <w:t>袋装</w:t>
                  </w:r>
                </w:p>
              </w:tc>
            </w:tr>
            <w:tr w14:paraId="1E029E1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96" w:type="pct"/>
                  <w:tcBorders>
                    <w:tl2br w:val="nil"/>
                    <w:tr2bl w:val="nil"/>
                  </w:tcBorders>
                  <w:shd w:val="clear" w:color="auto" w:fill="auto"/>
                  <w:noWrap w:val="0"/>
                  <w:vAlign w:val="center"/>
                </w:tcPr>
                <w:p w14:paraId="624EA1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728" w:type="pct"/>
                  <w:tcBorders>
                    <w:tl2br w:val="nil"/>
                    <w:tr2bl w:val="nil"/>
                  </w:tcBorders>
                  <w:shd w:val="clear" w:color="auto" w:fill="auto"/>
                  <w:noWrap w:val="0"/>
                  <w:vAlign w:val="center"/>
                </w:tcPr>
                <w:p w14:paraId="29DCD74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抛光废液</w:t>
                  </w:r>
                </w:p>
              </w:tc>
              <w:tc>
                <w:tcPr>
                  <w:tcW w:w="372" w:type="pct"/>
                  <w:tcBorders>
                    <w:tl2br w:val="nil"/>
                    <w:tr2bl w:val="nil"/>
                  </w:tcBorders>
                  <w:shd w:val="clear" w:color="auto" w:fill="auto"/>
                  <w:noWrap w:val="0"/>
                  <w:vAlign w:val="center"/>
                </w:tcPr>
                <w:p w14:paraId="248CDC5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HW17</w:t>
                  </w:r>
                </w:p>
              </w:tc>
              <w:tc>
                <w:tcPr>
                  <w:tcW w:w="579" w:type="pct"/>
                  <w:tcBorders>
                    <w:tl2br w:val="nil"/>
                    <w:tr2bl w:val="nil"/>
                  </w:tcBorders>
                  <w:shd w:val="clear" w:color="auto" w:fill="auto"/>
                  <w:noWrap w:val="0"/>
                  <w:vAlign w:val="center"/>
                </w:tcPr>
                <w:p w14:paraId="54C5ADD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color w:val="auto"/>
                    </w:rPr>
                    <w:t>336-064-17</w:t>
                  </w:r>
                </w:p>
              </w:tc>
              <w:tc>
                <w:tcPr>
                  <w:tcW w:w="567" w:type="pct"/>
                  <w:tcBorders>
                    <w:tl2br w:val="nil"/>
                    <w:tr2bl w:val="nil"/>
                  </w:tcBorders>
                  <w:shd w:val="clear" w:color="auto" w:fill="auto"/>
                  <w:noWrap w:val="0"/>
                  <w:vAlign w:val="center"/>
                </w:tcPr>
                <w:p w14:paraId="3BEC367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c>
                <w:tcPr>
                  <w:tcW w:w="679" w:type="pct"/>
                  <w:tcBorders>
                    <w:tl2br w:val="nil"/>
                    <w:tr2bl w:val="nil"/>
                  </w:tcBorders>
                  <w:shd w:val="clear" w:color="auto" w:fill="auto"/>
                  <w:noWrap w:val="0"/>
                  <w:vAlign w:val="center"/>
                </w:tcPr>
                <w:p w14:paraId="795E7AD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磁力抛光</w:t>
                  </w:r>
                </w:p>
              </w:tc>
              <w:tc>
                <w:tcPr>
                  <w:tcW w:w="391" w:type="pct"/>
                  <w:tcBorders>
                    <w:tl2br w:val="nil"/>
                    <w:tr2bl w:val="nil"/>
                  </w:tcBorders>
                  <w:shd w:val="clear" w:color="auto" w:fill="auto"/>
                  <w:noWrap w:val="0"/>
                  <w:vAlign w:val="center"/>
                </w:tcPr>
                <w:p w14:paraId="2C469F1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每月</w:t>
                  </w:r>
                </w:p>
              </w:tc>
              <w:tc>
                <w:tcPr>
                  <w:tcW w:w="583" w:type="pct"/>
                  <w:tcBorders>
                    <w:tl2br w:val="nil"/>
                    <w:tr2bl w:val="nil"/>
                  </w:tcBorders>
                  <w:noWrap w:val="0"/>
                  <w:vAlign w:val="center"/>
                </w:tcPr>
                <w:p w14:paraId="079944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0.75</w:t>
                  </w:r>
                </w:p>
              </w:tc>
              <w:tc>
                <w:tcPr>
                  <w:tcW w:w="449" w:type="pct"/>
                  <w:tcBorders>
                    <w:tl2br w:val="nil"/>
                    <w:tr2bl w:val="nil"/>
                  </w:tcBorders>
                  <w:noWrap w:val="0"/>
                  <w:vAlign w:val="center"/>
                </w:tcPr>
                <w:p w14:paraId="431765D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1</w:t>
                  </w:r>
                </w:p>
              </w:tc>
              <w:tc>
                <w:tcPr>
                  <w:tcW w:w="451" w:type="pct"/>
                  <w:tcBorders>
                    <w:tl2br w:val="nil"/>
                    <w:tr2bl w:val="nil"/>
                  </w:tcBorders>
                  <w:shd w:val="clear" w:color="auto" w:fill="auto"/>
                  <w:noWrap w:val="0"/>
                  <w:vAlign w:val="center"/>
                </w:tcPr>
                <w:p w14:paraId="3885768C">
                  <w:pPr>
                    <w:pStyle w:val="3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0"/>
                      <w:kern w:val="0"/>
                      <w:sz w:val="21"/>
                      <w:szCs w:val="21"/>
                      <w:lang w:val="en-US" w:eastAsia="zh-CN"/>
                    </w:rPr>
                  </w:pPr>
                  <w:r>
                    <w:rPr>
                      <w:rFonts w:hint="eastAsia" w:ascii="Times New Roman" w:hAnsi="Times New Roman" w:cs="Times New Roman"/>
                      <w:color w:val="auto"/>
                      <w:spacing w:val="0"/>
                      <w:kern w:val="0"/>
                      <w:sz w:val="21"/>
                      <w:szCs w:val="21"/>
                      <w:lang w:val="en-US" w:eastAsia="zh-CN"/>
                    </w:rPr>
                    <w:t>桶装</w:t>
                  </w:r>
                </w:p>
              </w:tc>
            </w:tr>
            <w:tr w14:paraId="344B7D8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96" w:type="pct"/>
                  <w:tcBorders>
                    <w:tl2br w:val="nil"/>
                    <w:tr2bl w:val="nil"/>
                  </w:tcBorders>
                  <w:shd w:val="clear" w:color="auto" w:fill="auto"/>
                  <w:noWrap w:val="0"/>
                  <w:vAlign w:val="center"/>
                </w:tcPr>
                <w:p w14:paraId="7B854B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11</w:t>
                  </w:r>
                </w:p>
              </w:tc>
              <w:tc>
                <w:tcPr>
                  <w:tcW w:w="728" w:type="pct"/>
                  <w:tcBorders>
                    <w:tl2br w:val="nil"/>
                    <w:tr2bl w:val="nil"/>
                  </w:tcBorders>
                  <w:shd w:val="clear" w:color="auto" w:fill="auto"/>
                  <w:noWrap w:val="0"/>
                  <w:vAlign w:val="center"/>
                </w:tcPr>
                <w:p w14:paraId="2315512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废抹布</w:t>
                  </w:r>
                </w:p>
              </w:tc>
              <w:tc>
                <w:tcPr>
                  <w:tcW w:w="372" w:type="pct"/>
                  <w:tcBorders>
                    <w:tl2br w:val="nil"/>
                    <w:tr2bl w:val="nil"/>
                  </w:tcBorders>
                  <w:shd w:val="clear" w:color="auto" w:fill="auto"/>
                  <w:noWrap w:val="0"/>
                  <w:vAlign w:val="center"/>
                </w:tcPr>
                <w:p w14:paraId="68A1B91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HW</w:t>
                  </w:r>
                  <w:r>
                    <w:rPr>
                      <w:rFonts w:hint="eastAsia" w:cs="Times New Roman"/>
                      <w:color w:val="auto"/>
                      <w:sz w:val="21"/>
                      <w:szCs w:val="21"/>
                      <w:lang w:val="en-US" w:eastAsia="zh-CN"/>
                    </w:rPr>
                    <w:t>08</w:t>
                  </w:r>
                </w:p>
              </w:tc>
              <w:tc>
                <w:tcPr>
                  <w:tcW w:w="579" w:type="pct"/>
                  <w:tcBorders>
                    <w:tl2br w:val="nil"/>
                    <w:tr2bl w:val="nil"/>
                  </w:tcBorders>
                  <w:shd w:val="clear" w:color="auto" w:fill="auto"/>
                  <w:noWrap w:val="0"/>
                  <w:vAlign w:val="center"/>
                </w:tcPr>
                <w:p w14:paraId="58A47E5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900-249-08</w:t>
                  </w:r>
                </w:p>
              </w:tc>
              <w:tc>
                <w:tcPr>
                  <w:tcW w:w="567" w:type="pct"/>
                  <w:tcBorders>
                    <w:tl2br w:val="nil"/>
                    <w:tr2bl w:val="nil"/>
                  </w:tcBorders>
                  <w:shd w:val="clear" w:color="auto" w:fill="auto"/>
                  <w:noWrap w:val="0"/>
                  <w:vAlign w:val="center"/>
                </w:tcPr>
                <w:p w14:paraId="45EEBB9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0.2</w:t>
                  </w:r>
                </w:p>
              </w:tc>
              <w:tc>
                <w:tcPr>
                  <w:tcW w:w="679" w:type="pct"/>
                  <w:tcBorders>
                    <w:tl2br w:val="nil"/>
                    <w:tr2bl w:val="nil"/>
                  </w:tcBorders>
                  <w:shd w:val="clear" w:color="auto" w:fill="auto"/>
                  <w:noWrap w:val="0"/>
                  <w:vAlign w:val="center"/>
                </w:tcPr>
                <w:p w14:paraId="16BCC7F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电火花</w:t>
                  </w:r>
                </w:p>
              </w:tc>
              <w:tc>
                <w:tcPr>
                  <w:tcW w:w="391" w:type="pct"/>
                  <w:tcBorders>
                    <w:tl2br w:val="nil"/>
                    <w:tr2bl w:val="nil"/>
                  </w:tcBorders>
                  <w:shd w:val="clear" w:color="auto" w:fill="auto"/>
                  <w:noWrap w:val="0"/>
                  <w:vAlign w:val="center"/>
                </w:tcPr>
                <w:p w14:paraId="2395909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每月</w:t>
                  </w:r>
                </w:p>
              </w:tc>
              <w:tc>
                <w:tcPr>
                  <w:tcW w:w="583" w:type="pct"/>
                  <w:tcBorders>
                    <w:tl2br w:val="nil"/>
                    <w:tr2bl w:val="nil"/>
                  </w:tcBorders>
                  <w:noWrap w:val="0"/>
                  <w:vAlign w:val="center"/>
                </w:tcPr>
                <w:p w14:paraId="636191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0.05</w:t>
                  </w:r>
                </w:p>
              </w:tc>
              <w:tc>
                <w:tcPr>
                  <w:tcW w:w="449" w:type="pct"/>
                  <w:tcBorders>
                    <w:tl2br w:val="nil"/>
                    <w:tr2bl w:val="nil"/>
                  </w:tcBorders>
                  <w:noWrap w:val="0"/>
                  <w:vAlign w:val="center"/>
                </w:tcPr>
                <w:p w14:paraId="41E3541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0.5</w:t>
                  </w:r>
                </w:p>
              </w:tc>
              <w:tc>
                <w:tcPr>
                  <w:tcW w:w="451" w:type="pct"/>
                  <w:tcBorders>
                    <w:tl2br w:val="nil"/>
                    <w:tr2bl w:val="nil"/>
                  </w:tcBorders>
                  <w:shd w:val="clear" w:color="auto" w:fill="auto"/>
                  <w:noWrap w:val="0"/>
                  <w:vAlign w:val="center"/>
                </w:tcPr>
                <w:p w14:paraId="637D6902">
                  <w:pPr>
                    <w:pStyle w:val="3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pacing w:val="0"/>
                      <w:kern w:val="0"/>
                      <w:sz w:val="21"/>
                      <w:szCs w:val="21"/>
                      <w:lang w:val="en-US" w:eastAsia="zh-CN"/>
                    </w:rPr>
                  </w:pPr>
                  <w:r>
                    <w:rPr>
                      <w:rFonts w:hint="eastAsia" w:ascii="Times New Roman" w:hAnsi="Times New Roman" w:cs="Times New Roman"/>
                      <w:color w:val="auto"/>
                      <w:spacing w:val="0"/>
                      <w:kern w:val="0"/>
                      <w:sz w:val="21"/>
                      <w:szCs w:val="21"/>
                      <w:lang w:val="en-US" w:eastAsia="zh-CN"/>
                    </w:rPr>
                    <w:t>袋装</w:t>
                  </w:r>
                </w:p>
              </w:tc>
            </w:tr>
            <w:tr w14:paraId="74AE0F2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515" w:type="pct"/>
                  <w:gridSpan w:val="7"/>
                  <w:tcBorders>
                    <w:tl2br w:val="nil"/>
                    <w:tr2bl w:val="nil"/>
                  </w:tcBorders>
                  <w:noWrap w:val="0"/>
                  <w:vAlign w:val="center"/>
                </w:tcPr>
                <w:p w14:paraId="15860ED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合计</w:t>
                  </w:r>
                </w:p>
              </w:tc>
              <w:tc>
                <w:tcPr>
                  <w:tcW w:w="583" w:type="pct"/>
                  <w:tcBorders>
                    <w:tl2br w:val="nil"/>
                    <w:tr2bl w:val="nil"/>
                  </w:tcBorders>
                  <w:noWrap w:val="0"/>
                  <w:vAlign w:val="center"/>
                </w:tcPr>
                <w:p w14:paraId="7120940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0"/>
                      <w:kern w:val="0"/>
                      <w:sz w:val="21"/>
                      <w:szCs w:val="21"/>
                      <w:lang w:val="en-US"/>
                    </w:rPr>
                  </w:pPr>
                  <w:r>
                    <w:rPr>
                      <w:rFonts w:hint="eastAsia" w:cs="Times New Roman"/>
                      <w:smallCaps w:val="0"/>
                      <w:color w:val="auto"/>
                      <w:spacing w:val="0"/>
                      <w:kern w:val="0"/>
                      <w:position w:val="0"/>
                      <w:sz w:val="21"/>
                      <w:szCs w:val="21"/>
                      <w:highlight w:val="none"/>
                      <w:lang w:val="en-US" w:eastAsia="zh-CN"/>
                    </w:rPr>
                    <w:t>2.78</w:t>
                  </w:r>
                </w:p>
              </w:tc>
              <w:tc>
                <w:tcPr>
                  <w:tcW w:w="449" w:type="pct"/>
                  <w:tcBorders>
                    <w:tl2br w:val="nil"/>
                    <w:tr2bl w:val="nil"/>
                  </w:tcBorders>
                  <w:noWrap w:val="0"/>
                  <w:vAlign w:val="center"/>
                </w:tcPr>
                <w:p w14:paraId="59E4F55C">
                  <w:pPr>
                    <w:pStyle w:val="32"/>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r>
                    <w:rPr>
                      <w:rFonts w:hint="eastAsia" w:ascii="Times New Roman" w:hAnsi="Times New Roman" w:cs="Times New Roman"/>
                      <w:color w:val="auto"/>
                      <w:spacing w:val="0"/>
                      <w:kern w:val="0"/>
                      <w:sz w:val="21"/>
                      <w:szCs w:val="21"/>
                      <w:lang w:val="en-US" w:eastAsia="zh-CN"/>
                    </w:rPr>
                    <w:t>9</w:t>
                  </w:r>
                </w:p>
              </w:tc>
              <w:tc>
                <w:tcPr>
                  <w:tcW w:w="451" w:type="pct"/>
                  <w:tcBorders>
                    <w:tl2br w:val="nil"/>
                    <w:tr2bl w:val="nil"/>
                  </w:tcBorders>
                  <w:noWrap w:val="0"/>
                  <w:vAlign w:val="center"/>
                </w:tcPr>
                <w:p w14:paraId="3439105A">
                  <w:pPr>
                    <w:pStyle w:val="32"/>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eastAsia="zh-CN"/>
                    </w:rPr>
                    <w:t>&lt;</w:t>
                  </w:r>
                  <w:r>
                    <w:rPr>
                      <w:rFonts w:hint="eastAsia" w:ascii="Times New Roman" w:hAnsi="Times New Roman" w:cs="Times New Roman"/>
                      <w:color w:val="auto"/>
                      <w:spacing w:val="0"/>
                      <w:kern w:val="0"/>
                      <w:sz w:val="21"/>
                      <w:szCs w:val="21"/>
                      <w:lang w:val="en-US" w:eastAsia="zh-CN"/>
                    </w:rPr>
                    <w:t>9.6</w:t>
                  </w:r>
                  <w:r>
                    <w:rPr>
                      <w:rFonts w:hint="default" w:ascii="Times New Roman" w:hAnsi="Times New Roman" w:eastAsia="宋体" w:cs="Times New Roman"/>
                      <w:color w:val="auto"/>
                      <w:spacing w:val="0"/>
                      <w:kern w:val="0"/>
                      <w:sz w:val="21"/>
                      <w:szCs w:val="21"/>
                    </w:rPr>
                    <w:t>m</w:t>
                  </w:r>
                  <w:r>
                    <w:rPr>
                      <w:rFonts w:hint="eastAsia" w:ascii="Times New Roman" w:hAnsi="Times New Roman" w:cs="Times New Roman"/>
                      <w:color w:val="auto"/>
                      <w:spacing w:val="0"/>
                      <w:kern w:val="0"/>
                      <w:sz w:val="21"/>
                      <w:szCs w:val="21"/>
                      <w:vertAlign w:val="superscript"/>
                      <w:lang w:val="en-US" w:eastAsia="zh-CN"/>
                    </w:rPr>
                    <w:t>2</w:t>
                  </w:r>
                </w:p>
              </w:tc>
            </w:tr>
          </w:tbl>
          <w:p w14:paraId="67120737">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b/>
                <w:bCs/>
                <w:color w:val="auto"/>
                <w:sz w:val="24"/>
                <w:szCs w:val="24"/>
                <w:highlight w:val="none"/>
              </w:rPr>
            </w:pPr>
            <w:r>
              <w:rPr>
                <w:rFonts w:hint="default" w:ascii="Times New Roman" w:hAnsi="Times New Roman" w:eastAsia="宋体" w:cs="Times New Roman"/>
                <w:smallCaps w:val="0"/>
                <w:color w:val="auto"/>
                <w:spacing w:val="0"/>
                <w:kern w:val="0"/>
                <w:position w:val="0"/>
                <w:sz w:val="24"/>
                <w:szCs w:val="24"/>
                <w:highlight w:val="none"/>
                <w:lang w:val="en-US" w:eastAsia="zh-CN"/>
              </w:rPr>
              <w:t>项目建成后危废总量为</w:t>
            </w:r>
            <w:r>
              <w:rPr>
                <w:rFonts w:hint="eastAsia" w:cs="Times New Roman"/>
                <w:smallCaps w:val="0"/>
                <w:color w:val="auto"/>
                <w:spacing w:val="0"/>
                <w:kern w:val="0"/>
                <w:position w:val="0"/>
                <w:sz w:val="24"/>
                <w:szCs w:val="24"/>
                <w:highlight w:val="none"/>
                <w:lang w:val="en-US" w:eastAsia="zh-CN"/>
              </w:rPr>
              <w:t>11.131</w:t>
            </w:r>
            <w:r>
              <w:rPr>
                <w:rFonts w:hint="default" w:ascii="Times New Roman" w:hAnsi="Times New Roman" w:eastAsia="宋体" w:cs="Times New Roman"/>
                <w:smallCaps w:val="0"/>
                <w:color w:val="auto"/>
                <w:spacing w:val="0"/>
                <w:kern w:val="0"/>
                <w:position w:val="0"/>
                <w:sz w:val="24"/>
                <w:szCs w:val="24"/>
                <w:highlight w:val="none"/>
                <w:lang w:val="en-US" w:eastAsia="zh-CN"/>
              </w:rPr>
              <w:t>t/a，厂区内最大贮存量约</w:t>
            </w:r>
            <w:r>
              <w:rPr>
                <w:rFonts w:hint="eastAsia" w:cs="Times New Roman"/>
                <w:smallCaps w:val="0"/>
                <w:color w:val="auto"/>
                <w:spacing w:val="0"/>
                <w:kern w:val="0"/>
                <w:position w:val="0"/>
                <w:sz w:val="24"/>
                <w:szCs w:val="24"/>
                <w:highlight w:val="none"/>
                <w:lang w:val="en-US" w:eastAsia="zh-CN"/>
              </w:rPr>
              <w:t>2.78</w:t>
            </w:r>
            <w:r>
              <w:rPr>
                <w:rFonts w:hint="default" w:ascii="Times New Roman" w:hAnsi="Times New Roman" w:eastAsia="宋体" w:cs="Times New Roman"/>
                <w:smallCaps w:val="0"/>
                <w:color w:val="auto"/>
                <w:spacing w:val="0"/>
                <w:kern w:val="0"/>
                <w:position w:val="0"/>
                <w:sz w:val="24"/>
                <w:szCs w:val="24"/>
                <w:highlight w:val="none"/>
                <w:lang w:val="en-US" w:eastAsia="zh-CN"/>
              </w:rPr>
              <w:t>t，其所需面积约</w:t>
            </w:r>
            <w:r>
              <w:rPr>
                <w:rFonts w:hint="eastAsia" w:cs="Times New Roman"/>
                <w:smallCaps w:val="0"/>
                <w:color w:val="auto"/>
                <w:spacing w:val="0"/>
                <w:kern w:val="0"/>
                <w:position w:val="0"/>
                <w:sz w:val="24"/>
                <w:szCs w:val="24"/>
                <w:highlight w:val="none"/>
                <w:lang w:val="en-US" w:eastAsia="zh-CN"/>
              </w:rPr>
              <w:t>9</w:t>
            </w:r>
            <w:r>
              <w:rPr>
                <w:rFonts w:hint="default" w:ascii="Times New Roman" w:hAnsi="Times New Roman" w:eastAsia="宋体" w:cs="Times New Roman"/>
                <w:smallCaps w:val="0"/>
                <w:color w:val="auto"/>
                <w:spacing w:val="0"/>
                <w:kern w:val="0"/>
                <w:position w:val="0"/>
                <w:sz w:val="24"/>
                <w:szCs w:val="24"/>
                <w:highlight w:val="none"/>
                <w:lang w:val="en-US" w:eastAsia="zh-CN"/>
              </w:rPr>
              <w:t>m</w:t>
            </w:r>
            <w:r>
              <w:rPr>
                <w:rFonts w:hint="default" w:ascii="Times New Roman" w:hAnsi="Times New Roman" w:eastAsia="宋体" w:cs="Times New Roman"/>
                <w:smallCaps w:val="0"/>
                <w:color w:val="auto"/>
                <w:spacing w:val="0"/>
                <w:kern w:val="0"/>
                <w:position w:val="0"/>
                <w:sz w:val="24"/>
                <w:szCs w:val="24"/>
                <w:highlight w:val="none"/>
                <w:vertAlign w:val="superscript"/>
                <w:lang w:val="en-US" w:eastAsia="zh-CN"/>
              </w:rPr>
              <w:t>2</w:t>
            </w:r>
            <w:r>
              <w:rPr>
                <w:rFonts w:hint="default" w:ascii="Times New Roman" w:hAnsi="Times New Roman" w:eastAsia="宋体" w:cs="Times New Roman"/>
                <w:smallCaps w:val="0"/>
                <w:color w:val="auto"/>
                <w:spacing w:val="0"/>
                <w:kern w:val="0"/>
                <w:position w:val="0"/>
                <w:sz w:val="24"/>
                <w:szCs w:val="24"/>
                <w:highlight w:val="none"/>
                <w:lang w:val="en-US" w:eastAsia="zh-CN"/>
              </w:rPr>
              <w:t>（&lt;</w:t>
            </w:r>
            <w:r>
              <w:rPr>
                <w:rFonts w:hint="eastAsia" w:cs="Times New Roman"/>
                <w:smallCaps w:val="0"/>
                <w:color w:val="auto"/>
                <w:spacing w:val="0"/>
                <w:kern w:val="0"/>
                <w:position w:val="0"/>
                <w:sz w:val="24"/>
                <w:szCs w:val="24"/>
                <w:highlight w:val="none"/>
                <w:lang w:val="en-US" w:eastAsia="zh-CN"/>
              </w:rPr>
              <w:t>9.6</w:t>
            </w:r>
            <w:r>
              <w:rPr>
                <w:rFonts w:hint="default" w:ascii="Times New Roman" w:hAnsi="Times New Roman" w:eastAsia="宋体" w:cs="Times New Roman"/>
                <w:smallCaps w:val="0"/>
                <w:color w:val="auto"/>
                <w:spacing w:val="0"/>
                <w:kern w:val="0"/>
                <w:position w:val="0"/>
                <w:sz w:val="24"/>
                <w:szCs w:val="24"/>
                <w:highlight w:val="none"/>
                <w:lang w:val="en-US" w:eastAsia="zh-CN"/>
              </w:rPr>
              <w:t>m</w:t>
            </w:r>
            <w:r>
              <w:rPr>
                <w:rFonts w:hint="default" w:ascii="Times New Roman" w:hAnsi="Times New Roman" w:eastAsia="宋体" w:cs="Times New Roman"/>
                <w:smallCaps w:val="0"/>
                <w:color w:val="auto"/>
                <w:spacing w:val="0"/>
                <w:kern w:val="0"/>
                <w:position w:val="0"/>
                <w:sz w:val="24"/>
                <w:szCs w:val="24"/>
                <w:highlight w:val="none"/>
                <w:vertAlign w:val="superscript"/>
                <w:lang w:val="en-US" w:eastAsia="zh-CN"/>
              </w:rPr>
              <w:t>2</w:t>
            </w:r>
            <w:r>
              <w:rPr>
                <w:rFonts w:hint="default" w:ascii="Times New Roman" w:hAnsi="Times New Roman" w:eastAsia="宋体" w:cs="Times New Roman"/>
                <w:smallCaps w:val="0"/>
                <w:color w:val="auto"/>
                <w:spacing w:val="0"/>
                <w:kern w:val="0"/>
                <w:position w:val="0"/>
                <w:sz w:val="24"/>
                <w:szCs w:val="24"/>
                <w:highlight w:val="none"/>
                <w:lang w:val="en-US" w:eastAsia="zh-CN"/>
              </w:rPr>
              <w:t>），故危废堆场贮存容量可满足本项目危废的贮存。</w:t>
            </w:r>
          </w:p>
          <w:p w14:paraId="4649FAB0">
            <w:pPr>
              <w:keepNext w:val="0"/>
              <w:keepLines w:val="0"/>
              <w:pageBreakBefore w:val="0"/>
              <w:widowControl/>
              <w:kinsoku/>
              <w:wordWrap/>
              <w:overflowPunct/>
              <w:topLinePunct w:val="0"/>
              <w:autoSpaceDE/>
              <w:autoSpaceDN/>
              <w:bidi w:val="0"/>
              <w:adjustRightInd/>
              <w:snapToGrid/>
              <w:ind w:left="0" w:leftChars="0" w:firstLine="0" w:firstLineChars="0"/>
              <w:jc w:val="left"/>
              <w:textAlignment w:val="bottom"/>
              <w:rPr>
                <w:rFonts w:hint="eastAsia"/>
                <w:b/>
                <w:bCs/>
                <w:color w:val="auto"/>
                <w:sz w:val="24"/>
                <w:szCs w:val="24"/>
              </w:rPr>
            </w:pPr>
            <w:r>
              <w:rPr>
                <w:rFonts w:hint="eastAsia"/>
                <w:b/>
                <w:bCs/>
                <w:color w:val="auto"/>
                <w:sz w:val="24"/>
                <w:szCs w:val="24"/>
                <w:lang w:val="en-US" w:eastAsia="zh-CN"/>
              </w:rPr>
              <w:t>4.4.4</w:t>
            </w:r>
            <w:r>
              <w:rPr>
                <w:rFonts w:hint="eastAsia"/>
                <w:b/>
                <w:bCs/>
                <w:color w:val="auto"/>
                <w:sz w:val="24"/>
                <w:szCs w:val="24"/>
              </w:rPr>
              <w:t>一般固体废物环境管理要求</w:t>
            </w:r>
          </w:p>
          <w:p w14:paraId="1550BA13">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auto"/>
                <w:sz w:val="24"/>
                <w:szCs w:val="24"/>
              </w:rPr>
            </w:pPr>
            <w:r>
              <w:rPr>
                <w:rFonts w:hint="eastAsia"/>
                <w:b w:val="0"/>
                <w:bCs w:val="0"/>
                <w:color w:val="auto"/>
                <w:sz w:val="24"/>
                <w:szCs w:val="24"/>
              </w:rPr>
              <w:t>项目在厂区内设置了</w:t>
            </w:r>
            <w:r>
              <w:rPr>
                <w:rFonts w:hint="eastAsia"/>
                <w:b w:val="0"/>
                <w:bCs w:val="0"/>
                <w:color w:val="auto"/>
                <w:sz w:val="24"/>
                <w:szCs w:val="24"/>
                <w:lang w:val="en-US" w:eastAsia="zh-CN"/>
              </w:rPr>
              <w:t>一个</w:t>
            </w:r>
            <w:r>
              <w:rPr>
                <w:rFonts w:hint="eastAsia"/>
                <w:b w:val="0"/>
                <w:bCs w:val="0"/>
                <w:color w:val="auto"/>
                <w:sz w:val="24"/>
                <w:szCs w:val="24"/>
              </w:rPr>
              <w:t>一般工业固废贮存间</w:t>
            </w:r>
            <w:r>
              <w:rPr>
                <w:rFonts w:hint="eastAsia"/>
                <w:b w:val="0"/>
                <w:bCs w:val="0"/>
                <w:color w:val="auto"/>
                <w:sz w:val="24"/>
                <w:szCs w:val="24"/>
                <w:lang w:eastAsia="zh-CN"/>
              </w:rPr>
              <w:t>（</w:t>
            </w:r>
            <w:r>
              <w:rPr>
                <w:rFonts w:hint="eastAsia"/>
                <w:b w:val="0"/>
                <w:bCs w:val="0"/>
                <w:color w:val="auto"/>
                <w:sz w:val="24"/>
                <w:szCs w:val="24"/>
              </w:rPr>
              <w:t>面积约</w:t>
            </w:r>
            <w:r>
              <w:rPr>
                <w:rFonts w:hint="eastAsia"/>
                <w:b w:val="0"/>
                <w:bCs w:val="0"/>
                <w:color w:val="auto"/>
                <w:sz w:val="24"/>
                <w:szCs w:val="24"/>
                <w:lang w:val="en-US" w:eastAsia="zh-CN"/>
              </w:rPr>
              <w:t>10</w:t>
            </w:r>
            <w:r>
              <w:rPr>
                <w:rFonts w:hint="eastAsia"/>
                <w:b w:val="0"/>
                <w:bCs w:val="0"/>
                <w:color w:val="auto"/>
                <w:sz w:val="24"/>
                <w:szCs w:val="24"/>
              </w:rPr>
              <w:t>m</w:t>
            </w:r>
            <w:r>
              <w:rPr>
                <w:rFonts w:hint="eastAsia"/>
                <w:b w:val="0"/>
                <w:bCs w:val="0"/>
                <w:color w:val="auto"/>
                <w:sz w:val="24"/>
                <w:szCs w:val="24"/>
                <w:vertAlign w:val="superscript"/>
              </w:rPr>
              <w:t>2</w:t>
            </w:r>
            <w:r>
              <w:rPr>
                <w:rFonts w:hint="eastAsia"/>
                <w:b w:val="0"/>
                <w:bCs w:val="0"/>
                <w:color w:val="auto"/>
                <w:sz w:val="24"/>
                <w:szCs w:val="24"/>
                <w:lang w:eastAsia="zh-CN"/>
              </w:rPr>
              <w:t>）</w:t>
            </w:r>
            <w:r>
              <w:rPr>
                <w:rFonts w:hint="eastAsia"/>
                <w:b w:val="0"/>
                <w:bCs w:val="0"/>
                <w:color w:val="auto"/>
                <w:sz w:val="24"/>
                <w:szCs w:val="24"/>
              </w:rPr>
              <w:t>，</w:t>
            </w:r>
            <w:r>
              <w:rPr>
                <w:rFonts w:hint="eastAsia"/>
                <w:color w:val="auto"/>
                <w:sz w:val="24"/>
                <w:szCs w:val="24"/>
              </w:rPr>
              <w:t>一般工业固废暂存场所的设置参照《一般工业固体废物贮存和填埋污染控制标准》（GB18599-2020）中相关规定执行</w:t>
            </w:r>
            <w:r>
              <w:rPr>
                <w:rFonts w:hint="eastAsia"/>
                <w:b w:val="0"/>
                <w:bCs w:val="0"/>
                <w:color w:val="auto"/>
                <w:sz w:val="24"/>
                <w:szCs w:val="24"/>
              </w:rPr>
              <w:t>，</w:t>
            </w:r>
            <w:r>
              <w:rPr>
                <w:rFonts w:hint="eastAsia"/>
                <w:b w:val="0"/>
                <w:bCs w:val="0"/>
                <w:color w:val="auto"/>
                <w:sz w:val="24"/>
                <w:szCs w:val="24"/>
                <w:lang w:val="en-US" w:eastAsia="zh-CN"/>
              </w:rPr>
              <w:t>不合格品、沉渣、废金属屑、废石英砂、废活性炭、废滤芯、废滤膜、废包装材料、废布袋、废滤筒</w:t>
            </w:r>
            <w:r>
              <w:rPr>
                <w:rFonts w:hint="eastAsia"/>
                <w:b w:val="0"/>
                <w:bCs w:val="0"/>
                <w:color w:val="auto"/>
                <w:sz w:val="24"/>
                <w:szCs w:val="24"/>
              </w:rPr>
              <w:t>收集后送至一般固废暂存场所进行分类暂存，杜绝混合存放。</w:t>
            </w:r>
          </w:p>
          <w:p w14:paraId="572A08CA">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auto"/>
                <w:sz w:val="24"/>
                <w:szCs w:val="24"/>
              </w:rPr>
            </w:pPr>
            <w:r>
              <w:rPr>
                <w:rFonts w:hint="eastAsia"/>
                <w:b w:val="0"/>
                <w:bCs w:val="0"/>
                <w:color w:val="auto"/>
                <w:sz w:val="24"/>
                <w:szCs w:val="24"/>
              </w:rPr>
              <w:t>应严格按照《中华人民共和国固体废物污染环境防治法》要求，建立健全一般工业固废产生、收集、贮存、运输、利用、处置全过程的污染环境防治责任制度，建立工业固体废物管理台账，如实记录产生一般工业固废的种类、数量、流向、贮存、利用、处置等信息，实现一般工业固体废物可追溯、可查询。</w:t>
            </w:r>
          </w:p>
          <w:p w14:paraId="7D415EF1">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auto"/>
                <w:sz w:val="24"/>
                <w:szCs w:val="24"/>
              </w:rPr>
            </w:pPr>
            <w:r>
              <w:rPr>
                <w:rFonts w:hint="eastAsia"/>
                <w:b w:val="0"/>
                <w:bCs w:val="0"/>
                <w:color w:val="auto"/>
                <w:sz w:val="24"/>
                <w:szCs w:val="24"/>
              </w:rPr>
              <w:t>根据《一般工业固体废物管理台账制定指南（试行）》（生态环境部公告2021年第82号），建设单位应按照该指南中要求建立规范化工业固体废物管理台账，如实记录工业固体废物的种类、数量、流向、贮存、利用、处置等信息，推动企业提升固体废物管理水平。</w:t>
            </w:r>
          </w:p>
          <w:p w14:paraId="08B1834D">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auto"/>
                <w:sz w:val="24"/>
                <w:szCs w:val="24"/>
              </w:rPr>
            </w:pPr>
            <w:r>
              <w:rPr>
                <w:rFonts w:hint="eastAsia"/>
                <w:b w:val="0"/>
                <w:bCs w:val="0"/>
                <w:color w:val="auto"/>
                <w:sz w:val="24"/>
                <w:szCs w:val="24"/>
              </w:rPr>
              <w:t>（5）危废堆场防治措施</w:t>
            </w:r>
          </w:p>
          <w:p w14:paraId="684328BA">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auto"/>
                <w:sz w:val="24"/>
                <w:szCs w:val="24"/>
              </w:rPr>
            </w:pPr>
            <w:r>
              <w:rPr>
                <w:rFonts w:hint="eastAsia"/>
                <w:b w:val="0"/>
                <w:bCs w:val="0"/>
                <w:color w:val="auto"/>
                <w:sz w:val="24"/>
                <w:szCs w:val="24"/>
              </w:rPr>
              <w:t>a.收集过程污染控制</w:t>
            </w:r>
          </w:p>
          <w:p w14:paraId="70A7DE9F">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auto"/>
                <w:sz w:val="24"/>
                <w:szCs w:val="24"/>
              </w:rPr>
            </w:pPr>
            <w:r>
              <w:rPr>
                <w:rFonts w:hint="eastAsia"/>
                <w:b w:val="0"/>
                <w:bCs w:val="0"/>
                <w:color w:val="auto"/>
                <w:sz w:val="24"/>
                <w:szCs w:val="24"/>
              </w:rPr>
              <w:t>本项目对各种不同的危险废物进行分类收集，采用不同大小和不同材质的容器进行包装，所有包装容器应足够安全，并经过周密检查，严防在装载、搬移或运输途中出现渗漏、溢出、抛洒或挥发等情况。</w:t>
            </w:r>
          </w:p>
          <w:p w14:paraId="188364B2">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auto"/>
                <w:sz w:val="24"/>
                <w:szCs w:val="24"/>
              </w:rPr>
            </w:pPr>
            <w:r>
              <w:rPr>
                <w:rFonts w:hint="eastAsia"/>
                <w:b w:val="0"/>
                <w:bCs w:val="0"/>
                <w:color w:val="auto"/>
                <w:sz w:val="24"/>
                <w:szCs w:val="24"/>
              </w:rPr>
              <w:t>b.临时贮存过程污染控制</w:t>
            </w:r>
          </w:p>
          <w:p w14:paraId="43822183">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cs="Times New Roman"/>
                <w:color w:val="auto"/>
                <w:kern w:val="2"/>
                <w:sz w:val="24"/>
                <w:szCs w:val="24"/>
                <w:highlight w:val="none"/>
                <w:shd w:val="clear" w:color="auto" w:fill="auto"/>
                <w:lang w:val="en-US" w:eastAsia="zh-CN" w:bidi="ar-SA"/>
              </w:rPr>
            </w:pPr>
            <w:r>
              <w:rPr>
                <w:rFonts w:hint="default" w:ascii="Times New Roman" w:hAnsi="Times New Roman" w:eastAsia="宋体" w:cs="Times New Roman"/>
                <w:color w:val="auto"/>
                <w:kern w:val="2"/>
                <w:sz w:val="24"/>
                <w:szCs w:val="24"/>
                <w:highlight w:val="none"/>
                <w:shd w:val="clear" w:color="auto" w:fill="auto"/>
                <w:lang w:val="en-US" w:eastAsia="zh-CN" w:bidi="ar-SA"/>
              </w:rPr>
              <w:t>本项目固态危险废物产生后由现场立即用塑料缠绕膜进行缠绕打包称量，并采用桶/袋密封后贮存至危废仓库内，液态危废装入桶内密封后贮存至危废仓库内</w:t>
            </w:r>
            <w:r>
              <w:rPr>
                <w:rFonts w:hint="eastAsia" w:cs="Times New Roman"/>
                <w:color w:val="auto"/>
                <w:kern w:val="2"/>
                <w:sz w:val="24"/>
                <w:szCs w:val="24"/>
                <w:highlight w:val="none"/>
                <w:shd w:val="clear" w:color="auto" w:fill="auto"/>
                <w:lang w:val="en-US" w:eastAsia="zh-CN" w:bidi="ar-SA"/>
              </w:rPr>
              <w:t>。</w:t>
            </w:r>
          </w:p>
          <w:p w14:paraId="48FF618F">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auto"/>
                <w:sz w:val="24"/>
                <w:szCs w:val="24"/>
              </w:rPr>
            </w:pPr>
            <w:r>
              <w:rPr>
                <w:rFonts w:hint="eastAsia"/>
                <w:b w:val="0"/>
                <w:bCs w:val="0"/>
                <w:color w:val="auto"/>
                <w:sz w:val="24"/>
                <w:szCs w:val="24"/>
              </w:rPr>
              <w:t>危废仓库按照《危险废物贮存污染控制标准》（GB18597-2023）要求设置标志牌，做到“防风、防雨、防晒”。</w:t>
            </w:r>
          </w:p>
          <w:p w14:paraId="2FCC33A1">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auto"/>
                <w:sz w:val="24"/>
                <w:szCs w:val="24"/>
              </w:rPr>
            </w:pPr>
            <w:r>
              <w:rPr>
                <w:rFonts w:hint="eastAsia"/>
                <w:b w:val="0"/>
                <w:bCs w:val="0"/>
                <w:color w:val="auto"/>
                <w:sz w:val="24"/>
                <w:szCs w:val="24"/>
              </w:rPr>
              <w:t>危废仓库地面已具备基础防渗措施，需在此基础上铺设0.2mm厚的环氧树脂涂层，使地面渗透系数小于1.0×10-10cm/s，满足《环境影响评价技术导则—地下水环境》（HJ610-2016）中重点防渗区防渗技术要求。</w:t>
            </w:r>
          </w:p>
          <w:p w14:paraId="5DA54BED">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auto"/>
                <w:sz w:val="24"/>
                <w:szCs w:val="24"/>
              </w:rPr>
            </w:pPr>
            <w:r>
              <w:rPr>
                <w:rFonts w:hint="eastAsia"/>
                <w:b w:val="0"/>
                <w:bCs w:val="0"/>
                <w:color w:val="auto"/>
                <w:sz w:val="24"/>
                <w:szCs w:val="24"/>
              </w:rPr>
              <w:t>c.标识化建设</w:t>
            </w:r>
          </w:p>
          <w:p w14:paraId="3230E361">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auto"/>
                <w:sz w:val="24"/>
                <w:szCs w:val="24"/>
              </w:rPr>
            </w:pPr>
            <w:r>
              <w:rPr>
                <w:rFonts w:hint="eastAsia"/>
                <w:b w:val="0"/>
                <w:bCs w:val="0"/>
                <w:color w:val="auto"/>
                <w:sz w:val="24"/>
                <w:szCs w:val="24"/>
              </w:rPr>
              <w:t>根据《危险废物贮存污染控制标准》（GB18597-2023）《危险废物收集贮存运输技术规范》（H</w:t>
            </w:r>
            <w:r>
              <w:rPr>
                <w:rFonts w:hint="eastAsia"/>
                <w:b w:val="0"/>
                <w:bCs w:val="0"/>
                <w:color w:val="auto"/>
                <w:sz w:val="24"/>
                <w:szCs w:val="24"/>
                <w:lang w:val="en-US" w:eastAsia="zh-CN"/>
              </w:rPr>
              <w:t>J</w:t>
            </w:r>
            <w:r>
              <w:rPr>
                <w:rFonts w:hint="eastAsia"/>
                <w:b w:val="0"/>
                <w:bCs w:val="0"/>
                <w:color w:val="auto"/>
                <w:sz w:val="24"/>
                <w:szCs w:val="24"/>
              </w:rPr>
              <w:t>2025-2012）、《危险废物识别标志设置技术规范》（HJ1276-2022）等文件要求，公开危险废物信息、贮存设施设置警示标志。在识别标识外观质量上，应确保公开栏、标志牌、立柱、支架无明显变形；立柱、支架的材料、内外径大小及地下部分高度应确保公开栏、标志牌等安全、稳定固定，避免发生倾倒情况；公开栏、标志牌、立柱、支架等均应经过防腐处理；公开栏、标志牌表面无气泡，膜或搪瓷无脱落，无开裂、脱落及其他破损；公开栏、标志牌、标签等图案清晰，色泽一致，不得有明显缺损。当发现形象损坏、颜色污染或有变化、褪色等情况时，应及时修复或更换。</w:t>
            </w:r>
          </w:p>
          <w:p w14:paraId="645762E1">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auto"/>
                <w:sz w:val="24"/>
                <w:szCs w:val="24"/>
              </w:rPr>
            </w:pPr>
            <w:r>
              <w:rPr>
                <w:rFonts w:hint="eastAsia"/>
                <w:b w:val="0"/>
                <w:bCs w:val="0"/>
                <w:color w:val="auto"/>
                <w:sz w:val="24"/>
                <w:szCs w:val="24"/>
              </w:rPr>
              <w:t>d.监控</w:t>
            </w:r>
          </w:p>
          <w:p w14:paraId="52DEC80E">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auto"/>
                <w:sz w:val="24"/>
                <w:szCs w:val="24"/>
              </w:rPr>
            </w:pPr>
            <w:r>
              <w:rPr>
                <w:rFonts w:hint="eastAsia"/>
                <w:b w:val="0"/>
                <w:bCs w:val="0"/>
                <w:color w:val="auto"/>
                <w:sz w:val="24"/>
                <w:szCs w:val="24"/>
              </w:rPr>
              <w:t>根据《省生态环境厅关于印发江苏省危险废物贮存规范化管理专项整治行动方案的通知》（苏环办〔2019〕149号）、《省生态环境厅关于印发《江苏省固体废物全过程环境监管工作意见》的通知》（苏环办</w:t>
            </w:r>
            <w:r>
              <w:rPr>
                <w:rFonts w:hint="eastAsia"/>
                <w:b w:val="0"/>
                <w:bCs w:val="0"/>
                <w:color w:val="auto"/>
                <w:sz w:val="24"/>
                <w:szCs w:val="24"/>
                <w:lang w:eastAsia="zh-CN"/>
              </w:rPr>
              <w:t>〔2024〕16号</w:t>
            </w:r>
            <w:r>
              <w:rPr>
                <w:rFonts w:hint="eastAsia"/>
                <w:b w:val="0"/>
                <w:bCs w:val="0"/>
                <w:color w:val="auto"/>
                <w:sz w:val="24"/>
                <w:szCs w:val="24"/>
              </w:rPr>
              <w:t>）要求，危险废物产生单位和经营单位均应在关键位置设置在线视频监控。</w:t>
            </w:r>
          </w:p>
          <w:p w14:paraId="43B15DE8">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auto"/>
                <w:sz w:val="24"/>
                <w:szCs w:val="24"/>
              </w:rPr>
            </w:pPr>
            <w:r>
              <w:rPr>
                <w:rFonts w:hint="eastAsia"/>
                <w:b w:val="0"/>
                <w:bCs w:val="0"/>
                <w:color w:val="auto"/>
                <w:sz w:val="24"/>
                <w:szCs w:val="24"/>
              </w:rPr>
              <w:t>本项目应在危废堆场出入口及内部布设视频监控，且满足以下要求：监控系统：须满足《公共安全视频监控联网系统信息传输、交换、控制技术要求》（GB/T28181-2022）、《安全防范高清视频监控系统技术要求》（GA/T1211-2014）等标准；所有摄像机须支持ONVIF、GB/T28181-2022标准协议。</w:t>
            </w:r>
          </w:p>
          <w:p w14:paraId="38F669E8">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auto"/>
                <w:sz w:val="24"/>
                <w:szCs w:val="24"/>
              </w:rPr>
            </w:pPr>
            <w:r>
              <w:rPr>
                <w:rFonts w:hint="eastAsia"/>
                <w:b w:val="0"/>
                <w:bCs w:val="0"/>
                <w:color w:val="auto"/>
                <w:sz w:val="24"/>
                <w:szCs w:val="24"/>
              </w:rPr>
              <w:t>监控质量：须连续记录危险废物出入库情况和物流情况，包含录制日期及时间显示，不得对原始影像文件进行拼接、剪辑和编辑，保证影像连贯；摄像头距离监控对象的位置应保证监控对象全部摄入监控视频中，同时避免人员、设备、建筑物等的遮挡，清楚辨识贮存、处理等关键环节；监控区域24小时须有足够的光源以保证画面清晰辨识；视频监控录像画面分辨率须达到300万像素以上。</w:t>
            </w:r>
          </w:p>
          <w:p w14:paraId="2166C413">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auto"/>
                <w:sz w:val="24"/>
                <w:szCs w:val="24"/>
              </w:rPr>
            </w:pPr>
            <w:r>
              <w:rPr>
                <w:rFonts w:hint="eastAsia"/>
                <w:b w:val="0"/>
                <w:bCs w:val="0"/>
                <w:color w:val="auto"/>
                <w:sz w:val="24"/>
                <w:szCs w:val="24"/>
              </w:rPr>
              <w:t>存储传输：企业应当做好备用电源、视频双备份等保障措施，确保视频监控全天24小时不间断录像，监控视频保存时间至少为3个月。</w:t>
            </w:r>
          </w:p>
          <w:p w14:paraId="2A1EC82C">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auto"/>
                <w:sz w:val="24"/>
                <w:szCs w:val="24"/>
              </w:rPr>
            </w:pPr>
            <w:r>
              <w:rPr>
                <w:rFonts w:hint="eastAsia"/>
                <w:b w:val="0"/>
                <w:bCs w:val="0"/>
                <w:color w:val="auto"/>
                <w:sz w:val="24"/>
                <w:szCs w:val="24"/>
              </w:rPr>
              <w:t>e.运输过程污染控制</w:t>
            </w:r>
          </w:p>
          <w:p w14:paraId="516BB646">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auto"/>
                <w:sz w:val="24"/>
                <w:szCs w:val="24"/>
              </w:rPr>
            </w:pPr>
            <w:r>
              <w:rPr>
                <w:rFonts w:hint="eastAsia"/>
                <w:b w:val="0"/>
                <w:bCs w:val="0"/>
                <w:color w:val="auto"/>
                <w:sz w:val="24"/>
                <w:szCs w:val="24"/>
              </w:rPr>
              <w:t>本项目危险废物运输由有资质单位负责，运输车辆须经主管单位检查，并持有有关单位签发的许可证，负责运输的司机应通过培训，持有证明文件。</w:t>
            </w:r>
          </w:p>
          <w:p w14:paraId="30782CFB">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auto"/>
                <w:sz w:val="24"/>
                <w:szCs w:val="24"/>
              </w:rPr>
            </w:pPr>
            <w:r>
              <w:rPr>
                <w:rFonts w:hint="eastAsia"/>
                <w:b w:val="0"/>
                <w:bCs w:val="0"/>
                <w:color w:val="auto"/>
                <w:sz w:val="24"/>
                <w:szCs w:val="24"/>
              </w:rPr>
              <w:t>承载危险废物的车辆须有明显的标志或适当的危险符号，以引起注意。</w:t>
            </w:r>
          </w:p>
          <w:p w14:paraId="78132A43">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auto"/>
                <w:sz w:val="24"/>
                <w:szCs w:val="24"/>
              </w:rPr>
            </w:pPr>
            <w:r>
              <w:rPr>
                <w:rFonts w:hint="eastAsia"/>
                <w:b w:val="0"/>
                <w:bCs w:val="0"/>
                <w:color w:val="auto"/>
                <w:sz w:val="24"/>
                <w:szCs w:val="24"/>
              </w:rPr>
              <w:t>载有危险废物的车辆在公路上行驶时，需持有运输许可证，其上应注明废物来源、性质和运往地点。组织危险废物的运输单位，在事先需</w:t>
            </w:r>
            <w:r>
              <w:rPr>
                <w:rFonts w:hint="eastAsia"/>
                <w:b w:val="0"/>
                <w:bCs w:val="0"/>
                <w:color w:val="auto"/>
                <w:sz w:val="24"/>
                <w:szCs w:val="24"/>
                <w:lang w:eastAsia="zh-CN"/>
              </w:rPr>
              <w:t>做出</w:t>
            </w:r>
            <w:r>
              <w:rPr>
                <w:rFonts w:hint="eastAsia"/>
                <w:b w:val="0"/>
                <w:bCs w:val="0"/>
                <w:color w:val="auto"/>
                <w:sz w:val="24"/>
                <w:szCs w:val="24"/>
              </w:rPr>
              <w:t>周密的运输计划和行驶路线，其中包括有效的废物泄漏情况下的应急措施。</w:t>
            </w:r>
          </w:p>
          <w:p w14:paraId="78BB0AD5">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auto"/>
                <w:sz w:val="24"/>
                <w:szCs w:val="24"/>
              </w:rPr>
            </w:pPr>
            <w:r>
              <w:rPr>
                <w:rFonts w:hint="eastAsia"/>
                <w:b w:val="0"/>
                <w:bCs w:val="0"/>
                <w:color w:val="auto"/>
                <w:sz w:val="24"/>
                <w:szCs w:val="24"/>
              </w:rPr>
              <w:t>（7）固体废物管理要求</w:t>
            </w:r>
          </w:p>
          <w:p w14:paraId="300B7917">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auto"/>
                <w:sz w:val="24"/>
                <w:szCs w:val="24"/>
              </w:rPr>
            </w:pPr>
            <w:r>
              <w:rPr>
                <w:rFonts w:hint="eastAsia"/>
                <w:b w:val="0"/>
                <w:bCs w:val="0"/>
                <w:color w:val="auto"/>
                <w:sz w:val="24"/>
                <w:szCs w:val="24"/>
              </w:rPr>
              <w:t>根据《省生态环境厅关于印发《江苏省固体废物全过程环境监管工作意见》的通知》（苏环办</w:t>
            </w:r>
            <w:r>
              <w:rPr>
                <w:rFonts w:hint="eastAsia"/>
                <w:b w:val="0"/>
                <w:bCs w:val="0"/>
                <w:color w:val="auto"/>
                <w:sz w:val="24"/>
                <w:szCs w:val="24"/>
                <w:lang w:eastAsia="zh-CN"/>
              </w:rPr>
              <w:t>〔2024〕16号</w:t>
            </w:r>
            <w:r>
              <w:rPr>
                <w:rFonts w:hint="eastAsia"/>
                <w:b w:val="0"/>
                <w:bCs w:val="0"/>
                <w:color w:val="auto"/>
                <w:sz w:val="24"/>
                <w:szCs w:val="24"/>
              </w:rPr>
              <w:t>），企业日常管理过程中，落实排污许可制度、规范贮存管理要求、强化转移过程管理、落实信息公开制度、加强企业产物监管和规范一般工业固废管理，具体管理如下。</w:t>
            </w:r>
          </w:p>
          <w:p w14:paraId="685FF4AE">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auto"/>
                <w:sz w:val="24"/>
                <w:szCs w:val="24"/>
              </w:rPr>
            </w:pPr>
            <w:r>
              <w:rPr>
                <w:rFonts w:hint="eastAsia"/>
                <w:b w:val="0"/>
                <w:bCs w:val="0"/>
                <w:color w:val="auto"/>
                <w:sz w:val="24"/>
                <w:szCs w:val="24"/>
              </w:rPr>
              <w:t>落实排污许可制度。企业要在排污许可管理系统中全面、准确申报工业固体废物产生种类，以及贮存设施和利用处置等相关情况，并对其真实性负责。实际产生、转移、贮存和利用处置情况对照项目环评发生变动的，要根据变动情况及时采取重新报批环评、纳入环境保护竣工验收等手续，并及时变更排污许可。</w:t>
            </w:r>
          </w:p>
          <w:p w14:paraId="5C32AE2E">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auto"/>
                <w:sz w:val="24"/>
                <w:szCs w:val="24"/>
              </w:rPr>
            </w:pPr>
            <w:r>
              <w:rPr>
                <w:rFonts w:hint="eastAsia"/>
                <w:b w:val="0"/>
                <w:bCs w:val="0"/>
                <w:color w:val="auto"/>
                <w:sz w:val="24"/>
                <w:szCs w:val="24"/>
              </w:rPr>
              <w:t>规范贮存管理要求。根据《危险废物贮存污染控制标准》</w:t>
            </w:r>
            <w:r>
              <w:rPr>
                <w:rFonts w:hint="eastAsia"/>
                <w:b w:val="0"/>
                <w:bCs w:val="0"/>
                <w:color w:val="auto"/>
                <w:sz w:val="24"/>
                <w:szCs w:val="24"/>
                <w:lang w:eastAsia="zh-CN"/>
              </w:rPr>
              <w:t>（</w:t>
            </w:r>
            <w:r>
              <w:rPr>
                <w:rFonts w:hint="eastAsia"/>
                <w:b w:val="0"/>
                <w:bCs w:val="0"/>
                <w:color w:val="auto"/>
                <w:sz w:val="24"/>
                <w:szCs w:val="24"/>
              </w:rPr>
              <w:t>GB18597-2023</w:t>
            </w:r>
            <w:r>
              <w:rPr>
                <w:rFonts w:hint="eastAsia"/>
                <w:b w:val="0"/>
                <w:bCs w:val="0"/>
                <w:color w:val="auto"/>
                <w:sz w:val="24"/>
                <w:szCs w:val="24"/>
                <w:lang w:eastAsia="zh-CN"/>
              </w:rPr>
              <w:t>）</w:t>
            </w:r>
            <w:r>
              <w:rPr>
                <w:rFonts w:hint="eastAsia"/>
                <w:b w:val="0"/>
                <w:bCs w:val="0"/>
                <w:color w:val="auto"/>
                <w:sz w:val="24"/>
                <w:szCs w:val="24"/>
              </w:rPr>
              <w:t>，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w:t>
            </w:r>
            <w:r>
              <w:rPr>
                <w:rFonts w:hint="eastAsia"/>
                <w:b w:val="0"/>
                <w:bCs w:val="0"/>
                <w:color w:val="auto"/>
                <w:sz w:val="24"/>
                <w:szCs w:val="24"/>
                <w:lang w:eastAsia="zh-CN"/>
              </w:rPr>
              <w:t>（</w:t>
            </w:r>
            <w:r>
              <w:rPr>
                <w:rFonts w:hint="eastAsia"/>
                <w:b w:val="0"/>
                <w:bCs w:val="0"/>
                <w:color w:val="auto"/>
                <w:sz w:val="24"/>
                <w:szCs w:val="24"/>
              </w:rPr>
              <w:t>试行</w:t>
            </w:r>
            <w:r>
              <w:rPr>
                <w:rFonts w:hint="eastAsia"/>
                <w:b w:val="0"/>
                <w:bCs w:val="0"/>
                <w:color w:val="auto"/>
                <w:sz w:val="24"/>
                <w:szCs w:val="24"/>
                <w:lang w:eastAsia="zh-CN"/>
              </w:rPr>
              <w:t>）</w:t>
            </w:r>
            <w:r>
              <w:rPr>
                <w:rFonts w:hint="eastAsia"/>
                <w:b w:val="0"/>
                <w:bCs w:val="0"/>
                <w:color w:val="auto"/>
                <w:sz w:val="24"/>
                <w:szCs w:val="24"/>
              </w:rPr>
              <w:t>》</w:t>
            </w:r>
            <w:r>
              <w:rPr>
                <w:rFonts w:hint="eastAsia"/>
                <w:b w:val="0"/>
                <w:bCs w:val="0"/>
                <w:color w:val="auto"/>
                <w:sz w:val="24"/>
                <w:szCs w:val="24"/>
                <w:lang w:eastAsia="zh-CN"/>
              </w:rPr>
              <w:t>（</w:t>
            </w:r>
            <w:r>
              <w:rPr>
                <w:rFonts w:hint="eastAsia"/>
                <w:b w:val="0"/>
                <w:bCs w:val="0"/>
                <w:color w:val="auto"/>
                <w:sz w:val="24"/>
                <w:szCs w:val="24"/>
              </w:rPr>
              <w:t>苏环办</w:t>
            </w:r>
            <w:r>
              <w:rPr>
                <w:rFonts w:hint="eastAsia"/>
                <w:b w:val="0"/>
                <w:bCs w:val="0"/>
                <w:color w:val="auto"/>
                <w:sz w:val="24"/>
                <w:szCs w:val="24"/>
                <w:lang w:eastAsia="zh-CN"/>
              </w:rPr>
              <w:t>〔2021〕290号）</w:t>
            </w:r>
            <w:r>
              <w:rPr>
                <w:rFonts w:hint="eastAsia"/>
                <w:b w:val="0"/>
                <w:bCs w:val="0"/>
                <w:color w:val="auto"/>
                <w:sz w:val="24"/>
                <w:szCs w:val="24"/>
              </w:rPr>
              <w:t>中关于贮存周期和贮存量的要求，I级</w:t>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lang w:val="en-US" w:eastAsia="zh-CN"/>
              </w:rPr>
              <w:t>Ⅱ</w:t>
            </w:r>
            <w:r>
              <w:rPr>
                <w:rFonts w:hint="default" w:ascii="Times New Roman" w:hAnsi="Times New Roman" w:cs="Times New Roman"/>
                <w:b w:val="0"/>
                <w:bCs w:val="0"/>
                <w:color w:val="auto"/>
                <w:sz w:val="24"/>
                <w:szCs w:val="24"/>
              </w:rPr>
              <w:t>级、</w:t>
            </w:r>
            <w:r>
              <w:rPr>
                <w:rFonts w:hint="default" w:ascii="Times New Roman" w:hAnsi="Times New Roman" w:cs="Times New Roman"/>
                <w:b w:val="0"/>
                <w:bCs w:val="0"/>
                <w:color w:val="auto"/>
                <w:sz w:val="24"/>
                <w:szCs w:val="24"/>
                <w:lang w:eastAsia="zh-CN"/>
              </w:rPr>
              <w:t>Ⅲ级</w:t>
            </w:r>
            <w:r>
              <w:rPr>
                <w:rFonts w:hint="eastAsia"/>
                <w:b w:val="0"/>
                <w:bCs w:val="0"/>
                <w:color w:val="auto"/>
                <w:sz w:val="24"/>
                <w:szCs w:val="24"/>
              </w:rPr>
              <w:t>危险废物贮存时间分别不得超过30天、60天、90天，最大贮存量不得超过1吨。</w:t>
            </w:r>
          </w:p>
          <w:p w14:paraId="6CFDED40">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auto"/>
                <w:sz w:val="24"/>
                <w:szCs w:val="24"/>
              </w:rPr>
            </w:pPr>
            <w:r>
              <w:rPr>
                <w:rFonts w:hint="eastAsia"/>
                <w:b w:val="0"/>
                <w:bCs w:val="0"/>
                <w:color w:val="auto"/>
                <w:sz w:val="24"/>
                <w:szCs w:val="24"/>
              </w:rPr>
              <w:t>强化转移过程管理。全面落实危险废物转移电子联单制度，实行省内全域扫描“二维码”转移。加强与危险货物道路运输电子运单数据共享，实现运输轨迹可溯可查。危险废物产生单位须依法核实经营单位主体资格和技术能力，直接签订委托合同：并向经营单位提供相关危险废物产生工艺、具体成分，以及是否易燃易爆等信息，违法委托的，应当与造成环境污染和生态破坏的受托方承担连带责任：经营单位须按合同及包装物扫码签收危险废物，签收人、车辆信息等须拍照上传至系统，严禁“空转”二维码。积极推行一般工业固体废物转移电子联单制度，优先选择环境风险较大的污泥、矿渣等固体废物试行。</w:t>
            </w:r>
          </w:p>
          <w:p w14:paraId="02C93816">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auto"/>
                <w:sz w:val="24"/>
                <w:szCs w:val="24"/>
              </w:rPr>
            </w:pPr>
            <w:r>
              <w:rPr>
                <w:rFonts w:hint="eastAsia"/>
                <w:b w:val="0"/>
                <w:bCs w:val="0"/>
                <w:color w:val="auto"/>
                <w:sz w:val="24"/>
                <w:szCs w:val="24"/>
              </w:rPr>
              <w:t>落实信息公开制度。危险废物环境重点监管单位要在出入口、设施内部、危险废物运输车辆通道等关键位置设置视频监控并与中控室联网，通过设立公开栏、标志牌等方式，主动公开危险废物产生和利用处置等有关信息。集中焚烧处置单位及有自建危废焚烧处置设施的单位要依法及时公开二燃室温度等工况运行指标以及污染物排放指标、浓度等有关信息，并联网至属地生态环境部门。危险废物经营单位应同步公开许可证、许可条件等全文信息。</w:t>
            </w:r>
          </w:p>
          <w:p w14:paraId="43690D4D">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auto"/>
                <w:sz w:val="24"/>
                <w:szCs w:val="24"/>
              </w:rPr>
            </w:pPr>
            <w:r>
              <w:rPr>
                <w:rFonts w:hint="eastAsia"/>
                <w:b w:val="0"/>
                <w:bCs w:val="0"/>
                <w:color w:val="auto"/>
                <w:sz w:val="24"/>
                <w:szCs w:val="24"/>
              </w:rPr>
              <w:t>加强企业产物监管。危险废物利用单位的所有产物须按照本文件第2条明确的五类属性进行分类管理，其中按产品管理的需要对其特征污染物开展检测分析，严防污染物向下游转移。全国性行业协会或江苏省地方行业协会制定的团体标准若包括危险废物来源、利用工艺、利用产物功能性指标、有效成分含量、特征污染物含量和利用产物用途的，可作为用于工业生产替代原料的综合利用产物环境风险评价的依据，其环境风险评价要重点阐述标准落实情况。严格执行风险评价要求的利用产物可按照产品管理。</w:t>
            </w:r>
          </w:p>
          <w:p w14:paraId="793F88C3">
            <w:pPr>
              <w:keepNext w:val="0"/>
              <w:keepLines w:val="0"/>
              <w:pageBreakBefore w:val="0"/>
              <w:widowControl/>
              <w:kinsoku/>
              <w:wordWrap/>
              <w:overflowPunct/>
              <w:topLinePunct w:val="0"/>
              <w:autoSpaceDE/>
              <w:autoSpaceDN/>
              <w:bidi w:val="0"/>
              <w:adjustRightInd/>
              <w:snapToGrid/>
              <w:ind w:firstLine="480" w:firstLineChars="200"/>
              <w:jc w:val="left"/>
              <w:textAlignment w:val="bottom"/>
              <w:rPr>
                <w:rFonts w:hint="eastAsia"/>
                <w:b w:val="0"/>
                <w:bCs w:val="0"/>
                <w:color w:val="auto"/>
                <w:sz w:val="24"/>
                <w:szCs w:val="24"/>
              </w:rPr>
            </w:pPr>
            <w:r>
              <w:rPr>
                <w:rFonts w:hint="eastAsia"/>
                <w:b w:val="0"/>
                <w:bCs w:val="0"/>
                <w:color w:val="auto"/>
                <w:sz w:val="24"/>
                <w:szCs w:val="24"/>
              </w:rPr>
              <w:t>规范一般工业固废管理。企业需按照《一般工业固体废物管理台账制定指南</w:t>
            </w:r>
            <w:r>
              <w:rPr>
                <w:rFonts w:hint="eastAsia"/>
                <w:b w:val="0"/>
                <w:bCs w:val="0"/>
                <w:color w:val="auto"/>
                <w:sz w:val="24"/>
                <w:szCs w:val="24"/>
                <w:lang w:eastAsia="zh-CN"/>
              </w:rPr>
              <w:t>（</w:t>
            </w:r>
            <w:r>
              <w:rPr>
                <w:rFonts w:hint="eastAsia"/>
                <w:b w:val="0"/>
                <w:bCs w:val="0"/>
                <w:color w:val="auto"/>
                <w:sz w:val="24"/>
                <w:szCs w:val="24"/>
              </w:rPr>
              <w:t>试行</w:t>
            </w:r>
            <w:r>
              <w:rPr>
                <w:rFonts w:hint="eastAsia"/>
                <w:b w:val="0"/>
                <w:bCs w:val="0"/>
                <w:color w:val="auto"/>
                <w:sz w:val="24"/>
                <w:szCs w:val="24"/>
                <w:lang w:eastAsia="zh-CN"/>
              </w:rPr>
              <w:t>）</w:t>
            </w:r>
            <w:r>
              <w:rPr>
                <w:rFonts w:hint="eastAsia"/>
                <w:b w:val="0"/>
                <w:bCs w:val="0"/>
                <w:color w:val="auto"/>
                <w:sz w:val="24"/>
                <w:szCs w:val="24"/>
              </w:rPr>
              <w:t>》</w:t>
            </w:r>
            <w:r>
              <w:rPr>
                <w:rFonts w:hint="eastAsia"/>
                <w:b w:val="0"/>
                <w:bCs w:val="0"/>
                <w:color w:val="auto"/>
                <w:sz w:val="24"/>
                <w:szCs w:val="24"/>
                <w:lang w:eastAsia="zh-CN"/>
              </w:rPr>
              <w:t>（</w:t>
            </w:r>
            <w:r>
              <w:rPr>
                <w:rFonts w:hint="eastAsia"/>
                <w:b w:val="0"/>
                <w:bCs w:val="0"/>
                <w:color w:val="auto"/>
                <w:sz w:val="24"/>
                <w:szCs w:val="24"/>
              </w:rPr>
              <w:t>生态环境部2021年第82号公告</w:t>
            </w:r>
            <w:r>
              <w:rPr>
                <w:rFonts w:hint="eastAsia"/>
                <w:b w:val="0"/>
                <w:bCs w:val="0"/>
                <w:color w:val="auto"/>
                <w:sz w:val="24"/>
                <w:szCs w:val="24"/>
                <w:lang w:eastAsia="zh-CN"/>
              </w:rPr>
              <w:t>）</w:t>
            </w:r>
            <w:r>
              <w:rPr>
                <w:rFonts w:hint="eastAsia"/>
                <w:b w:val="0"/>
                <w:bCs w:val="0"/>
                <w:color w:val="auto"/>
                <w:sz w:val="24"/>
                <w:szCs w:val="24"/>
              </w:rPr>
              <w:t>要求，建立一般工业固废台账，同时还需在固废管理信息系统申报，电子台账已有内容，不再另外制作纸质台账。各地要对辖区内一般工业固废利用处置需求和能力进行摸排，建立收运处体系。</w:t>
            </w:r>
          </w:p>
          <w:p w14:paraId="343F970F">
            <w:pPr>
              <w:keepNext w:val="0"/>
              <w:keepLines w:val="0"/>
              <w:pageBreakBefore w:val="0"/>
              <w:widowControl/>
              <w:kinsoku/>
              <w:wordWrap/>
              <w:overflowPunct/>
              <w:topLinePunct w:val="0"/>
              <w:autoSpaceDE/>
              <w:autoSpaceDN/>
              <w:bidi w:val="0"/>
              <w:adjustRightInd/>
              <w:snapToGrid/>
              <w:ind w:firstLine="480" w:firstLineChars="200"/>
              <w:jc w:val="left"/>
              <w:textAlignment w:val="bottom"/>
              <w:rPr>
                <w:b w:val="0"/>
                <w:bCs w:val="0"/>
                <w:color w:val="auto"/>
                <w:sz w:val="24"/>
                <w:szCs w:val="24"/>
              </w:rPr>
            </w:pPr>
            <w:r>
              <w:rPr>
                <w:rFonts w:hint="eastAsia"/>
                <w:b w:val="0"/>
                <w:bCs w:val="0"/>
                <w:color w:val="auto"/>
                <w:sz w:val="24"/>
                <w:szCs w:val="24"/>
              </w:rPr>
              <w:t>综上所述，建设项目产生的固废均安全妥善的处置，全厂固废实现“零”排放，对环境不会产生二次污染，固废环境保护措施可行，可避免固体废弃物对环境造成的影响。</w:t>
            </w:r>
          </w:p>
          <w:p w14:paraId="44429E01">
            <w:pPr>
              <w:widowControl/>
              <w:ind w:firstLine="0" w:firstLineChars="0"/>
              <w:jc w:val="left"/>
              <w:textAlignment w:val="bottom"/>
              <w:rPr>
                <w:b/>
                <w:bCs/>
                <w:color w:val="auto"/>
                <w:sz w:val="24"/>
                <w:szCs w:val="24"/>
              </w:rPr>
            </w:pPr>
            <w:r>
              <w:rPr>
                <w:b/>
                <w:bCs/>
                <w:color w:val="auto"/>
                <w:sz w:val="24"/>
                <w:szCs w:val="24"/>
              </w:rPr>
              <w:t>4.</w:t>
            </w:r>
            <w:r>
              <w:rPr>
                <w:rFonts w:hint="eastAsia"/>
                <w:b/>
                <w:bCs/>
                <w:color w:val="auto"/>
                <w:sz w:val="24"/>
                <w:szCs w:val="24"/>
                <w:lang w:val="en-US" w:eastAsia="zh-CN"/>
              </w:rPr>
              <w:t>5</w:t>
            </w:r>
            <w:r>
              <w:rPr>
                <w:b/>
                <w:bCs/>
                <w:color w:val="auto"/>
                <w:sz w:val="24"/>
                <w:szCs w:val="24"/>
              </w:rPr>
              <w:t>结论</w:t>
            </w:r>
          </w:p>
          <w:p w14:paraId="1ECEAFB1">
            <w:pPr>
              <w:widowControl/>
              <w:ind w:firstLine="420"/>
              <w:jc w:val="left"/>
              <w:textAlignment w:val="bottom"/>
              <w:rPr>
                <w:b/>
                <w:bCs/>
                <w:color w:val="auto"/>
                <w:sz w:val="24"/>
                <w:szCs w:val="24"/>
              </w:rPr>
            </w:pPr>
            <w:r>
              <w:rPr>
                <w:color w:val="auto"/>
                <w:sz w:val="24"/>
                <w:szCs w:val="24"/>
              </w:rPr>
              <w:t>综上，项目</w:t>
            </w:r>
            <w:r>
              <w:rPr>
                <w:color w:val="auto"/>
                <w:sz w:val="24"/>
                <w:szCs w:val="24"/>
                <w:lang w:bidi="ar"/>
              </w:rPr>
              <w:t>固体废物污染防治措施技术可行，经济合理，在加强管理的前提下，可稳定运行，有效防控固体废物对环境产生影响；</w:t>
            </w:r>
            <w:r>
              <w:rPr>
                <w:color w:val="auto"/>
                <w:sz w:val="24"/>
                <w:szCs w:val="24"/>
              </w:rPr>
              <w:t>项目产生的各种固体废物均得到妥善处理/处置，不会造成二次污染。</w:t>
            </w:r>
          </w:p>
          <w:bookmarkEnd w:id="15"/>
          <w:p w14:paraId="1CFBDBCF">
            <w:pPr>
              <w:snapToGrid w:val="0"/>
              <w:ind w:firstLine="0" w:firstLineChars="0"/>
              <w:rPr>
                <w:b/>
                <w:bCs/>
                <w:color w:val="auto"/>
                <w:sz w:val="24"/>
                <w:szCs w:val="24"/>
              </w:rPr>
            </w:pPr>
            <w:r>
              <w:rPr>
                <w:b/>
                <w:bCs/>
                <w:color w:val="auto"/>
                <w:sz w:val="24"/>
                <w:szCs w:val="24"/>
              </w:rPr>
              <w:t>5、地下水、土壤</w:t>
            </w:r>
          </w:p>
          <w:p w14:paraId="5D1C190F">
            <w:pPr>
              <w:widowControl/>
              <w:ind w:firstLine="420"/>
              <w:jc w:val="left"/>
              <w:textAlignment w:val="bottom"/>
              <w:rPr>
                <w:rFonts w:hint="eastAsia" w:ascii="Times New Roman" w:hAnsi="Times New Roman" w:eastAsia="宋体" w:cs="Times New Roman"/>
                <w:color w:val="auto"/>
                <w:sz w:val="24"/>
                <w:szCs w:val="24"/>
                <w:lang w:bidi="ar"/>
              </w:rPr>
            </w:pPr>
            <w:r>
              <w:rPr>
                <w:rFonts w:hint="eastAsia" w:ascii="Times New Roman" w:hAnsi="Times New Roman" w:eastAsia="宋体" w:cs="Times New Roman"/>
                <w:color w:val="auto"/>
                <w:sz w:val="24"/>
                <w:szCs w:val="24"/>
                <w:lang w:bidi="ar"/>
              </w:rPr>
              <w:t>本项目中，可能对地下水、土壤造成污染的途径包括：</w:t>
            </w:r>
            <w:r>
              <w:rPr>
                <w:rFonts w:hint="eastAsia" w:cs="Times New Roman"/>
                <w:color w:val="auto"/>
                <w:sz w:val="24"/>
                <w:szCs w:val="24"/>
                <w:lang w:val="en-US" w:eastAsia="zh-CN" w:bidi="ar"/>
              </w:rPr>
              <w:t>有机废气</w:t>
            </w:r>
            <w:r>
              <w:rPr>
                <w:rFonts w:hint="eastAsia" w:cs="Times New Roman"/>
                <w:color w:val="auto"/>
                <w:sz w:val="24"/>
                <w:szCs w:val="24"/>
                <w:lang w:eastAsia="zh-CN" w:bidi="ar"/>
              </w:rPr>
              <w:t>、</w:t>
            </w:r>
            <w:r>
              <w:rPr>
                <w:rFonts w:hint="eastAsia" w:cs="Times New Roman"/>
                <w:color w:val="auto"/>
                <w:sz w:val="24"/>
                <w:szCs w:val="24"/>
                <w:lang w:val="en-US" w:eastAsia="zh-CN" w:bidi="ar"/>
              </w:rPr>
              <w:t>颗粒物</w:t>
            </w:r>
            <w:r>
              <w:rPr>
                <w:rFonts w:hint="eastAsia" w:ascii="Times New Roman" w:hAnsi="Times New Roman" w:eastAsia="宋体" w:cs="Times New Roman"/>
                <w:color w:val="auto"/>
                <w:sz w:val="24"/>
                <w:szCs w:val="24"/>
                <w:lang w:bidi="ar"/>
              </w:rPr>
              <w:t>等废气通过大气沉降污染土壤和地下水，危废仓库、污水站等防腐防渗不到位发生泄漏垂直渗入土壤和地下水。</w:t>
            </w:r>
          </w:p>
          <w:p w14:paraId="104EF434">
            <w:pPr>
              <w:widowControl/>
              <w:ind w:firstLine="420"/>
              <w:jc w:val="left"/>
              <w:textAlignment w:val="bottom"/>
              <w:rPr>
                <w:rFonts w:ascii="Times New Roman" w:hAnsi="Times New Roman" w:eastAsia="宋体" w:cs="Times New Roman"/>
                <w:color w:val="auto"/>
                <w:sz w:val="24"/>
                <w:szCs w:val="24"/>
                <w:lang w:bidi="ar"/>
              </w:rPr>
            </w:pPr>
            <w:r>
              <w:rPr>
                <w:rFonts w:hint="eastAsia" w:ascii="Times New Roman" w:hAnsi="Times New Roman" w:eastAsia="宋体" w:cs="Times New Roman"/>
                <w:color w:val="auto"/>
                <w:sz w:val="24"/>
                <w:szCs w:val="24"/>
                <w:lang w:bidi="ar"/>
              </w:rPr>
              <w:t>地下水、土壤保护应以预防为主，减少污染物进入地下水、土壤含水层的</w:t>
            </w:r>
            <w:r>
              <w:rPr>
                <w:rFonts w:hint="eastAsia" w:ascii="Times New Roman" w:hAnsi="Times New Roman" w:eastAsia="宋体" w:cs="Times New Roman"/>
                <w:color w:val="auto"/>
                <w:sz w:val="24"/>
                <w:szCs w:val="24"/>
                <w:lang w:eastAsia="zh-CN" w:bidi="ar"/>
              </w:rPr>
              <w:t>概率</w:t>
            </w:r>
            <w:r>
              <w:rPr>
                <w:rFonts w:hint="eastAsia" w:ascii="Times New Roman" w:hAnsi="Times New Roman" w:eastAsia="宋体" w:cs="Times New Roman"/>
                <w:color w:val="auto"/>
                <w:sz w:val="24"/>
                <w:szCs w:val="24"/>
                <w:lang w:bidi="ar"/>
              </w:rPr>
              <w:t>和途径，并制定和实施地下水、土壤监测井长期监测计划，一旦发现地下水遭、土壤受污染，应及时采取补救措施。针对本项目可能发生的地下水、土壤污染，防治措施按照“源头控制、分区防护、污染监控、应急响应”相结合的原则，从污染物的产生、入渗、扩散、应急响应全方位进行控制。</w:t>
            </w:r>
          </w:p>
          <w:p w14:paraId="386C5239">
            <w:pPr>
              <w:ind w:left="0" w:leftChars="0" w:firstLine="0" w:firstLineChars="0"/>
              <w:rPr>
                <w:rFonts w:hint="eastAsia"/>
                <w:b/>
                <w:bCs/>
                <w:color w:val="auto"/>
                <w:sz w:val="24"/>
                <w:szCs w:val="24"/>
              </w:rPr>
            </w:pPr>
            <w:r>
              <w:rPr>
                <w:b/>
                <w:bCs/>
                <w:color w:val="auto"/>
                <w:sz w:val="24"/>
                <w:szCs w:val="24"/>
              </w:rPr>
              <w:t>5.1</w:t>
            </w:r>
            <w:r>
              <w:rPr>
                <w:rFonts w:hint="eastAsia"/>
                <w:b/>
                <w:bCs/>
                <w:color w:val="auto"/>
                <w:sz w:val="24"/>
                <w:szCs w:val="24"/>
              </w:rPr>
              <w:t>地下水、土壤污染分析</w:t>
            </w:r>
          </w:p>
          <w:p w14:paraId="0A412DA0">
            <w:pPr>
              <w:ind w:firstLine="420"/>
              <w:rPr>
                <w:rFonts w:hint="eastAsia" w:eastAsia="宋体"/>
                <w:b w:val="0"/>
                <w:bCs w:val="0"/>
                <w:color w:val="auto"/>
                <w:sz w:val="24"/>
                <w:szCs w:val="24"/>
                <w:lang w:val="en-US" w:eastAsia="zh-CN"/>
              </w:rPr>
            </w:pPr>
            <w:r>
              <w:rPr>
                <w:rFonts w:hint="eastAsia"/>
                <w:b w:val="0"/>
                <w:bCs w:val="0"/>
                <w:color w:val="auto"/>
                <w:sz w:val="24"/>
                <w:szCs w:val="24"/>
              </w:rPr>
              <w:t>本项目厂区地面及厂房均已水泥硬化，生产车间均已防渗处理，</w:t>
            </w:r>
            <w:r>
              <w:rPr>
                <w:rFonts w:hint="eastAsia"/>
                <w:b w:val="0"/>
                <w:bCs w:val="0"/>
                <w:color w:val="auto"/>
                <w:sz w:val="24"/>
                <w:szCs w:val="24"/>
                <w:lang w:eastAsia="zh-CN"/>
              </w:rPr>
              <w:t>故</w:t>
            </w:r>
            <w:r>
              <w:rPr>
                <w:rFonts w:hint="eastAsia"/>
                <w:b w:val="0"/>
                <w:bCs w:val="0"/>
                <w:color w:val="auto"/>
                <w:sz w:val="24"/>
                <w:szCs w:val="24"/>
              </w:rPr>
              <w:t>造成地下水、土壤污染影响的区域以及污染途径的可能性较小。此外，本项目危险废物贮存仓库发生火灾事故时，产生的消防废水亦会渗透污染地下水的风险。若不加强本项目固废贮存仓库的防渗处理和及时处置，存在污染地下水的可能。</w:t>
            </w:r>
            <w:r>
              <w:rPr>
                <w:rFonts w:hint="eastAsia"/>
                <w:b w:val="0"/>
                <w:bCs w:val="0"/>
                <w:color w:val="auto"/>
                <w:sz w:val="24"/>
                <w:szCs w:val="24"/>
                <w:lang w:val="en-US" w:eastAsia="zh-CN"/>
              </w:rPr>
              <w:t xml:space="preserve"> </w:t>
            </w:r>
          </w:p>
          <w:p w14:paraId="1E678A96">
            <w:pPr>
              <w:adjustRightInd w:val="0"/>
              <w:snapToGrid w:val="0"/>
              <w:ind w:left="0" w:leftChars="0" w:firstLine="0" w:firstLineChars="0"/>
              <w:jc w:val="left"/>
              <w:rPr>
                <w:rFonts w:hint="eastAsia"/>
                <w:b/>
                <w:bCs/>
                <w:color w:val="auto"/>
                <w:sz w:val="24"/>
                <w:szCs w:val="24"/>
              </w:rPr>
            </w:pPr>
            <w:r>
              <w:rPr>
                <w:rFonts w:hint="eastAsia"/>
                <w:b/>
                <w:bCs/>
                <w:color w:val="auto"/>
                <w:sz w:val="24"/>
                <w:szCs w:val="24"/>
                <w:lang w:val="en-US" w:eastAsia="zh-CN"/>
              </w:rPr>
              <w:t>5.2</w:t>
            </w:r>
            <w:r>
              <w:rPr>
                <w:rFonts w:hint="eastAsia"/>
                <w:b/>
                <w:bCs/>
                <w:color w:val="auto"/>
                <w:sz w:val="24"/>
                <w:szCs w:val="24"/>
              </w:rPr>
              <w:t>地下水、土壤污染防控措施</w:t>
            </w:r>
          </w:p>
          <w:p w14:paraId="64B9BCAB">
            <w:pPr>
              <w:adjustRightInd w:val="0"/>
              <w:snapToGrid w:val="0"/>
              <w:ind w:firstLine="420"/>
              <w:jc w:val="left"/>
              <w:rPr>
                <w:rFonts w:hint="eastAsia"/>
                <w:b w:val="0"/>
                <w:bCs w:val="0"/>
                <w:color w:val="auto"/>
                <w:sz w:val="24"/>
                <w:szCs w:val="24"/>
              </w:rPr>
            </w:pPr>
            <w:r>
              <w:rPr>
                <w:rFonts w:hint="eastAsia"/>
                <w:b w:val="0"/>
                <w:bCs w:val="0"/>
                <w:color w:val="auto"/>
                <w:sz w:val="24"/>
                <w:szCs w:val="24"/>
              </w:rPr>
              <w:t>①源头控制措施</w:t>
            </w:r>
          </w:p>
          <w:p w14:paraId="56588BCB">
            <w:pPr>
              <w:adjustRightInd w:val="0"/>
              <w:snapToGrid w:val="0"/>
              <w:ind w:firstLine="420"/>
              <w:jc w:val="left"/>
              <w:rPr>
                <w:rFonts w:hint="eastAsia"/>
                <w:b w:val="0"/>
                <w:bCs w:val="0"/>
                <w:color w:val="auto"/>
                <w:sz w:val="24"/>
                <w:szCs w:val="24"/>
              </w:rPr>
            </w:pPr>
            <w:r>
              <w:rPr>
                <w:rFonts w:hint="eastAsia"/>
                <w:b w:val="0"/>
                <w:bCs w:val="0"/>
                <w:color w:val="auto"/>
                <w:sz w:val="24"/>
                <w:szCs w:val="24"/>
              </w:rPr>
              <w:t>车间内应有应急处理设施，防止污染物的跑、冒、滴、漏，将污染物泄漏的可能性降到最低限度。对于危废贮存间设托板，确保泄漏物料统一收集。</w:t>
            </w:r>
            <w:r>
              <w:rPr>
                <w:rFonts w:hint="eastAsia"/>
                <w:b w:val="0"/>
                <w:bCs w:val="0"/>
                <w:color w:val="auto"/>
                <w:sz w:val="24"/>
                <w:szCs w:val="24"/>
                <w:lang w:val="en-US" w:eastAsia="zh-CN"/>
              </w:rPr>
              <w:t>厂区</w:t>
            </w:r>
            <w:r>
              <w:rPr>
                <w:rFonts w:hint="eastAsia"/>
                <w:b w:val="0"/>
                <w:bCs w:val="0"/>
                <w:color w:val="auto"/>
                <w:sz w:val="24"/>
                <w:szCs w:val="24"/>
              </w:rPr>
              <w:t>建立有效的事故废水收集系统，污水和雨水排放口设置雨水截止阀。尽快将地面上的废水收集进入废水收集系统，防止事故状态下事故废水进入雨水系统进而污染地下水。</w:t>
            </w:r>
          </w:p>
          <w:p w14:paraId="610948CD">
            <w:pPr>
              <w:adjustRightInd w:val="0"/>
              <w:snapToGrid w:val="0"/>
              <w:ind w:firstLine="420"/>
              <w:jc w:val="left"/>
              <w:rPr>
                <w:rFonts w:hint="eastAsia"/>
                <w:b w:val="0"/>
                <w:bCs w:val="0"/>
                <w:color w:val="auto"/>
                <w:sz w:val="24"/>
                <w:szCs w:val="24"/>
              </w:rPr>
            </w:pPr>
            <w:r>
              <w:rPr>
                <w:rFonts w:hint="eastAsia"/>
                <w:b w:val="0"/>
                <w:bCs w:val="0"/>
                <w:color w:val="auto"/>
                <w:sz w:val="24"/>
                <w:szCs w:val="24"/>
              </w:rPr>
              <w:t>②分区防渗措施</w:t>
            </w:r>
          </w:p>
          <w:p w14:paraId="5A4F8C94">
            <w:pPr>
              <w:adjustRightInd w:val="0"/>
              <w:snapToGrid w:val="0"/>
              <w:ind w:firstLine="420"/>
              <w:jc w:val="left"/>
              <w:rPr>
                <w:color w:val="auto"/>
                <w:sz w:val="24"/>
                <w:szCs w:val="24"/>
              </w:rPr>
            </w:pPr>
            <w:r>
              <w:rPr>
                <w:rFonts w:hint="eastAsia"/>
                <w:b w:val="0"/>
                <w:bCs w:val="0"/>
                <w:color w:val="auto"/>
                <w:sz w:val="24"/>
                <w:szCs w:val="24"/>
              </w:rPr>
              <w:t>根据《环境影响评价技术导则地下水环境》</w:t>
            </w:r>
            <w:r>
              <w:rPr>
                <w:rFonts w:hint="eastAsia"/>
                <w:b w:val="0"/>
                <w:bCs w:val="0"/>
                <w:color w:val="auto"/>
                <w:sz w:val="24"/>
                <w:szCs w:val="24"/>
                <w:lang w:eastAsia="zh-CN"/>
              </w:rPr>
              <w:t>（</w:t>
            </w:r>
            <w:r>
              <w:rPr>
                <w:rFonts w:hint="eastAsia"/>
                <w:b w:val="0"/>
                <w:bCs w:val="0"/>
                <w:color w:val="auto"/>
                <w:sz w:val="24"/>
                <w:szCs w:val="24"/>
              </w:rPr>
              <w:t>HJ610-2016</w:t>
            </w:r>
            <w:r>
              <w:rPr>
                <w:rFonts w:hint="eastAsia"/>
                <w:b w:val="0"/>
                <w:bCs w:val="0"/>
                <w:color w:val="auto"/>
                <w:sz w:val="24"/>
                <w:szCs w:val="24"/>
                <w:lang w:eastAsia="zh-CN"/>
              </w:rPr>
              <w:t>）</w:t>
            </w:r>
            <w:r>
              <w:rPr>
                <w:rFonts w:hint="eastAsia"/>
                <w:b w:val="0"/>
                <w:bCs w:val="0"/>
                <w:color w:val="auto"/>
                <w:sz w:val="24"/>
                <w:szCs w:val="24"/>
              </w:rPr>
              <w:t>，对已颁布污染控制国家标准或防渗技术规范的行业，防渗技术要求按照相应标准或规范执行，故危废贮存仓库的防渗技术要求按照《危险废物贮存污染控制标准》</w:t>
            </w:r>
            <w:r>
              <w:rPr>
                <w:rFonts w:hint="eastAsia"/>
                <w:b w:val="0"/>
                <w:bCs w:val="0"/>
                <w:color w:val="auto"/>
                <w:sz w:val="24"/>
                <w:szCs w:val="24"/>
                <w:lang w:eastAsia="zh-CN"/>
              </w:rPr>
              <w:t>（</w:t>
            </w:r>
            <w:r>
              <w:rPr>
                <w:rFonts w:hint="eastAsia"/>
                <w:b w:val="0"/>
                <w:bCs w:val="0"/>
                <w:color w:val="auto"/>
                <w:sz w:val="24"/>
                <w:szCs w:val="24"/>
              </w:rPr>
              <w:t>GB18597-2023</w:t>
            </w:r>
            <w:r>
              <w:rPr>
                <w:rFonts w:hint="eastAsia"/>
                <w:b w:val="0"/>
                <w:bCs w:val="0"/>
                <w:color w:val="auto"/>
                <w:sz w:val="24"/>
                <w:szCs w:val="24"/>
                <w:lang w:eastAsia="zh-CN"/>
              </w:rPr>
              <w:t>）</w:t>
            </w:r>
            <w:r>
              <w:rPr>
                <w:rFonts w:hint="eastAsia"/>
                <w:b w:val="0"/>
                <w:bCs w:val="0"/>
                <w:color w:val="auto"/>
                <w:sz w:val="24"/>
                <w:szCs w:val="24"/>
              </w:rPr>
              <w:t>要求执行，具体防控措施及措施有效相符性见下表</w:t>
            </w:r>
            <w:r>
              <w:rPr>
                <w:color w:val="auto"/>
                <w:sz w:val="24"/>
                <w:szCs w:val="24"/>
              </w:rPr>
              <w:t>。</w:t>
            </w:r>
          </w:p>
          <w:p w14:paraId="3AEC91DF">
            <w:pPr>
              <w:pStyle w:val="37"/>
              <w:keepNext w:val="0"/>
              <w:keepLines w:val="0"/>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表4</w:t>
            </w:r>
            <w:r>
              <w:rPr>
                <w:rFonts w:hint="eastAsia" w:ascii="Times New Roman" w:hAnsi="Times New Roman" w:eastAsia="宋体" w:cs="Times New Roman"/>
                <w:b/>
                <w:color w:val="auto"/>
                <w:kern w:val="2"/>
                <w:sz w:val="21"/>
                <w:szCs w:val="21"/>
                <w:lang w:val="en-US" w:eastAsia="zh-CN" w:bidi="ar-SA"/>
              </w:rPr>
              <w:t>.5</w:t>
            </w:r>
            <w:r>
              <w:rPr>
                <w:rFonts w:hint="default" w:ascii="Times New Roman" w:hAnsi="Times New Roman" w:eastAsia="宋体" w:cs="Times New Roman"/>
                <w:b/>
                <w:color w:val="auto"/>
                <w:kern w:val="2"/>
                <w:sz w:val="21"/>
                <w:szCs w:val="21"/>
                <w:lang w:val="en-US" w:eastAsia="zh-CN" w:bidi="ar-SA"/>
              </w:rPr>
              <w:t>-</w:t>
            </w:r>
            <w:r>
              <w:rPr>
                <w:rFonts w:hint="eastAsia" w:ascii="Times New Roman" w:hAnsi="Times New Roman" w:eastAsia="宋体" w:cs="Times New Roman"/>
                <w:b/>
                <w:color w:val="auto"/>
                <w:kern w:val="2"/>
                <w:sz w:val="21"/>
                <w:szCs w:val="21"/>
                <w:lang w:val="en-US" w:eastAsia="zh-CN" w:bidi="ar-SA"/>
              </w:rPr>
              <w:t xml:space="preserve">1 </w:t>
            </w:r>
            <w:r>
              <w:rPr>
                <w:rFonts w:hint="default" w:ascii="Times New Roman" w:hAnsi="Times New Roman" w:eastAsia="宋体" w:cs="Times New Roman"/>
                <w:b/>
                <w:color w:val="auto"/>
                <w:kern w:val="2"/>
                <w:sz w:val="21"/>
                <w:szCs w:val="21"/>
                <w:lang w:val="en-US" w:eastAsia="zh-CN" w:bidi="ar-SA"/>
              </w:rPr>
              <w:t>本项目地下水、土壤污染防渗措施</w:t>
            </w:r>
          </w:p>
          <w:tbl>
            <w:tblPr>
              <w:tblStyle w:val="17"/>
              <w:tblW w:w="494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503"/>
              <w:gridCol w:w="2902"/>
              <w:gridCol w:w="3733"/>
              <w:gridCol w:w="762"/>
            </w:tblGrid>
            <w:tr w14:paraId="26C752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1" w:type="pct"/>
                  <w:gridSpan w:val="2"/>
                  <w:noWrap w:val="0"/>
                  <w:vAlign w:val="center"/>
                </w:tcPr>
                <w:p w14:paraId="7D628F9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区域位置</w:t>
                  </w:r>
                </w:p>
              </w:tc>
              <w:tc>
                <w:tcPr>
                  <w:tcW w:w="1533" w:type="pct"/>
                  <w:noWrap w:val="0"/>
                  <w:vAlign w:val="center"/>
                </w:tcPr>
                <w:p w14:paraId="17FD9F2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GB18597防渗技术要求</w:t>
                  </w:r>
                </w:p>
              </w:tc>
              <w:tc>
                <w:tcPr>
                  <w:tcW w:w="1972" w:type="pct"/>
                  <w:noWrap w:val="0"/>
                  <w:vAlign w:val="center"/>
                </w:tcPr>
                <w:p w14:paraId="420C296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本项目采取的防控措施</w:t>
                  </w:r>
                </w:p>
              </w:tc>
              <w:tc>
                <w:tcPr>
                  <w:tcW w:w="402" w:type="pct"/>
                  <w:noWrap w:val="0"/>
                  <w:vAlign w:val="center"/>
                </w:tcPr>
                <w:p w14:paraId="052636D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相符性</w:t>
                  </w:r>
                </w:p>
              </w:tc>
            </w:tr>
            <w:tr w14:paraId="6799FB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 w:type="pct"/>
                  <w:noWrap w:val="0"/>
                  <w:vAlign w:val="center"/>
                </w:tcPr>
                <w:p w14:paraId="5C8B6E7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重点防渗区</w:t>
                  </w:r>
                </w:p>
              </w:tc>
              <w:tc>
                <w:tcPr>
                  <w:tcW w:w="794" w:type="pct"/>
                  <w:noWrap w:val="0"/>
                  <w:vAlign w:val="center"/>
                </w:tcPr>
                <w:p w14:paraId="17A8A05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rPr>
                    <w:t>危废堆场、</w:t>
                  </w:r>
                  <w:r>
                    <w:rPr>
                      <w:rFonts w:hint="eastAsia" w:cs="Times New Roman"/>
                      <w:smallCaps w:val="0"/>
                      <w:color w:val="auto"/>
                      <w:spacing w:val="0"/>
                      <w:kern w:val="0"/>
                      <w:position w:val="0"/>
                      <w:sz w:val="21"/>
                      <w:szCs w:val="21"/>
                      <w:lang w:val="en-US" w:eastAsia="zh-CN"/>
                    </w:rPr>
                    <w:t>生产车间</w:t>
                  </w:r>
                  <w:r>
                    <w:rPr>
                      <w:rFonts w:hint="default" w:ascii="Times New Roman" w:hAnsi="Times New Roman" w:eastAsia="宋体" w:cs="Times New Roman"/>
                      <w:smallCaps w:val="0"/>
                      <w:color w:val="auto"/>
                      <w:spacing w:val="0"/>
                      <w:kern w:val="0"/>
                      <w:position w:val="0"/>
                      <w:sz w:val="21"/>
                      <w:szCs w:val="21"/>
                      <w:lang w:val="en-US" w:eastAsia="zh-CN"/>
                    </w:rPr>
                    <w:t>、</w:t>
                  </w:r>
                  <w:r>
                    <w:rPr>
                      <w:rFonts w:hint="eastAsia" w:cs="Times New Roman"/>
                      <w:smallCaps w:val="0"/>
                      <w:color w:val="auto"/>
                      <w:spacing w:val="0"/>
                      <w:kern w:val="0"/>
                      <w:position w:val="0"/>
                      <w:sz w:val="21"/>
                      <w:szCs w:val="21"/>
                      <w:highlight w:val="none"/>
                      <w:lang w:val="en-US" w:eastAsia="zh-CN"/>
                    </w:rPr>
                    <w:t>原辅</w:t>
                  </w:r>
                  <w:r>
                    <w:rPr>
                      <w:rFonts w:hint="default" w:ascii="Times New Roman" w:hAnsi="Times New Roman" w:eastAsia="宋体" w:cs="Times New Roman"/>
                      <w:smallCaps w:val="0"/>
                      <w:color w:val="auto"/>
                      <w:spacing w:val="0"/>
                      <w:kern w:val="0"/>
                      <w:position w:val="0"/>
                      <w:sz w:val="21"/>
                      <w:szCs w:val="21"/>
                      <w:highlight w:val="none"/>
                      <w:lang w:val="en-US" w:eastAsia="zh-CN"/>
                    </w:rPr>
                    <w:t>料仓库</w:t>
                  </w:r>
                </w:p>
              </w:tc>
              <w:tc>
                <w:tcPr>
                  <w:tcW w:w="1533" w:type="pct"/>
                  <w:noWrap w:val="0"/>
                  <w:vAlign w:val="center"/>
                </w:tcPr>
                <w:p w14:paraId="3F4F5B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基础必须防渗，防渗层为至少1m厚粘土层（渗透系数≤10</w:t>
                  </w:r>
                  <w:r>
                    <w:rPr>
                      <w:rFonts w:hint="default" w:ascii="Times New Roman" w:hAnsi="Times New Roman" w:eastAsia="宋体" w:cs="Times New Roman"/>
                      <w:smallCaps w:val="0"/>
                      <w:color w:val="auto"/>
                      <w:spacing w:val="0"/>
                      <w:kern w:val="0"/>
                      <w:position w:val="0"/>
                      <w:sz w:val="21"/>
                      <w:szCs w:val="21"/>
                      <w:vertAlign w:val="superscript"/>
                    </w:rPr>
                    <w:t>-7</w:t>
                  </w:r>
                  <w:r>
                    <w:rPr>
                      <w:rFonts w:hint="default" w:ascii="Times New Roman" w:hAnsi="Times New Roman" w:eastAsia="宋体" w:cs="Times New Roman"/>
                      <w:smallCaps w:val="0"/>
                      <w:color w:val="auto"/>
                      <w:spacing w:val="0"/>
                      <w:kern w:val="0"/>
                      <w:position w:val="0"/>
                      <w:sz w:val="21"/>
                      <w:szCs w:val="21"/>
                    </w:rPr>
                    <w:t>cm/s），或2mm厚高密度聚乙烯，或至少2mm厚的其他人工材料，渗透系数≤10</w:t>
                  </w:r>
                  <w:r>
                    <w:rPr>
                      <w:rFonts w:hint="default" w:ascii="Times New Roman" w:hAnsi="Times New Roman" w:eastAsia="宋体" w:cs="Times New Roman"/>
                      <w:smallCaps w:val="0"/>
                      <w:color w:val="auto"/>
                      <w:spacing w:val="0"/>
                      <w:kern w:val="0"/>
                      <w:position w:val="0"/>
                      <w:sz w:val="21"/>
                      <w:szCs w:val="21"/>
                      <w:vertAlign w:val="superscript"/>
                    </w:rPr>
                    <w:t>-10</w:t>
                  </w:r>
                  <w:r>
                    <w:rPr>
                      <w:rFonts w:hint="default" w:ascii="Times New Roman" w:hAnsi="Times New Roman" w:eastAsia="宋体" w:cs="Times New Roman"/>
                      <w:smallCaps w:val="0"/>
                      <w:color w:val="auto"/>
                      <w:spacing w:val="0"/>
                      <w:kern w:val="0"/>
                      <w:position w:val="0"/>
                      <w:sz w:val="21"/>
                      <w:szCs w:val="21"/>
                    </w:rPr>
                    <w:t>cm/s</w:t>
                  </w:r>
                </w:p>
              </w:tc>
              <w:tc>
                <w:tcPr>
                  <w:tcW w:w="1972" w:type="pct"/>
                  <w:noWrap w:val="0"/>
                  <w:vAlign w:val="center"/>
                </w:tcPr>
                <w:p w14:paraId="3FD5E4D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由下至上防渗层做法为</w:t>
                  </w:r>
                  <w:r>
                    <w:rPr>
                      <w:rFonts w:hint="default" w:ascii="Times New Roman" w:hAnsi="Times New Roman" w:eastAsia="宋体" w:cs="Times New Roman"/>
                      <w:smallCaps w:val="0"/>
                      <w:color w:val="auto"/>
                      <w:spacing w:val="0"/>
                      <w:kern w:val="0"/>
                      <w:position w:val="0"/>
                      <w:sz w:val="21"/>
                      <w:szCs w:val="21"/>
                    </w:rPr>
                    <w:fldChar w:fldCharType="begin"/>
                  </w:r>
                  <w:r>
                    <w:rPr>
                      <w:rFonts w:hint="default" w:ascii="Times New Roman" w:hAnsi="Times New Roman" w:eastAsia="宋体" w:cs="Times New Roman"/>
                      <w:smallCaps w:val="0"/>
                      <w:color w:val="auto"/>
                      <w:spacing w:val="0"/>
                      <w:kern w:val="0"/>
                      <w:position w:val="0"/>
                      <w:sz w:val="21"/>
                      <w:szCs w:val="21"/>
                    </w:rPr>
                    <w:instrText xml:space="preserve"> = 1 \* GB3 \* MERGEFORMAT </w:instrText>
                  </w:r>
                  <w:r>
                    <w:rPr>
                      <w:rFonts w:hint="default" w:ascii="Times New Roman" w:hAnsi="Times New Roman" w:eastAsia="宋体" w:cs="Times New Roman"/>
                      <w:smallCaps w:val="0"/>
                      <w:color w:val="auto"/>
                      <w:spacing w:val="0"/>
                      <w:kern w:val="0"/>
                      <w:position w:val="0"/>
                      <w:sz w:val="21"/>
                      <w:szCs w:val="21"/>
                    </w:rPr>
                    <w:fldChar w:fldCharType="separate"/>
                  </w:r>
                  <w:r>
                    <w:rPr>
                      <w:rFonts w:hint="default" w:ascii="Times New Roman" w:hAnsi="Times New Roman" w:eastAsia="宋体" w:cs="Times New Roman"/>
                      <w:smallCaps w:val="0"/>
                      <w:color w:val="auto"/>
                      <w:spacing w:val="0"/>
                      <w:kern w:val="0"/>
                      <w:position w:val="0"/>
                      <w:sz w:val="21"/>
                      <w:szCs w:val="21"/>
                    </w:rPr>
                    <w:t>①</w:t>
                  </w:r>
                  <w:r>
                    <w:rPr>
                      <w:rFonts w:hint="default" w:ascii="Times New Roman" w:hAnsi="Times New Roman" w:eastAsia="宋体" w:cs="Times New Roman"/>
                      <w:smallCaps w:val="0"/>
                      <w:color w:val="auto"/>
                      <w:spacing w:val="0"/>
                      <w:kern w:val="0"/>
                      <w:position w:val="0"/>
                      <w:sz w:val="21"/>
                      <w:szCs w:val="21"/>
                    </w:rPr>
                    <w:fldChar w:fldCharType="end"/>
                  </w:r>
                  <w:r>
                    <w:rPr>
                      <w:rFonts w:hint="default" w:ascii="Times New Roman" w:hAnsi="Times New Roman" w:eastAsia="宋体" w:cs="Times New Roman"/>
                      <w:smallCaps w:val="0"/>
                      <w:color w:val="auto"/>
                      <w:spacing w:val="0"/>
                      <w:kern w:val="0"/>
                      <w:position w:val="0"/>
                      <w:sz w:val="21"/>
                      <w:szCs w:val="21"/>
                    </w:rPr>
                    <w:t>0.2m厚C30钢筋抗渗等级P8混凝土层；</w:t>
                  </w:r>
                  <w:r>
                    <w:rPr>
                      <w:rFonts w:hint="default" w:ascii="Times New Roman" w:hAnsi="Times New Roman" w:eastAsia="宋体" w:cs="Times New Roman"/>
                      <w:smallCaps w:val="0"/>
                      <w:color w:val="auto"/>
                      <w:spacing w:val="0"/>
                      <w:kern w:val="0"/>
                      <w:position w:val="0"/>
                      <w:sz w:val="21"/>
                      <w:szCs w:val="21"/>
                    </w:rPr>
                    <w:fldChar w:fldCharType="begin"/>
                  </w:r>
                  <w:r>
                    <w:rPr>
                      <w:rFonts w:hint="default" w:ascii="Times New Roman" w:hAnsi="Times New Roman" w:eastAsia="宋体" w:cs="Times New Roman"/>
                      <w:smallCaps w:val="0"/>
                      <w:color w:val="auto"/>
                      <w:spacing w:val="0"/>
                      <w:kern w:val="0"/>
                      <w:position w:val="0"/>
                      <w:sz w:val="21"/>
                      <w:szCs w:val="21"/>
                    </w:rPr>
                    <w:instrText xml:space="preserve"> = 2 \* GB3 \* MERGEFORMAT </w:instrText>
                  </w:r>
                  <w:r>
                    <w:rPr>
                      <w:rFonts w:hint="default" w:ascii="Times New Roman" w:hAnsi="Times New Roman" w:eastAsia="宋体" w:cs="Times New Roman"/>
                      <w:smallCaps w:val="0"/>
                      <w:color w:val="auto"/>
                      <w:spacing w:val="0"/>
                      <w:kern w:val="0"/>
                      <w:position w:val="0"/>
                      <w:sz w:val="21"/>
                      <w:szCs w:val="21"/>
                    </w:rPr>
                    <w:fldChar w:fldCharType="separate"/>
                  </w:r>
                  <w:r>
                    <w:rPr>
                      <w:rFonts w:hint="default" w:ascii="Times New Roman" w:hAnsi="Times New Roman" w:eastAsia="宋体" w:cs="Times New Roman"/>
                      <w:smallCaps w:val="0"/>
                      <w:color w:val="auto"/>
                      <w:spacing w:val="0"/>
                      <w:kern w:val="0"/>
                      <w:position w:val="0"/>
                      <w:sz w:val="21"/>
                      <w:szCs w:val="21"/>
                    </w:rPr>
                    <w:t>②</w:t>
                  </w:r>
                  <w:r>
                    <w:rPr>
                      <w:rFonts w:hint="default" w:ascii="Times New Roman" w:hAnsi="Times New Roman" w:eastAsia="宋体" w:cs="Times New Roman"/>
                      <w:smallCaps w:val="0"/>
                      <w:color w:val="auto"/>
                      <w:spacing w:val="0"/>
                      <w:kern w:val="0"/>
                      <w:position w:val="0"/>
                      <w:sz w:val="21"/>
                      <w:szCs w:val="21"/>
                    </w:rPr>
                    <w:fldChar w:fldCharType="end"/>
                  </w:r>
                  <w:r>
                    <w:rPr>
                      <w:rFonts w:hint="default" w:ascii="Times New Roman" w:hAnsi="Times New Roman" w:eastAsia="宋体" w:cs="Times New Roman"/>
                      <w:smallCaps w:val="0"/>
                      <w:color w:val="auto"/>
                      <w:spacing w:val="0"/>
                      <w:kern w:val="0"/>
                      <w:position w:val="0"/>
                      <w:sz w:val="21"/>
                      <w:szCs w:val="21"/>
                    </w:rPr>
                    <w:t>2mm厚600g/m</w:t>
                  </w:r>
                  <w:r>
                    <w:rPr>
                      <w:rFonts w:hint="default" w:ascii="Times New Roman" w:hAnsi="Times New Roman" w:eastAsia="宋体" w:cs="Times New Roman"/>
                      <w:smallCaps w:val="0"/>
                      <w:color w:val="auto"/>
                      <w:spacing w:val="0"/>
                      <w:kern w:val="0"/>
                      <w:position w:val="0"/>
                      <w:sz w:val="21"/>
                      <w:szCs w:val="21"/>
                      <w:vertAlign w:val="superscript"/>
                    </w:rPr>
                    <w:t>2</w:t>
                  </w:r>
                  <w:r>
                    <w:rPr>
                      <w:rFonts w:hint="default" w:ascii="Times New Roman" w:hAnsi="Times New Roman" w:eastAsia="宋体" w:cs="Times New Roman"/>
                      <w:smallCaps w:val="0"/>
                      <w:color w:val="auto"/>
                      <w:spacing w:val="0"/>
                      <w:kern w:val="0"/>
                      <w:position w:val="0"/>
                      <w:sz w:val="21"/>
                      <w:szCs w:val="21"/>
                    </w:rPr>
                    <w:t>HDPE膜；</w:t>
                  </w:r>
                  <w:r>
                    <w:rPr>
                      <w:rFonts w:hint="default" w:ascii="Times New Roman" w:hAnsi="Times New Roman" w:eastAsia="宋体" w:cs="Times New Roman"/>
                      <w:smallCaps w:val="0"/>
                      <w:color w:val="auto"/>
                      <w:spacing w:val="0"/>
                      <w:kern w:val="0"/>
                      <w:position w:val="0"/>
                      <w:sz w:val="21"/>
                      <w:szCs w:val="21"/>
                    </w:rPr>
                    <w:fldChar w:fldCharType="begin"/>
                  </w:r>
                  <w:r>
                    <w:rPr>
                      <w:rFonts w:hint="default" w:ascii="Times New Roman" w:hAnsi="Times New Roman" w:eastAsia="宋体" w:cs="Times New Roman"/>
                      <w:smallCaps w:val="0"/>
                      <w:color w:val="auto"/>
                      <w:spacing w:val="0"/>
                      <w:kern w:val="0"/>
                      <w:position w:val="0"/>
                      <w:sz w:val="21"/>
                      <w:szCs w:val="21"/>
                    </w:rPr>
                    <w:instrText xml:space="preserve"> = 3 \* GB3 \* MERGEFORMAT </w:instrText>
                  </w:r>
                  <w:r>
                    <w:rPr>
                      <w:rFonts w:hint="default" w:ascii="Times New Roman" w:hAnsi="Times New Roman" w:eastAsia="宋体" w:cs="Times New Roman"/>
                      <w:smallCaps w:val="0"/>
                      <w:color w:val="auto"/>
                      <w:spacing w:val="0"/>
                      <w:kern w:val="0"/>
                      <w:position w:val="0"/>
                      <w:sz w:val="21"/>
                      <w:szCs w:val="21"/>
                    </w:rPr>
                    <w:fldChar w:fldCharType="separate"/>
                  </w:r>
                  <w:r>
                    <w:rPr>
                      <w:rFonts w:hint="default" w:ascii="Times New Roman" w:hAnsi="Times New Roman" w:eastAsia="宋体" w:cs="Times New Roman"/>
                      <w:smallCaps w:val="0"/>
                      <w:color w:val="auto"/>
                      <w:spacing w:val="0"/>
                      <w:kern w:val="0"/>
                      <w:position w:val="0"/>
                      <w:sz w:val="21"/>
                      <w:szCs w:val="21"/>
                    </w:rPr>
                    <w:t>③</w:t>
                  </w:r>
                  <w:r>
                    <w:rPr>
                      <w:rFonts w:hint="default" w:ascii="Times New Roman" w:hAnsi="Times New Roman" w:eastAsia="宋体" w:cs="Times New Roman"/>
                      <w:smallCaps w:val="0"/>
                      <w:color w:val="auto"/>
                      <w:spacing w:val="0"/>
                      <w:kern w:val="0"/>
                      <w:position w:val="0"/>
                      <w:sz w:val="21"/>
                      <w:szCs w:val="21"/>
                    </w:rPr>
                    <w:fldChar w:fldCharType="end"/>
                  </w:r>
                  <w:r>
                    <w:rPr>
                      <w:rFonts w:hint="default" w:ascii="Times New Roman" w:hAnsi="Times New Roman" w:eastAsia="宋体" w:cs="Times New Roman"/>
                      <w:smallCaps w:val="0"/>
                      <w:color w:val="auto"/>
                      <w:spacing w:val="0"/>
                      <w:kern w:val="0"/>
                      <w:position w:val="0"/>
                      <w:sz w:val="21"/>
                      <w:szCs w:val="21"/>
                    </w:rPr>
                    <w:t>土工布保护层；</w:t>
                  </w:r>
                  <w:r>
                    <w:rPr>
                      <w:rFonts w:hint="default" w:ascii="Times New Roman" w:hAnsi="Times New Roman" w:eastAsia="宋体" w:cs="Times New Roman"/>
                      <w:smallCaps w:val="0"/>
                      <w:color w:val="auto"/>
                      <w:spacing w:val="0"/>
                      <w:kern w:val="0"/>
                      <w:position w:val="0"/>
                      <w:sz w:val="21"/>
                      <w:szCs w:val="21"/>
                    </w:rPr>
                    <w:fldChar w:fldCharType="begin"/>
                  </w:r>
                  <w:r>
                    <w:rPr>
                      <w:rFonts w:hint="default" w:ascii="Times New Roman" w:hAnsi="Times New Roman" w:eastAsia="宋体" w:cs="Times New Roman"/>
                      <w:smallCaps w:val="0"/>
                      <w:color w:val="auto"/>
                      <w:spacing w:val="0"/>
                      <w:kern w:val="0"/>
                      <w:position w:val="0"/>
                      <w:sz w:val="21"/>
                      <w:szCs w:val="21"/>
                    </w:rPr>
                    <w:instrText xml:space="preserve"> = 4 \* GB3 \* MERGEFORMAT </w:instrText>
                  </w:r>
                  <w:r>
                    <w:rPr>
                      <w:rFonts w:hint="default" w:ascii="Times New Roman" w:hAnsi="Times New Roman" w:eastAsia="宋体" w:cs="Times New Roman"/>
                      <w:smallCaps w:val="0"/>
                      <w:color w:val="auto"/>
                      <w:spacing w:val="0"/>
                      <w:kern w:val="0"/>
                      <w:position w:val="0"/>
                      <w:sz w:val="21"/>
                      <w:szCs w:val="21"/>
                    </w:rPr>
                    <w:fldChar w:fldCharType="separate"/>
                  </w:r>
                  <w:r>
                    <w:rPr>
                      <w:rFonts w:hint="default" w:ascii="Times New Roman" w:hAnsi="Times New Roman" w:eastAsia="宋体" w:cs="Times New Roman"/>
                      <w:smallCaps w:val="0"/>
                      <w:color w:val="auto"/>
                      <w:spacing w:val="0"/>
                      <w:kern w:val="0"/>
                      <w:position w:val="0"/>
                      <w:sz w:val="21"/>
                      <w:szCs w:val="21"/>
                    </w:rPr>
                    <w:t>④</w:t>
                  </w:r>
                  <w:r>
                    <w:rPr>
                      <w:rFonts w:hint="default" w:ascii="Times New Roman" w:hAnsi="Times New Roman" w:eastAsia="宋体" w:cs="Times New Roman"/>
                      <w:smallCaps w:val="0"/>
                      <w:color w:val="auto"/>
                      <w:spacing w:val="0"/>
                      <w:kern w:val="0"/>
                      <w:position w:val="0"/>
                      <w:sz w:val="21"/>
                      <w:szCs w:val="21"/>
                    </w:rPr>
                    <w:fldChar w:fldCharType="end"/>
                  </w:r>
                  <w:r>
                    <w:rPr>
                      <w:rFonts w:hint="default" w:ascii="Times New Roman" w:hAnsi="Times New Roman" w:eastAsia="宋体" w:cs="Times New Roman"/>
                      <w:smallCaps w:val="0"/>
                      <w:color w:val="auto"/>
                      <w:spacing w:val="0"/>
                      <w:kern w:val="0"/>
                      <w:position w:val="0"/>
                      <w:sz w:val="21"/>
                      <w:szCs w:val="21"/>
                    </w:rPr>
                    <w:t>0.12m厚混凝土层；</w:t>
                  </w:r>
                  <w:r>
                    <w:rPr>
                      <w:rFonts w:hint="default" w:ascii="Times New Roman" w:hAnsi="Times New Roman" w:eastAsia="宋体" w:cs="Times New Roman"/>
                      <w:smallCaps w:val="0"/>
                      <w:color w:val="auto"/>
                      <w:spacing w:val="0"/>
                      <w:kern w:val="0"/>
                      <w:position w:val="0"/>
                      <w:sz w:val="21"/>
                      <w:szCs w:val="21"/>
                    </w:rPr>
                    <w:fldChar w:fldCharType="begin"/>
                  </w:r>
                  <w:r>
                    <w:rPr>
                      <w:rFonts w:hint="default" w:ascii="Times New Roman" w:hAnsi="Times New Roman" w:eastAsia="宋体" w:cs="Times New Roman"/>
                      <w:smallCaps w:val="0"/>
                      <w:color w:val="auto"/>
                      <w:spacing w:val="0"/>
                      <w:kern w:val="0"/>
                      <w:position w:val="0"/>
                      <w:sz w:val="21"/>
                      <w:szCs w:val="21"/>
                    </w:rPr>
                    <w:instrText xml:space="preserve"> = 5 \* GB3 \* MERGEFORMAT </w:instrText>
                  </w:r>
                  <w:r>
                    <w:rPr>
                      <w:rFonts w:hint="default" w:ascii="Times New Roman" w:hAnsi="Times New Roman" w:eastAsia="宋体" w:cs="Times New Roman"/>
                      <w:smallCaps w:val="0"/>
                      <w:color w:val="auto"/>
                      <w:spacing w:val="0"/>
                      <w:kern w:val="0"/>
                      <w:position w:val="0"/>
                      <w:sz w:val="21"/>
                      <w:szCs w:val="21"/>
                    </w:rPr>
                    <w:fldChar w:fldCharType="separate"/>
                  </w:r>
                  <w:r>
                    <w:rPr>
                      <w:rFonts w:hint="default" w:ascii="Times New Roman" w:hAnsi="Times New Roman" w:eastAsia="宋体" w:cs="Times New Roman"/>
                      <w:smallCaps w:val="0"/>
                      <w:color w:val="auto"/>
                      <w:spacing w:val="0"/>
                      <w:kern w:val="0"/>
                      <w:position w:val="0"/>
                      <w:sz w:val="21"/>
                      <w:szCs w:val="21"/>
                    </w:rPr>
                    <w:t>⑤</w:t>
                  </w:r>
                  <w:r>
                    <w:rPr>
                      <w:rFonts w:hint="default" w:ascii="Times New Roman" w:hAnsi="Times New Roman" w:eastAsia="宋体" w:cs="Times New Roman"/>
                      <w:smallCaps w:val="0"/>
                      <w:color w:val="auto"/>
                      <w:spacing w:val="0"/>
                      <w:kern w:val="0"/>
                      <w:position w:val="0"/>
                      <w:sz w:val="21"/>
                      <w:szCs w:val="21"/>
                    </w:rPr>
                    <w:fldChar w:fldCharType="end"/>
                  </w:r>
                  <w:r>
                    <w:rPr>
                      <w:rFonts w:hint="default" w:ascii="Times New Roman" w:hAnsi="Times New Roman" w:eastAsia="宋体" w:cs="Times New Roman"/>
                      <w:smallCaps w:val="0"/>
                      <w:color w:val="auto"/>
                      <w:spacing w:val="0"/>
                      <w:kern w:val="0"/>
                      <w:position w:val="0"/>
                      <w:sz w:val="21"/>
                      <w:szCs w:val="21"/>
                    </w:rPr>
                    <w:t>4mm厚环氧树脂防渗、耐腐蚀涂层（渗透系数≤10</w:t>
                  </w:r>
                  <w:r>
                    <w:rPr>
                      <w:rFonts w:hint="default" w:ascii="Times New Roman" w:hAnsi="Times New Roman" w:eastAsia="宋体" w:cs="Times New Roman"/>
                      <w:smallCaps w:val="0"/>
                      <w:color w:val="auto"/>
                      <w:spacing w:val="0"/>
                      <w:kern w:val="0"/>
                      <w:position w:val="0"/>
                      <w:sz w:val="21"/>
                      <w:szCs w:val="21"/>
                      <w:vertAlign w:val="superscript"/>
                    </w:rPr>
                    <w:t>-10</w:t>
                  </w:r>
                  <w:r>
                    <w:rPr>
                      <w:rFonts w:hint="default" w:ascii="Times New Roman" w:hAnsi="Times New Roman" w:eastAsia="宋体" w:cs="Times New Roman"/>
                      <w:smallCaps w:val="0"/>
                      <w:color w:val="auto"/>
                      <w:spacing w:val="0"/>
                      <w:kern w:val="0"/>
                      <w:position w:val="0"/>
                      <w:sz w:val="21"/>
                      <w:szCs w:val="21"/>
                    </w:rPr>
                    <w:t>cm/s）</w:t>
                  </w:r>
                </w:p>
              </w:tc>
              <w:tc>
                <w:tcPr>
                  <w:tcW w:w="402" w:type="pct"/>
                  <w:noWrap w:val="0"/>
                  <w:vAlign w:val="center"/>
                </w:tcPr>
                <w:p w14:paraId="2252E72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符合</w:t>
                  </w:r>
                </w:p>
              </w:tc>
            </w:tr>
          </w:tbl>
          <w:p w14:paraId="0AC262DC">
            <w:pPr>
              <w:pStyle w:val="16"/>
              <w:spacing w:after="0"/>
              <w:ind w:left="0" w:leftChars="0"/>
              <w:rPr>
                <w:rFonts w:hint="eastAsia"/>
                <w:color w:val="auto"/>
                <w:kern w:val="0"/>
                <w:sz w:val="24"/>
                <w:szCs w:val="24"/>
              </w:rPr>
            </w:pPr>
            <w:r>
              <w:rPr>
                <w:rFonts w:hint="eastAsia"/>
                <w:color w:val="auto"/>
                <w:kern w:val="0"/>
                <w:sz w:val="24"/>
                <w:szCs w:val="24"/>
              </w:rPr>
              <w:t>③应急响应措施</w:t>
            </w:r>
          </w:p>
          <w:p w14:paraId="200CD685">
            <w:pPr>
              <w:pStyle w:val="16"/>
              <w:spacing w:after="0"/>
              <w:ind w:left="0" w:leftChars="0"/>
              <w:rPr>
                <w:rFonts w:hint="eastAsia"/>
                <w:color w:val="auto"/>
                <w:kern w:val="0"/>
                <w:sz w:val="24"/>
                <w:szCs w:val="24"/>
              </w:rPr>
            </w:pPr>
            <w:r>
              <w:rPr>
                <w:rFonts w:hint="eastAsia"/>
                <w:color w:val="auto"/>
                <w:kern w:val="0"/>
                <w:sz w:val="24"/>
                <w:szCs w:val="24"/>
              </w:rPr>
              <w:t>制定风险事故应急响应的目的是为了在发生风险事故时，能以最快的速度发挥最大的效能，尽快控制事态的发展，降低事故对地下水及土壤的污染。根据地下水、土壤跟踪监测结果，一旦发现地下水和土壤污染事故，应立即启动应急预案。控制污染源，使用吸附材料及时处理泄漏污染物，或者将泄漏的液体引流到事故池，切断污染物的入渗，并查清渗漏点，对渗漏点进行及时修复，采用灰浆帷幕法等各种物理屏障，将受污染水体圈闭起来，以防止污染物进一步扩散蔓延，对已经受污染的地下水采取抽出-处理-回灌的方法进行处理，并继续跟踪监测地下水的水质状况。</w:t>
            </w:r>
          </w:p>
          <w:p w14:paraId="611512D3">
            <w:pPr>
              <w:pStyle w:val="16"/>
              <w:spacing w:after="0"/>
              <w:ind w:left="0" w:leftChars="0" w:firstLine="0" w:firstLineChars="0"/>
              <w:rPr>
                <w:rFonts w:hint="eastAsia"/>
                <w:b/>
                <w:bCs/>
                <w:color w:val="auto"/>
                <w:kern w:val="0"/>
                <w:sz w:val="24"/>
                <w:szCs w:val="24"/>
              </w:rPr>
            </w:pPr>
            <w:r>
              <w:rPr>
                <w:rFonts w:hint="eastAsia"/>
                <w:b/>
                <w:bCs/>
                <w:color w:val="auto"/>
                <w:kern w:val="0"/>
                <w:sz w:val="24"/>
                <w:szCs w:val="24"/>
                <w:lang w:val="en-US" w:eastAsia="zh-CN"/>
              </w:rPr>
              <w:t>5.3</w:t>
            </w:r>
            <w:r>
              <w:rPr>
                <w:rFonts w:hint="eastAsia"/>
                <w:b/>
                <w:bCs/>
                <w:color w:val="auto"/>
                <w:kern w:val="0"/>
                <w:sz w:val="24"/>
                <w:szCs w:val="24"/>
              </w:rPr>
              <w:t>地下水、土壤环境影响分析</w:t>
            </w:r>
          </w:p>
          <w:p w14:paraId="124D1FB1">
            <w:pPr>
              <w:pStyle w:val="16"/>
              <w:spacing w:after="0"/>
              <w:ind w:left="0" w:leftChars="0"/>
              <w:rPr>
                <w:color w:val="auto"/>
                <w:kern w:val="0"/>
                <w:sz w:val="24"/>
                <w:szCs w:val="24"/>
              </w:rPr>
            </w:pPr>
            <w:r>
              <w:rPr>
                <w:rFonts w:hint="eastAsia"/>
                <w:color w:val="auto"/>
                <w:kern w:val="0"/>
                <w:sz w:val="24"/>
                <w:szCs w:val="24"/>
              </w:rPr>
              <w:t>本项目可能对地下水、土壤产生影响的主要区域在危废堆场、生产车间、原</w:t>
            </w:r>
            <w:r>
              <w:rPr>
                <w:rFonts w:hint="eastAsia"/>
                <w:color w:val="auto"/>
                <w:kern w:val="0"/>
                <w:sz w:val="24"/>
                <w:szCs w:val="24"/>
                <w:lang w:val="en-US" w:eastAsia="zh-CN"/>
              </w:rPr>
              <w:t>辅</w:t>
            </w:r>
            <w:r>
              <w:rPr>
                <w:rFonts w:hint="eastAsia"/>
                <w:color w:val="auto"/>
                <w:kern w:val="0"/>
                <w:sz w:val="24"/>
                <w:szCs w:val="24"/>
              </w:rPr>
              <w:t>料仓库、事故应急池，但因本项目一般防渗区、重点防渗区均考虑采取地下水防渗处理措施。正常生产过程中的跑冒滴漏不会下渗到地下水、土壤中。室外管道和阀门的跑冒滴漏水量较小，且本项目用地现状为工业用地，确保各项防渗措施得以落实、加强维护和厂区环境管理的前提下，正常工况下对地下水、土壤基本无渗漏，污染较小。</w:t>
            </w:r>
          </w:p>
          <w:p w14:paraId="380D4B4B">
            <w:pPr>
              <w:adjustRightInd w:val="0"/>
              <w:snapToGrid w:val="0"/>
              <w:spacing w:line="460" w:lineRule="exact"/>
              <w:ind w:firstLine="0" w:firstLineChars="0"/>
              <w:jc w:val="left"/>
              <w:rPr>
                <w:b/>
                <w:bCs/>
                <w:color w:val="auto"/>
                <w:sz w:val="24"/>
                <w:szCs w:val="24"/>
              </w:rPr>
            </w:pPr>
            <w:r>
              <w:rPr>
                <w:b/>
                <w:bCs/>
                <w:color w:val="auto"/>
                <w:sz w:val="24"/>
                <w:szCs w:val="24"/>
              </w:rPr>
              <w:t>6、生态</w:t>
            </w:r>
          </w:p>
          <w:p w14:paraId="7ECD04C2">
            <w:pPr>
              <w:pStyle w:val="2"/>
              <w:spacing w:after="0"/>
              <w:ind w:firstLine="420"/>
              <w:rPr>
                <w:b/>
                <w:bCs/>
                <w:color w:val="auto"/>
                <w:sz w:val="24"/>
                <w:szCs w:val="24"/>
              </w:rPr>
            </w:pPr>
            <w:r>
              <w:rPr>
                <w:bCs/>
                <w:color w:val="auto"/>
                <w:sz w:val="24"/>
                <w:szCs w:val="24"/>
              </w:rPr>
              <w:t>本</w:t>
            </w:r>
            <w:r>
              <w:rPr>
                <w:color w:val="auto"/>
                <w:sz w:val="24"/>
                <w:szCs w:val="24"/>
              </w:rPr>
              <w:t>项目位于</w:t>
            </w:r>
            <w:r>
              <w:rPr>
                <w:rFonts w:hint="eastAsia"/>
                <w:color w:val="auto"/>
                <w:sz w:val="24"/>
                <w:szCs w:val="24"/>
                <w:lang w:val="en-US" w:eastAsia="zh-CN"/>
              </w:rPr>
              <w:t>金坛经济</w:t>
            </w:r>
            <w:r>
              <w:rPr>
                <w:rFonts w:hint="eastAsia"/>
                <w:color w:val="auto"/>
                <w:sz w:val="24"/>
                <w:szCs w:val="24"/>
                <w:lang w:eastAsia="zh-CN"/>
              </w:rPr>
              <w:t>开发区</w:t>
            </w:r>
            <w:r>
              <w:rPr>
                <w:color w:val="auto"/>
                <w:sz w:val="24"/>
                <w:szCs w:val="24"/>
                <w:lang w:val="zh-CN"/>
              </w:rPr>
              <w:t>范围内，用地范围内</w:t>
            </w:r>
            <w:r>
              <w:rPr>
                <w:color w:val="auto"/>
                <w:sz w:val="24"/>
                <w:szCs w:val="24"/>
              </w:rPr>
              <w:t>不</w:t>
            </w:r>
            <w:r>
              <w:rPr>
                <w:color w:val="auto"/>
                <w:sz w:val="24"/>
                <w:szCs w:val="24"/>
                <w:lang w:val="zh-CN"/>
              </w:rPr>
              <w:t>含有生态环境保护目标，</w:t>
            </w:r>
            <w:r>
              <w:rPr>
                <w:color w:val="auto"/>
                <w:sz w:val="24"/>
                <w:szCs w:val="24"/>
              </w:rPr>
              <w:t>无需</w:t>
            </w:r>
            <w:r>
              <w:rPr>
                <w:color w:val="auto"/>
                <w:sz w:val="24"/>
                <w:szCs w:val="24"/>
                <w:lang w:val="zh-CN"/>
              </w:rPr>
              <w:t>进行生态评价或生态环境影响分析。</w:t>
            </w:r>
          </w:p>
          <w:p w14:paraId="69224652">
            <w:pPr>
              <w:ind w:firstLine="0" w:firstLineChars="0"/>
              <w:rPr>
                <w:b/>
                <w:bCs/>
                <w:color w:val="auto"/>
                <w:sz w:val="24"/>
                <w:szCs w:val="24"/>
              </w:rPr>
            </w:pPr>
            <w:r>
              <w:rPr>
                <w:b/>
                <w:bCs/>
                <w:color w:val="auto"/>
                <w:sz w:val="24"/>
                <w:szCs w:val="24"/>
              </w:rPr>
              <w:t>7、环境风险</w:t>
            </w:r>
          </w:p>
          <w:p w14:paraId="1912AA30">
            <w:pPr>
              <w:adjustRightInd w:val="0"/>
              <w:snapToGrid w:val="0"/>
              <w:ind w:firstLine="0" w:firstLineChars="0"/>
              <w:jc w:val="left"/>
              <w:rPr>
                <w:b/>
                <w:bCs/>
                <w:color w:val="auto"/>
                <w:sz w:val="24"/>
                <w:szCs w:val="24"/>
              </w:rPr>
            </w:pPr>
            <w:r>
              <w:rPr>
                <w:b/>
                <w:bCs/>
                <w:color w:val="auto"/>
                <w:sz w:val="24"/>
                <w:szCs w:val="24"/>
              </w:rPr>
              <w:t>7.1风险物质识别</w:t>
            </w:r>
          </w:p>
          <w:p w14:paraId="77ED02A8">
            <w:pPr>
              <w:pStyle w:val="16"/>
              <w:snapToGrid w:val="0"/>
              <w:spacing w:after="0"/>
              <w:ind w:left="0" w:leftChars="0"/>
              <w:rPr>
                <w:color w:val="auto"/>
                <w:sz w:val="24"/>
                <w:szCs w:val="24"/>
              </w:rPr>
            </w:pPr>
            <w:r>
              <w:rPr>
                <w:color w:val="auto"/>
                <w:sz w:val="24"/>
                <w:szCs w:val="24"/>
              </w:rPr>
              <w:t>项目涉及的具体环境风险物质识别如下表。</w:t>
            </w:r>
          </w:p>
          <w:p w14:paraId="1848D132">
            <w:pPr>
              <w:snapToGrid w:val="0"/>
              <w:spacing w:line="240" w:lineRule="auto"/>
              <w:ind w:firstLine="0" w:firstLineChars="0"/>
              <w:jc w:val="center"/>
              <w:rPr>
                <w:b/>
                <w:color w:val="auto"/>
                <w:sz w:val="21"/>
                <w:szCs w:val="21"/>
              </w:rPr>
            </w:pPr>
            <w:r>
              <w:rPr>
                <w:b/>
                <w:color w:val="auto"/>
                <w:sz w:val="21"/>
                <w:szCs w:val="21"/>
              </w:rPr>
              <w:t>表4</w:t>
            </w:r>
            <w:r>
              <w:rPr>
                <w:rFonts w:hint="eastAsia"/>
                <w:b/>
                <w:color w:val="auto"/>
                <w:sz w:val="21"/>
                <w:szCs w:val="21"/>
                <w:lang w:val="en-US" w:eastAsia="zh-CN"/>
              </w:rPr>
              <w:t>.7</w:t>
            </w:r>
            <w:r>
              <w:rPr>
                <w:b/>
                <w:color w:val="auto"/>
                <w:sz w:val="21"/>
                <w:szCs w:val="21"/>
              </w:rPr>
              <w:t>-</w:t>
            </w:r>
            <w:r>
              <w:rPr>
                <w:rFonts w:hint="eastAsia"/>
                <w:b/>
                <w:color w:val="auto"/>
                <w:sz w:val="21"/>
                <w:szCs w:val="21"/>
                <w:lang w:val="en-US" w:eastAsia="zh-CN"/>
              </w:rPr>
              <w:t>1</w:t>
            </w:r>
            <w:r>
              <w:rPr>
                <w:b/>
                <w:color w:val="auto"/>
                <w:sz w:val="21"/>
                <w:szCs w:val="21"/>
              </w:rPr>
              <w:t xml:space="preserve">  风险物质分析表</w:t>
            </w:r>
          </w:p>
          <w:tbl>
            <w:tblPr>
              <w:tblStyle w:val="17"/>
              <w:tblW w:w="498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08"/>
              <w:gridCol w:w="1096"/>
              <w:gridCol w:w="623"/>
              <w:gridCol w:w="947"/>
              <w:gridCol w:w="1017"/>
              <w:gridCol w:w="1541"/>
              <w:gridCol w:w="1702"/>
              <w:gridCol w:w="1918"/>
            </w:tblGrid>
            <w:tr w14:paraId="4BB84D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70" w:type="pct"/>
                  <w:tcBorders>
                    <w:tl2br w:val="nil"/>
                    <w:tr2bl w:val="nil"/>
                  </w:tcBorders>
                  <w:noWrap w:val="0"/>
                  <w:vAlign w:val="center"/>
                </w:tcPr>
                <w:p w14:paraId="1BDB199D">
                  <w:pPr>
                    <w:keepNext w:val="0"/>
                    <w:keepLines w:val="0"/>
                    <w:pageBreakBefore w:val="0"/>
                    <w:kinsoku/>
                    <w:wordWrap/>
                    <w:overflowPunct/>
                    <w:topLinePunct w:val="0"/>
                    <w:autoSpaceDE/>
                    <w:autoSpaceDN/>
                    <w:bidi w:val="0"/>
                    <w:adjustRightInd/>
                    <w:snapToGrid w:val="0"/>
                    <w:spacing w:line="240" w:lineRule="auto"/>
                    <w:ind w:firstLine="0" w:firstLineChars="0"/>
                    <w:jc w:val="center"/>
                    <w:rPr>
                      <w:b/>
                      <w:bCs w:val="0"/>
                      <w:color w:val="auto"/>
                      <w:sz w:val="21"/>
                      <w:szCs w:val="21"/>
                    </w:rPr>
                  </w:pPr>
                  <w:r>
                    <w:rPr>
                      <w:b/>
                      <w:bCs w:val="0"/>
                      <w:color w:val="auto"/>
                      <w:sz w:val="21"/>
                      <w:szCs w:val="21"/>
                    </w:rPr>
                    <w:t>物质来源</w:t>
                  </w:r>
                </w:p>
              </w:tc>
              <w:tc>
                <w:tcPr>
                  <w:tcW w:w="573" w:type="pct"/>
                  <w:tcBorders>
                    <w:tl2br w:val="nil"/>
                    <w:tr2bl w:val="nil"/>
                  </w:tcBorders>
                  <w:noWrap w:val="0"/>
                  <w:vAlign w:val="center"/>
                </w:tcPr>
                <w:p w14:paraId="6F61C6AD">
                  <w:pPr>
                    <w:keepNext w:val="0"/>
                    <w:keepLines w:val="0"/>
                    <w:pageBreakBefore w:val="0"/>
                    <w:kinsoku/>
                    <w:wordWrap/>
                    <w:overflowPunct/>
                    <w:topLinePunct w:val="0"/>
                    <w:autoSpaceDE/>
                    <w:autoSpaceDN/>
                    <w:bidi w:val="0"/>
                    <w:adjustRightInd/>
                    <w:snapToGrid w:val="0"/>
                    <w:spacing w:line="240" w:lineRule="auto"/>
                    <w:ind w:firstLine="0" w:firstLineChars="0"/>
                    <w:jc w:val="center"/>
                    <w:rPr>
                      <w:b/>
                      <w:bCs w:val="0"/>
                      <w:color w:val="auto"/>
                      <w:sz w:val="21"/>
                      <w:szCs w:val="21"/>
                    </w:rPr>
                  </w:pPr>
                  <w:r>
                    <w:rPr>
                      <w:b/>
                      <w:bCs w:val="0"/>
                      <w:color w:val="auto"/>
                      <w:sz w:val="21"/>
                      <w:szCs w:val="21"/>
                    </w:rPr>
                    <w:t>物质名称</w:t>
                  </w:r>
                </w:p>
              </w:tc>
              <w:tc>
                <w:tcPr>
                  <w:tcW w:w="326" w:type="pct"/>
                  <w:tcBorders>
                    <w:tl2br w:val="nil"/>
                    <w:tr2bl w:val="nil"/>
                  </w:tcBorders>
                  <w:noWrap w:val="0"/>
                  <w:vAlign w:val="center"/>
                </w:tcPr>
                <w:p w14:paraId="0C1E7BA3">
                  <w:pPr>
                    <w:keepNext w:val="0"/>
                    <w:keepLines w:val="0"/>
                    <w:pageBreakBefore w:val="0"/>
                    <w:kinsoku/>
                    <w:wordWrap/>
                    <w:overflowPunct/>
                    <w:topLinePunct w:val="0"/>
                    <w:autoSpaceDE/>
                    <w:autoSpaceDN/>
                    <w:bidi w:val="0"/>
                    <w:adjustRightInd/>
                    <w:snapToGrid w:val="0"/>
                    <w:spacing w:line="240" w:lineRule="auto"/>
                    <w:ind w:firstLine="0" w:firstLineChars="0"/>
                    <w:jc w:val="center"/>
                    <w:rPr>
                      <w:b/>
                      <w:bCs w:val="0"/>
                      <w:color w:val="auto"/>
                      <w:sz w:val="21"/>
                      <w:szCs w:val="21"/>
                    </w:rPr>
                  </w:pPr>
                  <w:r>
                    <w:rPr>
                      <w:b/>
                      <w:bCs w:val="0"/>
                      <w:color w:val="auto"/>
                      <w:sz w:val="21"/>
                      <w:szCs w:val="21"/>
                    </w:rPr>
                    <w:t>状态</w:t>
                  </w:r>
                </w:p>
              </w:tc>
              <w:tc>
                <w:tcPr>
                  <w:tcW w:w="495" w:type="pct"/>
                  <w:tcBorders>
                    <w:tl2br w:val="nil"/>
                    <w:tr2bl w:val="nil"/>
                  </w:tcBorders>
                  <w:noWrap w:val="0"/>
                  <w:vAlign w:val="center"/>
                </w:tcPr>
                <w:p w14:paraId="5F9A8B87">
                  <w:pPr>
                    <w:keepNext w:val="0"/>
                    <w:keepLines w:val="0"/>
                    <w:pageBreakBefore w:val="0"/>
                    <w:kinsoku/>
                    <w:wordWrap/>
                    <w:overflowPunct/>
                    <w:topLinePunct w:val="0"/>
                    <w:autoSpaceDE/>
                    <w:autoSpaceDN/>
                    <w:bidi w:val="0"/>
                    <w:adjustRightInd/>
                    <w:snapToGrid w:val="0"/>
                    <w:spacing w:line="240" w:lineRule="auto"/>
                    <w:ind w:firstLine="0" w:firstLineChars="0"/>
                    <w:jc w:val="center"/>
                    <w:rPr>
                      <w:b/>
                      <w:bCs w:val="0"/>
                      <w:color w:val="auto"/>
                      <w:sz w:val="21"/>
                      <w:szCs w:val="21"/>
                    </w:rPr>
                  </w:pPr>
                  <w:r>
                    <w:rPr>
                      <w:b/>
                      <w:bCs w:val="0"/>
                      <w:color w:val="auto"/>
                      <w:sz w:val="21"/>
                      <w:szCs w:val="21"/>
                    </w:rPr>
                    <w:t>闪点℃</w:t>
                  </w:r>
                </w:p>
              </w:tc>
              <w:tc>
                <w:tcPr>
                  <w:tcW w:w="532" w:type="pct"/>
                  <w:tcBorders>
                    <w:tl2br w:val="nil"/>
                    <w:tr2bl w:val="nil"/>
                  </w:tcBorders>
                  <w:noWrap w:val="0"/>
                  <w:vAlign w:val="center"/>
                </w:tcPr>
                <w:p w14:paraId="446FFD40">
                  <w:pPr>
                    <w:keepNext w:val="0"/>
                    <w:keepLines w:val="0"/>
                    <w:pageBreakBefore w:val="0"/>
                    <w:kinsoku/>
                    <w:wordWrap/>
                    <w:overflowPunct/>
                    <w:topLinePunct w:val="0"/>
                    <w:autoSpaceDE/>
                    <w:autoSpaceDN/>
                    <w:bidi w:val="0"/>
                    <w:adjustRightInd/>
                    <w:snapToGrid w:val="0"/>
                    <w:spacing w:line="240" w:lineRule="auto"/>
                    <w:ind w:firstLine="0" w:firstLineChars="0"/>
                    <w:jc w:val="center"/>
                    <w:rPr>
                      <w:b/>
                      <w:bCs w:val="0"/>
                      <w:color w:val="auto"/>
                      <w:sz w:val="21"/>
                      <w:szCs w:val="21"/>
                    </w:rPr>
                  </w:pPr>
                  <w:r>
                    <w:rPr>
                      <w:b/>
                      <w:bCs w:val="0"/>
                      <w:color w:val="auto"/>
                      <w:sz w:val="21"/>
                      <w:szCs w:val="21"/>
                    </w:rPr>
                    <w:t>熔点℃</w:t>
                  </w:r>
                </w:p>
              </w:tc>
              <w:tc>
                <w:tcPr>
                  <w:tcW w:w="806" w:type="pct"/>
                  <w:tcBorders>
                    <w:tl2br w:val="nil"/>
                    <w:tr2bl w:val="nil"/>
                  </w:tcBorders>
                  <w:noWrap w:val="0"/>
                  <w:vAlign w:val="center"/>
                </w:tcPr>
                <w:p w14:paraId="35D3A795">
                  <w:pPr>
                    <w:keepNext w:val="0"/>
                    <w:keepLines w:val="0"/>
                    <w:pageBreakBefore w:val="0"/>
                    <w:kinsoku/>
                    <w:wordWrap/>
                    <w:overflowPunct/>
                    <w:topLinePunct w:val="0"/>
                    <w:autoSpaceDE/>
                    <w:autoSpaceDN/>
                    <w:bidi w:val="0"/>
                    <w:adjustRightInd/>
                    <w:snapToGrid w:val="0"/>
                    <w:spacing w:line="240" w:lineRule="auto"/>
                    <w:ind w:firstLine="0" w:firstLineChars="0"/>
                    <w:jc w:val="center"/>
                    <w:rPr>
                      <w:b/>
                      <w:bCs w:val="0"/>
                      <w:color w:val="auto"/>
                      <w:sz w:val="21"/>
                      <w:szCs w:val="21"/>
                    </w:rPr>
                  </w:pPr>
                  <w:r>
                    <w:rPr>
                      <w:b/>
                      <w:bCs w:val="0"/>
                      <w:color w:val="auto"/>
                      <w:sz w:val="21"/>
                      <w:szCs w:val="21"/>
                    </w:rPr>
                    <w:t>毒理毒性</w:t>
                  </w:r>
                </w:p>
              </w:tc>
              <w:tc>
                <w:tcPr>
                  <w:tcW w:w="890" w:type="pct"/>
                  <w:tcBorders>
                    <w:tl2br w:val="nil"/>
                    <w:tr2bl w:val="nil"/>
                  </w:tcBorders>
                  <w:noWrap w:val="0"/>
                  <w:vAlign w:val="center"/>
                </w:tcPr>
                <w:p w14:paraId="3CFD1130">
                  <w:pPr>
                    <w:keepNext w:val="0"/>
                    <w:keepLines w:val="0"/>
                    <w:pageBreakBefore w:val="0"/>
                    <w:kinsoku/>
                    <w:wordWrap/>
                    <w:overflowPunct/>
                    <w:topLinePunct w:val="0"/>
                    <w:autoSpaceDE/>
                    <w:autoSpaceDN/>
                    <w:bidi w:val="0"/>
                    <w:adjustRightInd/>
                    <w:snapToGrid w:val="0"/>
                    <w:spacing w:line="240" w:lineRule="auto"/>
                    <w:ind w:firstLine="0" w:firstLineChars="0"/>
                    <w:jc w:val="center"/>
                    <w:rPr>
                      <w:b/>
                      <w:bCs w:val="0"/>
                      <w:color w:val="auto"/>
                      <w:sz w:val="21"/>
                      <w:szCs w:val="21"/>
                    </w:rPr>
                  </w:pPr>
                  <w:r>
                    <w:rPr>
                      <w:b/>
                      <w:bCs w:val="0"/>
                      <w:color w:val="auto"/>
                      <w:sz w:val="21"/>
                      <w:szCs w:val="21"/>
                    </w:rPr>
                    <w:t>燃烧性</w:t>
                  </w:r>
                </w:p>
              </w:tc>
              <w:tc>
                <w:tcPr>
                  <w:tcW w:w="1003" w:type="pct"/>
                  <w:tcBorders>
                    <w:tl2br w:val="nil"/>
                    <w:tr2bl w:val="nil"/>
                  </w:tcBorders>
                  <w:noWrap w:val="0"/>
                  <w:vAlign w:val="center"/>
                </w:tcPr>
                <w:p w14:paraId="5A8E1B67">
                  <w:pPr>
                    <w:keepNext w:val="0"/>
                    <w:keepLines w:val="0"/>
                    <w:pageBreakBefore w:val="0"/>
                    <w:kinsoku/>
                    <w:wordWrap/>
                    <w:overflowPunct/>
                    <w:topLinePunct w:val="0"/>
                    <w:autoSpaceDE/>
                    <w:autoSpaceDN/>
                    <w:bidi w:val="0"/>
                    <w:adjustRightInd/>
                    <w:snapToGrid w:val="0"/>
                    <w:spacing w:line="240" w:lineRule="auto"/>
                    <w:ind w:firstLine="0" w:firstLineChars="0"/>
                    <w:jc w:val="center"/>
                    <w:rPr>
                      <w:b/>
                      <w:bCs w:val="0"/>
                      <w:color w:val="auto"/>
                      <w:sz w:val="21"/>
                      <w:szCs w:val="21"/>
                    </w:rPr>
                  </w:pPr>
                  <w:r>
                    <w:rPr>
                      <w:b/>
                      <w:bCs w:val="0"/>
                      <w:color w:val="auto"/>
                      <w:sz w:val="21"/>
                      <w:szCs w:val="21"/>
                    </w:rPr>
                    <w:t>物质风险类型</w:t>
                  </w:r>
                </w:p>
              </w:tc>
            </w:tr>
            <w:tr w14:paraId="48A60E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70" w:type="pct"/>
                  <w:vMerge w:val="restart"/>
                  <w:tcBorders>
                    <w:tl2br w:val="nil"/>
                    <w:tr2bl w:val="nil"/>
                  </w:tcBorders>
                  <w:noWrap w:val="0"/>
                  <w:vAlign w:val="center"/>
                </w:tcPr>
                <w:p w14:paraId="7EECD2D0">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auto"/>
                      <w:sz w:val="21"/>
                      <w:szCs w:val="21"/>
                    </w:rPr>
                  </w:pPr>
                  <w:r>
                    <w:rPr>
                      <w:color w:val="auto"/>
                      <w:sz w:val="21"/>
                      <w:szCs w:val="21"/>
                    </w:rPr>
                    <w:t>原辅料</w:t>
                  </w:r>
                </w:p>
              </w:tc>
              <w:tc>
                <w:tcPr>
                  <w:tcW w:w="573" w:type="pct"/>
                  <w:tcBorders>
                    <w:tl2br w:val="nil"/>
                    <w:tr2bl w:val="nil"/>
                  </w:tcBorders>
                  <w:noWrap w:val="0"/>
                  <w:vAlign w:val="center"/>
                </w:tcPr>
                <w:p w14:paraId="14D3BCB7">
                  <w:pPr>
                    <w:pStyle w:val="2"/>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煤油</w:t>
                  </w:r>
                </w:p>
              </w:tc>
              <w:tc>
                <w:tcPr>
                  <w:tcW w:w="326" w:type="pct"/>
                  <w:tcBorders>
                    <w:tl2br w:val="nil"/>
                    <w:tr2bl w:val="nil"/>
                  </w:tcBorders>
                  <w:noWrap w:val="0"/>
                  <w:vAlign w:val="center"/>
                </w:tcPr>
                <w:p w14:paraId="6D30A8D0">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auto"/>
                      <w:sz w:val="21"/>
                      <w:szCs w:val="21"/>
                    </w:rPr>
                  </w:pPr>
                  <w:r>
                    <w:rPr>
                      <w:bCs/>
                      <w:color w:val="auto"/>
                      <w:sz w:val="21"/>
                      <w:szCs w:val="21"/>
                    </w:rPr>
                    <w:t>液态</w:t>
                  </w:r>
                </w:p>
              </w:tc>
              <w:tc>
                <w:tcPr>
                  <w:tcW w:w="495" w:type="pct"/>
                  <w:tcBorders>
                    <w:tl2br w:val="nil"/>
                    <w:tr2bl w:val="nil"/>
                  </w:tcBorders>
                  <w:noWrap w:val="0"/>
                  <w:vAlign w:val="center"/>
                </w:tcPr>
                <w:p w14:paraId="5459970A">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auto"/>
                      <w:sz w:val="21"/>
                      <w:szCs w:val="21"/>
                    </w:rPr>
                  </w:pPr>
                  <w:r>
                    <w:rPr>
                      <w:color w:val="auto"/>
                      <w:sz w:val="21"/>
                      <w:szCs w:val="21"/>
                    </w:rPr>
                    <w:t>/</w:t>
                  </w:r>
                </w:p>
              </w:tc>
              <w:tc>
                <w:tcPr>
                  <w:tcW w:w="532" w:type="pct"/>
                  <w:tcBorders>
                    <w:tl2br w:val="nil"/>
                    <w:tr2bl w:val="nil"/>
                  </w:tcBorders>
                  <w:noWrap w:val="0"/>
                  <w:vAlign w:val="center"/>
                </w:tcPr>
                <w:p w14:paraId="7DCD8644">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auto"/>
                      <w:sz w:val="21"/>
                      <w:szCs w:val="21"/>
                    </w:rPr>
                  </w:pPr>
                  <w:r>
                    <w:rPr>
                      <w:color w:val="auto"/>
                      <w:spacing w:val="8"/>
                      <w:sz w:val="21"/>
                      <w:szCs w:val="21"/>
                    </w:rPr>
                    <w:t>/</w:t>
                  </w:r>
                </w:p>
              </w:tc>
              <w:tc>
                <w:tcPr>
                  <w:tcW w:w="806" w:type="pct"/>
                  <w:tcBorders>
                    <w:tl2br w:val="nil"/>
                    <w:tr2bl w:val="nil"/>
                  </w:tcBorders>
                  <w:noWrap w:val="0"/>
                  <w:vAlign w:val="center"/>
                </w:tcPr>
                <w:p w14:paraId="7DFE96C1">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auto"/>
                      <w:sz w:val="21"/>
                      <w:szCs w:val="21"/>
                    </w:rPr>
                  </w:pPr>
                  <w:r>
                    <w:rPr>
                      <w:snapToGrid w:val="0"/>
                      <w:color w:val="auto"/>
                      <w:kern w:val="0"/>
                      <w:sz w:val="21"/>
                      <w:szCs w:val="21"/>
                    </w:rPr>
                    <w:t>无资料</w:t>
                  </w:r>
                </w:p>
              </w:tc>
              <w:tc>
                <w:tcPr>
                  <w:tcW w:w="890" w:type="pct"/>
                  <w:tcBorders>
                    <w:tl2br w:val="nil"/>
                    <w:tr2bl w:val="nil"/>
                  </w:tcBorders>
                  <w:noWrap w:val="0"/>
                  <w:vAlign w:val="center"/>
                </w:tcPr>
                <w:p w14:paraId="02574E06">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auto"/>
                      <w:sz w:val="21"/>
                      <w:szCs w:val="21"/>
                    </w:rPr>
                  </w:pPr>
                  <w:r>
                    <w:rPr>
                      <w:rFonts w:hint="eastAsia"/>
                      <w:color w:val="auto"/>
                      <w:sz w:val="21"/>
                      <w:szCs w:val="21"/>
                      <w:lang w:val="en-US" w:eastAsia="zh-CN"/>
                    </w:rPr>
                    <w:t>易</w:t>
                  </w:r>
                  <w:r>
                    <w:rPr>
                      <w:color w:val="auto"/>
                      <w:sz w:val="21"/>
                      <w:szCs w:val="21"/>
                    </w:rPr>
                    <w:t>燃</w:t>
                  </w:r>
                </w:p>
              </w:tc>
              <w:tc>
                <w:tcPr>
                  <w:tcW w:w="1003" w:type="pct"/>
                  <w:tcBorders>
                    <w:tl2br w:val="nil"/>
                    <w:tr2bl w:val="nil"/>
                  </w:tcBorders>
                  <w:noWrap w:val="0"/>
                  <w:vAlign w:val="center"/>
                </w:tcPr>
                <w:p w14:paraId="24108567">
                  <w:pPr>
                    <w:keepNext w:val="0"/>
                    <w:keepLines w:val="0"/>
                    <w:pageBreakBefore w:val="0"/>
                    <w:kinsoku/>
                    <w:wordWrap/>
                    <w:overflowPunct/>
                    <w:topLinePunct w:val="0"/>
                    <w:autoSpaceDE/>
                    <w:autoSpaceDN/>
                    <w:bidi w:val="0"/>
                    <w:adjustRightInd/>
                    <w:spacing w:line="240" w:lineRule="auto"/>
                    <w:ind w:firstLine="0" w:firstLineChars="0"/>
                    <w:jc w:val="center"/>
                    <w:rPr>
                      <w:color w:val="auto"/>
                      <w:kern w:val="2"/>
                      <w:sz w:val="21"/>
                      <w:szCs w:val="21"/>
                      <w:lang w:val="en-US" w:eastAsia="zh-CN" w:bidi="ar-SA"/>
                    </w:rPr>
                  </w:pPr>
                  <w:r>
                    <w:rPr>
                      <w:color w:val="auto"/>
                      <w:sz w:val="21"/>
                      <w:szCs w:val="21"/>
                    </w:rPr>
                    <w:t>泄漏；火灾引发伴生/次生污染物排放</w:t>
                  </w:r>
                </w:p>
              </w:tc>
            </w:tr>
            <w:tr w14:paraId="30840C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70" w:type="pct"/>
                  <w:vMerge w:val="continue"/>
                  <w:tcBorders>
                    <w:tl2br w:val="nil"/>
                    <w:tr2bl w:val="nil"/>
                  </w:tcBorders>
                  <w:noWrap w:val="0"/>
                  <w:vAlign w:val="center"/>
                </w:tcPr>
                <w:p w14:paraId="35E4EADC">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auto"/>
                      <w:sz w:val="21"/>
                      <w:szCs w:val="21"/>
                    </w:rPr>
                  </w:pPr>
                </w:p>
              </w:tc>
              <w:tc>
                <w:tcPr>
                  <w:tcW w:w="573" w:type="pct"/>
                  <w:tcBorders>
                    <w:tl2br w:val="nil"/>
                    <w:tr2bl w:val="nil"/>
                  </w:tcBorders>
                  <w:noWrap w:val="0"/>
                  <w:vAlign w:val="center"/>
                </w:tcPr>
                <w:p w14:paraId="5BDFDA8E">
                  <w:pPr>
                    <w:pStyle w:val="2"/>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切削液</w:t>
                  </w:r>
                </w:p>
              </w:tc>
              <w:tc>
                <w:tcPr>
                  <w:tcW w:w="326" w:type="pct"/>
                  <w:tcBorders>
                    <w:tl2br w:val="nil"/>
                    <w:tr2bl w:val="nil"/>
                  </w:tcBorders>
                  <w:noWrap w:val="0"/>
                  <w:vAlign w:val="center"/>
                </w:tcPr>
                <w:p w14:paraId="460B889F">
                  <w:pPr>
                    <w:keepNext w:val="0"/>
                    <w:keepLines w:val="0"/>
                    <w:pageBreakBefore w:val="0"/>
                    <w:kinsoku/>
                    <w:wordWrap/>
                    <w:overflowPunct/>
                    <w:topLinePunct w:val="0"/>
                    <w:autoSpaceDE/>
                    <w:autoSpaceDN/>
                    <w:bidi w:val="0"/>
                    <w:adjustRightInd/>
                    <w:snapToGrid w:val="0"/>
                    <w:spacing w:line="240" w:lineRule="auto"/>
                    <w:ind w:firstLine="0" w:firstLineChars="0"/>
                    <w:jc w:val="center"/>
                    <w:rPr>
                      <w:bCs/>
                      <w:color w:val="auto"/>
                      <w:sz w:val="21"/>
                      <w:szCs w:val="21"/>
                    </w:rPr>
                  </w:pPr>
                  <w:r>
                    <w:rPr>
                      <w:bCs/>
                      <w:color w:val="auto"/>
                      <w:sz w:val="21"/>
                      <w:szCs w:val="21"/>
                    </w:rPr>
                    <w:t>液态</w:t>
                  </w:r>
                </w:p>
              </w:tc>
              <w:tc>
                <w:tcPr>
                  <w:tcW w:w="495" w:type="pct"/>
                  <w:tcBorders>
                    <w:tl2br w:val="nil"/>
                    <w:tr2bl w:val="nil"/>
                  </w:tcBorders>
                  <w:noWrap w:val="0"/>
                  <w:vAlign w:val="center"/>
                </w:tcPr>
                <w:p w14:paraId="4E5CB193">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auto"/>
                      <w:sz w:val="21"/>
                      <w:szCs w:val="21"/>
                    </w:rPr>
                  </w:pPr>
                  <w:r>
                    <w:rPr>
                      <w:color w:val="auto"/>
                      <w:sz w:val="21"/>
                      <w:szCs w:val="21"/>
                    </w:rPr>
                    <w:t>/</w:t>
                  </w:r>
                </w:p>
              </w:tc>
              <w:tc>
                <w:tcPr>
                  <w:tcW w:w="532" w:type="pct"/>
                  <w:tcBorders>
                    <w:tl2br w:val="nil"/>
                    <w:tr2bl w:val="nil"/>
                  </w:tcBorders>
                  <w:noWrap w:val="0"/>
                  <w:vAlign w:val="center"/>
                </w:tcPr>
                <w:p w14:paraId="5A8014C1">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auto"/>
                      <w:spacing w:val="8"/>
                      <w:sz w:val="21"/>
                      <w:szCs w:val="21"/>
                    </w:rPr>
                  </w:pPr>
                  <w:r>
                    <w:rPr>
                      <w:color w:val="auto"/>
                      <w:spacing w:val="8"/>
                      <w:sz w:val="21"/>
                      <w:szCs w:val="21"/>
                    </w:rPr>
                    <w:t>/</w:t>
                  </w:r>
                </w:p>
              </w:tc>
              <w:tc>
                <w:tcPr>
                  <w:tcW w:w="806" w:type="pct"/>
                  <w:tcBorders>
                    <w:tl2br w:val="nil"/>
                    <w:tr2bl w:val="nil"/>
                  </w:tcBorders>
                  <w:noWrap w:val="0"/>
                  <w:vAlign w:val="center"/>
                </w:tcPr>
                <w:p w14:paraId="5F7C4AA8">
                  <w:pPr>
                    <w:keepNext w:val="0"/>
                    <w:keepLines w:val="0"/>
                    <w:pageBreakBefore w:val="0"/>
                    <w:kinsoku/>
                    <w:wordWrap/>
                    <w:overflowPunct/>
                    <w:topLinePunct w:val="0"/>
                    <w:autoSpaceDE/>
                    <w:autoSpaceDN/>
                    <w:bidi w:val="0"/>
                    <w:adjustRightInd/>
                    <w:snapToGrid w:val="0"/>
                    <w:spacing w:line="240" w:lineRule="auto"/>
                    <w:ind w:firstLine="0" w:firstLineChars="0"/>
                    <w:jc w:val="center"/>
                    <w:rPr>
                      <w:snapToGrid w:val="0"/>
                      <w:color w:val="auto"/>
                      <w:kern w:val="0"/>
                      <w:sz w:val="21"/>
                      <w:szCs w:val="21"/>
                    </w:rPr>
                  </w:pPr>
                  <w:r>
                    <w:rPr>
                      <w:snapToGrid w:val="0"/>
                      <w:color w:val="auto"/>
                      <w:kern w:val="0"/>
                      <w:sz w:val="21"/>
                      <w:szCs w:val="21"/>
                    </w:rPr>
                    <w:t>无资料</w:t>
                  </w:r>
                </w:p>
              </w:tc>
              <w:tc>
                <w:tcPr>
                  <w:tcW w:w="890" w:type="pct"/>
                  <w:tcBorders>
                    <w:tl2br w:val="nil"/>
                    <w:tr2bl w:val="nil"/>
                  </w:tcBorders>
                  <w:noWrap w:val="0"/>
                  <w:vAlign w:val="center"/>
                </w:tcPr>
                <w:p w14:paraId="3A588A1F">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不燃</w:t>
                  </w:r>
                </w:p>
              </w:tc>
              <w:tc>
                <w:tcPr>
                  <w:tcW w:w="1003" w:type="pct"/>
                  <w:tcBorders>
                    <w:tl2br w:val="nil"/>
                    <w:tr2bl w:val="nil"/>
                  </w:tcBorders>
                  <w:noWrap w:val="0"/>
                  <w:vAlign w:val="center"/>
                </w:tcPr>
                <w:p w14:paraId="6B674D63">
                  <w:pPr>
                    <w:keepNext w:val="0"/>
                    <w:keepLines w:val="0"/>
                    <w:pageBreakBefore w:val="0"/>
                    <w:kinsoku/>
                    <w:wordWrap/>
                    <w:overflowPunct/>
                    <w:topLinePunct w:val="0"/>
                    <w:autoSpaceDE/>
                    <w:autoSpaceDN/>
                    <w:bidi w:val="0"/>
                    <w:adjustRightInd/>
                    <w:spacing w:line="240" w:lineRule="auto"/>
                    <w:ind w:firstLine="0" w:firstLineChars="0"/>
                    <w:jc w:val="center"/>
                    <w:rPr>
                      <w:color w:val="auto"/>
                      <w:sz w:val="21"/>
                      <w:szCs w:val="21"/>
                    </w:rPr>
                  </w:pPr>
                  <w:r>
                    <w:rPr>
                      <w:color w:val="auto"/>
                      <w:sz w:val="21"/>
                      <w:szCs w:val="21"/>
                    </w:rPr>
                    <w:t>泄漏</w:t>
                  </w:r>
                </w:p>
              </w:tc>
            </w:tr>
            <w:tr w14:paraId="5B0068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70" w:type="pct"/>
                  <w:vMerge w:val="continue"/>
                  <w:tcBorders>
                    <w:tl2br w:val="nil"/>
                    <w:tr2bl w:val="nil"/>
                  </w:tcBorders>
                  <w:noWrap w:val="0"/>
                  <w:vAlign w:val="center"/>
                </w:tcPr>
                <w:p w14:paraId="48BFB141">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auto"/>
                      <w:sz w:val="21"/>
                      <w:szCs w:val="21"/>
                    </w:rPr>
                  </w:pPr>
                </w:p>
              </w:tc>
              <w:tc>
                <w:tcPr>
                  <w:tcW w:w="573" w:type="pct"/>
                  <w:tcBorders>
                    <w:tl2br w:val="nil"/>
                    <w:tr2bl w:val="nil"/>
                  </w:tcBorders>
                  <w:noWrap w:val="0"/>
                  <w:vAlign w:val="center"/>
                </w:tcPr>
                <w:p w14:paraId="37A0AF43">
                  <w:pPr>
                    <w:pStyle w:val="2"/>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UV油墨</w:t>
                  </w:r>
                </w:p>
              </w:tc>
              <w:tc>
                <w:tcPr>
                  <w:tcW w:w="326" w:type="pct"/>
                  <w:tcBorders>
                    <w:tl2br w:val="nil"/>
                    <w:tr2bl w:val="nil"/>
                  </w:tcBorders>
                  <w:noWrap w:val="0"/>
                  <w:vAlign w:val="center"/>
                </w:tcPr>
                <w:p w14:paraId="134B69BF">
                  <w:pPr>
                    <w:keepNext w:val="0"/>
                    <w:keepLines w:val="0"/>
                    <w:pageBreakBefore w:val="0"/>
                    <w:kinsoku/>
                    <w:wordWrap/>
                    <w:overflowPunct/>
                    <w:topLinePunct w:val="0"/>
                    <w:autoSpaceDE/>
                    <w:autoSpaceDN/>
                    <w:bidi w:val="0"/>
                    <w:adjustRightInd/>
                    <w:snapToGrid w:val="0"/>
                    <w:spacing w:line="240" w:lineRule="auto"/>
                    <w:ind w:firstLine="0" w:firstLineChars="0"/>
                    <w:jc w:val="center"/>
                    <w:rPr>
                      <w:bCs/>
                      <w:color w:val="auto"/>
                      <w:sz w:val="21"/>
                      <w:szCs w:val="21"/>
                    </w:rPr>
                  </w:pPr>
                  <w:r>
                    <w:rPr>
                      <w:bCs/>
                      <w:color w:val="auto"/>
                      <w:sz w:val="21"/>
                      <w:szCs w:val="21"/>
                    </w:rPr>
                    <w:t>液态</w:t>
                  </w:r>
                </w:p>
              </w:tc>
              <w:tc>
                <w:tcPr>
                  <w:tcW w:w="495" w:type="pct"/>
                  <w:tcBorders>
                    <w:tl2br w:val="nil"/>
                    <w:tr2bl w:val="nil"/>
                  </w:tcBorders>
                  <w:noWrap w:val="0"/>
                  <w:vAlign w:val="center"/>
                </w:tcPr>
                <w:p w14:paraId="75D54027">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auto"/>
                      <w:sz w:val="21"/>
                      <w:szCs w:val="21"/>
                    </w:rPr>
                  </w:pPr>
                  <w:r>
                    <w:rPr>
                      <w:color w:val="auto"/>
                      <w:sz w:val="21"/>
                      <w:szCs w:val="21"/>
                    </w:rPr>
                    <w:t>/</w:t>
                  </w:r>
                </w:p>
              </w:tc>
              <w:tc>
                <w:tcPr>
                  <w:tcW w:w="532" w:type="pct"/>
                  <w:tcBorders>
                    <w:tl2br w:val="nil"/>
                    <w:tr2bl w:val="nil"/>
                  </w:tcBorders>
                  <w:noWrap w:val="0"/>
                  <w:vAlign w:val="center"/>
                </w:tcPr>
                <w:p w14:paraId="6C11BDEC">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auto"/>
                      <w:spacing w:val="8"/>
                      <w:sz w:val="21"/>
                      <w:szCs w:val="21"/>
                    </w:rPr>
                  </w:pPr>
                  <w:r>
                    <w:rPr>
                      <w:color w:val="auto"/>
                      <w:spacing w:val="8"/>
                      <w:sz w:val="21"/>
                      <w:szCs w:val="21"/>
                    </w:rPr>
                    <w:t>/</w:t>
                  </w:r>
                </w:p>
              </w:tc>
              <w:tc>
                <w:tcPr>
                  <w:tcW w:w="806" w:type="pct"/>
                  <w:tcBorders>
                    <w:tl2br w:val="nil"/>
                    <w:tr2bl w:val="nil"/>
                  </w:tcBorders>
                  <w:noWrap w:val="0"/>
                  <w:vAlign w:val="center"/>
                </w:tcPr>
                <w:p w14:paraId="17E5D095">
                  <w:pPr>
                    <w:keepNext w:val="0"/>
                    <w:keepLines w:val="0"/>
                    <w:pageBreakBefore w:val="0"/>
                    <w:kinsoku/>
                    <w:wordWrap/>
                    <w:overflowPunct/>
                    <w:topLinePunct w:val="0"/>
                    <w:autoSpaceDE/>
                    <w:autoSpaceDN/>
                    <w:bidi w:val="0"/>
                    <w:adjustRightInd/>
                    <w:snapToGrid w:val="0"/>
                    <w:spacing w:line="240" w:lineRule="auto"/>
                    <w:ind w:firstLine="0" w:firstLineChars="0"/>
                    <w:jc w:val="center"/>
                    <w:rPr>
                      <w:snapToGrid w:val="0"/>
                      <w:color w:val="auto"/>
                      <w:kern w:val="0"/>
                      <w:sz w:val="21"/>
                      <w:szCs w:val="21"/>
                    </w:rPr>
                  </w:pPr>
                  <w:r>
                    <w:rPr>
                      <w:snapToGrid w:val="0"/>
                      <w:color w:val="auto"/>
                      <w:kern w:val="0"/>
                      <w:sz w:val="21"/>
                      <w:szCs w:val="21"/>
                    </w:rPr>
                    <w:t>无资料</w:t>
                  </w:r>
                </w:p>
              </w:tc>
              <w:tc>
                <w:tcPr>
                  <w:tcW w:w="890" w:type="pct"/>
                  <w:tcBorders>
                    <w:tl2br w:val="nil"/>
                    <w:tr2bl w:val="nil"/>
                  </w:tcBorders>
                  <w:noWrap w:val="0"/>
                  <w:vAlign w:val="center"/>
                </w:tcPr>
                <w:p w14:paraId="5F74A521">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auto"/>
                      <w:sz w:val="21"/>
                      <w:szCs w:val="21"/>
                    </w:rPr>
                  </w:pPr>
                  <w:r>
                    <w:rPr>
                      <w:rFonts w:hint="eastAsia"/>
                      <w:color w:val="auto"/>
                      <w:sz w:val="21"/>
                      <w:szCs w:val="21"/>
                      <w:lang w:val="en-US" w:eastAsia="zh-CN"/>
                    </w:rPr>
                    <w:t>可燃</w:t>
                  </w:r>
                </w:p>
              </w:tc>
              <w:tc>
                <w:tcPr>
                  <w:tcW w:w="1003" w:type="pct"/>
                  <w:tcBorders>
                    <w:tl2br w:val="nil"/>
                    <w:tr2bl w:val="nil"/>
                  </w:tcBorders>
                  <w:noWrap w:val="0"/>
                  <w:vAlign w:val="center"/>
                </w:tcPr>
                <w:p w14:paraId="4F473480">
                  <w:pPr>
                    <w:keepNext w:val="0"/>
                    <w:keepLines w:val="0"/>
                    <w:pageBreakBefore w:val="0"/>
                    <w:kinsoku/>
                    <w:wordWrap/>
                    <w:overflowPunct/>
                    <w:topLinePunct w:val="0"/>
                    <w:autoSpaceDE/>
                    <w:autoSpaceDN/>
                    <w:bidi w:val="0"/>
                    <w:adjustRightInd/>
                    <w:spacing w:line="240" w:lineRule="auto"/>
                    <w:ind w:firstLine="0" w:firstLineChars="0"/>
                    <w:jc w:val="center"/>
                    <w:rPr>
                      <w:color w:val="auto"/>
                      <w:sz w:val="21"/>
                      <w:szCs w:val="21"/>
                    </w:rPr>
                  </w:pPr>
                  <w:r>
                    <w:rPr>
                      <w:color w:val="auto"/>
                      <w:sz w:val="21"/>
                      <w:szCs w:val="21"/>
                    </w:rPr>
                    <w:t>泄漏；火灾引发伴生/次生污染物排放</w:t>
                  </w:r>
                </w:p>
              </w:tc>
            </w:tr>
            <w:tr w14:paraId="128609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370" w:type="pct"/>
                  <w:vMerge w:val="restart"/>
                  <w:tcBorders>
                    <w:tl2br w:val="nil"/>
                    <w:tr2bl w:val="nil"/>
                  </w:tcBorders>
                  <w:noWrap w:val="0"/>
                  <w:vAlign w:val="center"/>
                </w:tcPr>
                <w:p w14:paraId="47A03BC9">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auto"/>
                      <w:sz w:val="21"/>
                      <w:szCs w:val="21"/>
                    </w:rPr>
                  </w:pPr>
                  <w:r>
                    <w:rPr>
                      <w:color w:val="auto"/>
                      <w:sz w:val="21"/>
                      <w:szCs w:val="21"/>
                    </w:rPr>
                    <w:t>污染物</w:t>
                  </w:r>
                </w:p>
              </w:tc>
              <w:tc>
                <w:tcPr>
                  <w:tcW w:w="573" w:type="pct"/>
                  <w:vMerge w:val="restart"/>
                  <w:tcBorders>
                    <w:tl2br w:val="nil"/>
                    <w:tr2bl w:val="nil"/>
                  </w:tcBorders>
                  <w:noWrap w:val="0"/>
                  <w:vAlign w:val="center"/>
                </w:tcPr>
                <w:p w14:paraId="791149E5">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eastAsia" w:eastAsia="宋体"/>
                      <w:color w:val="auto"/>
                      <w:sz w:val="21"/>
                      <w:szCs w:val="21"/>
                      <w:lang w:eastAsia="zh-CN"/>
                    </w:rPr>
                  </w:pPr>
                  <w:r>
                    <w:rPr>
                      <w:rFonts w:hint="eastAsia"/>
                      <w:color w:val="auto"/>
                      <w:sz w:val="21"/>
                      <w:szCs w:val="21"/>
                      <w:lang w:val="en-US" w:eastAsia="zh-CN"/>
                    </w:rPr>
                    <w:t>危险废物</w:t>
                  </w:r>
                </w:p>
              </w:tc>
              <w:tc>
                <w:tcPr>
                  <w:tcW w:w="326" w:type="pct"/>
                  <w:vMerge w:val="restart"/>
                  <w:tcBorders>
                    <w:tl2br w:val="nil"/>
                    <w:tr2bl w:val="nil"/>
                  </w:tcBorders>
                  <w:noWrap w:val="0"/>
                  <w:vAlign w:val="center"/>
                </w:tcPr>
                <w:p w14:paraId="7AA30ED6">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auto"/>
                      <w:sz w:val="21"/>
                      <w:szCs w:val="21"/>
                    </w:rPr>
                  </w:pPr>
                  <w:r>
                    <w:rPr>
                      <w:rFonts w:hint="eastAsia"/>
                      <w:color w:val="auto"/>
                      <w:sz w:val="21"/>
                      <w:szCs w:val="21"/>
                      <w:lang w:val="en-US" w:eastAsia="zh-CN"/>
                    </w:rPr>
                    <w:t>液态、固态</w:t>
                  </w:r>
                </w:p>
              </w:tc>
              <w:tc>
                <w:tcPr>
                  <w:tcW w:w="495" w:type="pct"/>
                  <w:vMerge w:val="restart"/>
                  <w:tcBorders>
                    <w:tl2br w:val="nil"/>
                    <w:tr2bl w:val="nil"/>
                  </w:tcBorders>
                  <w:noWrap w:val="0"/>
                  <w:vAlign w:val="center"/>
                </w:tcPr>
                <w:p w14:paraId="4A2D82B0">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auto"/>
                      <w:sz w:val="21"/>
                      <w:szCs w:val="21"/>
                    </w:rPr>
                  </w:pPr>
                  <w:r>
                    <w:rPr>
                      <w:color w:val="auto"/>
                      <w:sz w:val="21"/>
                      <w:szCs w:val="21"/>
                    </w:rPr>
                    <w:t>/</w:t>
                  </w:r>
                </w:p>
              </w:tc>
              <w:tc>
                <w:tcPr>
                  <w:tcW w:w="532" w:type="pct"/>
                  <w:vMerge w:val="restart"/>
                  <w:tcBorders>
                    <w:tl2br w:val="nil"/>
                    <w:tr2bl w:val="nil"/>
                  </w:tcBorders>
                  <w:noWrap w:val="0"/>
                  <w:vAlign w:val="center"/>
                </w:tcPr>
                <w:p w14:paraId="1DA59A30">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auto"/>
                      <w:sz w:val="21"/>
                      <w:szCs w:val="21"/>
                    </w:rPr>
                  </w:pPr>
                  <w:r>
                    <w:rPr>
                      <w:color w:val="auto"/>
                      <w:sz w:val="21"/>
                      <w:szCs w:val="21"/>
                    </w:rPr>
                    <w:t>/</w:t>
                  </w:r>
                </w:p>
              </w:tc>
              <w:tc>
                <w:tcPr>
                  <w:tcW w:w="806" w:type="pct"/>
                  <w:vMerge w:val="restart"/>
                  <w:tcBorders>
                    <w:tl2br w:val="nil"/>
                    <w:tr2bl w:val="nil"/>
                  </w:tcBorders>
                  <w:noWrap w:val="0"/>
                  <w:vAlign w:val="center"/>
                </w:tcPr>
                <w:p w14:paraId="621C5463">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auto"/>
                      <w:sz w:val="21"/>
                      <w:szCs w:val="21"/>
                    </w:rPr>
                  </w:pPr>
                  <w:r>
                    <w:rPr>
                      <w:color w:val="auto"/>
                      <w:sz w:val="21"/>
                      <w:szCs w:val="21"/>
                    </w:rPr>
                    <w:t>/</w:t>
                  </w:r>
                </w:p>
              </w:tc>
              <w:tc>
                <w:tcPr>
                  <w:tcW w:w="890" w:type="pct"/>
                  <w:vMerge w:val="restart"/>
                  <w:tcBorders>
                    <w:tl2br w:val="nil"/>
                    <w:tr2bl w:val="nil"/>
                  </w:tcBorders>
                  <w:noWrap w:val="0"/>
                  <w:vAlign w:val="center"/>
                </w:tcPr>
                <w:p w14:paraId="0CCAC06D">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auto"/>
                      <w:sz w:val="21"/>
                      <w:szCs w:val="21"/>
                    </w:rPr>
                  </w:pPr>
                  <w:r>
                    <w:rPr>
                      <w:color w:val="auto"/>
                      <w:sz w:val="21"/>
                      <w:szCs w:val="21"/>
                    </w:rPr>
                    <w:t>/</w:t>
                  </w:r>
                </w:p>
              </w:tc>
              <w:tc>
                <w:tcPr>
                  <w:tcW w:w="1003" w:type="pct"/>
                  <w:vMerge w:val="restart"/>
                  <w:tcBorders>
                    <w:tl2br w:val="nil"/>
                    <w:tr2bl w:val="nil"/>
                  </w:tcBorders>
                  <w:noWrap w:val="0"/>
                  <w:vAlign w:val="center"/>
                </w:tcPr>
                <w:p w14:paraId="1B2AEA9C">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auto"/>
                      <w:sz w:val="21"/>
                      <w:szCs w:val="21"/>
                    </w:rPr>
                  </w:pPr>
                  <w:r>
                    <w:rPr>
                      <w:color w:val="auto"/>
                      <w:sz w:val="21"/>
                      <w:szCs w:val="21"/>
                    </w:rPr>
                    <w:t>泄漏；火灾引发伴生/次生污染物排放</w:t>
                  </w:r>
                </w:p>
              </w:tc>
            </w:tr>
            <w:tr w14:paraId="518E99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370" w:type="pct"/>
                  <w:vMerge w:val="continue"/>
                  <w:tcBorders>
                    <w:tl2br w:val="nil"/>
                    <w:tr2bl w:val="nil"/>
                  </w:tcBorders>
                  <w:noWrap w:val="0"/>
                  <w:vAlign w:val="center"/>
                </w:tcPr>
                <w:p w14:paraId="11BFFADA">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auto"/>
                      <w:sz w:val="21"/>
                      <w:szCs w:val="21"/>
                    </w:rPr>
                  </w:pPr>
                </w:p>
              </w:tc>
              <w:tc>
                <w:tcPr>
                  <w:tcW w:w="573" w:type="pct"/>
                  <w:vMerge w:val="continue"/>
                  <w:tcBorders>
                    <w:tl2br w:val="nil"/>
                    <w:tr2bl w:val="nil"/>
                  </w:tcBorders>
                  <w:noWrap w:val="0"/>
                  <w:vAlign w:val="center"/>
                </w:tcPr>
                <w:p w14:paraId="7643303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eastAsia" w:eastAsia="宋体"/>
                      <w:color w:val="auto"/>
                      <w:sz w:val="21"/>
                      <w:szCs w:val="21"/>
                      <w:lang w:eastAsia="zh-CN"/>
                    </w:rPr>
                  </w:pPr>
                  <w:r>
                    <w:rPr>
                      <w:rFonts w:hint="eastAsia"/>
                      <w:color w:val="auto"/>
                      <w:sz w:val="21"/>
                      <w:szCs w:val="21"/>
                      <w:lang w:val="en-US" w:eastAsia="zh-CN"/>
                    </w:rPr>
                    <w:t>危险废物</w:t>
                  </w:r>
                </w:p>
              </w:tc>
              <w:tc>
                <w:tcPr>
                  <w:tcW w:w="326" w:type="pct"/>
                  <w:vMerge w:val="continue"/>
                  <w:tcBorders>
                    <w:tl2br w:val="nil"/>
                    <w:tr2bl w:val="nil"/>
                  </w:tcBorders>
                  <w:noWrap w:val="0"/>
                  <w:vAlign w:val="center"/>
                </w:tcPr>
                <w:p w14:paraId="3C5CD3D8">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液态、固态</w:t>
                  </w:r>
                </w:p>
              </w:tc>
              <w:tc>
                <w:tcPr>
                  <w:tcW w:w="495" w:type="pct"/>
                  <w:vMerge w:val="continue"/>
                  <w:tcBorders>
                    <w:tl2br w:val="nil"/>
                    <w:tr2bl w:val="nil"/>
                  </w:tcBorders>
                  <w:noWrap w:val="0"/>
                  <w:vAlign w:val="center"/>
                </w:tcPr>
                <w:p w14:paraId="13EA658D">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auto"/>
                      <w:sz w:val="21"/>
                      <w:szCs w:val="21"/>
                    </w:rPr>
                  </w:pPr>
                  <w:r>
                    <w:rPr>
                      <w:color w:val="auto"/>
                      <w:sz w:val="21"/>
                      <w:szCs w:val="21"/>
                    </w:rPr>
                    <w:t>/</w:t>
                  </w:r>
                </w:p>
              </w:tc>
              <w:tc>
                <w:tcPr>
                  <w:tcW w:w="532" w:type="pct"/>
                  <w:vMerge w:val="continue"/>
                  <w:tcBorders>
                    <w:tl2br w:val="nil"/>
                    <w:tr2bl w:val="nil"/>
                  </w:tcBorders>
                  <w:noWrap w:val="0"/>
                  <w:vAlign w:val="center"/>
                </w:tcPr>
                <w:p w14:paraId="161CBE38">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auto"/>
                      <w:sz w:val="21"/>
                      <w:szCs w:val="21"/>
                    </w:rPr>
                  </w:pPr>
                  <w:r>
                    <w:rPr>
                      <w:color w:val="auto"/>
                      <w:sz w:val="21"/>
                      <w:szCs w:val="21"/>
                    </w:rPr>
                    <w:t>/</w:t>
                  </w:r>
                </w:p>
              </w:tc>
              <w:tc>
                <w:tcPr>
                  <w:tcW w:w="806" w:type="pct"/>
                  <w:vMerge w:val="continue"/>
                  <w:tcBorders>
                    <w:tl2br w:val="nil"/>
                    <w:tr2bl w:val="nil"/>
                  </w:tcBorders>
                  <w:noWrap w:val="0"/>
                  <w:vAlign w:val="center"/>
                </w:tcPr>
                <w:p w14:paraId="6E89C009">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auto"/>
                      <w:sz w:val="21"/>
                      <w:szCs w:val="21"/>
                    </w:rPr>
                  </w:pPr>
                  <w:r>
                    <w:rPr>
                      <w:color w:val="auto"/>
                      <w:sz w:val="21"/>
                      <w:szCs w:val="21"/>
                    </w:rPr>
                    <w:t>/</w:t>
                  </w:r>
                </w:p>
              </w:tc>
              <w:tc>
                <w:tcPr>
                  <w:tcW w:w="890" w:type="pct"/>
                  <w:vMerge w:val="continue"/>
                  <w:tcBorders>
                    <w:tl2br w:val="nil"/>
                    <w:tr2bl w:val="nil"/>
                  </w:tcBorders>
                  <w:noWrap w:val="0"/>
                  <w:vAlign w:val="center"/>
                </w:tcPr>
                <w:p w14:paraId="4DE98305">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auto"/>
                      <w:sz w:val="21"/>
                      <w:szCs w:val="21"/>
                    </w:rPr>
                  </w:pPr>
                  <w:r>
                    <w:rPr>
                      <w:color w:val="auto"/>
                      <w:sz w:val="21"/>
                      <w:szCs w:val="21"/>
                    </w:rPr>
                    <w:t>/</w:t>
                  </w:r>
                </w:p>
              </w:tc>
              <w:tc>
                <w:tcPr>
                  <w:tcW w:w="1003" w:type="pct"/>
                  <w:vMerge w:val="continue"/>
                  <w:tcBorders>
                    <w:tl2br w:val="nil"/>
                    <w:tr2bl w:val="nil"/>
                  </w:tcBorders>
                  <w:noWrap w:val="0"/>
                  <w:vAlign w:val="center"/>
                </w:tcPr>
                <w:p w14:paraId="1F1BAE3E">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auto"/>
                      <w:sz w:val="21"/>
                      <w:szCs w:val="21"/>
                    </w:rPr>
                  </w:pPr>
                  <w:r>
                    <w:rPr>
                      <w:color w:val="auto"/>
                      <w:sz w:val="21"/>
                      <w:szCs w:val="21"/>
                    </w:rPr>
                    <w:t>泄漏；火灾引发伴生/次生污染物排放</w:t>
                  </w:r>
                </w:p>
              </w:tc>
            </w:tr>
            <w:tr w14:paraId="58AB35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70" w:type="pct"/>
                  <w:tcBorders>
                    <w:tl2br w:val="nil"/>
                    <w:tr2bl w:val="nil"/>
                  </w:tcBorders>
                  <w:noWrap w:val="0"/>
                  <w:vAlign w:val="center"/>
                </w:tcPr>
                <w:p w14:paraId="6B1E3535">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auto"/>
                      <w:sz w:val="21"/>
                      <w:szCs w:val="21"/>
                    </w:rPr>
                  </w:pPr>
                  <w:r>
                    <w:rPr>
                      <w:color w:val="auto"/>
                      <w:sz w:val="21"/>
                      <w:szCs w:val="21"/>
                    </w:rPr>
                    <w:t>火灾爆炸次生物</w:t>
                  </w:r>
                </w:p>
              </w:tc>
              <w:tc>
                <w:tcPr>
                  <w:tcW w:w="573" w:type="pct"/>
                  <w:tcBorders>
                    <w:tl2br w:val="nil"/>
                    <w:tr2bl w:val="nil"/>
                  </w:tcBorders>
                  <w:noWrap w:val="0"/>
                  <w:vAlign w:val="center"/>
                </w:tcPr>
                <w:p w14:paraId="18EE92AC">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auto"/>
                      <w:sz w:val="21"/>
                      <w:szCs w:val="21"/>
                    </w:rPr>
                  </w:pPr>
                  <w:r>
                    <w:rPr>
                      <w:color w:val="auto"/>
                      <w:sz w:val="21"/>
                      <w:szCs w:val="21"/>
                    </w:rPr>
                    <w:t>CO</w:t>
                  </w:r>
                </w:p>
              </w:tc>
              <w:tc>
                <w:tcPr>
                  <w:tcW w:w="326" w:type="pct"/>
                  <w:tcBorders>
                    <w:tl2br w:val="nil"/>
                    <w:tr2bl w:val="nil"/>
                  </w:tcBorders>
                  <w:noWrap w:val="0"/>
                  <w:vAlign w:val="center"/>
                </w:tcPr>
                <w:p w14:paraId="17A06EF8">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auto"/>
                      <w:sz w:val="21"/>
                      <w:szCs w:val="21"/>
                    </w:rPr>
                  </w:pPr>
                  <w:r>
                    <w:rPr>
                      <w:color w:val="auto"/>
                      <w:sz w:val="21"/>
                      <w:szCs w:val="21"/>
                    </w:rPr>
                    <w:t>气态</w:t>
                  </w:r>
                </w:p>
              </w:tc>
              <w:tc>
                <w:tcPr>
                  <w:tcW w:w="495" w:type="pct"/>
                  <w:tcBorders>
                    <w:tl2br w:val="nil"/>
                    <w:tr2bl w:val="nil"/>
                  </w:tcBorders>
                  <w:noWrap w:val="0"/>
                  <w:vAlign w:val="center"/>
                </w:tcPr>
                <w:p w14:paraId="30838113">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auto"/>
                      <w:sz w:val="21"/>
                      <w:szCs w:val="21"/>
                    </w:rPr>
                  </w:pPr>
                  <w:r>
                    <w:rPr>
                      <w:color w:val="auto"/>
                      <w:sz w:val="21"/>
                      <w:szCs w:val="21"/>
                    </w:rPr>
                    <w:t>/</w:t>
                  </w:r>
                </w:p>
              </w:tc>
              <w:tc>
                <w:tcPr>
                  <w:tcW w:w="532" w:type="pct"/>
                  <w:tcBorders>
                    <w:tl2br w:val="nil"/>
                    <w:tr2bl w:val="nil"/>
                  </w:tcBorders>
                  <w:noWrap w:val="0"/>
                  <w:vAlign w:val="center"/>
                </w:tcPr>
                <w:p w14:paraId="03E78029">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auto"/>
                      <w:sz w:val="21"/>
                      <w:szCs w:val="21"/>
                    </w:rPr>
                  </w:pPr>
                  <w:r>
                    <w:rPr>
                      <w:color w:val="auto"/>
                      <w:sz w:val="21"/>
                      <w:szCs w:val="21"/>
                    </w:rPr>
                    <w:t>-205</w:t>
                  </w:r>
                </w:p>
              </w:tc>
              <w:tc>
                <w:tcPr>
                  <w:tcW w:w="806" w:type="pct"/>
                  <w:tcBorders>
                    <w:tl2br w:val="nil"/>
                    <w:tr2bl w:val="nil"/>
                  </w:tcBorders>
                  <w:noWrap w:val="0"/>
                  <w:vAlign w:val="center"/>
                </w:tcPr>
                <w:p w14:paraId="7DEF54A2">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auto"/>
                      <w:sz w:val="21"/>
                      <w:szCs w:val="21"/>
                    </w:rPr>
                  </w:pPr>
                  <w:r>
                    <w:rPr>
                      <w:color w:val="auto"/>
                      <w:sz w:val="21"/>
                      <w:szCs w:val="21"/>
                    </w:rPr>
                    <w:t>/</w:t>
                  </w:r>
                </w:p>
              </w:tc>
              <w:tc>
                <w:tcPr>
                  <w:tcW w:w="890" w:type="pct"/>
                  <w:tcBorders>
                    <w:tl2br w:val="nil"/>
                    <w:tr2bl w:val="nil"/>
                  </w:tcBorders>
                  <w:noWrap w:val="0"/>
                  <w:vAlign w:val="center"/>
                </w:tcPr>
                <w:p w14:paraId="5DC2E9F1">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auto"/>
                      <w:sz w:val="21"/>
                      <w:szCs w:val="21"/>
                    </w:rPr>
                  </w:pPr>
                  <w:r>
                    <w:rPr>
                      <w:color w:val="auto"/>
                      <w:sz w:val="21"/>
                      <w:szCs w:val="21"/>
                    </w:rPr>
                    <w:t>/</w:t>
                  </w:r>
                </w:p>
              </w:tc>
              <w:tc>
                <w:tcPr>
                  <w:tcW w:w="1003" w:type="pct"/>
                  <w:tcBorders>
                    <w:tl2br w:val="nil"/>
                    <w:tr2bl w:val="nil"/>
                  </w:tcBorders>
                  <w:noWrap w:val="0"/>
                  <w:vAlign w:val="center"/>
                </w:tcPr>
                <w:p w14:paraId="1A93A9CA">
                  <w:pPr>
                    <w:keepNext w:val="0"/>
                    <w:keepLines w:val="0"/>
                    <w:pageBreakBefore w:val="0"/>
                    <w:kinsoku/>
                    <w:wordWrap/>
                    <w:overflowPunct/>
                    <w:topLinePunct w:val="0"/>
                    <w:autoSpaceDE/>
                    <w:autoSpaceDN/>
                    <w:bidi w:val="0"/>
                    <w:adjustRightInd/>
                    <w:snapToGrid w:val="0"/>
                    <w:spacing w:line="240" w:lineRule="auto"/>
                    <w:ind w:firstLine="0" w:firstLineChars="0"/>
                    <w:jc w:val="center"/>
                    <w:rPr>
                      <w:color w:val="auto"/>
                      <w:sz w:val="21"/>
                      <w:szCs w:val="21"/>
                    </w:rPr>
                  </w:pPr>
                  <w:r>
                    <w:rPr>
                      <w:color w:val="auto"/>
                      <w:sz w:val="21"/>
                      <w:szCs w:val="21"/>
                    </w:rPr>
                    <w:t>伴生污染物排放</w:t>
                  </w:r>
                </w:p>
              </w:tc>
            </w:tr>
          </w:tbl>
          <w:p w14:paraId="6EFEBF4A">
            <w:pPr>
              <w:snapToGrid w:val="0"/>
              <w:ind w:firstLine="420"/>
              <w:rPr>
                <w:color w:val="auto"/>
                <w:sz w:val="24"/>
                <w:szCs w:val="24"/>
              </w:rPr>
            </w:pPr>
            <w:r>
              <w:rPr>
                <w:color w:val="auto"/>
                <w:sz w:val="24"/>
                <w:szCs w:val="24"/>
              </w:rPr>
              <w:t>对照《建设项目环境风险评价技术导则（HJ169-2018）》附录B内容，本项目涉及的危险物质见下表。</w:t>
            </w:r>
          </w:p>
          <w:p w14:paraId="6816D1C2">
            <w:pPr>
              <w:snapToGrid w:val="0"/>
              <w:spacing w:line="240" w:lineRule="auto"/>
              <w:ind w:firstLine="0" w:firstLineChars="0"/>
              <w:jc w:val="center"/>
              <w:rPr>
                <w:b/>
                <w:bCs/>
                <w:color w:val="auto"/>
                <w:sz w:val="21"/>
                <w:szCs w:val="21"/>
              </w:rPr>
            </w:pPr>
            <w:r>
              <w:rPr>
                <w:b/>
                <w:bCs/>
                <w:color w:val="auto"/>
                <w:sz w:val="21"/>
                <w:szCs w:val="21"/>
              </w:rPr>
              <w:t>表4</w:t>
            </w:r>
            <w:r>
              <w:rPr>
                <w:rFonts w:hint="eastAsia"/>
                <w:b/>
                <w:bCs/>
                <w:color w:val="auto"/>
                <w:sz w:val="21"/>
                <w:szCs w:val="21"/>
                <w:lang w:val="en-US" w:eastAsia="zh-CN"/>
              </w:rPr>
              <w:t>.7</w:t>
            </w:r>
            <w:r>
              <w:rPr>
                <w:b/>
                <w:bCs/>
                <w:color w:val="auto"/>
                <w:sz w:val="21"/>
                <w:szCs w:val="21"/>
              </w:rPr>
              <w:t>-</w:t>
            </w:r>
            <w:r>
              <w:rPr>
                <w:rFonts w:hint="eastAsia"/>
                <w:b/>
                <w:bCs/>
                <w:color w:val="auto"/>
                <w:sz w:val="21"/>
                <w:szCs w:val="21"/>
                <w:lang w:val="en-US" w:eastAsia="zh-CN"/>
              </w:rPr>
              <w:t>2</w:t>
            </w:r>
            <w:r>
              <w:rPr>
                <w:b/>
                <w:bCs/>
                <w:color w:val="auto"/>
                <w:sz w:val="21"/>
                <w:szCs w:val="21"/>
              </w:rPr>
              <w:t xml:space="preserve">  项目Q值确定表</w:t>
            </w:r>
          </w:p>
          <w:tbl>
            <w:tblPr>
              <w:tblStyle w:val="17"/>
              <w:tblW w:w="490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3393"/>
              <w:gridCol w:w="2093"/>
              <w:gridCol w:w="1514"/>
              <w:gridCol w:w="1711"/>
            </w:tblGrid>
            <w:tr w14:paraId="23F6EE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noWrap w:val="0"/>
                  <w:vAlign w:val="center"/>
                </w:tcPr>
                <w:p w14:paraId="13ADB2A8">
                  <w:pPr>
                    <w:snapToGrid w:val="0"/>
                    <w:spacing w:line="240" w:lineRule="auto"/>
                    <w:ind w:firstLine="0" w:firstLineChars="0"/>
                    <w:jc w:val="center"/>
                    <w:rPr>
                      <w:b/>
                      <w:bCs/>
                      <w:color w:val="auto"/>
                      <w:sz w:val="21"/>
                      <w:szCs w:val="21"/>
                    </w:rPr>
                  </w:pPr>
                  <w:r>
                    <w:rPr>
                      <w:b/>
                      <w:bCs/>
                      <w:color w:val="auto"/>
                      <w:sz w:val="21"/>
                      <w:szCs w:val="21"/>
                    </w:rPr>
                    <w:t>序号</w:t>
                  </w:r>
                </w:p>
              </w:tc>
              <w:tc>
                <w:tcPr>
                  <w:tcW w:w="1806" w:type="pct"/>
                  <w:noWrap w:val="0"/>
                  <w:vAlign w:val="center"/>
                </w:tcPr>
                <w:p w14:paraId="03EBB7D7">
                  <w:pPr>
                    <w:snapToGrid w:val="0"/>
                    <w:spacing w:line="240" w:lineRule="auto"/>
                    <w:ind w:firstLine="0" w:firstLineChars="0"/>
                    <w:jc w:val="center"/>
                    <w:rPr>
                      <w:b/>
                      <w:bCs/>
                      <w:color w:val="auto"/>
                      <w:sz w:val="21"/>
                      <w:szCs w:val="21"/>
                    </w:rPr>
                  </w:pPr>
                  <w:r>
                    <w:rPr>
                      <w:b/>
                      <w:bCs/>
                      <w:color w:val="auto"/>
                      <w:sz w:val="21"/>
                      <w:szCs w:val="21"/>
                    </w:rPr>
                    <w:t>危险品名称</w:t>
                  </w:r>
                </w:p>
              </w:tc>
              <w:tc>
                <w:tcPr>
                  <w:tcW w:w="1114" w:type="pct"/>
                  <w:noWrap w:val="0"/>
                  <w:vAlign w:val="center"/>
                </w:tcPr>
                <w:p w14:paraId="258FF502">
                  <w:pPr>
                    <w:snapToGrid w:val="0"/>
                    <w:spacing w:line="240" w:lineRule="auto"/>
                    <w:ind w:firstLine="0" w:firstLineChars="0"/>
                    <w:jc w:val="center"/>
                    <w:rPr>
                      <w:b/>
                      <w:bCs/>
                      <w:color w:val="auto"/>
                      <w:sz w:val="21"/>
                      <w:szCs w:val="21"/>
                    </w:rPr>
                  </w:pPr>
                  <w:r>
                    <w:rPr>
                      <w:b/>
                      <w:bCs/>
                      <w:color w:val="auto"/>
                      <w:sz w:val="21"/>
                      <w:szCs w:val="21"/>
                    </w:rPr>
                    <w:t>最大存在总量qn/t</w:t>
                  </w:r>
                </w:p>
              </w:tc>
              <w:tc>
                <w:tcPr>
                  <w:tcW w:w="805" w:type="pct"/>
                  <w:noWrap w:val="0"/>
                  <w:vAlign w:val="center"/>
                </w:tcPr>
                <w:p w14:paraId="7CCB4C9A">
                  <w:pPr>
                    <w:snapToGrid w:val="0"/>
                    <w:spacing w:line="240" w:lineRule="auto"/>
                    <w:ind w:firstLine="0" w:firstLineChars="0"/>
                    <w:jc w:val="center"/>
                    <w:rPr>
                      <w:b/>
                      <w:bCs/>
                      <w:color w:val="auto"/>
                      <w:sz w:val="21"/>
                      <w:szCs w:val="21"/>
                    </w:rPr>
                  </w:pPr>
                  <w:r>
                    <w:rPr>
                      <w:b/>
                      <w:bCs/>
                      <w:color w:val="auto"/>
                      <w:sz w:val="21"/>
                      <w:szCs w:val="21"/>
                    </w:rPr>
                    <w:t>临界量Qn/t</w:t>
                  </w:r>
                </w:p>
              </w:tc>
              <w:tc>
                <w:tcPr>
                  <w:tcW w:w="911" w:type="pct"/>
                  <w:noWrap w:val="0"/>
                  <w:vAlign w:val="center"/>
                </w:tcPr>
                <w:p w14:paraId="621E9943">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危险物质Q值</w:t>
                  </w:r>
                </w:p>
              </w:tc>
            </w:tr>
            <w:tr w14:paraId="5325C1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362" w:type="pct"/>
                  <w:shd w:val="clear" w:color="auto" w:fill="auto"/>
                  <w:noWrap w:val="0"/>
                  <w:vAlign w:val="center"/>
                </w:tcPr>
                <w:p w14:paraId="63AFFE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bookmarkStart w:id="16" w:name="OLE_LINK4" w:colFirst="5" w:colLast="5"/>
                  <w:r>
                    <w:rPr>
                      <w:rFonts w:hint="eastAsia" w:ascii="Times New Roman" w:hAnsi="Times New Roman" w:eastAsia="宋体" w:cs="Times New Roman"/>
                      <w:color w:val="auto"/>
                      <w:sz w:val="21"/>
                      <w:szCs w:val="21"/>
                      <w:lang w:val="en-US" w:eastAsia="zh-CN"/>
                    </w:rPr>
                    <w:t>1</w:t>
                  </w:r>
                </w:p>
              </w:tc>
              <w:tc>
                <w:tcPr>
                  <w:tcW w:w="1806" w:type="pct"/>
                  <w:noWrap w:val="0"/>
                  <w:vAlign w:val="center"/>
                </w:tcPr>
                <w:p w14:paraId="48196CB9">
                  <w:pPr>
                    <w:pStyle w:val="2"/>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color w:val="auto"/>
                      <w:sz w:val="21"/>
                      <w:szCs w:val="21"/>
                      <w:lang w:val="en-US" w:eastAsia="zh-CN"/>
                    </w:rPr>
                    <w:t>煤油</w:t>
                  </w:r>
                </w:p>
              </w:tc>
              <w:tc>
                <w:tcPr>
                  <w:tcW w:w="1114" w:type="pct"/>
                  <w:noWrap w:val="0"/>
                  <w:vAlign w:val="center"/>
                </w:tcPr>
                <w:p w14:paraId="262679DD">
                  <w:pPr>
                    <w:pStyle w:val="2"/>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.2</w:t>
                  </w:r>
                </w:p>
              </w:tc>
              <w:tc>
                <w:tcPr>
                  <w:tcW w:w="805" w:type="pct"/>
                  <w:noWrap w:val="0"/>
                  <w:vAlign w:val="center"/>
                </w:tcPr>
                <w:p w14:paraId="5B5EA0AF">
                  <w:pPr>
                    <w:pStyle w:val="2"/>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50</w:t>
                  </w:r>
                  <w:r>
                    <w:rPr>
                      <w:rFonts w:hint="eastAsia" w:cs="Times New Roman"/>
                      <w:color w:val="auto"/>
                      <w:sz w:val="21"/>
                      <w:szCs w:val="21"/>
                      <w:lang w:val="en-US" w:eastAsia="zh-CN"/>
                    </w:rPr>
                    <w:t>0</w:t>
                  </w:r>
                </w:p>
              </w:tc>
              <w:tc>
                <w:tcPr>
                  <w:tcW w:w="1743" w:type="dxa"/>
                  <w:noWrap w:val="0"/>
                  <w:vAlign w:val="center"/>
                </w:tcPr>
                <w:p w14:paraId="6C79EB25">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0.00008</w:t>
                  </w:r>
                </w:p>
              </w:tc>
            </w:tr>
            <w:tr w14:paraId="0A1870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62" w:type="pct"/>
                  <w:shd w:val="clear" w:color="auto" w:fill="auto"/>
                  <w:noWrap w:val="0"/>
                  <w:vAlign w:val="center"/>
                </w:tcPr>
                <w:p w14:paraId="75E7D0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w:t>
                  </w:r>
                </w:p>
              </w:tc>
              <w:tc>
                <w:tcPr>
                  <w:tcW w:w="1806" w:type="pct"/>
                  <w:noWrap w:val="0"/>
                  <w:vAlign w:val="center"/>
                </w:tcPr>
                <w:p w14:paraId="661143E2">
                  <w:pPr>
                    <w:pStyle w:val="2"/>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eastAsia" w:cs="Times New Roman"/>
                      <w:color w:val="auto"/>
                      <w:sz w:val="21"/>
                      <w:szCs w:val="21"/>
                      <w:lang w:val="en-US" w:eastAsia="zh-CN"/>
                    </w:rPr>
                  </w:pPr>
                  <w:r>
                    <w:rPr>
                      <w:rFonts w:hint="eastAsia"/>
                      <w:color w:val="auto"/>
                      <w:sz w:val="21"/>
                      <w:szCs w:val="21"/>
                      <w:lang w:val="en-US" w:eastAsia="zh-CN"/>
                    </w:rPr>
                    <w:t>切削液</w:t>
                  </w:r>
                </w:p>
              </w:tc>
              <w:tc>
                <w:tcPr>
                  <w:tcW w:w="1114" w:type="pct"/>
                  <w:noWrap w:val="0"/>
                  <w:vAlign w:val="center"/>
                </w:tcPr>
                <w:p w14:paraId="75A744FE">
                  <w:pPr>
                    <w:pStyle w:val="2"/>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.2</w:t>
                  </w:r>
                </w:p>
              </w:tc>
              <w:tc>
                <w:tcPr>
                  <w:tcW w:w="805" w:type="pct"/>
                  <w:noWrap w:val="0"/>
                  <w:vAlign w:val="center"/>
                </w:tcPr>
                <w:p w14:paraId="58F741F4">
                  <w:pPr>
                    <w:pStyle w:val="2"/>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50</w:t>
                  </w:r>
                  <w:r>
                    <w:rPr>
                      <w:rFonts w:hint="eastAsia" w:cs="Times New Roman"/>
                      <w:color w:val="auto"/>
                      <w:sz w:val="21"/>
                      <w:szCs w:val="21"/>
                      <w:lang w:val="en-US" w:eastAsia="zh-CN"/>
                    </w:rPr>
                    <w:t>0</w:t>
                  </w:r>
                </w:p>
              </w:tc>
              <w:tc>
                <w:tcPr>
                  <w:tcW w:w="1743" w:type="dxa"/>
                  <w:noWrap w:val="0"/>
                  <w:vAlign w:val="center"/>
                </w:tcPr>
                <w:p w14:paraId="01EF538D">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0.00008</w:t>
                  </w:r>
                </w:p>
              </w:tc>
            </w:tr>
            <w:tr w14:paraId="3C01AB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62" w:type="pct"/>
                  <w:shd w:val="clear" w:color="auto" w:fill="auto"/>
                  <w:noWrap w:val="0"/>
                  <w:vAlign w:val="center"/>
                </w:tcPr>
                <w:p w14:paraId="0C46B2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c>
                <w:tcPr>
                  <w:tcW w:w="1806" w:type="pct"/>
                  <w:noWrap w:val="0"/>
                  <w:vAlign w:val="center"/>
                </w:tcPr>
                <w:p w14:paraId="690B334E">
                  <w:pPr>
                    <w:pStyle w:val="2"/>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eastAsia" w:cs="Times New Roman"/>
                      <w:color w:val="auto"/>
                      <w:sz w:val="21"/>
                      <w:szCs w:val="21"/>
                      <w:lang w:val="en-US" w:eastAsia="zh-CN"/>
                    </w:rPr>
                  </w:pPr>
                  <w:r>
                    <w:rPr>
                      <w:rFonts w:hint="eastAsia"/>
                      <w:color w:val="auto"/>
                      <w:sz w:val="21"/>
                      <w:szCs w:val="21"/>
                      <w:lang w:val="en-US" w:eastAsia="zh-CN"/>
                    </w:rPr>
                    <w:t>UV油墨</w:t>
                  </w:r>
                </w:p>
              </w:tc>
              <w:tc>
                <w:tcPr>
                  <w:tcW w:w="1114" w:type="pct"/>
                  <w:noWrap w:val="0"/>
                  <w:vAlign w:val="center"/>
                </w:tcPr>
                <w:p w14:paraId="7BD3019C">
                  <w:pPr>
                    <w:pStyle w:val="2"/>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w:t>
                  </w:r>
                </w:p>
              </w:tc>
              <w:tc>
                <w:tcPr>
                  <w:tcW w:w="805" w:type="pct"/>
                  <w:noWrap w:val="0"/>
                  <w:vAlign w:val="center"/>
                </w:tcPr>
                <w:p w14:paraId="60A0ED6E">
                  <w:pPr>
                    <w:pStyle w:val="2"/>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w:t>
                  </w:r>
                </w:p>
              </w:tc>
              <w:tc>
                <w:tcPr>
                  <w:tcW w:w="1743" w:type="dxa"/>
                  <w:noWrap w:val="0"/>
                  <w:vAlign w:val="center"/>
                </w:tcPr>
                <w:p w14:paraId="02DBDFC0">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0.002</w:t>
                  </w:r>
                </w:p>
              </w:tc>
            </w:tr>
            <w:bookmarkEnd w:id="16"/>
            <w:tr w14:paraId="52790F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shd w:val="clear" w:color="auto" w:fill="auto"/>
                  <w:noWrap w:val="0"/>
                  <w:vAlign w:val="center"/>
                </w:tcPr>
                <w:p w14:paraId="2BB597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w:t>
                  </w:r>
                </w:p>
              </w:tc>
              <w:tc>
                <w:tcPr>
                  <w:tcW w:w="1806" w:type="pct"/>
                  <w:shd w:val="clear" w:color="auto" w:fill="auto"/>
                  <w:noWrap w:val="0"/>
                  <w:vAlign w:val="center"/>
                </w:tcPr>
                <w:p w14:paraId="1C9E4BA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cs="Times New Roman"/>
                      <w:b w:val="0"/>
                      <w:bCs/>
                      <w:color w:val="auto"/>
                      <w:sz w:val="21"/>
                      <w:szCs w:val="21"/>
                      <w:highlight w:val="none"/>
                      <w:lang w:val="en-US" w:eastAsia="zh-CN"/>
                    </w:rPr>
                    <w:t>废墨盒</w:t>
                  </w:r>
                </w:p>
              </w:tc>
              <w:tc>
                <w:tcPr>
                  <w:tcW w:w="2131" w:type="dxa"/>
                  <w:noWrap w:val="0"/>
                  <w:vAlign w:val="center"/>
                </w:tcPr>
                <w:p w14:paraId="364094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805" w:type="pct"/>
                  <w:noWrap w:val="0"/>
                  <w:vAlign w:val="center"/>
                </w:tcPr>
                <w:p w14:paraId="126088A4">
                  <w:pPr>
                    <w:pStyle w:val="2"/>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1743" w:type="dxa"/>
                  <w:noWrap w:val="0"/>
                  <w:vAlign w:val="center"/>
                </w:tcPr>
                <w:p w14:paraId="7F20E81D">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0.0001</w:t>
                  </w:r>
                </w:p>
              </w:tc>
            </w:tr>
            <w:tr w14:paraId="3DC96B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shd w:val="clear" w:color="auto" w:fill="auto"/>
                  <w:noWrap w:val="0"/>
                  <w:vAlign w:val="center"/>
                </w:tcPr>
                <w:p w14:paraId="3A26CA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w:t>
                  </w:r>
                </w:p>
              </w:tc>
              <w:tc>
                <w:tcPr>
                  <w:tcW w:w="1806" w:type="pct"/>
                  <w:shd w:val="clear" w:color="auto" w:fill="auto"/>
                  <w:noWrap w:val="0"/>
                  <w:vAlign w:val="center"/>
                </w:tcPr>
                <w:p w14:paraId="7AEF537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cs="Times New Roman"/>
                      <w:b w:val="0"/>
                      <w:bCs/>
                      <w:color w:val="auto"/>
                      <w:sz w:val="21"/>
                      <w:szCs w:val="21"/>
                      <w:highlight w:val="none"/>
                      <w:lang w:val="en-US" w:eastAsia="zh-CN"/>
                    </w:rPr>
                    <w:t>清洗废液</w:t>
                  </w:r>
                </w:p>
              </w:tc>
              <w:tc>
                <w:tcPr>
                  <w:tcW w:w="2131" w:type="dxa"/>
                  <w:noWrap w:val="0"/>
                  <w:vAlign w:val="center"/>
                </w:tcPr>
                <w:p w14:paraId="4B2CAA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cs="Times New Roman"/>
                      <w:i w:val="0"/>
                      <w:iCs w:val="0"/>
                      <w:color w:val="auto"/>
                      <w:kern w:val="0"/>
                      <w:sz w:val="21"/>
                      <w:szCs w:val="21"/>
                      <w:u w:val="none"/>
                      <w:lang w:val="en-US" w:eastAsia="zh-CN" w:bidi="ar"/>
                    </w:rPr>
                    <w:t>25</w:t>
                  </w:r>
                </w:p>
              </w:tc>
              <w:tc>
                <w:tcPr>
                  <w:tcW w:w="805" w:type="pct"/>
                  <w:noWrap w:val="0"/>
                  <w:vAlign w:val="center"/>
                </w:tcPr>
                <w:p w14:paraId="20D29111">
                  <w:pPr>
                    <w:pStyle w:val="2"/>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1743" w:type="dxa"/>
                  <w:noWrap w:val="0"/>
                  <w:vAlign w:val="center"/>
                </w:tcPr>
                <w:p w14:paraId="161887DA">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0.0125</w:t>
                  </w:r>
                </w:p>
              </w:tc>
            </w:tr>
            <w:tr w14:paraId="177E34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shd w:val="clear" w:color="auto" w:fill="auto"/>
                  <w:noWrap w:val="0"/>
                  <w:vAlign w:val="center"/>
                </w:tcPr>
                <w:p w14:paraId="61319F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6</w:t>
                  </w:r>
                </w:p>
              </w:tc>
              <w:tc>
                <w:tcPr>
                  <w:tcW w:w="1806" w:type="pct"/>
                  <w:shd w:val="clear" w:color="auto" w:fill="auto"/>
                  <w:noWrap w:val="0"/>
                  <w:vAlign w:val="center"/>
                </w:tcPr>
                <w:p w14:paraId="074BF21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b w:val="0"/>
                      <w:bCs/>
                      <w:color w:val="auto"/>
                      <w:sz w:val="21"/>
                      <w:szCs w:val="21"/>
                      <w:highlight w:val="none"/>
                      <w:lang w:val="en-US" w:eastAsia="zh-CN"/>
                    </w:rPr>
                    <w:t>废</w:t>
                  </w:r>
                  <w:r>
                    <w:rPr>
                      <w:rFonts w:hint="eastAsia" w:ascii="Times New Roman" w:hAnsi="Times New Roman" w:eastAsia="宋体" w:cs="Times New Roman"/>
                      <w:b w:val="0"/>
                      <w:bCs/>
                      <w:color w:val="auto"/>
                      <w:kern w:val="2"/>
                      <w:sz w:val="21"/>
                      <w:szCs w:val="21"/>
                      <w:highlight w:val="none"/>
                      <w:lang w:val="en-US" w:eastAsia="zh-CN" w:bidi="ar-SA"/>
                    </w:rPr>
                    <w:t>切削液</w:t>
                  </w:r>
                </w:p>
              </w:tc>
              <w:tc>
                <w:tcPr>
                  <w:tcW w:w="2131" w:type="dxa"/>
                  <w:noWrap w:val="0"/>
                  <w:vAlign w:val="center"/>
                </w:tcPr>
                <w:p w14:paraId="3DC100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w:t>
                  </w:r>
                  <w:r>
                    <w:rPr>
                      <w:rFonts w:hint="eastAsia" w:cs="Times New Roman"/>
                      <w:i w:val="0"/>
                      <w:iCs w:val="0"/>
                      <w:color w:val="auto"/>
                      <w:kern w:val="0"/>
                      <w:sz w:val="21"/>
                      <w:szCs w:val="21"/>
                      <w:u w:val="none"/>
                      <w:lang w:val="en-US" w:eastAsia="zh-CN" w:bidi="ar"/>
                    </w:rPr>
                    <w:t>5</w:t>
                  </w:r>
                </w:p>
              </w:tc>
              <w:tc>
                <w:tcPr>
                  <w:tcW w:w="805" w:type="pct"/>
                  <w:noWrap w:val="0"/>
                  <w:vAlign w:val="center"/>
                </w:tcPr>
                <w:p w14:paraId="0DD730C6">
                  <w:pPr>
                    <w:pStyle w:val="2"/>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2500</w:t>
                  </w:r>
                </w:p>
              </w:tc>
              <w:tc>
                <w:tcPr>
                  <w:tcW w:w="1743" w:type="dxa"/>
                  <w:noWrap w:val="0"/>
                  <w:vAlign w:val="center"/>
                </w:tcPr>
                <w:p w14:paraId="77784B3D">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0.0015</w:t>
                  </w:r>
                </w:p>
              </w:tc>
            </w:tr>
            <w:tr w14:paraId="5DFA7D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shd w:val="clear" w:color="auto" w:fill="auto"/>
                  <w:noWrap w:val="0"/>
                  <w:vAlign w:val="center"/>
                </w:tcPr>
                <w:p w14:paraId="70EA3D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7</w:t>
                  </w:r>
                </w:p>
              </w:tc>
              <w:tc>
                <w:tcPr>
                  <w:tcW w:w="1806" w:type="pct"/>
                  <w:shd w:val="clear" w:color="auto" w:fill="auto"/>
                  <w:noWrap w:val="0"/>
                  <w:vAlign w:val="center"/>
                </w:tcPr>
                <w:p w14:paraId="4CAC164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b w:val="0"/>
                      <w:bCs/>
                      <w:color w:val="auto"/>
                      <w:sz w:val="21"/>
                      <w:szCs w:val="21"/>
                      <w:highlight w:val="none"/>
                      <w:lang w:val="en-US" w:eastAsia="zh-CN"/>
                    </w:rPr>
                    <w:t>废滤芯</w:t>
                  </w:r>
                </w:p>
              </w:tc>
              <w:tc>
                <w:tcPr>
                  <w:tcW w:w="2131" w:type="dxa"/>
                  <w:noWrap w:val="0"/>
                  <w:vAlign w:val="center"/>
                </w:tcPr>
                <w:p w14:paraId="7EDEDA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0.025</w:t>
                  </w:r>
                </w:p>
              </w:tc>
              <w:tc>
                <w:tcPr>
                  <w:tcW w:w="805" w:type="pct"/>
                  <w:noWrap w:val="0"/>
                  <w:vAlign w:val="center"/>
                </w:tcPr>
                <w:p w14:paraId="6F4F13DE">
                  <w:pPr>
                    <w:pStyle w:val="2"/>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1743" w:type="dxa"/>
                  <w:noWrap w:val="0"/>
                  <w:vAlign w:val="center"/>
                </w:tcPr>
                <w:p w14:paraId="2EB3FF7D">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0.00025</w:t>
                  </w:r>
                </w:p>
              </w:tc>
            </w:tr>
            <w:tr w14:paraId="4AE6C7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shd w:val="clear" w:color="auto" w:fill="auto"/>
                  <w:noWrap w:val="0"/>
                  <w:vAlign w:val="center"/>
                </w:tcPr>
                <w:p w14:paraId="46FA32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8</w:t>
                  </w:r>
                </w:p>
              </w:tc>
              <w:tc>
                <w:tcPr>
                  <w:tcW w:w="1806" w:type="pct"/>
                  <w:shd w:val="clear" w:color="auto" w:fill="auto"/>
                  <w:noWrap w:val="0"/>
                  <w:vAlign w:val="center"/>
                </w:tcPr>
                <w:p w14:paraId="2D41292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b w:val="0"/>
                      <w:bCs/>
                      <w:color w:val="auto"/>
                      <w:sz w:val="21"/>
                      <w:szCs w:val="21"/>
                      <w:highlight w:val="none"/>
                      <w:lang w:val="en-US" w:eastAsia="zh-CN"/>
                    </w:rPr>
                    <w:t>废煤油</w:t>
                  </w:r>
                </w:p>
              </w:tc>
              <w:tc>
                <w:tcPr>
                  <w:tcW w:w="2131" w:type="dxa"/>
                  <w:noWrap w:val="0"/>
                  <w:vAlign w:val="center"/>
                </w:tcPr>
                <w:p w14:paraId="6A994B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lang w:val="en-US" w:eastAsia="zh-CN"/>
                    </w:rPr>
                  </w:pPr>
                  <w:r>
                    <w:rPr>
                      <w:rFonts w:hint="eastAsia" w:cs="Times New Roman"/>
                      <w:i w:val="0"/>
                      <w:iCs w:val="0"/>
                      <w:color w:val="auto"/>
                      <w:spacing w:val="0"/>
                      <w:kern w:val="0"/>
                      <w:sz w:val="21"/>
                      <w:szCs w:val="21"/>
                      <w:u w:val="none"/>
                      <w:lang w:val="en-US" w:eastAsia="zh-CN" w:bidi="ar"/>
                    </w:rPr>
                    <w:t>0.01</w:t>
                  </w:r>
                </w:p>
              </w:tc>
              <w:tc>
                <w:tcPr>
                  <w:tcW w:w="805" w:type="pct"/>
                  <w:noWrap w:val="0"/>
                  <w:vAlign w:val="center"/>
                </w:tcPr>
                <w:p w14:paraId="6214AC41">
                  <w:pPr>
                    <w:pStyle w:val="2"/>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2500</w:t>
                  </w:r>
                </w:p>
              </w:tc>
              <w:tc>
                <w:tcPr>
                  <w:tcW w:w="1743" w:type="dxa"/>
                  <w:noWrap w:val="0"/>
                  <w:vAlign w:val="center"/>
                </w:tcPr>
                <w:p w14:paraId="702FB1DC">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0.0001</w:t>
                  </w:r>
                </w:p>
              </w:tc>
            </w:tr>
            <w:tr w14:paraId="7A5451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shd w:val="clear" w:color="auto" w:fill="auto"/>
                  <w:noWrap w:val="0"/>
                  <w:vAlign w:val="center"/>
                </w:tcPr>
                <w:p w14:paraId="2C4EF9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w:t>
                  </w:r>
                </w:p>
              </w:tc>
              <w:tc>
                <w:tcPr>
                  <w:tcW w:w="1806" w:type="pct"/>
                  <w:shd w:val="clear" w:color="auto" w:fill="auto"/>
                  <w:noWrap w:val="0"/>
                  <w:vAlign w:val="center"/>
                </w:tcPr>
                <w:p w14:paraId="4930132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废包装桶</w:t>
                  </w:r>
                </w:p>
              </w:tc>
              <w:tc>
                <w:tcPr>
                  <w:tcW w:w="2131" w:type="dxa"/>
                  <w:noWrap w:val="0"/>
                  <w:vAlign w:val="center"/>
                </w:tcPr>
                <w:p w14:paraId="64B18B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1</w:t>
                  </w:r>
                </w:p>
              </w:tc>
              <w:tc>
                <w:tcPr>
                  <w:tcW w:w="805" w:type="pct"/>
                  <w:noWrap w:val="0"/>
                  <w:vAlign w:val="center"/>
                </w:tcPr>
                <w:p w14:paraId="7A186D75">
                  <w:pPr>
                    <w:pStyle w:val="2"/>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1743" w:type="dxa"/>
                  <w:noWrap w:val="0"/>
                  <w:vAlign w:val="center"/>
                </w:tcPr>
                <w:p w14:paraId="54FBE3B5">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0.0001</w:t>
                  </w:r>
                </w:p>
              </w:tc>
            </w:tr>
            <w:tr w14:paraId="0287F8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shd w:val="clear" w:color="auto" w:fill="auto"/>
                  <w:noWrap w:val="0"/>
                  <w:vAlign w:val="center"/>
                </w:tcPr>
                <w:p w14:paraId="156017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1806" w:type="pct"/>
                  <w:shd w:val="clear" w:color="auto" w:fill="auto"/>
                  <w:noWrap w:val="0"/>
                  <w:vAlign w:val="center"/>
                </w:tcPr>
                <w:p w14:paraId="70CAE88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废活性炭</w:t>
                  </w:r>
                </w:p>
              </w:tc>
              <w:tc>
                <w:tcPr>
                  <w:tcW w:w="2131" w:type="dxa"/>
                  <w:noWrap w:val="0"/>
                  <w:vAlign w:val="center"/>
                </w:tcPr>
                <w:p w14:paraId="051146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0.475</w:t>
                  </w:r>
                </w:p>
              </w:tc>
              <w:tc>
                <w:tcPr>
                  <w:tcW w:w="805" w:type="pct"/>
                  <w:noWrap w:val="0"/>
                  <w:vAlign w:val="center"/>
                </w:tcPr>
                <w:p w14:paraId="0BF5382E">
                  <w:pPr>
                    <w:pStyle w:val="2"/>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1743" w:type="dxa"/>
                  <w:noWrap w:val="0"/>
                  <w:vAlign w:val="center"/>
                </w:tcPr>
                <w:p w14:paraId="419CA6C8">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0.00475</w:t>
                  </w:r>
                </w:p>
              </w:tc>
            </w:tr>
            <w:tr w14:paraId="336412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shd w:val="clear" w:color="auto" w:fill="auto"/>
                  <w:noWrap w:val="0"/>
                  <w:vAlign w:val="center"/>
                </w:tcPr>
                <w:p w14:paraId="0F6296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w:t>
                  </w:r>
                </w:p>
              </w:tc>
              <w:tc>
                <w:tcPr>
                  <w:tcW w:w="1806" w:type="pct"/>
                  <w:shd w:val="clear" w:color="auto" w:fill="auto"/>
                  <w:noWrap w:val="0"/>
                  <w:vAlign w:val="center"/>
                </w:tcPr>
                <w:p w14:paraId="44A7A9A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废抹布手套</w:t>
                  </w:r>
                </w:p>
              </w:tc>
              <w:tc>
                <w:tcPr>
                  <w:tcW w:w="2131" w:type="dxa"/>
                  <w:noWrap w:val="0"/>
                  <w:vAlign w:val="center"/>
                </w:tcPr>
                <w:p w14:paraId="6130CB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0.025</w:t>
                  </w:r>
                </w:p>
              </w:tc>
              <w:tc>
                <w:tcPr>
                  <w:tcW w:w="805" w:type="pct"/>
                  <w:noWrap w:val="0"/>
                  <w:vAlign w:val="center"/>
                </w:tcPr>
                <w:p w14:paraId="2E579DD7">
                  <w:pPr>
                    <w:pStyle w:val="2"/>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1743" w:type="dxa"/>
                  <w:noWrap w:val="0"/>
                  <w:vAlign w:val="center"/>
                </w:tcPr>
                <w:p w14:paraId="3E0F6945">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0.00025</w:t>
                  </w:r>
                </w:p>
              </w:tc>
            </w:tr>
            <w:tr w14:paraId="2D04A8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shd w:val="clear" w:color="auto" w:fill="auto"/>
                  <w:noWrap w:val="0"/>
                  <w:vAlign w:val="center"/>
                </w:tcPr>
                <w:p w14:paraId="62F748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w:t>
                  </w:r>
                </w:p>
              </w:tc>
              <w:tc>
                <w:tcPr>
                  <w:tcW w:w="1806" w:type="pct"/>
                  <w:shd w:val="clear" w:color="auto" w:fill="auto"/>
                  <w:noWrap w:val="0"/>
                  <w:vAlign w:val="center"/>
                </w:tcPr>
                <w:p w14:paraId="4D4139D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废擦拭布</w:t>
                  </w:r>
                </w:p>
              </w:tc>
              <w:tc>
                <w:tcPr>
                  <w:tcW w:w="2131" w:type="dxa"/>
                  <w:noWrap w:val="0"/>
                  <w:vAlign w:val="center"/>
                </w:tcPr>
                <w:p w14:paraId="3D7D32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0.025</w:t>
                  </w:r>
                </w:p>
              </w:tc>
              <w:tc>
                <w:tcPr>
                  <w:tcW w:w="805" w:type="pct"/>
                  <w:noWrap w:val="0"/>
                  <w:vAlign w:val="center"/>
                </w:tcPr>
                <w:p w14:paraId="02216440">
                  <w:pPr>
                    <w:pStyle w:val="2"/>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1743" w:type="dxa"/>
                  <w:noWrap w:val="0"/>
                  <w:vAlign w:val="center"/>
                </w:tcPr>
                <w:p w14:paraId="705848DF">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0.00025</w:t>
                  </w:r>
                </w:p>
              </w:tc>
            </w:tr>
            <w:tr w14:paraId="2E49E8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shd w:val="clear" w:color="auto" w:fill="auto"/>
                  <w:noWrap w:val="0"/>
                  <w:vAlign w:val="center"/>
                </w:tcPr>
                <w:p w14:paraId="79BEFB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13</w:t>
                  </w:r>
                </w:p>
              </w:tc>
              <w:tc>
                <w:tcPr>
                  <w:tcW w:w="1806" w:type="pct"/>
                  <w:shd w:val="clear" w:color="auto" w:fill="auto"/>
                  <w:noWrap w:val="0"/>
                  <w:vAlign w:val="center"/>
                </w:tcPr>
                <w:p w14:paraId="1B3D52A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抛光废液</w:t>
                  </w:r>
                </w:p>
              </w:tc>
              <w:tc>
                <w:tcPr>
                  <w:tcW w:w="2131" w:type="dxa"/>
                  <w:noWrap w:val="0"/>
                  <w:vAlign w:val="center"/>
                </w:tcPr>
                <w:p w14:paraId="1B010D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0.75</w:t>
                  </w:r>
                </w:p>
              </w:tc>
              <w:tc>
                <w:tcPr>
                  <w:tcW w:w="805" w:type="pct"/>
                  <w:noWrap w:val="0"/>
                  <w:vAlign w:val="center"/>
                </w:tcPr>
                <w:p w14:paraId="47F8DC41">
                  <w:pPr>
                    <w:pStyle w:val="2"/>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1743" w:type="dxa"/>
                  <w:noWrap w:val="0"/>
                  <w:vAlign w:val="center"/>
                </w:tcPr>
                <w:p w14:paraId="189C1275">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0.0075</w:t>
                  </w:r>
                </w:p>
              </w:tc>
            </w:tr>
            <w:tr w14:paraId="0226C3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shd w:val="clear" w:color="auto" w:fill="auto"/>
                  <w:noWrap w:val="0"/>
                  <w:vAlign w:val="center"/>
                </w:tcPr>
                <w:p w14:paraId="795C5E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14</w:t>
                  </w:r>
                </w:p>
              </w:tc>
              <w:tc>
                <w:tcPr>
                  <w:tcW w:w="1806" w:type="pct"/>
                  <w:shd w:val="clear" w:color="auto" w:fill="auto"/>
                  <w:noWrap w:val="0"/>
                  <w:vAlign w:val="center"/>
                </w:tcPr>
                <w:p w14:paraId="483CE68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废抹布</w:t>
                  </w:r>
                </w:p>
              </w:tc>
              <w:tc>
                <w:tcPr>
                  <w:tcW w:w="2131" w:type="dxa"/>
                  <w:noWrap w:val="0"/>
                  <w:vAlign w:val="center"/>
                </w:tcPr>
                <w:p w14:paraId="4FFBF6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0.05</w:t>
                  </w:r>
                </w:p>
              </w:tc>
              <w:tc>
                <w:tcPr>
                  <w:tcW w:w="805" w:type="pct"/>
                  <w:noWrap w:val="0"/>
                  <w:vAlign w:val="center"/>
                </w:tcPr>
                <w:p w14:paraId="3164DC6B">
                  <w:pPr>
                    <w:pStyle w:val="2"/>
                    <w:keepNext w:val="0"/>
                    <w:keepLines w:val="0"/>
                    <w:pageBreakBefore w:val="0"/>
                    <w:kinsoku/>
                    <w:wordWrap/>
                    <w:overflowPunct/>
                    <w:topLinePunct w:val="0"/>
                    <w:autoSpaceDE/>
                    <w:autoSpaceDN/>
                    <w:bidi w:val="0"/>
                    <w:adjustRightInd/>
                    <w:snapToGrid w:val="0"/>
                    <w:spacing w:after="0"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1743" w:type="dxa"/>
                  <w:noWrap w:val="0"/>
                  <w:vAlign w:val="center"/>
                </w:tcPr>
                <w:p w14:paraId="1FB9D4CB">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0.0005</w:t>
                  </w:r>
                </w:p>
              </w:tc>
            </w:tr>
            <w:tr w14:paraId="04448B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88" w:type="pct"/>
                  <w:gridSpan w:val="4"/>
                  <w:noWrap w:val="0"/>
                  <w:vAlign w:val="center"/>
                </w:tcPr>
                <w:p w14:paraId="6DD482A8">
                  <w:pPr>
                    <w:snapToGrid w:val="0"/>
                    <w:spacing w:line="240" w:lineRule="auto"/>
                    <w:ind w:firstLine="0" w:firstLineChars="0"/>
                    <w:jc w:val="center"/>
                    <w:rPr>
                      <w:color w:val="auto"/>
                      <w:sz w:val="21"/>
                      <w:szCs w:val="21"/>
                      <w:highlight w:val="none"/>
                    </w:rPr>
                  </w:pPr>
                  <w:r>
                    <w:rPr>
                      <w:color w:val="auto"/>
                      <w:sz w:val="21"/>
                      <w:szCs w:val="21"/>
                      <w:highlight w:val="none"/>
                    </w:rPr>
                    <w:t>项目Q值</w:t>
                  </w:r>
                </w:p>
              </w:tc>
              <w:tc>
                <w:tcPr>
                  <w:tcW w:w="1743" w:type="dxa"/>
                  <w:noWrap w:val="0"/>
                  <w:vAlign w:val="center"/>
                </w:tcPr>
                <w:p w14:paraId="4BC48F9E">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0.0278</w:t>
                  </w:r>
                </w:p>
              </w:tc>
            </w:tr>
          </w:tbl>
          <w:p w14:paraId="4192C452">
            <w:pPr>
              <w:adjustRightInd w:val="0"/>
              <w:snapToGrid w:val="0"/>
              <w:ind w:firstLine="420"/>
              <w:jc w:val="left"/>
              <w:rPr>
                <w:bCs/>
                <w:snapToGrid w:val="0"/>
                <w:color w:val="auto"/>
                <w:kern w:val="0"/>
                <w:sz w:val="24"/>
                <w:szCs w:val="24"/>
              </w:rPr>
            </w:pPr>
            <w:r>
              <w:rPr>
                <w:color w:val="auto"/>
                <w:sz w:val="24"/>
                <w:szCs w:val="24"/>
              </w:rPr>
              <w:t>根据上表计算结果，本项目</w:t>
            </w:r>
            <w:r>
              <w:rPr>
                <w:bCs/>
                <w:snapToGrid w:val="0"/>
                <w:color w:val="auto"/>
                <w:kern w:val="0"/>
                <w:sz w:val="24"/>
                <w:szCs w:val="24"/>
              </w:rPr>
              <w:t>Q&lt;1</w:t>
            </w:r>
            <w:r>
              <w:rPr>
                <w:color w:val="auto"/>
                <w:sz w:val="24"/>
                <w:szCs w:val="24"/>
              </w:rPr>
              <w:t>，项目环境风险潜势为I，作简单分析</w:t>
            </w:r>
            <w:r>
              <w:rPr>
                <w:bCs/>
                <w:snapToGrid w:val="0"/>
                <w:color w:val="auto"/>
                <w:kern w:val="0"/>
                <w:sz w:val="24"/>
                <w:szCs w:val="24"/>
              </w:rPr>
              <w:t>。</w:t>
            </w:r>
          </w:p>
          <w:p w14:paraId="72542489">
            <w:pPr>
              <w:adjustRightInd w:val="0"/>
              <w:snapToGrid w:val="0"/>
              <w:ind w:firstLine="0" w:firstLineChars="0"/>
              <w:jc w:val="left"/>
              <w:rPr>
                <w:b/>
                <w:bCs/>
                <w:color w:val="auto"/>
                <w:sz w:val="24"/>
                <w:szCs w:val="24"/>
              </w:rPr>
            </w:pPr>
            <w:r>
              <w:rPr>
                <w:b/>
                <w:bCs/>
                <w:color w:val="auto"/>
                <w:sz w:val="24"/>
                <w:szCs w:val="24"/>
              </w:rPr>
              <w:t>7.2风险源分布情况及影响途径</w:t>
            </w:r>
          </w:p>
          <w:p w14:paraId="477C6F51">
            <w:pPr>
              <w:snapToGrid w:val="0"/>
              <w:ind w:firstLine="420"/>
              <w:rPr>
                <w:b/>
                <w:bCs/>
                <w:color w:val="auto"/>
                <w:sz w:val="24"/>
                <w:szCs w:val="24"/>
              </w:rPr>
            </w:pPr>
            <w:r>
              <w:rPr>
                <w:color w:val="auto"/>
                <w:sz w:val="24"/>
                <w:szCs w:val="24"/>
              </w:rPr>
              <w:t>项目风险单元及事故类型、后果分析结果具体见下表。</w:t>
            </w:r>
          </w:p>
          <w:p w14:paraId="21C95076">
            <w:pPr>
              <w:snapToGrid w:val="0"/>
              <w:spacing w:line="240" w:lineRule="auto"/>
              <w:ind w:firstLine="0" w:firstLineChars="0"/>
              <w:jc w:val="center"/>
              <w:rPr>
                <w:b/>
                <w:bCs/>
                <w:color w:val="auto"/>
                <w:sz w:val="21"/>
                <w:szCs w:val="21"/>
              </w:rPr>
            </w:pPr>
            <w:r>
              <w:rPr>
                <w:b/>
                <w:bCs/>
                <w:color w:val="auto"/>
                <w:sz w:val="21"/>
                <w:szCs w:val="21"/>
              </w:rPr>
              <w:t>表4</w:t>
            </w:r>
            <w:r>
              <w:rPr>
                <w:rFonts w:hint="eastAsia"/>
                <w:b/>
                <w:bCs/>
                <w:color w:val="auto"/>
                <w:sz w:val="21"/>
                <w:szCs w:val="21"/>
                <w:lang w:val="en-US" w:eastAsia="zh-CN"/>
              </w:rPr>
              <w:t>.7</w:t>
            </w:r>
            <w:r>
              <w:rPr>
                <w:b/>
                <w:bCs/>
                <w:color w:val="auto"/>
                <w:sz w:val="21"/>
                <w:szCs w:val="21"/>
              </w:rPr>
              <w:t>-</w:t>
            </w:r>
            <w:r>
              <w:rPr>
                <w:rFonts w:hint="eastAsia"/>
                <w:b/>
                <w:bCs/>
                <w:color w:val="auto"/>
                <w:sz w:val="21"/>
                <w:szCs w:val="21"/>
                <w:lang w:val="en-US" w:eastAsia="zh-CN"/>
              </w:rPr>
              <w:t>3</w:t>
            </w:r>
            <w:r>
              <w:rPr>
                <w:b/>
                <w:bCs/>
                <w:color w:val="auto"/>
                <w:sz w:val="21"/>
                <w:szCs w:val="21"/>
              </w:rPr>
              <w:t xml:space="preserve">  风险单元及事故类型、后果分析表</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1866"/>
              <w:gridCol w:w="1449"/>
              <w:gridCol w:w="1673"/>
              <w:gridCol w:w="2052"/>
              <w:gridCol w:w="1357"/>
            </w:tblGrid>
            <w:tr w14:paraId="043C14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noWrap w:val="0"/>
                  <w:vAlign w:val="center"/>
                </w:tcPr>
                <w:p w14:paraId="3309E4BA">
                  <w:pPr>
                    <w:snapToGrid w:val="0"/>
                    <w:spacing w:line="240" w:lineRule="auto"/>
                    <w:ind w:firstLine="0" w:firstLineChars="0"/>
                    <w:jc w:val="center"/>
                    <w:rPr>
                      <w:b/>
                      <w:bCs/>
                      <w:color w:val="auto"/>
                      <w:sz w:val="21"/>
                      <w:szCs w:val="21"/>
                    </w:rPr>
                  </w:pPr>
                  <w:r>
                    <w:rPr>
                      <w:b/>
                      <w:bCs/>
                      <w:color w:val="auto"/>
                      <w:sz w:val="21"/>
                      <w:szCs w:val="21"/>
                    </w:rPr>
                    <w:t>风险源</w:t>
                  </w:r>
                </w:p>
              </w:tc>
              <w:tc>
                <w:tcPr>
                  <w:tcW w:w="974" w:type="pct"/>
                  <w:noWrap w:val="0"/>
                  <w:vAlign w:val="center"/>
                </w:tcPr>
                <w:p w14:paraId="2FD8E44A">
                  <w:pPr>
                    <w:snapToGrid w:val="0"/>
                    <w:spacing w:line="240" w:lineRule="auto"/>
                    <w:ind w:firstLine="0" w:firstLineChars="0"/>
                    <w:jc w:val="center"/>
                    <w:rPr>
                      <w:b/>
                      <w:bCs/>
                      <w:color w:val="auto"/>
                      <w:sz w:val="21"/>
                      <w:szCs w:val="21"/>
                    </w:rPr>
                  </w:pPr>
                  <w:r>
                    <w:rPr>
                      <w:b/>
                      <w:bCs/>
                      <w:color w:val="auto"/>
                      <w:sz w:val="21"/>
                      <w:szCs w:val="21"/>
                    </w:rPr>
                    <w:t>风险物质</w:t>
                  </w:r>
                </w:p>
              </w:tc>
              <w:tc>
                <w:tcPr>
                  <w:tcW w:w="756" w:type="pct"/>
                  <w:noWrap w:val="0"/>
                  <w:vAlign w:val="center"/>
                </w:tcPr>
                <w:p w14:paraId="5FA94384">
                  <w:pPr>
                    <w:snapToGrid w:val="0"/>
                    <w:spacing w:line="240" w:lineRule="auto"/>
                    <w:ind w:firstLine="0" w:firstLineChars="0"/>
                    <w:jc w:val="center"/>
                    <w:rPr>
                      <w:b/>
                      <w:bCs/>
                      <w:color w:val="auto"/>
                      <w:sz w:val="21"/>
                      <w:szCs w:val="21"/>
                    </w:rPr>
                  </w:pPr>
                  <w:r>
                    <w:rPr>
                      <w:b/>
                      <w:bCs/>
                      <w:color w:val="auto"/>
                      <w:sz w:val="21"/>
                      <w:szCs w:val="21"/>
                    </w:rPr>
                    <w:t>风险类型</w:t>
                  </w:r>
                </w:p>
              </w:tc>
              <w:tc>
                <w:tcPr>
                  <w:tcW w:w="873" w:type="pct"/>
                  <w:noWrap w:val="0"/>
                  <w:vAlign w:val="center"/>
                </w:tcPr>
                <w:p w14:paraId="35621147">
                  <w:pPr>
                    <w:snapToGrid w:val="0"/>
                    <w:spacing w:line="240" w:lineRule="auto"/>
                    <w:ind w:firstLine="0" w:firstLineChars="0"/>
                    <w:jc w:val="center"/>
                    <w:rPr>
                      <w:b/>
                      <w:bCs/>
                      <w:color w:val="auto"/>
                      <w:sz w:val="21"/>
                      <w:szCs w:val="21"/>
                    </w:rPr>
                  </w:pPr>
                  <w:r>
                    <w:rPr>
                      <w:b/>
                      <w:bCs/>
                      <w:color w:val="auto"/>
                      <w:sz w:val="21"/>
                      <w:szCs w:val="21"/>
                    </w:rPr>
                    <w:t>触发因素</w:t>
                  </w:r>
                </w:p>
              </w:tc>
              <w:tc>
                <w:tcPr>
                  <w:tcW w:w="1071" w:type="pct"/>
                  <w:noWrap w:val="0"/>
                  <w:vAlign w:val="center"/>
                </w:tcPr>
                <w:p w14:paraId="51F8BF3A">
                  <w:pPr>
                    <w:snapToGrid w:val="0"/>
                    <w:spacing w:line="240" w:lineRule="auto"/>
                    <w:ind w:firstLine="0" w:firstLineChars="0"/>
                    <w:jc w:val="center"/>
                    <w:rPr>
                      <w:b/>
                      <w:bCs/>
                      <w:color w:val="auto"/>
                      <w:sz w:val="21"/>
                      <w:szCs w:val="21"/>
                    </w:rPr>
                  </w:pPr>
                  <w:r>
                    <w:rPr>
                      <w:b/>
                      <w:bCs/>
                      <w:color w:val="auto"/>
                      <w:sz w:val="21"/>
                      <w:szCs w:val="21"/>
                    </w:rPr>
                    <w:t>伴生和次生事故及有害产物</w:t>
                  </w:r>
                </w:p>
              </w:tc>
              <w:tc>
                <w:tcPr>
                  <w:tcW w:w="708" w:type="pct"/>
                  <w:noWrap w:val="0"/>
                  <w:vAlign w:val="center"/>
                </w:tcPr>
                <w:p w14:paraId="7C842DB7">
                  <w:pPr>
                    <w:snapToGrid w:val="0"/>
                    <w:spacing w:line="240" w:lineRule="auto"/>
                    <w:ind w:firstLine="0" w:firstLineChars="0"/>
                    <w:jc w:val="center"/>
                    <w:rPr>
                      <w:b/>
                      <w:bCs/>
                      <w:color w:val="auto"/>
                      <w:sz w:val="21"/>
                      <w:szCs w:val="21"/>
                    </w:rPr>
                  </w:pPr>
                  <w:r>
                    <w:rPr>
                      <w:b/>
                      <w:bCs/>
                      <w:color w:val="auto"/>
                      <w:sz w:val="21"/>
                      <w:szCs w:val="21"/>
                    </w:rPr>
                    <w:t>影响途径</w:t>
                  </w:r>
                </w:p>
              </w:tc>
            </w:tr>
            <w:tr w14:paraId="05631E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614" w:type="pct"/>
                  <w:noWrap w:val="0"/>
                  <w:vAlign w:val="center"/>
                </w:tcPr>
                <w:p w14:paraId="42BB16CA">
                  <w:pPr>
                    <w:spacing w:line="240" w:lineRule="auto"/>
                    <w:ind w:firstLine="0" w:firstLineChars="0"/>
                    <w:jc w:val="center"/>
                    <w:rPr>
                      <w:color w:val="auto"/>
                      <w:sz w:val="21"/>
                      <w:szCs w:val="21"/>
                    </w:rPr>
                  </w:pPr>
                  <w:r>
                    <w:rPr>
                      <w:color w:val="auto"/>
                      <w:sz w:val="21"/>
                      <w:szCs w:val="21"/>
                      <w:highlight w:val="none"/>
                    </w:rPr>
                    <w:t>原辅料仓库</w:t>
                  </w:r>
                </w:p>
              </w:tc>
              <w:tc>
                <w:tcPr>
                  <w:tcW w:w="974" w:type="pct"/>
                  <w:noWrap w:val="0"/>
                  <w:vAlign w:val="center"/>
                </w:tcPr>
                <w:p w14:paraId="4EB69A29">
                  <w:pPr>
                    <w:pStyle w:val="2"/>
                    <w:spacing w:after="0" w:line="240" w:lineRule="auto"/>
                    <w:ind w:firstLine="0" w:firstLineChars="0"/>
                    <w:jc w:val="center"/>
                    <w:rPr>
                      <w:rFonts w:hint="default" w:eastAsia="宋体"/>
                      <w:color w:val="auto"/>
                      <w:sz w:val="21"/>
                      <w:szCs w:val="21"/>
                      <w:lang w:val="en-US" w:eastAsia="zh-CN"/>
                    </w:rPr>
                  </w:pPr>
                  <w:r>
                    <w:rPr>
                      <w:rFonts w:hint="eastAsia"/>
                      <w:bCs/>
                      <w:color w:val="auto"/>
                      <w:sz w:val="21"/>
                      <w:szCs w:val="21"/>
                      <w:lang w:val="en-US" w:eastAsia="zh-CN"/>
                    </w:rPr>
                    <w:t>煤油、切削液、UV油墨</w:t>
                  </w:r>
                </w:p>
              </w:tc>
              <w:tc>
                <w:tcPr>
                  <w:tcW w:w="756" w:type="pct"/>
                  <w:noWrap w:val="0"/>
                  <w:vAlign w:val="center"/>
                </w:tcPr>
                <w:p w14:paraId="4F3EF857">
                  <w:pPr>
                    <w:snapToGrid w:val="0"/>
                    <w:spacing w:line="240" w:lineRule="auto"/>
                    <w:ind w:firstLine="0" w:firstLineChars="0"/>
                    <w:jc w:val="center"/>
                    <w:rPr>
                      <w:color w:val="auto"/>
                      <w:sz w:val="21"/>
                      <w:szCs w:val="21"/>
                    </w:rPr>
                  </w:pPr>
                  <w:r>
                    <w:rPr>
                      <w:color w:val="auto"/>
                      <w:sz w:val="21"/>
                      <w:szCs w:val="21"/>
                    </w:rPr>
                    <w:t>泄漏、火灾</w:t>
                  </w:r>
                </w:p>
              </w:tc>
              <w:tc>
                <w:tcPr>
                  <w:tcW w:w="873" w:type="pct"/>
                  <w:noWrap w:val="0"/>
                  <w:vAlign w:val="center"/>
                </w:tcPr>
                <w:p w14:paraId="19DAE565">
                  <w:pPr>
                    <w:snapToGrid w:val="0"/>
                    <w:spacing w:line="240" w:lineRule="auto"/>
                    <w:ind w:firstLine="0" w:firstLineChars="0"/>
                    <w:jc w:val="center"/>
                    <w:rPr>
                      <w:color w:val="auto"/>
                      <w:sz w:val="21"/>
                      <w:szCs w:val="21"/>
                    </w:rPr>
                  </w:pPr>
                  <w:r>
                    <w:rPr>
                      <w:color w:val="auto"/>
                      <w:sz w:val="21"/>
                      <w:szCs w:val="21"/>
                    </w:rPr>
                    <w:t>容器破损、遇禁忌物或明火</w:t>
                  </w:r>
                </w:p>
              </w:tc>
              <w:tc>
                <w:tcPr>
                  <w:tcW w:w="1071" w:type="pct"/>
                  <w:noWrap w:val="0"/>
                  <w:vAlign w:val="center"/>
                </w:tcPr>
                <w:p w14:paraId="7CC59F7A">
                  <w:pPr>
                    <w:widowControl/>
                    <w:snapToGrid w:val="0"/>
                    <w:spacing w:line="240" w:lineRule="auto"/>
                    <w:ind w:firstLine="0" w:firstLineChars="0"/>
                    <w:jc w:val="center"/>
                    <w:rPr>
                      <w:color w:val="auto"/>
                      <w:sz w:val="21"/>
                      <w:szCs w:val="21"/>
                    </w:rPr>
                  </w:pPr>
                  <w:r>
                    <w:rPr>
                      <w:color w:val="auto"/>
                      <w:sz w:val="21"/>
                      <w:szCs w:val="21"/>
                    </w:rPr>
                    <w:t>有机泄漏物、燃烧废气、消防废水</w:t>
                  </w:r>
                </w:p>
              </w:tc>
              <w:tc>
                <w:tcPr>
                  <w:tcW w:w="708" w:type="pct"/>
                  <w:noWrap w:val="0"/>
                  <w:vAlign w:val="center"/>
                </w:tcPr>
                <w:p w14:paraId="2D986FE8">
                  <w:pPr>
                    <w:snapToGrid w:val="0"/>
                    <w:spacing w:line="240" w:lineRule="auto"/>
                    <w:ind w:firstLine="0" w:firstLineChars="0"/>
                    <w:jc w:val="center"/>
                    <w:rPr>
                      <w:color w:val="auto"/>
                      <w:sz w:val="21"/>
                      <w:szCs w:val="21"/>
                    </w:rPr>
                  </w:pPr>
                  <w:r>
                    <w:rPr>
                      <w:color w:val="auto"/>
                      <w:sz w:val="21"/>
                      <w:szCs w:val="21"/>
                    </w:rPr>
                    <w:t>大气、土壤、地下水</w:t>
                  </w:r>
                </w:p>
              </w:tc>
            </w:tr>
            <w:tr w14:paraId="101B50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noWrap w:val="0"/>
                  <w:vAlign w:val="center"/>
                </w:tcPr>
                <w:p w14:paraId="47B0A0D7">
                  <w:pPr>
                    <w:pStyle w:val="2"/>
                    <w:spacing w:after="0" w:line="240" w:lineRule="auto"/>
                    <w:ind w:firstLine="0" w:firstLineChars="0"/>
                    <w:jc w:val="center"/>
                    <w:rPr>
                      <w:bCs/>
                      <w:color w:val="auto"/>
                      <w:sz w:val="21"/>
                      <w:szCs w:val="21"/>
                    </w:rPr>
                  </w:pPr>
                  <w:r>
                    <w:rPr>
                      <w:bCs/>
                      <w:color w:val="auto"/>
                      <w:sz w:val="21"/>
                      <w:szCs w:val="21"/>
                    </w:rPr>
                    <w:t>危废暂存间</w:t>
                  </w:r>
                </w:p>
              </w:tc>
              <w:tc>
                <w:tcPr>
                  <w:tcW w:w="974" w:type="pct"/>
                  <w:noWrap w:val="0"/>
                  <w:vAlign w:val="center"/>
                </w:tcPr>
                <w:p w14:paraId="4DDC3DEB">
                  <w:pPr>
                    <w:pStyle w:val="2"/>
                    <w:spacing w:after="0" w:line="240" w:lineRule="auto"/>
                    <w:ind w:firstLine="0" w:firstLineChars="0"/>
                    <w:jc w:val="center"/>
                    <w:rPr>
                      <w:rFonts w:hint="default" w:eastAsia="宋体"/>
                      <w:bCs/>
                      <w:color w:val="auto"/>
                      <w:sz w:val="21"/>
                      <w:szCs w:val="21"/>
                      <w:lang w:val="en-US" w:eastAsia="zh-CN"/>
                    </w:rPr>
                  </w:pPr>
                  <w:r>
                    <w:rPr>
                      <w:rFonts w:hint="eastAsia"/>
                      <w:bCs/>
                      <w:color w:val="auto"/>
                      <w:sz w:val="21"/>
                      <w:szCs w:val="21"/>
                      <w:lang w:eastAsia="zh-CN"/>
                    </w:rPr>
                    <w:t>废墨盒、清洗废液、废切削液、废滤芯、废煤油、废包装桶、废抹布手套、废活性炭、</w:t>
                  </w:r>
                  <w:r>
                    <w:rPr>
                      <w:rFonts w:hint="eastAsia"/>
                      <w:bCs/>
                      <w:color w:val="auto"/>
                      <w:sz w:val="21"/>
                      <w:szCs w:val="21"/>
                      <w:lang w:val="en-US" w:eastAsia="zh-CN"/>
                    </w:rPr>
                    <w:t>废擦拭布、抛光废液、废抹布</w:t>
                  </w:r>
                </w:p>
              </w:tc>
              <w:tc>
                <w:tcPr>
                  <w:tcW w:w="756" w:type="pct"/>
                  <w:noWrap w:val="0"/>
                  <w:vAlign w:val="center"/>
                </w:tcPr>
                <w:p w14:paraId="2F3E90CF">
                  <w:pPr>
                    <w:pStyle w:val="2"/>
                    <w:spacing w:after="0" w:line="240" w:lineRule="auto"/>
                    <w:ind w:firstLine="0" w:firstLineChars="0"/>
                    <w:jc w:val="center"/>
                    <w:rPr>
                      <w:bCs/>
                      <w:color w:val="auto"/>
                      <w:sz w:val="21"/>
                      <w:szCs w:val="21"/>
                    </w:rPr>
                  </w:pPr>
                  <w:r>
                    <w:rPr>
                      <w:bCs/>
                      <w:color w:val="auto"/>
                      <w:sz w:val="21"/>
                      <w:szCs w:val="21"/>
                    </w:rPr>
                    <w:t>泄漏、火灾</w:t>
                  </w:r>
                </w:p>
              </w:tc>
              <w:tc>
                <w:tcPr>
                  <w:tcW w:w="873" w:type="pct"/>
                  <w:noWrap w:val="0"/>
                  <w:vAlign w:val="center"/>
                </w:tcPr>
                <w:p w14:paraId="753D34B2">
                  <w:pPr>
                    <w:snapToGrid w:val="0"/>
                    <w:spacing w:line="240" w:lineRule="auto"/>
                    <w:ind w:firstLine="0" w:firstLineChars="0"/>
                    <w:jc w:val="center"/>
                    <w:rPr>
                      <w:color w:val="auto"/>
                      <w:sz w:val="21"/>
                      <w:szCs w:val="21"/>
                    </w:rPr>
                  </w:pPr>
                  <w:r>
                    <w:rPr>
                      <w:color w:val="auto"/>
                      <w:sz w:val="21"/>
                      <w:szCs w:val="21"/>
                    </w:rPr>
                    <w:t>容器破损、遇禁忌物或明火</w:t>
                  </w:r>
                </w:p>
              </w:tc>
              <w:tc>
                <w:tcPr>
                  <w:tcW w:w="1071" w:type="pct"/>
                  <w:noWrap w:val="0"/>
                  <w:vAlign w:val="center"/>
                </w:tcPr>
                <w:p w14:paraId="46DAFC27">
                  <w:pPr>
                    <w:widowControl/>
                    <w:snapToGrid w:val="0"/>
                    <w:spacing w:line="240" w:lineRule="auto"/>
                    <w:ind w:firstLine="0" w:firstLineChars="0"/>
                    <w:jc w:val="center"/>
                    <w:rPr>
                      <w:color w:val="auto"/>
                      <w:sz w:val="21"/>
                      <w:szCs w:val="21"/>
                    </w:rPr>
                  </w:pPr>
                  <w:r>
                    <w:rPr>
                      <w:color w:val="auto"/>
                      <w:sz w:val="21"/>
                      <w:szCs w:val="21"/>
                    </w:rPr>
                    <w:t>有机泄漏物、燃烧废气、消防废水</w:t>
                  </w:r>
                </w:p>
              </w:tc>
              <w:tc>
                <w:tcPr>
                  <w:tcW w:w="708" w:type="pct"/>
                  <w:noWrap w:val="0"/>
                  <w:vAlign w:val="center"/>
                </w:tcPr>
                <w:p w14:paraId="47E0064A">
                  <w:pPr>
                    <w:snapToGrid w:val="0"/>
                    <w:spacing w:line="240" w:lineRule="auto"/>
                    <w:ind w:firstLine="0" w:firstLineChars="0"/>
                    <w:jc w:val="center"/>
                    <w:rPr>
                      <w:color w:val="auto"/>
                      <w:sz w:val="21"/>
                      <w:szCs w:val="21"/>
                    </w:rPr>
                  </w:pPr>
                  <w:r>
                    <w:rPr>
                      <w:color w:val="auto"/>
                      <w:sz w:val="21"/>
                      <w:szCs w:val="21"/>
                    </w:rPr>
                    <w:t>大气、土壤、地下水</w:t>
                  </w:r>
                </w:p>
              </w:tc>
            </w:tr>
            <w:tr w14:paraId="170818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noWrap w:val="0"/>
                  <w:vAlign w:val="center"/>
                </w:tcPr>
                <w:p w14:paraId="509F2828">
                  <w:pPr>
                    <w:pStyle w:val="2"/>
                    <w:spacing w:after="0" w:line="240" w:lineRule="auto"/>
                    <w:ind w:firstLine="0" w:firstLineChars="0"/>
                    <w:jc w:val="center"/>
                    <w:rPr>
                      <w:bCs/>
                      <w:color w:val="auto"/>
                      <w:sz w:val="21"/>
                      <w:szCs w:val="21"/>
                    </w:rPr>
                  </w:pPr>
                  <w:r>
                    <w:rPr>
                      <w:bCs/>
                      <w:color w:val="auto"/>
                      <w:sz w:val="21"/>
                      <w:szCs w:val="21"/>
                    </w:rPr>
                    <w:t>生产车间</w:t>
                  </w:r>
                </w:p>
              </w:tc>
              <w:tc>
                <w:tcPr>
                  <w:tcW w:w="974" w:type="pct"/>
                  <w:noWrap w:val="0"/>
                  <w:vAlign w:val="center"/>
                </w:tcPr>
                <w:p w14:paraId="61400C78">
                  <w:pPr>
                    <w:pStyle w:val="2"/>
                    <w:spacing w:after="0" w:line="240" w:lineRule="auto"/>
                    <w:ind w:firstLine="0" w:firstLineChars="0"/>
                    <w:jc w:val="center"/>
                    <w:rPr>
                      <w:bCs/>
                      <w:color w:val="auto"/>
                      <w:sz w:val="21"/>
                      <w:szCs w:val="21"/>
                    </w:rPr>
                  </w:pPr>
                  <w:r>
                    <w:rPr>
                      <w:rFonts w:hint="eastAsia"/>
                      <w:bCs/>
                      <w:color w:val="auto"/>
                      <w:sz w:val="21"/>
                      <w:szCs w:val="21"/>
                      <w:lang w:val="en-US" w:eastAsia="zh-CN"/>
                    </w:rPr>
                    <w:t>煤油、切削液、UV油墨</w:t>
                  </w:r>
                </w:p>
              </w:tc>
              <w:tc>
                <w:tcPr>
                  <w:tcW w:w="756" w:type="pct"/>
                  <w:noWrap w:val="0"/>
                  <w:vAlign w:val="center"/>
                </w:tcPr>
                <w:p w14:paraId="6236C345">
                  <w:pPr>
                    <w:snapToGrid w:val="0"/>
                    <w:spacing w:line="240" w:lineRule="auto"/>
                    <w:ind w:firstLine="0" w:firstLineChars="0"/>
                    <w:jc w:val="center"/>
                    <w:rPr>
                      <w:color w:val="auto"/>
                      <w:kern w:val="2"/>
                      <w:sz w:val="21"/>
                      <w:szCs w:val="21"/>
                      <w:lang w:val="en-US" w:eastAsia="zh-CN" w:bidi="ar-SA"/>
                    </w:rPr>
                  </w:pPr>
                  <w:r>
                    <w:rPr>
                      <w:color w:val="auto"/>
                      <w:sz w:val="21"/>
                      <w:szCs w:val="21"/>
                    </w:rPr>
                    <w:t>泄漏、火灾</w:t>
                  </w:r>
                </w:p>
              </w:tc>
              <w:tc>
                <w:tcPr>
                  <w:tcW w:w="873" w:type="pct"/>
                  <w:noWrap w:val="0"/>
                  <w:vAlign w:val="center"/>
                </w:tcPr>
                <w:p w14:paraId="1BC31860">
                  <w:pPr>
                    <w:snapToGrid w:val="0"/>
                    <w:spacing w:line="240" w:lineRule="auto"/>
                    <w:ind w:firstLine="0" w:firstLineChars="0"/>
                    <w:jc w:val="center"/>
                    <w:rPr>
                      <w:color w:val="auto"/>
                      <w:kern w:val="2"/>
                      <w:sz w:val="21"/>
                      <w:szCs w:val="21"/>
                      <w:lang w:val="en-US" w:eastAsia="zh-CN" w:bidi="ar-SA"/>
                    </w:rPr>
                  </w:pPr>
                  <w:r>
                    <w:rPr>
                      <w:color w:val="auto"/>
                      <w:sz w:val="21"/>
                      <w:szCs w:val="21"/>
                    </w:rPr>
                    <w:t>设备故障，遇禁忌物或明火</w:t>
                  </w:r>
                </w:p>
              </w:tc>
              <w:tc>
                <w:tcPr>
                  <w:tcW w:w="1071" w:type="pct"/>
                  <w:noWrap w:val="0"/>
                  <w:vAlign w:val="center"/>
                </w:tcPr>
                <w:p w14:paraId="68F0D9CE">
                  <w:pPr>
                    <w:widowControl/>
                    <w:snapToGrid w:val="0"/>
                    <w:spacing w:line="240" w:lineRule="auto"/>
                    <w:ind w:firstLine="0" w:firstLineChars="0"/>
                    <w:jc w:val="center"/>
                    <w:rPr>
                      <w:color w:val="auto"/>
                      <w:kern w:val="2"/>
                      <w:sz w:val="21"/>
                      <w:szCs w:val="21"/>
                      <w:lang w:val="en-US" w:eastAsia="zh-CN" w:bidi="ar-SA"/>
                    </w:rPr>
                  </w:pPr>
                  <w:r>
                    <w:rPr>
                      <w:color w:val="auto"/>
                      <w:sz w:val="21"/>
                      <w:szCs w:val="21"/>
                    </w:rPr>
                    <w:t>有机泄漏物、燃烧废气、消防废水</w:t>
                  </w:r>
                </w:p>
              </w:tc>
              <w:tc>
                <w:tcPr>
                  <w:tcW w:w="708" w:type="pct"/>
                  <w:noWrap w:val="0"/>
                  <w:vAlign w:val="center"/>
                </w:tcPr>
                <w:p w14:paraId="2C345FB3">
                  <w:pPr>
                    <w:snapToGrid w:val="0"/>
                    <w:spacing w:line="240" w:lineRule="auto"/>
                    <w:ind w:firstLine="0" w:firstLineChars="0"/>
                    <w:jc w:val="center"/>
                    <w:rPr>
                      <w:color w:val="auto"/>
                      <w:kern w:val="2"/>
                      <w:sz w:val="21"/>
                      <w:szCs w:val="21"/>
                      <w:lang w:val="en-US" w:eastAsia="zh-CN" w:bidi="ar-SA"/>
                    </w:rPr>
                  </w:pPr>
                  <w:r>
                    <w:rPr>
                      <w:color w:val="auto"/>
                      <w:sz w:val="21"/>
                      <w:szCs w:val="21"/>
                    </w:rPr>
                    <w:t>大气、土壤、地下水</w:t>
                  </w:r>
                </w:p>
              </w:tc>
            </w:tr>
            <w:tr w14:paraId="276C89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noWrap w:val="0"/>
                  <w:vAlign w:val="center"/>
                </w:tcPr>
                <w:p w14:paraId="26442728">
                  <w:pPr>
                    <w:widowControl/>
                    <w:snapToGrid w:val="0"/>
                    <w:spacing w:line="240" w:lineRule="auto"/>
                    <w:ind w:firstLine="0" w:firstLineChars="0"/>
                    <w:jc w:val="center"/>
                    <w:rPr>
                      <w:color w:val="auto"/>
                      <w:sz w:val="21"/>
                      <w:szCs w:val="21"/>
                    </w:rPr>
                  </w:pPr>
                  <w:r>
                    <w:rPr>
                      <w:color w:val="auto"/>
                      <w:sz w:val="21"/>
                      <w:szCs w:val="21"/>
                    </w:rPr>
                    <w:t>废气处理设施</w:t>
                  </w:r>
                </w:p>
              </w:tc>
              <w:tc>
                <w:tcPr>
                  <w:tcW w:w="974" w:type="pct"/>
                  <w:noWrap w:val="0"/>
                  <w:vAlign w:val="center"/>
                </w:tcPr>
                <w:p w14:paraId="3C318CA3">
                  <w:pPr>
                    <w:pStyle w:val="2"/>
                    <w:widowControl/>
                    <w:snapToGrid w:val="0"/>
                    <w:spacing w:after="0" w:line="240" w:lineRule="auto"/>
                    <w:ind w:firstLine="0" w:firstLineChars="0"/>
                    <w:jc w:val="center"/>
                    <w:rPr>
                      <w:rFonts w:hint="default" w:eastAsia="宋体"/>
                      <w:color w:val="auto"/>
                      <w:sz w:val="21"/>
                      <w:szCs w:val="21"/>
                      <w:lang w:val="en-US" w:eastAsia="zh-CN"/>
                    </w:rPr>
                  </w:pPr>
                  <w:r>
                    <w:rPr>
                      <w:rFonts w:hint="default"/>
                      <w:color w:val="auto"/>
                      <w:sz w:val="21"/>
                      <w:szCs w:val="21"/>
                      <w:lang w:val="en-US"/>
                    </w:rPr>
                    <w:t>有机废气</w:t>
                  </w:r>
                  <w:r>
                    <w:rPr>
                      <w:rFonts w:hint="eastAsia"/>
                      <w:color w:val="auto"/>
                      <w:sz w:val="21"/>
                      <w:szCs w:val="21"/>
                      <w:lang w:val="en-US" w:eastAsia="zh-CN"/>
                    </w:rPr>
                    <w:t>、颗粒物</w:t>
                  </w:r>
                </w:p>
              </w:tc>
              <w:tc>
                <w:tcPr>
                  <w:tcW w:w="756" w:type="pct"/>
                  <w:noWrap w:val="0"/>
                  <w:vAlign w:val="center"/>
                </w:tcPr>
                <w:p w14:paraId="1AD97932">
                  <w:pPr>
                    <w:widowControl/>
                    <w:snapToGrid w:val="0"/>
                    <w:spacing w:line="240" w:lineRule="auto"/>
                    <w:ind w:firstLine="0" w:firstLineChars="0"/>
                    <w:jc w:val="center"/>
                    <w:rPr>
                      <w:color w:val="auto"/>
                      <w:sz w:val="21"/>
                      <w:szCs w:val="21"/>
                    </w:rPr>
                  </w:pPr>
                  <w:r>
                    <w:rPr>
                      <w:color w:val="auto"/>
                      <w:sz w:val="21"/>
                      <w:szCs w:val="21"/>
                    </w:rPr>
                    <w:t>泄漏、火灾</w:t>
                  </w:r>
                </w:p>
              </w:tc>
              <w:tc>
                <w:tcPr>
                  <w:tcW w:w="873" w:type="pct"/>
                  <w:noWrap w:val="0"/>
                  <w:vAlign w:val="center"/>
                </w:tcPr>
                <w:p w14:paraId="41F4C6E2">
                  <w:pPr>
                    <w:widowControl/>
                    <w:snapToGrid w:val="0"/>
                    <w:spacing w:line="240" w:lineRule="auto"/>
                    <w:ind w:firstLine="0" w:firstLineChars="0"/>
                    <w:jc w:val="center"/>
                    <w:rPr>
                      <w:color w:val="auto"/>
                      <w:sz w:val="21"/>
                      <w:szCs w:val="21"/>
                    </w:rPr>
                  </w:pPr>
                  <w:r>
                    <w:rPr>
                      <w:color w:val="auto"/>
                      <w:sz w:val="21"/>
                      <w:szCs w:val="21"/>
                    </w:rPr>
                    <w:t>设备故障，遇禁忌物或明火</w:t>
                  </w:r>
                </w:p>
              </w:tc>
              <w:tc>
                <w:tcPr>
                  <w:tcW w:w="1071" w:type="pct"/>
                  <w:noWrap w:val="0"/>
                  <w:vAlign w:val="center"/>
                </w:tcPr>
                <w:p w14:paraId="26D757EC">
                  <w:pPr>
                    <w:widowControl/>
                    <w:snapToGrid w:val="0"/>
                    <w:spacing w:line="240" w:lineRule="auto"/>
                    <w:ind w:firstLine="0" w:firstLineChars="0"/>
                    <w:jc w:val="center"/>
                    <w:rPr>
                      <w:color w:val="auto"/>
                      <w:sz w:val="21"/>
                      <w:szCs w:val="21"/>
                    </w:rPr>
                  </w:pPr>
                  <w:r>
                    <w:rPr>
                      <w:color w:val="auto"/>
                      <w:sz w:val="21"/>
                      <w:szCs w:val="21"/>
                    </w:rPr>
                    <w:t>燃烧废气、消防废水</w:t>
                  </w:r>
                </w:p>
              </w:tc>
              <w:tc>
                <w:tcPr>
                  <w:tcW w:w="708" w:type="pct"/>
                  <w:noWrap w:val="0"/>
                  <w:vAlign w:val="center"/>
                </w:tcPr>
                <w:p w14:paraId="154D1A93">
                  <w:pPr>
                    <w:widowControl/>
                    <w:snapToGrid w:val="0"/>
                    <w:spacing w:line="240" w:lineRule="auto"/>
                    <w:ind w:firstLine="0" w:firstLineChars="0"/>
                    <w:jc w:val="center"/>
                    <w:rPr>
                      <w:color w:val="auto"/>
                      <w:sz w:val="21"/>
                      <w:szCs w:val="21"/>
                    </w:rPr>
                  </w:pPr>
                  <w:r>
                    <w:rPr>
                      <w:color w:val="auto"/>
                      <w:sz w:val="21"/>
                      <w:szCs w:val="21"/>
                    </w:rPr>
                    <w:t>大气、土壤、地下水</w:t>
                  </w:r>
                </w:p>
              </w:tc>
            </w:tr>
          </w:tbl>
          <w:p w14:paraId="6D33294C">
            <w:pPr>
              <w:adjustRightInd w:val="0"/>
              <w:snapToGrid w:val="0"/>
              <w:ind w:firstLine="0" w:firstLineChars="0"/>
              <w:jc w:val="left"/>
              <w:rPr>
                <w:b/>
                <w:bCs/>
                <w:color w:val="auto"/>
                <w:sz w:val="24"/>
                <w:szCs w:val="24"/>
              </w:rPr>
            </w:pPr>
            <w:r>
              <w:rPr>
                <w:b/>
                <w:bCs/>
                <w:color w:val="auto"/>
                <w:sz w:val="24"/>
                <w:szCs w:val="24"/>
              </w:rPr>
              <w:t>7.3环境风险事故影响分析</w:t>
            </w:r>
          </w:p>
          <w:p w14:paraId="0C0F48B2">
            <w:pPr>
              <w:snapToGrid w:val="0"/>
              <w:ind w:firstLine="420"/>
              <w:jc w:val="left"/>
              <w:rPr>
                <w:color w:val="auto"/>
                <w:sz w:val="24"/>
                <w:szCs w:val="24"/>
              </w:rPr>
            </w:pPr>
            <w:r>
              <w:rPr>
                <w:rFonts w:hint="eastAsia" w:ascii="宋体" w:hAnsi="宋体" w:cs="宋体"/>
                <w:color w:val="auto"/>
                <w:sz w:val="24"/>
                <w:szCs w:val="24"/>
              </w:rPr>
              <w:t>①</w:t>
            </w:r>
            <w:r>
              <w:rPr>
                <w:color w:val="auto"/>
                <w:sz w:val="24"/>
                <w:szCs w:val="24"/>
              </w:rPr>
              <w:t>液态原辅料泄漏事故</w:t>
            </w:r>
          </w:p>
          <w:p w14:paraId="3D60C8ED">
            <w:pPr>
              <w:snapToGrid w:val="0"/>
              <w:ind w:firstLine="420"/>
              <w:jc w:val="left"/>
              <w:rPr>
                <w:color w:val="auto"/>
                <w:sz w:val="24"/>
                <w:szCs w:val="24"/>
              </w:rPr>
            </w:pPr>
            <w:r>
              <w:rPr>
                <w:color w:val="auto"/>
                <w:sz w:val="24"/>
                <w:szCs w:val="24"/>
              </w:rPr>
              <w:t>厂内液态原辅料</w:t>
            </w:r>
            <w:r>
              <w:rPr>
                <w:rFonts w:hint="eastAsia"/>
                <w:bCs/>
                <w:color w:val="auto"/>
                <w:sz w:val="24"/>
                <w:szCs w:val="24"/>
                <w:lang w:val="en-US" w:eastAsia="zh-CN"/>
              </w:rPr>
              <w:t>煤油、切削液、UV油墨</w:t>
            </w:r>
            <w:r>
              <w:rPr>
                <w:color w:val="auto"/>
                <w:sz w:val="24"/>
                <w:szCs w:val="24"/>
              </w:rPr>
              <w:t>等在使用、贮存过程若发生容器破损等情况</w:t>
            </w:r>
            <w:r>
              <w:rPr>
                <w:rFonts w:hint="eastAsia"/>
                <w:color w:val="auto"/>
                <w:sz w:val="24"/>
                <w:szCs w:val="24"/>
                <w:lang w:eastAsia="zh-CN"/>
              </w:rPr>
              <w:t>易发生</w:t>
            </w:r>
            <w:r>
              <w:rPr>
                <w:color w:val="auto"/>
                <w:sz w:val="24"/>
                <w:szCs w:val="24"/>
              </w:rPr>
              <w:t>泄漏事故，若地面未做防渗处理，泄漏物将通过地面渗漏，进而影响土壤和地下水。</w:t>
            </w:r>
          </w:p>
          <w:p w14:paraId="75E7297E">
            <w:pPr>
              <w:snapToGrid w:val="0"/>
              <w:ind w:firstLine="420"/>
              <w:jc w:val="left"/>
              <w:rPr>
                <w:color w:val="auto"/>
                <w:sz w:val="24"/>
                <w:szCs w:val="24"/>
              </w:rPr>
            </w:pPr>
            <w:r>
              <w:rPr>
                <w:color w:val="auto"/>
                <w:sz w:val="24"/>
                <w:szCs w:val="24"/>
              </w:rPr>
              <w:t>若</w:t>
            </w:r>
            <w:r>
              <w:rPr>
                <w:rFonts w:hint="eastAsia"/>
                <w:bCs/>
                <w:color w:val="auto"/>
                <w:sz w:val="24"/>
                <w:szCs w:val="24"/>
                <w:lang w:val="en-US" w:eastAsia="zh-CN"/>
              </w:rPr>
              <w:t>煤油、UV油墨</w:t>
            </w:r>
            <w:r>
              <w:rPr>
                <w:color w:val="auto"/>
                <w:sz w:val="24"/>
                <w:szCs w:val="24"/>
              </w:rPr>
              <w:t>等可燃物质在存放及使用过程中，遇禁忌物或明火会引发火灾或爆炸事故，产生伴生/次生污染物通过大气扩散影响周围环境。</w:t>
            </w:r>
          </w:p>
          <w:p w14:paraId="1EE7C4B8">
            <w:pPr>
              <w:snapToGrid w:val="0"/>
              <w:ind w:firstLine="420"/>
              <w:jc w:val="left"/>
              <w:rPr>
                <w:color w:val="auto"/>
                <w:sz w:val="24"/>
                <w:szCs w:val="24"/>
              </w:rPr>
            </w:pPr>
            <w:r>
              <w:rPr>
                <w:rFonts w:hint="eastAsia"/>
                <w:color w:val="auto"/>
                <w:sz w:val="24"/>
                <w:szCs w:val="24"/>
              </w:rPr>
              <w:t>②</w:t>
            </w:r>
            <w:r>
              <w:rPr>
                <w:color w:val="auto"/>
                <w:sz w:val="24"/>
                <w:szCs w:val="24"/>
              </w:rPr>
              <w:t>危险废物收集储存系统发生事故</w:t>
            </w:r>
          </w:p>
          <w:p w14:paraId="7484D738">
            <w:pPr>
              <w:snapToGrid w:val="0"/>
              <w:ind w:firstLine="420"/>
              <w:jc w:val="left"/>
              <w:rPr>
                <w:color w:val="auto"/>
                <w:sz w:val="24"/>
                <w:szCs w:val="24"/>
              </w:rPr>
            </w:pPr>
            <w:r>
              <w:rPr>
                <w:color w:val="auto"/>
                <w:sz w:val="24"/>
                <w:szCs w:val="24"/>
              </w:rPr>
              <w:t>生</w:t>
            </w:r>
            <w:r>
              <w:rPr>
                <w:rFonts w:hint="eastAsia"/>
                <w:color w:val="auto"/>
                <w:sz w:val="24"/>
                <w:szCs w:val="24"/>
                <w:lang w:eastAsia="zh-CN"/>
              </w:rPr>
              <w:t>产过</w:t>
            </w:r>
            <w:r>
              <w:rPr>
                <w:color w:val="auto"/>
                <w:sz w:val="24"/>
                <w:szCs w:val="24"/>
              </w:rPr>
              <w:t>程中产生的危废（</w:t>
            </w:r>
            <w:r>
              <w:rPr>
                <w:rFonts w:hint="eastAsia"/>
                <w:color w:val="auto"/>
                <w:sz w:val="24"/>
                <w:szCs w:val="24"/>
                <w:lang w:val="en-US" w:eastAsia="zh-CN"/>
              </w:rPr>
              <w:t>废墨盒、清洗废液、废切削液、废滤芯、废煤油、废包装桶、废抹布手套、废活性炭</w:t>
            </w:r>
            <w:r>
              <w:rPr>
                <w:rFonts w:hint="eastAsia"/>
                <w:color w:val="auto"/>
                <w:sz w:val="24"/>
                <w:szCs w:val="24"/>
              </w:rPr>
              <w:t>、废擦拭布、抛光废液</w:t>
            </w:r>
            <w:r>
              <w:rPr>
                <w:rFonts w:hint="eastAsia"/>
                <w:color w:val="auto"/>
                <w:sz w:val="24"/>
                <w:szCs w:val="24"/>
                <w:lang w:eastAsia="zh-CN"/>
              </w:rPr>
              <w:t>、</w:t>
            </w:r>
            <w:r>
              <w:rPr>
                <w:rFonts w:hint="eastAsia"/>
                <w:color w:val="auto"/>
                <w:sz w:val="24"/>
                <w:szCs w:val="24"/>
              </w:rPr>
              <w:t>废抹布</w:t>
            </w:r>
            <w:r>
              <w:rPr>
                <w:rFonts w:hint="eastAsia"/>
                <w:color w:val="auto"/>
                <w:sz w:val="24"/>
                <w:szCs w:val="24"/>
                <w:lang w:val="en-US" w:eastAsia="zh-CN"/>
              </w:rPr>
              <w:t>等</w:t>
            </w:r>
            <w:r>
              <w:rPr>
                <w:color w:val="auto"/>
                <w:sz w:val="24"/>
                <w:szCs w:val="24"/>
              </w:rPr>
              <w:t>）在收集、储存过程可能发生</w:t>
            </w:r>
            <w:r>
              <w:rPr>
                <w:rFonts w:hint="eastAsia"/>
                <w:color w:val="auto"/>
                <w:sz w:val="24"/>
                <w:szCs w:val="24"/>
                <w:lang w:eastAsia="zh-CN"/>
              </w:rPr>
              <w:t>泄漏</w:t>
            </w:r>
            <w:r>
              <w:rPr>
                <w:color w:val="auto"/>
                <w:sz w:val="24"/>
                <w:szCs w:val="24"/>
              </w:rPr>
              <w:t>，会对环境和人体造成不同的危害，企业液体危废拟放置在防漏托盘上，危废库拟设置防腐防渗措施，减少对外部环境的影响。将危险废物混入生活垃圾或随意丢弃，将对人体健康产生较大危害，故应加强危险废物管理工作，杜绝</w:t>
            </w:r>
            <w:r>
              <w:rPr>
                <w:rFonts w:hint="eastAsia"/>
                <w:color w:val="auto"/>
                <w:sz w:val="24"/>
                <w:szCs w:val="24"/>
                <w:lang w:eastAsia="zh-CN"/>
              </w:rPr>
              <w:t>发生</w:t>
            </w:r>
            <w:r>
              <w:rPr>
                <w:color w:val="auto"/>
                <w:sz w:val="24"/>
                <w:szCs w:val="24"/>
              </w:rPr>
              <w:t>危险废物随意丢弃事故。</w:t>
            </w:r>
          </w:p>
          <w:p w14:paraId="2EA28D4F">
            <w:pPr>
              <w:numPr>
                <w:ilvl w:val="0"/>
                <w:numId w:val="6"/>
              </w:numPr>
              <w:snapToGrid w:val="0"/>
              <w:ind w:firstLineChars="0"/>
              <w:jc w:val="left"/>
              <w:rPr>
                <w:color w:val="auto"/>
                <w:sz w:val="24"/>
                <w:szCs w:val="24"/>
              </w:rPr>
            </w:pPr>
            <w:r>
              <w:rPr>
                <w:color w:val="auto"/>
                <w:sz w:val="24"/>
                <w:szCs w:val="24"/>
              </w:rPr>
              <w:t>火灾次生风险</w:t>
            </w:r>
          </w:p>
          <w:p w14:paraId="2E2B3D5B">
            <w:pPr>
              <w:adjustRightInd w:val="0"/>
              <w:snapToGrid w:val="0"/>
              <w:ind w:firstLine="420"/>
              <w:jc w:val="left"/>
              <w:rPr>
                <w:color w:val="auto"/>
                <w:sz w:val="24"/>
                <w:szCs w:val="24"/>
              </w:rPr>
            </w:pPr>
            <w:r>
              <w:rPr>
                <w:color w:val="auto"/>
                <w:sz w:val="24"/>
                <w:szCs w:val="24"/>
              </w:rPr>
              <w:t>一旦发生火灾事故，事故废水中将会含有泄漏化学品物质，发生事故时，立即关闭雨水管阀门，防止事故废水进入周边地表水。</w:t>
            </w:r>
          </w:p>
          <w:p w14:paraId="1410EB48">
            <w:pPr>
              <w:widowControl/>
              <w:ind w:firstLine="420"/>
              <w:jc w:val="left"/>
              <w:textAlignment w:val="bottom"/>
              <w:rPr>
                <w:color w:val="auto"/>
                <w:sz w:val="24"/>
                <w:szCs w:val="24"/>
              </w:rPr>
            </w:pPr>
            <w:r>
              <w:rPr>
                <w:rFonts w:hint="eastAsia" w:ascii="宋体" w:hAnsi="宋体" w:cs="宋体"/>
                <w:color w:val="auto"/>
                <w:sz w:val="24"/>
                <w:szCs w:val="24"/>
              </w:rPr>
              <w:t>④</w:t>
            </w:r>
            <w:r>
              <w:rPr>
                <w:color w:val="auto"/>
                <w:sz w:val="24"/>
                <w:szCs w:val="24"/>
              </w:rPr>
              <w:t>废气处理设施故障，生产产生的废气</w:t>
            </w:r>
            <w:r>
              <w:rPr>
                <w:rFonts w:hint="eastAsia"/>
                <w:color w:val="auto"/>
                <w:sz w:val="24"/>
                <w:szCs w:val="24"/>
              </w:rPr>
              <w:t>（有机废气、颗粒物）</w:t>
            </w:r>
            <w:r>
              <w:rPr>
                <w:color w:val="auto"/>
                <w:sz w:val="24"/>
                <w:szCs w:val="24"/>
              </w:rPr>
              <w:t>未经处置直接外排，影响周边大气环境；</w:t>
            </w:r>
            <w:r>
              <w:rPr>
                <w:rFonts w:hint="eastAsia"/>
                <w:color w:val="auto"/>
                <w:sz w:val="24"/>
                <w:szCs w:val="24"/>
                <w:lang w:val="en-US" w:eastAsia="zh-CN"/>
              </w:rPr>
              <w:t>有机废气</w:t>
            </w:r>
            <w:r>
              <w:rPr>
                <w:color w:val="auto"/>
                <w:sz w:val="24"/>
                <w:szCs w:val="24"/>
              </w:rPr>
              <w:t>若遇禁忌物或明火会引发火灾事故。</w:t>
            </w:r>
          </w:p>
          <w:p w14:paraId="06722567">
            <w:pPr>
              <w:adjustRightInd w:val="0"/>
              <w:snapToGrid w:val="0"/>
              <w:ind w:firstLine="0" w:firstLineChars="0"/>
              <w:jc w:val="left"/>
              <w:rPr>
                <w:b/>
                <w:bCs/>
                <w:color w:val="auto"/>
                <w:sz w:val="24"/>
                <w:szCs w:val="24"/>
              </w:rPr>
            </w:pPr>
            <w:r>
              <w:rPr>
                <w:b/>
                <w:bCs/>
                <w:color w:val="auto"/>
                <w:sz w:val="24"/>
                <w:szCs w:val="24"/>
              </w:rPr>
              <w:t>7.4环境风险防范措施</w:t>
            </w:r>
          </w:p>
          <w:p w14:paraId="0CC5CCE9">
            <w:pPr>
              <w:snapToGrid w:val="0"/>
              <w:ind w:firstLine="420"/>
              <w:rPr>
                <w:color w:val="auto"/>
                <w:sz w:val="24"/>
                <w:szCs w:val="24"/>
              </w:rPr>
            </w:pPr>
            <w:r>
              <w:rPr>
                <w:rFonts w:hint="eastAsia" w:ascii="宋体" w:hAnsi="宋体" w:cs="宋体"/>
                <w:color w:val="auto"/>
                <w:sz w:val="24"/>
                <w:szCs w:val="24"/>
              </w:rPr>
              <w:t>（1）</w:t>
            </w:r>
            <w:r>
              <w:rPr>
                <w:color w:val="auto"/>
                <w:sz w:val="24"/>
                <w:szCs w:val="24"/>
              </w:rPr>
              <w:t>规范配置厂区消防设施，原辅料储存区干燥通风，严禁烟火。</w:t>
            </w:r>
          </w:p>
          <w:p w14:paraId="7E04FDFA">
            <w:pPr>
              <w:snapToGrid w:val="0"/>
              <w:ind w:firstLine="420"/>
              <w:rPr>
                <w:color w:val="auto"/>
                <w:sz w:val="24"/>
                <w:szCs w:val="24"/>
              </w:rPr>
            </w:pPr>
            <w:r>
              <w:rPr>
                <w:rFonts w:hint="eastAsia" w:ascii="宋体" w:hAnsi="宋体" w:cs="宋体"/>
                <w:color w:val="auto"/>
                <w:sz w:val="24"/>
                <w:szCs w:val="24"/>
              </w:rPr>
              <w:t>（2）</w:t>
            </w:r>
            <w:r>
              <w:rPr>
                <w:color w:val="auto"/>
                <w:sz w:val="24"/>
                <w:szCs w:val="24"/>
              </w:rPr>
              <w:t>液态物质包装桶底部应设置防泄漏托盘，并保持库房内干燥通风、密封避光，安装通风设施，对夏季高温时应采取遮阳和防高温隔绝涂料等措施。</w:t>
            </w:r>
          </w:p>
          <w:p w14:paraId="3EA58A29">
            <w:pPr>
              <w:snapToGrid w:val="0"/>
              <w:ind w:firstLine="420"/>
              <w:rPr>
                <w:color w:val="auto"/>
                <w:sz w:val="24"/>
                <w:szCs w:val="24"/>
              </w:rPr>
            </w:pPr>
            <w:r>
              <w:rPr>
                <w:rFonts w:hint="eastAsia" w:ascii="宋体" w:hAnsi="宋体" w:cs="宋体"/>
                <w:color w:val="auto"/>
                <w:sz w:val="24"/>
                <w:szCs w:val="24"/>
              </w:rPr>
              <w:t>（3）</w:t>
            </w:r>
            <w:r>
              <w:rPr>
                <w:color w:val="auto"/>
                <w:sz w:val="24"/>
                <w:szCs w:val="24"/>
              </w:rPr>
              <w:t>废气处理设施应委托有资质单位设计施工，做好日常维护和检修，及时排查事故安全隐患，确保安全可靠。</w:t>
            </w:r>
          </w:p>
          <w:p w14:paraId="2994B8A1">
            <w:pPr>
              <w:snapToGrid w:val="0"/>
              <w:ind w:firstLine="420"/>
              <w:rPr>
                <w:color w:val="auto"/>
                <w:sz w:val="24"/>
                <w:szCs w:val="24"/>
              </w:rPr>
            </w:pPr>
            <w:r>
              <w:rPr>
                <w:rFonts w:hint="eastAsia" w:ascii="宋体" w:hAnsi="宋体" w:cs="宋体"/>
                <w:color w:val="auto"/>
                <w:sz w:val="24"/>
                <w:szCs w:val="24"/>
              </w:rPr>
              <w:t>（4）</w:t>
            </w:r>
            <w:r>
              <w:rPr>
                <w:color w:val="auto"/>
                <w:sz w:val="24"/>
                <w:szCs w:val="24"/>
              </w:rPr>
              <w:t>生产车间、</w:t>
            </w:r>
            <w:r>
              <w:rPr>
                <w:color w:val="auto"/>
                <w:sz w:val="24"/>
                <w:szCs w:val="24"/>
                <w:highlight w:val="none"/>
              </w:rPr>
              <w:t>原辅料</w:t>
            </w:r>
            <w:r>
              <w:rPr>
                <w:rFonts w:hint="eastAsia"/>
                <w:color w:val="auto"/>
                <w:sz w:val="24"/>
                <w:szCs w:val="24"/>
                <w:highlight w:val="none"/>
                <w:lang w:val="en-US" w:eastAsia="zh-CN"/>
              </w:rPr>
              <w:t>仓库</w:t>
            </w:r>
            <w:r>
              <w:rPr>
                <w:color w:val="auto"/>
                <w:sz w:val="24"/>
                <w:szCs w:val="24"/>
              </w:rPr>
              <w:t>严禁动火作业或使用明火、高温热源，使用合格的防爆电气设备，采取相应的防雷防静电措施，保证设备设施可靠接地，禁止作业场所违规使用可能产生火花和高温的作业工具，减少引发爆炸的点火源；按相关规范和标准进行设计、安装、使用和维护通风除尘系统，按规定进行空气检测和清理粉尘，以有效减少或避免粉尘在作业场所扩散或沉积。</w:t>
            </w:r>
          </w:p>
          <w:p w14:paraId="162FBD76">
            <w:pPr>
              <w:snapToGrid w:val="0"/>
              <w:ind w:firstLine="420"/>
              <w:rPr>
                <w:color w:val="auto"/>
                <w:sz w:val="24"/>
                <w:szCs w:val="24"/>
              </w:rPr>
            </w:pPr>
            <w:r>
              <w:rPr>
                <w:rFonts w:hint="eastAsia" w:ascii="宋体" w:hAnsi="宋体" w:cs="宋体"/>
                <w:color w:val="auto"/>
                <w:sz w:val="24"/>
                <w:szCs w:val="24"/>
              </w:rPr>
              <w:t>（5）</w:t>
            </w:r>
            <w:r>
              <w:rPr>
                <w:color w:val="auto"/>
                <w:sz w:val="24"/>
                <w:szCs w:val="24"/>
              </w:rPr>
              <w:t>危险废物及时转移至危废暂存间储存，危废暂存间按照《危险废物贮存污染控制标准》（GB18597-20</w:t>
            </w:r>
            <w:r>
              <w:rPr>
                <w:rFonts w:hint="eastAsia"/>
                <w:color w:val="auto"/>
                <w:sz w:val="24"/>
                <w:szCs w:val="24"/>
                <w:lang w:val="en-US" w:eastAsia="zh-CN"/>
              </w:rPr>
              <w:t>23</w:t>
            </w:r>
            <w:r>
              <w:rPr>
                <w:color w:val="auto"/>
                <w:sz w:val="24"/>
                <w:szCs w:val="24"/>
              </w:rPr>
              <w:t>）及其修改单要求做好防渗防漏措施及规范管理。</w:t>
            </w:r>
          </w:p>
          <w:p w14:paraId="7630233B">
            <w:pPr>
              <w:snapToGrid w:val="0"/>
              <w:ind w:firstLine="420"/>
              <w:rPr>
                <w:color w:val="auto"/>
                <w:sz w:val="24"/>
                <w:szCs w:val="24"/>
              </w:rPr>
            </w:pPr>
            <w:r>
              <w:rPr>
                <w:rFonts w:hint="eastAsia" w:ascii="宋体" w:hAnsi="宋体" w:cs="宋体"/>
                <w:color w:val="auto"/>
                <w:sz w:val="24"/>
                <w:szCs w:val="24"/>
              </w:rPr>
              <w:t>（6）</w:t>
            </w:r>
            <w:r>
              <w:rPr>
                <w:color w:val="auto"/>
                <w:sz w:val="24"/>
                <w:szCs w:val="24"/>
              </w:rPr>
              <w:t>根据《关于做好生态环境和应急管理部门联动工作的意见》（苏环办﹝2020﹞101号），企业需做到以下几点：a.切实履行好从危险废物产生、收集、贮存、运输、利用、处置等环节各项环保和安全职责；b.制定危险废物管理计划并报属地生态环境部门备案；c.在项目建设过程中和项目建成后均应接受生态环境部门和应急管理部门的监督和管理，积极配合相关部门做好风险防控工作，尽可能避免事故的发生；d.做好设施建设、运行、维护、拆除工作，对设施开展安全风险辨识管控工作，健全内部污染防治设施稳定运行和管理责任制度，严格依据标准规范建设环境治理设施，确保环境治理设施安全、稳定、有效运行。</w:t>
            </w:r>
          </w:p>
          <w:p w14:paraId="7AC6F6F6">
            <w:pPr>
              <w:snapToGrid w:val="0"/>
              <w:ind w:firstLine="420"/>
              <w:rPr>
                <w:color w:val="auto"/>
                <w:sz w:val="24"/>
                <w:szCs w:val="24"/>
              </w:rPr>
            </w:pPr>
            <w:r>
              <w:rPr>
                <w:rFonts w:hint="eastAsia" w:ascii="宋体" w:hAnsi="宋体" w:cs="宋体"/>
                <w:color w:val="auto"/>
                <w:sz w:val="24"/>
                <w:szCs w:val="24"/>
              </w:rPr>
              <w:t>（7）</w:t>
            </w:r>
            <w:r>
              <w:rPr>
                <w:color w:val="auto"/>
                <w:sz w:val="24"/>
                <w:szCs w:val="24"/>
              </w:rPr>
              <w:t>根据《省生态厅关于印发重点环保设施项目安全辨识和固体废物鉴定评价工作具体实施方案的通知》（苏环办﹝2022﹞111号）</w:t>
            </w:r>
            <w:r>
              <w:rPr>
                <w:rFonts w:hint="eastAsia"/>
                <w:color w:val="auto"/>
                <w:sz w:val="24"/>
                <w:szCs w:val="24"/>
                <w:lang w:eastAsia="zh-CN"/>
              </w:rPr>
              <w:t>，</w:t>
            </w:r>
            <w:r>
              <w:rPr>
                <w:color w:val="auto"/>
                <w:sz w:val="24"/>
                <w:szCs w:val="24"/>
              </w:rPr>
              <w:t>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本项目涉及“挥发性有机物回收”，企业须按该文件要求在运营过程中切实履行好自身主体责任，配合相关部门积极有效开展环境保护和应急管理工作。</w:t>
            </w:r>
          </w:p>
          <w:p w14:paraId="17AD4CF9">
            <w:pPr>
              <w:snapToGrid w:val="0"/>
              <w:ind w:firstLine="420"/>
              <w:rPr>
                <w:rFonts w:hint="eastAsia" w:eastAsia="宋体"/>
                <w:color w:val="auto"/>
                <w:sz w:val="24"/>
                <w:szCs w:val="24"/>
                <w:lang w:eastAsia="zh-CN"/>
              </w:rPr>
            </w:pPr>
            <w:r>
              <w:rPr>
                <w:rFonts w:hint="eastAsia" w:ascii="宋体" w:hAnsi="宋体" w:cs="宋体"/>
                <w:color w:val="auto"/>
                <w:sz w:val="24"/>
                <w:szCs w:val="24"/>
              </w:rPr>
              <w:t>（8）</w:t>
            </w:r>
            <w:r>
              <w:rPr>
                <w:rFonts w:hint="eastAsia"/>
                <w:color w:val="auto"/>
                <w:sz w:val="24"/>
                <w:szCs w:val="24"/>
                <w:lang w:val="en-US" w:eastAsia="zh-CN"/>
              </w:rPr>
              <w:t>事故应急池</w:t>
            </w:r>
          </w:p>
          <w:p w14:paraId="0CBD31B0">
            <w:pPr>
              <w:snapToGrid w:val="0"/>
              <w:ind w:firstLine="420"/>
              <w:rPr>
                <w:rFonts w:hAnsi="宋体"/>
                <w:color w:val="auto"/>
                <w:sz w:val="24"/>
                <w:szCs w:val="24"/>
              </w:rPr>
            </w:pPr>
            <w:r>
              <w:rPr>
                <w:rFonts w:hint="eastAsia" w:hAnsi="宋体"/>
                <w:color w:val="auto"/>
                <w:sz w:val="24"/>
                <w:szCs w:val="24"/>
                <w:lang w:val="en-US" w:eastAsia="zh-CN"/>
              </w:rPr>
              <w:t>园</w:t>
            </w:r>
            <w:r>
              <w:rPr>
                <w:rFonts w:hint="eastAsia" w:hAnsi="宋体"/>
                <w:color w:val="auto"/>
                <w:sz w:val="24"/>
                <w:szCs w:val="24"/>
              </w:rPr>
              <w:t>区</w:t>
            </w:r>
            <w:r>
              <w:rPr>
                <w:rFonts w:hint="eastAsia" w:hAnsi="宋体"/>
                <w:color w:val="auto"/>
                <w:sz w:val="24"/>
                <w:szCs w:val="24"/>
                <w:lang w:val="en-US" w:eastAsia="zh-CN"/>
              </w:rPr>
              <w:t>已</w:t>
            </w:r>
            <w:r>
              <w:rPr>
                <w:rFonts w:hint="eastAsia" w:hAnsi="宋体"/>
                <w:color w:val="auto"/>
                <w:sz w:val="24"/>
                <w:szCs w:val="24"/>
              </w:rPr>
              <w:t>设置事故收集池，并设计相应的切换装置。正常生产运行时，打开雨水管道阀门，收集的雨水直接排入市政雨水管网。事故状态下和下雨初期，打开切换装置，收集的初期雨水和事故消防水排入</w:t>
            </w:r>
            <w:r>
              <w:rPr>
                <w:rFonts w:hint="eastAsia" w:hAnsi="宋体"/>
                <w:color w:val="auto"/>
                <w:sz w:val="24"/>
                <w:szCs w:val="24"/>
                <w:lang w:val="en-US" w:eastAsia="zh-CN"/>
              </w:rPr>
              <w:t>园区</w:t>
            </w:r>
            <w:r>
              <w:rPr>
                <w:rFonts w:hint="eastAsia" w:hAnsi="宋体"/>
                <w:color w:val="auto"/>
                <w:sz w:val="24"/>
                <w:szCs w:val="24"/>
              </w:rPr>
              <w:t>内事故池，切断污染物与外部的通道，将污染物控制在</w:t>
            </w:r>
            <w:r>
              <w:rPr>
                <w:rFonts w:hint="eastAsia" w:hAnsi="宋体"/>
                <w:color w:val="auto"/>
                <w:sz w:val="24"/>
                <w:szCs w:val="24"/>
                <w:lang w:val="en-US" w:eastAsia="zh-CN"/>
              </w:rPr>
              <w:t>园</w:t>
            </w:r>
            <w:r>
              <w:rPr>
                <w:rFonts w:hint="eastAsia" w:hAnsi="宋体"/>
                <w:color w:val="auto"/>
                <w:sz w:val="24"/>
                <w:szCs w:val="24"/>
              </w:rPr>
              <w:t>区内，防止事故泄漏物料和污染消防水造成的环境污染。</w:t>
            </w:r>
          </w:p>
          <w:p w14:paraId="2A8E188B">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auto"/>
                <w:sz w:val="24"/>
                <w:szCs w:val="24"/>
              </w:rPr>
            </w:pPr>
            <w:r>
              <w:rPr>
                <w:rFonts w:hint="eastAsia"/>
                <w:b w:val="0"/>
                <w:bCs w:val="0"/>
                <w:color w:val="auto"/>
                <w:sz w:val="24"/>
                <w:szCs w:val="24"/>
              </w:rPr>
              <w:t>参照《建设项目环境风险评价技术导则》（HJ169-2018）、《化工建设项目环境保护设计规范》（GB50483-2019）和《石化企业水体环境风险防控技术要求》（Q/SH0729-2018），事故应急池总有效容积计算公式如下：</w:t>
            </w:r>
          </w:p>
          <w:p w14:paraId="44C2F429">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auto"/>
                <w:sz w:val="24"/>
                <w:szCs w:val="24"/>
              </w:rPr>
            </w:pPr>
            <w:r>
              <w:rPr>
                <w:rFonts w:hint="eastAsia"/>
                <w:b w:val="0"/>
                <w:bCs w:val="0"/>
                <w:color w:val="auto"/>
                <w:sz w:val="24"/>
                <w:szCs w:val="24"/>
              </w:rPr>
              <w:t>事故池容量V总=(V1+V2-V3)max+V4+V5</w:t>
            </w:r>
          </w:p>
          <w:p w14:paraId="4CF4910C">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auto"/>
                <w:sz w:val="24"/>
                <w:szCs w:val="24"/>
              </w:rPr>
            </w:pPr>
            <w:r>
              <w:rPr>
                <w:rFonts w:hint="eastAsia"/>
                <w:b w:val="0"/>
                <w:bCs w:val="0"/>
                <w:color w:val="auto"/>
                <w:sz w:val="24"/>
                <w:szCs w:val="24"/>
              </w:rPr>
              <w:t>V1—收集系统范围内发生事故的物料量；</w:t>
            </w:r>
          </w:p>
          <w:p w14:paraId="307DD617">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auto"/>
                <w:sz w:val="24"/>
                <w:szCs w:val="24"/>
              </w:rPr>
            </w:pPr>
            <w:r>
              <w:rPr>
                <w:rFonts w:hint="eastAsia"/>
                <w:b w:val="0"/>
                <w:bCs w:val="0"/>
                <w:color w:val="auto"/>
                <w:sz w:val="24"/>
                <w:szCs w:val="24"/>
              </w:rPr>
              <w:t>V2—发生事故的储罐、装置或铁路、汽车装卸区的消防水量；</w:t>
            </w:r>
          </w:p>
          <w:p w14:paraId="2A8AD1C5">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auto"/>
                <w:sz w:val="24"/>
                <w:szCs w:val="24"/>
              </w:rPr>
            </w:pPr>
            <w:r>
              <w:rPr>
                <w:rFonts w:hint="eastAsia"/>
                <w:b w:val="0"/>
                <w:bCs w:val="0"/>
                <w:color w:val="auto"/>
                <w:sz w:val="24"/>
                <w:szCs w:val="24"/>
              </w:rPr>
              <w:t>V3—发生事故时可以转输到其他储存或处理设施的物料量；</w:t>
            </w:r>
          </w:p>
          <w:p w14:paraId="66D51376">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auto"/>
                <w:sz w:val="24"/>
                <w:szCs w:val="24"/>
              </w:rPr>
            </w:pPr>
            <w:r>
              <w:rPr>
                <w:rFonts w:hint="eastAsia"/>
                <w:b w:val="0"/>
                <w:bCs w:val="0"/>
                <w:color w:val="auto"/>
                <w:sz w:val="24"/>
                <w:szCs w:val="24"/>
              </w:rPr>
              <w:t>V4—发生事故时仍必须进入该收集系统的生产废水量；</w:t>
            </w:r>
          </w:p>
          <w:p w14:paraId="3DB02E93">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auto"/>
                <w:sz w:val="24"/>
                <w:szCs w:val="24"/>
              </w:rPr>
            </w:pPr>
            <w:r>
              <w:rPr>
                <w:rFonts w:hint="eastAsia"/>
                <w:b w:val="0"/>
                <w:bCs w:val="0"/>
                <w:color w:val="auto"/>
                <w:sz w:val="24"/>
                <w:szCs w:val="24"/>
              </w:rPr>
              <w:t>V5—发生事故时可能进入该收集系统的降雨量；</w:t>
            </w:r>
          </w:p>
          <w:p w14:paraId="3C133D81">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auto"/>
                <w:sz w:val="24"/>
                <w:szCs w:val="24"/>
              </w:rPr>
            </w:pPr>
            <w:r>
              <w:rPr>
                <w:rFonts w:hint="eastAsia"/>
                <w:b w:val="0"/>
                <w:bCs w:val="0"/>
                <w:color w:val="auto"/>
                <w:sz w:val="24"/>
                <w:szCs w:val="24"/>
              </w:rPr>
              <w:t>事故应急池具体容积大小计算如下：</w:t>
            </w:r>
          </w:p>
          <w:p w14:paraId="1CB362E8">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auto"/>
                <w:sz w:val="24"/>
                <w:szCs w:val="24"/>
              </w:rPr>
            </w:pPr>
            <w:r>
              <w:rPr>
                <w:rFonts w:hint="eastAsia"/>
                <w:b w:val="0"/>
                <w:bCs w:val="0"/>
                <w:color w:val="auto"/>
                <w:sz w:val="24"/>
                <w:szCs w:val="24"/>
              </w:rPr>
              <w:t>①V1</w:t>
            </w:r>
            <w:r>
              <w:rPr>
                <w:rFonts w:hint="eastAsia"/>
                <w:b w:val="0"/>
                <w:bCs w:val="0"/>
                <w:color w:val="auto"/>
                <w:sz w:val="24"/>
                <w:szCs w:val="24"/>
                <w:lang w:eastAsia="zh-CN"/>
              </w:rPr>
              <w:t>：</w:t>
            </w:r>
            <w:r>
              <w:rPr>
                <w:rFonts w:hint="eastAsia"/>
                <w:b w:val="0"/>
                <w:bCs w:val="0"/>
                <w:color w:val="auto"/>
                <w:sz w:val="24"/>
                <w:szCs w:val="24"/>
                <w:lang w:val="en-US" w:eastAsia="zh-CN"/>
              </w:rPr>
              <w:t>本项目所有的清洗槽容量一共为0.15</w:t>
            </w:r>
            <w:r>
              <w:rPr>
                <w:rFonts w:hint="eastAsia"/>
                <w:b w:val="0"/>
                <w:bCs w:val="0"/>
                <w:color w:val="auto"/>
                <w:sz w:val="24"/>
                <w:szCs w:val="24"/>
              </w:rPr>
              <w:t>m</w:t>
            </w:r>
            <w:r>
              <w:rPr>
                <w:rFonts w:hint="eastAsia"/>
                <w:b w:val="0"/>
                <w:bCs w:val="0"/>
                <w:color w:val="auto"/>
                <w:sz w:val="24"/>
                <w:szCs w:val="24"/>
                <w:vertAlign w:val="superscript"/>
              </w:rPr>
              <w:t>3</w:t>
            </w:r>
            <w:r>
              <w:rPr>
                <w:rFonts w:hint="eastAsia" w:hAnsi="宋体"/>
                <w:color w:val="auto"/>
                <w:sz w:val="24"/>
                <w:szCs w:val="24"/>
              </w:rPr>
              <w:t>，</w:t>
            </w:r>
            <w:r>
              <w:rPr>
                <w:rFonts w:hint="eastAsia"/>
                <w:b w:val="0"/>
                <w:bCs w:val="0"/>
                <w:color w:val="auto"/>
                <w:sz w:val="24"/>
                <w:szCs w:val="24"/>
                <w:lang w:val="en-US" w:eastAsia="zh-CN"/>
              </w:rPr>
              <w:t>则</w:t>
            </w:r>
            <w:r>
              <w:rPr>
                <w:rFonts w:hint="eastAsia"/>
                <w:b w:val="0"/>
                <w:bCs w:val="0"/>
                <w:color w:val="auto"/>
                <w:sz w:val="24"/>
                <w:szCs w:val="24"/>
              </w:rPr>
              <w:t>V1=</w:t>
            </w:r>
            <w:r>
              <w:rPr>
                <w:rFonts w:hint="eastAsia"/>
                <w:b w:val="0"/>
                <w:bCs w:val="0"/>
                <w:color w:val="auto"/>
                <w:sz w:val="24"/>
                <w:szCs w:val="24"/>
                <w:lang w:val="en-US" w:eastAsia="zh-CN"/>
              </w:rPr>
              <w:t>0.15</w:t>
            </w:r>
            <w:r>
              <w:rPr>
                <w:rFonts w:hint="eastAsia"/>
                <w:b w:val="0"/>
                <w:bCs w:val="0"/>
                <w:color w:val="auto"/>
                <w:sz w:val="24"/>
                <w:szCs w:val="24"/>
              </w:rPr>
              <w:t>m</w:t>
            </w:r>
            <w:r>
              <w:rPr>
                <w:rFonts w:hint="eastAsia"/>
                <w:b w:val="0"/>
                <w:bCs w:val="0"/>
                <w:color w:val="auto"/>
                <w:sz w:val="24"/>
                <w:szCs w:val="24"/>
                <w:vertAlign w:val="superscript"/>
              </w:rPr>
              <w:t>3</w:t>
            </w:r>
            <w:r>
              <w:rPr>
                <w:rFonts w:hint="eastAsia"/>
                <w:b w:val="0"/>
                <w:bCs w:val="0"/>
                <w:color w:val="auto"/>
                <w:sz w:val="24"/>
                <w:szCs w:val="24"/>
              </w:rPr>
              <w:t>。</w:t>
            </w:r>
          </w:p>
          <w:p w14:paraId="427F8AD6">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auto"/>
                <w:sz w:val="24"/>
                <w:szCs w:val="24"/>
              </w:rPr>
            </w:pPr>
            <w:r>
              <w:rPr>
                <w:rFonts w:hint="eastAsia"/>
                <w:b w:val="0"/>
                <w:bCs w:val="0"/>
                <w:color w:val="auto"/>
                <w:sz w:val="24"/>
                <w:szCs w:val="24"/>
              </w:rPr>
              <w:t>②V2=ΣQ消×t消：Q消—发生事故的储罐、装置或铁路、汽车装卸区同时使用的消防设施给水流量，m</w:t>
            </w:r>
            <w:r>
              <w:rPr>
                <w:rFonts w:hint="eastAsia"/>
                <w:b w:val="0"/>
                <w:bCs w:val="0"/>
                <w:color w:val="auto"/>
                <w:sz w:val="24"/>
                <w:szCs w:val="24"/>
                <w:vertAlign w:val="superscript"/>
              </w:rPr>
              <w:t>3</w:t>
            </w:r>
            <w:r>
              <w:rPr>
                <w:rFonts w:hint="eastAsia"/>
                <w:b w:val="0"/>
                <w:bCs w:val="0"/>
                <w:color w:val="auto"/>
                <w:sz w:val="24"/>
                <w:szCs w:val="24"/>
              </w:rPr>
              <w:t>/h；</w:t>
            </w:r>
          </w:p>
          <w:p w14:paraId="2F8E9893">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auto"/>
                <w:sz w:val="24"/>
                <w:szCs w:val="24"/>
              </w:rPr>
            </w:pPr>
            <w:r>
              <w:rPr>
                <w:rFonts w:hint="eastAsia"/>
                <w:b w:val="0"/>
                <w:bCs w:val="0"/>
                <w:color w:val="auto"/>
                <w:sz w:val="24"/>
                <w:szCs w:val="24"/>
              </w:rPr>
              <w:t>t消—消防设施对应的设计消防历时，h。</w:t>
            </w:r>
          </w:p>
          <w:p w14:paraId="0B08536C">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auto"/>
                <w:sz w:val="24"/>
                <w:szCs w:val="24"/>
              </w:rPr>
            </w:pPr>
            <w:r>
              <w:rPr>
                <w:rFonts w:hint="eastAsia"/>
                <w:b w:val="0"/>
                <w:bCs w:val="0"/>
                <w:color w:val="auto"/>
                <w:sz w:val="24"/>
                <w:szCs w:val="24"/>
              </w:rPr>
              <w:t>厂内消防泵设计有效流量</w:t>
            </w:r>
            <w:r>
              <w:rPr>
                <w:rFonts w:hint="eastAsia"/>
                <w:b w:val="0"/>
                <w:bCs w:val="0"/>
                <w:color w:val="auto"/>
                <w:sz w:val="24"/>
                <w:szCs w:val="24"/>
                <w:lang w:val="en-US" w:eastAsia="zh-CN"/>
              </w:rPr>
              <w:t>20</w:t>
            </w:r>
            <w:r>
              <w:rPr>
                <w:rFonts w:hint="eastAsia"/>
                <w:b w:val="0"/>
                <w:bCs w:val="0"/>
                <w:color w:val="auto"/>
                <w:sz w:val="24"/>
                <w:szCs w:val="24"/>
              </w:rPr>
              <w:t>L/s，假设火灾持续时间为2h，则室外发生一次火灾时消防用水量为：0.0</w:t>
            </w:r>
            <w:r>
              <w:rPr>
                <w:rFonts w:hint="eastAsia"/>
                <w:b w:val="0"/>
                <w:bCs w:val="0"/>
                <w:color w:val="auto"/>
                <w:sz w:val="24"/>
                <w:szCs w:val="24"/>
                <w:lang w:val="en-US" w:eastAsia="zh-CN"/>
              </w:rPr>
              <w:t>20</w:t>
            </w:r>
            <w:r>
              <w:rPr>
                <w:rFonts w:hint="eastAsia"/>
                <w:b w:val="0"/>
                <w:bCs w:val="0"/>
                <w:color w:val="auto"/>
                <w:sz w:val="24"/>
                <w:szCs w:val="24"/>
              </w:rPr>
              <w:t>×3600×2=</w:t>
            </w:r>
            <w:r>
              <w:rPr>
                <w:rFonts w:hint="eastAsia"/>
                <w:b w:val="0"/>
                <w:bCs w:val="0"/>
                <w:color w:val="auto"/>
                <w:sz w:val="24"/>
                <w:szCs w:val="24"/>
                <w:lang w:val="en-US" w:eastAsia="zh-CN"/>
              </w:rPr>
              <w:t>144</w:t>
            </w:r>
            <w:r>
              <w:rPr>
                <w:rFonts w:hint="eastAsia"/>
                <w:b w:val="0"/>
                <w:bCs w:val="0"/>
                <w:color w:val="auto"/>
                <w:sz w:val="24"/>
                <w:szCs w:val="24"/>
              </w:rPr>
              <w:t>m</w:t>
            </w:r>
            <w:r>
              <w:rPr>
                <w:rFonts w:hint="eastAsia"/>
                <w:b w:val="0"/>
                <w:bCs w:val="0"/>
                <w:color w:val="auto"/>
                <w:sz w:val="24"/>
                <w:szCs w:val="24"/>
                <w:vertAlign w:val="superscript"/>
              </w:rPr>
              <w:t>3</w:t>
            </w:r>
            <w:r>
              <w:rPr>
                <w:rFonts w:hint="eastAsia"/>
                <w:b w:val="0"/>
                <w:bCs w:val="0"/>
                <w:color w:val="auto"/>
                <w:sz w:val="24"/>
                <w:szCs w:val="24"/>
              </w:rPr>
              <w:t>，V2=</w:t>
            </w:r>
            <w:r>
              <w:rPr>
                <w:rFonts w:hint="eastAsia"/>
                <w:b w:val="0"/>
                <w:bCs w:val="0"/>
                <w:color w:val="auto"/>
                <w:sz w:val="24"/>
                <w:szCs w:val="24"/>
                <w:lang w:val="en-US" w:eastAsia="zh-CN"/>
              </w:rPr>
              <w:t>144</w:t>
            </w:r>
            <w:r>
              <w:rPr>
                <w:rFonts w:hint="eastAsia"/>
                <w:b w:val="0"/>
                <w:bCs w:val="0"/>
                <w:color w:val="auto"/>
                <w:sz w:val="24"/>
                <w:szCs w:val="24"/>
              </w:rPr>
              <w:t>m</w:t>
            </w:r>
            <w:r>
              <w:rPr>
                <w:rFonts w:hint="eastAsia"/>
                <w:b w:val="0"/>
                <w:bCs w:val="0"/>
                <w:color w:val="auto"/>
                <w:sz w:val="24"/>
                <w:szCs w:val="24"/>
                <w:vertAlign w:val="superscript"/>
              </w:rPr>
              <w:t>3</w:t>
            </w:r>
            <w:r>
              <w:rPr>
                <w:rFonts w:hint="eastAsia"/>
                <w:b w:val="0"/>
                <w:bCs w:val="0"/>
                <w:color w:val="auto"/>
                <w:sz w:val="24"/>
                <w:szCs w:val="24"/>
              </w:rPr>
              <w:t>。</w:t>
            </w:r>
          </w:p>
          <w:p w14:paraId="7CA552D1">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auto"/>
                <w:sz w:val="24"/>
                <w:szCs w:val="24"/>
              </w:rPr>
            </w:pPr>
            <w:r>
              <w:rPr>
                <w:rFonts w:hint="eastAsia"/>
                <w:b w:val="0"/>
                <w:bCs w:val="0"/>
                <w:color w:val="auto"/>
                <w:sz w:val="24"/>
                <w:szCs w:val="24"/>
              </w:rPr>
              <w:t>③V3</w:t>
            </w:r>
            <w:r>
              <w:rPr>
                <w:rFonts w:hint="eastAsia"/>
                <w:b w:val="0"/>
                <w:bCs w:val="0"/>
                <w:color w:val="auto"/>
                <w:sz w:val="24"/>
                <w:szCs w:val="24"/>
                <w:lang w:eastAsia="zh-CN"/>
              </w:rPr>
              <w:t>：</w:t>
            </w:r>
            <w:r>
              <w:rPr>
                <w:rFonts w:hint="eastAsia"/>
                <w:b w:val="0"/>
                <w:bCs w:val="0"/>
                <w:color w:val="auto"/>
                <w:sz w:val="24"/>
                <w:szCs w:val="24"/>
              </w:rPr>
              <w:t>公司所在</w:t>
            </w:r>
            <w:r>
              <w:rPr>
                <w:rFonts w:hint="eastAsia"/>
                <w:b w:val="0"/>
                <w:bCs w:val="0"/>
                <w:color w:val="auto"/>
                <w:sz w:val="24"/>
                <w:szCs w:val="24"/>
                <w:lang w:val="en-US" w:eastAsia="zh-CN"/>
              </w:rPr>
              <w:t>园</w:t>
            </w:r>
            <w:r>
              <w:rPr>
                <w:rFonts w:hint="eastAsia"/>
                <w:b w:val="0"/>
                <w:bCs w:val="0"/>
                <w:color w:val="auto"/>
                <w:sz w:val="24"/>
                <w:szCs w:val="24"/>
              </w:rPr>
              <w:t>区雨水管网总长度约为</w:t>
            </w:r>
            <w:r>
              <w:rPr>
                <w:rFonts w:hint="eastAsia"/>
                <w:b w:val="0"/>
                <w:bCs w:val="0"/>
                <w:color w:val="auto"/>
                <w:sz w:val="24"/>
                <w:szCs w:val="24"/>
                <w:lang w:val="en-US" w:eastAsia="zh-CN"/>
              </w:rPr>
              <w:t>80</w:t>
            </w:r>
            <w:r>
              <w:rPr>
                <w:rFonts w:hint="eastAsia"/>
                <w:b w:val="0"/>
                <w:bCs w:val="0"/>
                <w:color w:val="auto"/>
                <w:sz w:val="24"/>
                <w:szCs w:val="24"/>
              </w:rPr>
              <w:t>0m，雨水管内径为0.</w:t>
            </w:r>
            <w:r>
              <w:rPr>
                <w:rFonts w:hint="eastAsia"/>
                <w:b w:val="0"/>
                <w:bCs w:val="0"/>
                <w:color w:val="auto"/>
                <w:sz w:val="24"/>
                <w:szCs w:val="24"/>
                <w:lang w:val="en-US" w:eastAsia="zh-CN"/>
              </w:rPr>
              <w:t>4</w:t>
            </w:r>
            <w:r>
              <w:rPr>
                <w:rFonts w:hint="eastAsia"/>
                <w:b w:val="0"/>
                <w:bCs w:val="0"/>
                <w:color w:val="auto"/>
                <w:sz w:val="24"/>
                <w:szCs w:val="24"/>
              </w:rPr>
              <w:t>m</w:t>
            </w:r>
            <w:r>
              <w:rPr>
                <w:rFonts w:hint="eastAsia"/>
                <w:b w:val="0"/>
                <w:bCs w:val="0"/>
                <w:color w:val="auto"/>
                <w:sz w:val="24"/>
                <w:szCs w:val="24"/>
                <w:lang w:eastAsia="zh-CN"/>
              </w:rPr>
              <w:t>，</w:t>
            </w:r>
            <w:r>
              <w:rPr>
                <w:rFonts w:hint="eastAsia"/>
                <w:b w:val="0"/>
                <w:bCs w:val="0"/>
                <w:color w:val="auto"/>
                <w:sz w:val="24"/>
                <w:szCs w:val="24"/>
              </w:rPr>
              <w:t>则雨水管网总容积约为</w:t>
            </w:r>
            <w:r>
              <w:rPr>
                <w:rFonts w:hint="eastAsia"/>
                <w:b w:val="0"/>
                <w:bCs w:val="0"/>
                <w:color w:val="auto"/>
                <w:sz w:val="24"/>
                <w:szCs w:val="24"/>
                <w:lang w:val="en-US" w:eastAsia="zh-CN"/>
              </w:rPr>
              <w:t>100</w:t>
            </w:r>
            <w:r>
              <w:rPr>
                <w:rFonts w:hint="eastAsia"/>
                <w:b w:val="0"/>
                <w:bCs w:val="0"/>
                <w:color w:val="auto"/>
                <w:sz w:val="24"/>
                <w:szCs w:val="24"/>
              </w:rPr>
              <w:t>m</w:t>
            </w:r>
            <w:r>
              <w:rPr>
                <w:rFonts w:hint="eastAsia"/>
                <w:b w:val="0"/>
                <w:bCs w:val="0"/>
                <w:color w:val="auto"/>
                <w:sz w:val="24"/>
                <w:szCs w:val="24"/>
                <w:vertAlign w:val="superscript"/>
              </w:rPr>
              <w:t>3</w:t>
            </w:r>
            <w:r>
              <w:rPr>
                <w:rFonts w:hint="eastAsia"/>
                <w:b w:val="0"/>
                <w:bCs w:val="0"/>
                <w:color w:val="auto"/>
                <w:sz w:val="24"/>
                <w:szCs w:val="24"/>
              </w:rPr>
              <w:t>，事故时可容纳消防尾水量为</w:t>
            </w:r>
            <w:r>
              <w:rPr>
                <w:rFonts w:hint="eastAsia"/>
                <w:b w:val="0"/>
                <w:bCs w:val="0"/>
                <w:color w:val="auto"/>
                <w:sz w:val="24"/>
                <w:szCs w:val="24"/>
                <w:lang w:val="en-US" w:eastAsia="zh-CN"/>
              </w:rPr>
              <w:t>80</w:t>
            </w:r>
            <w:r>
              <w:rPr>
                <w:rFonts w:hint="eastAsia"/>
                <w:b w:val="0"/>
                <w:bCs w:val="0"/>
                <w:color w:val="auto"/>
                <w:sz w:val="24"/>
                <w:szCs w:val="24"/>
              </w:rPr>
              <w:t>m</w:t>
            </w:r>
            <w:r>
              <w:rPr>
                <w:rFonts w:hint="eastAsia"/>
                <w:b w:val="0"/>
                <w:bCs w:val="0"/>
                <w:color w:val="auto"/>
                <w:sz w:val="24"/>
                <w:szCs w:val="24"/>
                <w:vertAlign w:val="superscript"/>
              </w:rPr>
              <w:t>3</w:t>
            </w:r>
            <w:r>
              <w:rPr>
                <w:rFonts w:hint="eastAsia"/>
                <w:b w:val="0"/>
                <w:bCs w:val="0"/>
                <w:color w:val="auto"/>
                <w:sz w:val="24"/>
                <w:szCs w:val="24"/>
              </w:rPr>
              <w:t>（以雨水管网总容积的</w:t>
            </w:r>
            <w:r>
              <w:rPr>
                <w:rFonts w:hint="eastAsia"/>
                <w:b w:val="0"/>
                <w:bCs w:val="0"/>
                <w:color w:val="auto"/>
                <w:sz w:val="24"/>
                <w:szCs w:val="24"/>
                <w:lang w:val="en-US" w:eastAsia="zh-CN"/>
              </w:rPr>
              <w:t>8</w:t>
            </w:r>
            <w:r>
              <w:rPr>
                <w:rFonts w:hint="eastAsia"/>
                <w:b w:val="0"/>
                <w:bCs w:val="0"/>
                <w:color w:val="auto"/>
                <w:sz w:val="24"/>
                <w:szCs w:val="24"/>
              </w:rPr>
              <w:t>0%计），则V3＝</w:t>
            </w:r>
            <w:r>
              <w:rPr>
                <w:rFonts w:hint="eastAsia"/>
                <w:b w:val="0"/>
                <w:bCs w:val="0"/>
                <w:color w:val="auto"/>
                <w:sz w:val="24"/>
                <w:szCs w:val="24"/>
                <w:lang w:val="en-US" w:eastAsia="zh-CN"/>
              </w:rPr>
              <w:t>80</w:t>
            </w:r>
            <w:r>
              <w:rPr>
                <w:rFonts w:hint="eastAsia"/>
                <w:b w:val="0"/>
                <w:bCs w:val="0"/>
                <w:color w:val="auto"/>
                <w:sz w:val="24"/>
                <w:szCs w:val="24"/>
              </w:rPr>
              <w:t>m</w:t>
            </w:r>
            <w:r>
              <w:rPr>
                <w:rFonts w:hint="eastAsia"/>
                <w:b w:val="0"/>
                <w:bCs w:val="0"/>
                <w:color w:val="auto"/>
                <w:sz w:val="24"/>
                <w:szCs w:val="24"/>
                <w:vertAlign w:val="superscript"/>
              </w:rPr>
              <w:t>3</w:t>
            </w:r>
            <w:r>
              <w:rPr>
                <w:rFonts w:hint="eastAsia"/>
                <w:b w:val="0"/>
                <w:bCs w:val="0"/>
                <w:color w:val="auto"/>
                <w:sz w:val="24"/>
                <w:szCs w:val="24"/>
              </w:rPr>
              <w:t>。</w:t>
            </w:r>
          </w:p>
          <w:p w14:paraId="25D12482">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auto"/>
                <w:sz w:val="24"/>
                <w:szCs w:val="24"/>
              </w:rPr>
            </w:pPr>
            <w:r>
              <w:rPr>
                <w:rFonts w:hint="eastAsia"/>
                <w:b w:val="0"/>
                <w:bCs w:val="0"/>
                <w:color w:val="auto"/>
                <w:sz w:val="24"/>
                <w:szCs w:val="24"/>
              </w:rPr>
              <w:t>④V4</w:t>
            </w:r>
            <w:r>
              <w:rPr>
                <w:rFonts w:hint="eastAsia"/>
                <w:b w:val="0"/>
                <w:bCs w:val="0"/>
                <w:color w:val="auto"/>
                <w:sz w:val="24"/>
                <w:szCs w:val="24"/>
                <w:lang w:eastAsia="zh-CN"/>
              </w:rPr>
              <w:t>：</w:t>
            </w:r>
            <w:r>
              <w:rPr>
                <w:rFonts w:hint="eastAsia"/>
                <w:b w:val="0"/>
                <w:bCs w:val="0"/>
                <w:color w:val="auto"/>
                <w:sz w:val="24"/>
                <w:szCs w:val="24"/>
              </w:rPr>
              <w:t>发生事故时进入收集系统的生产废水量为0m</w:t>
            </w:r>
            <w:r>
              <w:rPr>
                <w:rFonts w:hint="eastAsia"/>
                <w:b w:val="0"/>
                <w:bCs w:val="0"/>
                <w:color w:val="auto"/>
                <w:sz w:val="24"/>
                <w:szCs w:val="24"/>
                <w:vertAlign w:val="superscript"/>
              </w:rPr>
              <w:t>3</w:t>
            </w:r>
            <w:r>
              <w:rPr>
                <w:rFonts w:hint="eastAsia"/>
                <w:b w:val="0"/>
                <w:bCs w:val="0"/>
                <w:color w:val="auto"/>
                <w:sz w:val="24"/>
                <w:szCs w:val="24"/>
              </w:rPr>
              <w:t>，V4=0m</w:t>
            </w:r>
            <w:r>
              <w:rPr>
                <w:rFonts w:hint="eastAsia"/>
                <w:b w:val="0"/>
                <w:bCs w:val="0"/>
                <w:color w:val="auto"/>
                <w:sz w:val="24"/>
                <w:szCs w:val="24"/>
                <w:vertAlign w:val="superscript"/>
              </w:rPr>
              <w:t>3</w:t>
            </w:r>
            <w:r>
              <w:rPr>
                <w:rFonts w:hint="eastAsia"/>
                <w:b w:val="0"/>
                <w:bCs w:val="0"/>
                <w:color w:val="auto"/>
                <w:sz w:val="24"/>
                <w:szCs w:val="24"/>
              </w:rPr>
              <w:t>。</w:t>
            </w:r>
          </w:p>
          <w:p w14:paraId="495EBE3F">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auto"/>
                <w:sz w:val="24"/>
                <w:szCs w:val="24"/>
              </w:rPr>
            </w:pPr>
            <w:r>
              <w:rPr>
                <w:rFonts w:hint="eastAsia"/>
                <w:b w:val="0"/>
                <w:bCs w:val="0"/>
                <w:color w:val="auto"/>
                <w:sz w:val="24"/>
                <w:szCs w:val="24"/>
              </w:rPr>
              <w:t>⑤V5</w:t>
            </w:r>
            <w:r>
              <w:rPr>
                <w:rFonts w:hint="eastAsia"/>
                <w:b w:val="0"/>
                <w:bCs w:val="0"/>
                <w:color w:val="auto"/>
                <w:sz w:val="24"/>
                <w:szCs w:val="24"/>
                <w:lang w:eastAsia="zh-CN"/>
              </w:rPr>
              <w:t>：</w:t>
            </w:r>
            <w:r>
              <w:rPr>
                <w:rFonts w:hint="eastAsia"/>
                <w:b w:val="0"/>
                <w:bCs w:val="0"/>
                <w:color w:val="auto"/>
                <w:sz w:val="24"/>
                <w:szCs w:val="24"/>
              </w:rPr>
              <w:t>常州平均降雨量1074mm；多年降平均雨天数126天，平均降雨量q＝8.52mm，事故状态下污染区汇水面积约</w:t>
            </w:r>
            <w:r>
              <w:rPr>
                <w:rFonts w:hint="eastAsia"/>
                <w:b w:val="0"/>
                <w:bCs w:val="0"/>
                <w:color w:val="auto"/>
                <w:sz w:val="24"/>
                <w:szCs w:val="24"/>
                <w:lang w:val="en-US" w:eastAsia="zh-CN"/>
              </w:rPr>
              <w:t>0.1</w:t>
            </w:r>
            <w:r>
              <w:rPr>
                <w:rFonts w:hint="eastAsia"/>
                <w:b w:val="0"/>
                <w:bCs w:val="0"/>
                <w:color w:val="auto"/>
                <w:sz w:val="24"/>
                <w:szCs w:val="24"/>
              </w:rPr>
              <w:t>ha，计算V5＝</w:t>
            </w:r>
            <w:r>
              <w:rPr>
                <w:rFonts w:hint="eastAsia"/>
                <w:b w:val="0"/>
                <w:bCs w:val="0"/>
                <w:color w:val="auto"/>
                <w:sz w:val="24"/>
                <w:szCs w:val="24"/>
                <w:lang w:val="en-US" w:eastAsia="zh-CN"/>
              </w:rPr>
              <w:t>9</w:t>
            </w:r>
            <w:r>
              <w:rPr>
                <w:rFonts w:hint="eastAsia"/>
                <w:b w:val="0"/>
                <w:bCs w:val="0"/>
                <w:color w:val="auto"/>
                <w:sz w:val="24"/>
                <w:szCs w:val="24"/>
              </w:rPr>
              <w:t>m</w:t>
            </w:r>
            <w:r>
              <w:rPr>
                <w:rFonts w:hint="eastAsia"/>
                <w:b w:val="0"/>
                <w:bCs w:val="0"/>
                <w:color w:val="auto"/>
                <w:sz w:val="24"/>
                <w:szCs w:val="24"/>
                <w:vertAlign w:val="superscript"/>
              </w:rPr>
              <w:t>3</w:t>
            </w:r>
            <w:r>
              <w:rPr>
                <w:rFonts w:hint="eastAsia"/>
                <w:b w:val="0"/>
                <w:bCs w:val="0"/>
                <w:color w:val="auto"/>
                <w:sz w:val="24"/>
                <w:szCs w:val="24"/>
              </w:rPr>
              <w:t>。</w:t>
            </w:r>
          </w:p>
          <w:p w14:paraId="4D1FC226">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auto"/>
                <w:sz w:val="24"/>
                <w:szCs w:val="24"/>
              </w:rPr>
            </w:pPr>
            <w:r>
              <w:rPr>
                <w:rFonts w:hint="eastAsia"/>
                <w:b w:val="0"/>
                <w:bCs w:val="0"/>
                <w:color w:val="auto"/>
                <w:sz w:val="24"/>
                <w:szCs w:val="24"/>
              </w:rPr>
              <w:t>V5=10qf：q—降雨强度，mm；</w:t>
            </w:r>
          </w:p>
          <w:p w14:paraId="1DC6B5BC">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auto"/>
                <w:sz w:val="24"/>
                <w:szCs w:val="24"/>
              </w:rPr>
            </w:pPr>
            <w:r>
              <w:rPr>
                <w:rFonts w:hint="eastAsia"/>
                <w:b w:val="0"/>
                <w:bCs w:val="0"/>
                <w:color w:val="auto"/>
                <w:sz w:val="24"/>
                <w:szCs w:val="24"/>
              </w:rPr>
              <w:t>f—必须进入事故废水收集系统的雨水汇水面积，ha。</w:t>
            </w:r>
          </w:p>
          <w:p w14:paraId="35179B61">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b w:val="0"/>
                <w:bCs w:val="0"/>
                <w:color w:val="auto"/>
                <w:sz w:val="24"/>
                <w:szCs w:val="24"/>
              </w:rPr>
            </w:pPr>
            <w:r>
              <w:rPr>
                <w:rFonts w:hint="eastAsia"/>
                <w:b w:val="0"/>
                <w:bCs w:val="0"/>
                <w:color w:val="auto"/>
                <w:sz w:val="24"/>
                <w:szCs w:val="24"/>
              </w:rPr>
              <w:t>⑥V总=(V1+V2-V3)+V4+V5=（</w:t>
            </w:r>
            <w:r>
              <w:rPr>
                <w:rFonts w:hint="eastAsia"/>
                <w:b w:val="0"/>
                <w:bCs w:val="0"/>
                <w:color w:val="auto"/>
                <w:sz w:val="24"/>
                <w:szCs w:val="24"/>
                <w:lang w:val="en-US" w:eastAsia="zh-CN"/>
              </w:rPr>
              <w:t>0.15</w:t>
            </w:r>
            <w:r>
              <w:rPr>
                <w:rFonts w:hint="eastAsia"/>
                <w:b w:val="0"/>
                <w:bCs w:val="0"/>
                <w:color w:val="auto"/>
                <w:sz w:val="24"/>
                <w:szCs w:val="24"/>
              </w:rPr>
              <w:t>+1</w:t>
            </w:r>
            <w:r>
              <w:rPr>
                <w:rFonts w:hint="eastAsia"/>
                <w:b w:val="0"/>
                <w:bCs w:val="0"/>
                <w:color w:val="auto"/>
                <w:sz w:val="24"/>
                <w:szCs w:val="24"/>
                <w:lang w:val="en-US" w:eastAsia="zh-CN"/>
              </w:rPr>
              <w:t>44</w:t>
            </w:r>
            <w:r>
              <w:rPr>
                <w:rFonts w:hint="eastAsia"/>
                <w:b w:val="0"/>
                <w:bCs w:val="0"/>
                <w:color w:val="auto"/>
                <w:sz w:val="24"/>
                <w:szCs w:val="24"/>
              </w:rPr>
              <w:t>-</w:t>
            </w:r>
            <w:r>
              <w:rPr>
                <w:rFonts w:hint="eastAsia"/>
                <w:b w:val="0"/>
                <w:bCs w:val="0"/>
                <w:color w:val="auto"/>
                <w:sz w:val="24"/>
                <w:szCs w:val="24"/>
                <w:lang w:val="en-US" w:eastAsia="zh-CN"/>
              </w:rPr>
              <w:t>80</w:t>
            </w:r>
            <w:r>
              <w:rPr>
                <w:rFonts w:hint="eastAsia"/>
                <w:b w:val="0"/>
                <w:bCs w:val="0"/>
                <w:color w:val="auto"/>
                <w:sz w:val="24"/>
                <w:szCs w:val="24"/>
              </w:rPr>
              <w:t>）+0+</w:t>
            </w:r>
            <w:r>
              <w:rPr>
                <w:rFonts w:hint="eastAsia"/>
                <w:b w:val="0"/>
                <w:bCs w:val="0"/>
                <w:color w:val="auto"/>
                <w:sz w:val="24"/>
                <w:szCs w:val="24"/>
                <w:lang w:val="en-US" w:eastAsia="zh-CN"/>
              </w:rPr>
              <w:t>9</w:t>
            </w:r>
            <w:r>
              <w:rPr>
                <w:rFonts w:hint="eastAsia"/>
                <w:b w:val="0"/>
                <w:bCs w:val="0"/>
                <w:color w:val="auto"/>
                <w:sz w:val="24"/>
                <w:szCs w:val="24"/>
              </w:rPr>
              <w:t>=</w:t>
            </w:r>
            <w:r>
              <w:rPr>
                <w:rFonts w:hint="eastAsia"/>
                <w:b w:val="0"/>
                <w:bCs w:val="0"/>
                <w:color w:val="auto"/>
                <w:sz w:val="24"/>
                <w:szCs w:val="24"/>
                <w:lang w:val="en-US" w:eastAsia="zh-CN"/>
              </w:rPr>
              <w:t>73.15</w:t>
            </w:r>
            <w:r>
              <w:rPr>
                <w:rFonts w:hint="eastAsia"/>
                <w:b w:val="0"/>
                <w:bCs w:val="0"/>
                <w:color w:val="auto"/>
                <w:sz w:val="24"/>
                <w:szCs w:val="24"/>
              </w:rPr>
              <w:t>m</w:t>
            </w:r>
            <w:r>
              <w:rPr>
                <w:rFonts w:hint="eastAsia"/>
                <w:b w:val="0"/>
                <w:bCs w:val="0"/>
                <w:color w:val="auto"/>
                <w:sz w:val="24"/>
                <w:szCs w:val="24"/>
                <w:vertAlign w:val="superscript"/>
              </w:rPr>
              <w:t>3</w:t>
            </w:r>
          </w:p>
          <w:p w14:paraId="65A6941C">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b w:val="0"/>
                <w:bCs w:val="0"/>
                <w:color w:val="auto"/>
                <w:sz w:val="24"/>
                <w:szCs w:val="24"/>
              </w:rPr>
            </w:pPr>
            <w:r>
              <w:rPr>
                <w:rFonts w:hint="eastAsia"/>
                <w:b w:val="0"/>
                <w:bCs w:val="0"/>
                <w:color w:val="auto"/>
                <w:sz w:val="24"/>
                <w:szCs w:val="24"/>
              </w:rPr>
              <w:t>综上所述，本项目事故废水池容积应不小于</w:t>
            </w:r>
            <w:r>
              <w:rPr>
                <w:rFonts w:hint="eastAsia"/>
                <w:b w:val="0"/>
                <w:bCs w:val="0"/>
                <w:color w:val="auto"/>
                <w:sz w:val="24"/>
                <w:szCs w:val="24"/>
                <w:lang w:val="en-US" w:eastAsia="zh-CN"/>
              </w:rPr>
              <w:t>73.15</w:t>
            </w:r>
            <w:r>
              <w:rPr>
                <w:rFonts w:hint="eastAsia"/>
                <w:b w:val="0"/>
                <w:bCs w:val="0"/>
                <w:color w:val="auto"/>
                <w:sz w:val="24"/>
                <w:szCs w:val="24"/>
              </w:rPr>
              <w:t>m</w:t>
            </w:r>
            <w:r>
              <w:rPr>
                <w:rFonts w:hint="eastAsia"/>
                <w:b w:val="0"/>
                <w:bCs w:val="0"/>
                <w:color w:val="auto"/>
                <w:sz w:val="24"/>
                <w:szCs w:val="24"/>
                <w:vertAlign w:val="superscript"/>
              </w:rPr>
              <w:t>3</w:t>
            </w:r>
            <w:r>
              <w:rPr>
                <w:rFonts w:hint="eastAsia"/>
                <w:b w:val="0"/>
                <w:bCs w:val="0"/>
                <w:color w:val="auto"/>
                <w:sz w:val="24"/>
                <w:szCs w:val="24"/>
              </w:rPr>
              <w:t>。</w:t>
            </w:r>
            <w:r>
              <w:rPr>
                <w:rFonts w:hint="eastAsia"/>
                <w:b w:val="0"/>
                <w:bCs w:val="0"/>
                <w:color w:val="auto"/>
                <w:sz w:val="24"/>
                <w:szCs w:val="24"/>
                <w:lang w:val="en-US" w:eastAsia="zh-CN"/>
              </w:rPr>
              <w:t>园区已建设一个210</w:t>
            </w:r>
            <w:r>
              <w:rPr>
                <w:rFonts w:hint="eastAsia"/>
                <w:b w:val="0"/>
                <w:bCs w:val="0"/>
                <w:color w:val="auto"/>
                <w:sz w:val="24"/>
                <w:szCs w:val="24"/>
              </w:rPr>
              <w:t>m</w:t>
            </w:r>
            <w:r>
              <w:rPr>
                <w:rFonts w:hint="eastAsia"/>
                <w:b w:val="0"/>
                <w:bCs w:val="0"/>
                <w:color w:val="auto"/>
                <w:sz w:val="24"/>
                <w:szCs w:val="24"/>
                <w:vertAlign w:val="superscript"/>
              </w:rPr>
              <w:t>3</w:t>
            </w:r>
            <w:r>
              <w:rPr>
                <w:rFonts w:hint="eastAsia"/>
                <w:b w:val="0"/>
                <w:bCs w:val="0"/>
                <w:color w:val="auto"/>
                <w:sz w:val="24"/>
                <w:szCs w:val="24"/>
                <w:lang w:val="en-US" w:eastAsia="zh-CN"/>
              </w:rPr>
              <w:t>的事故废水池，</w:t>
            </w:r>
            <w:r>
              <w:rPr>
                <w:rFonts w:hint="eastAsia"/>
                <w:b w:val="0"/>
                <w:bCs w:val="0"/>
                <w:color w:val="auto"/>
                <w:sz w:val="24"/>
                <w:szCs w:val="24"/>
              </w:rPr>
              <w:t>根据计算结果，能够满足事故状态下事故废水的收集，并配备</w:t>
            </w:r>
            <w:r>
              <w:rPr>
                <w:rFonts w:hint="eastAsia"/>
                <w:b w:val="0"/>
                <w:bCs w:val="0"/>
                <w:color w:val="auto"/>
                <w:sz w:val="24"/>
                <w:szCs w:val="24"/>
                <w:lang w:val="en-US" w:eastAsia="zh-CN"/>
              </w:rPr>
              <w:t>阀门</w:t>
            </w:r>
            <w:r>
              <w:rPr>
                <w:rFonts w:hint="eastAsia"/>
                <w:b w:val="0"/>
                <w:bCs w:val="0"/>
                <w:color w:val="auto"/>
                <w:sz w:val="24"/>
                <w:szCs w:val="24"/>
              </w:rPr>
              <w:t>、与雨水口相连通的应急管线</w:t>
            </w:r>
            <w:r>
              <w:rPr>
                <w:rFonts w:hint="eastAsia"/>
                <w:b w:val="0"/>
                <w:bCs w:val="0"/>
                <w:color w:val="auto"/>
                <w:sz w:val="24"/>
                <w:szCs w:val="24"/>
                <w:lang w:eastAsia="zh-CN"/>
              </w:rPr>
              <w:t>、</w:t>
            </w:r>
            <w:r>
              <w:rPr>
                <w:rFonts w:hint="eastAsia"/>
                <w:b w:val="0"/>
                <w:bCs w:val="0"/>
                <w:color w:val="auto"/>
                <w:sz w:val="24"/>
                <w:szCs w:val="24"/>
                <w:lang w:val="en-US" w:eastAsia="zh-CN"/>
              </w:rPr>
              <w:t>雨水排放口切断阀</w:t>
            </w:r>
            <w:r>
              <w:rPr>
                <w:rFonts w:hint="eastAsia"/>
                <w:b w:val="0"/>
                <w:bCs w:val="0"/>
                <w:color w:val="auto"/>
                <w:sz w:val="24"/>
                <w:szCs w:val="24"/>
              </w:rPr>
              <w:t>等应急措施，确保事故时的消防废水、泄漏废液能进入该水池储存，不排入外环境。</w:t>
            </w:r>
          </w:p>
          <w:p w14:paraId="32835340">
            <w:pPr>
              <w:snapToGrid w:val="0"/>
              <w:ind w:firstLine="42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9</w:t>
            </w:r>
            <w:r>
              <w:rPr>
                <w:rFonts w:hint="eastAsia" w:ascii="Times New Roman" w:hAnsi="Times New Roman" w:eastAsia="宋体" w:cs="Times New Roman"/>
                <w:color w:val="auto"/>
                <w:sz w:val="24"/>
                <w:szCs w:val="24"/>
                <w:lang w:val="en-US" w:eastAsia="zh-CN"/>
              </w:rPr>
              <w:t>）三级防控体系</w:t>
            </w:r>
          </w:p>
          <w:p w14:paraId="3386597F">
            <w:pPr>
              <w:snapToGrid w:val="0"/>
              <w:ind w:firstLine="42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根据《建设项目环境风险评价技术导则》（HJ169-2018），事故废水环境风险防范采取“单元-厂区-园区/区域”的三级防控措施，杜绝环境风险事故造成污染事件，将环境风险事故排水及污染物控制在厂区内。</w:t>
            </w:r>
          </w:p>
          <w:p w14:paraId="612DC1EE">
            <w:pPr>
              <w:snapToGrid w:val="0"/>
              <w:ind w:firstLine="42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一级防控措施将污染物控制在生产区风险单元；二级防控是将污染物控制在厂区；三级防控将污染物控制在区域内，确保生产非正常状态下不发生污染事件。具体设计要求如下：</w:t>
            </w:r>
          </w:p>
          <w:p w14:paraId="27C31F58">
            <w:pPr>
              <w:snapToGrid w:val="0"/>
              <w:ind w:firstLine="42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A.一级防控：厂区各风险单元如车间中的</w:t>
            </w:r>
            <w:r>
              <w:rPr>
                <w:rFonts w:hint="eastAsia" w:ascii="Times New Roman" w:hAnsi="Times New Roman" w:eastAsia="宋体" w:cs="Times New Roman"/>
                <w:color w:val="auto"/>
                <w:sz w:val="24"/>
                <w:szCs w:val="24"/>
                <w:highlight w:val="none"/>
                <w:lang w:val="en-US" w:eastAsia="zh-CN"/>
              </w:rPr>
              <w:t>清洗区</w:t>
            </w:r>
            <w:r>
              <w:rPr>
                <w:rFonts w:hint="eastAsia" w:cs="Times New Roman"/>
                <w:color w:val="auto"/>
                <w:sz w:val="24"/>
                <w:szCs w:val="24"/>
                <w:highlight w:val="none"/>
                <w:lang w:val="en-US" w:eastAsia="zh-CN"/>
              </w:rPr>
              <w:t>、抛光区、电火花区、打印区</w:t>
            </w:r>
            <w:r>
              <w:rPr>
                <w:rFonts w:hint="eastAsia" w:ascii="Times New Roman" w:hAnsi="Times New Roman" w:eastAsia="宋体" w:cs="Times New Roman"/>
                <w:color w:val="auto"/>
                <w:sz w:val="24"/>
                <w:szCs w:val="24"/>
                <w:lang w:val="en-US" w:eastAsia="zh-CN"/>
              </w:rPr>
              <w:t>地面防腐、防渗，防止泄漏污染地面；危废仓库内部地面防腐、防渗，设置托盘导流沟和收集槽等，一旦发生泄漏，泄漏物料可通过导流沟收集进入收集槽；厂区落实岗位责任制，生产期间各风险单元均需有工作人员进行巡视。</w:t>
            </w:r>
          </w:p>
          <w:p w14:paraId="43418123">
            <w:pPr>
              <w:snapToGrid w:val="0"/>
              <w:ind w:firstLine="42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B.二级防控：</w:t>
            </w:r>
            <w:r>
              <w:rPr>
                <w:rFonts w:hint="eastAsia" w:cs="Times New Roman"/>
                <w:color w:val="auto"/>
                <w:sz w:val="24"/>
                <w:szCs w:val="24"/>
                <w:lang w:val="en-US" w:eastAsia="zh-CN"/>
              </w:rPr>
              <w:t>园区</w:t>
            </w:r>
            <w:r>
              <w:rPr>
                <w:rFonts w:hint="eastAsia" w:ascii="Times New Roman" w:hAnsi="Times New Roman" w:eastAsia="宋体" w:cs="Times New Roman"/>
                <w:color w:val="auto"/>
                <w:sz w:val="24"/>
                <w:szCs w:val="24"/>
                <w:lang w:val="en-US" w:eastAsia="zh-CN"/>
              </w:rPr>
              <w:t>内</w:t>
            </w:r>
            <w:r>
              <w:rPr>
                <w:rFonts w:hint="eastAsia" w:cs="Times New Roman"/>
                <w:color w:val="auto"/>
                <w:sz w:val="24"/>
                <w:szCs w:val="24"/>
                <w:lang w:val="en-US" w:eastAsia="zh-CN"/>
              </w:rPr>
              <w:t>已</w:t>
            </w:r>
            <w:r>
              <w:rPr>
                <w:rFonts w:hint="eastAsia" w:ascii="Times New Roman" w:hAnsi="Times New Roman" w:eastAsia="宋体" w:cs="Times New Roman"/>
                <w:color w:val="auto"/>
                <w:sz w:val="24"/>
                <w:szCs w:val="24"/>
                <w:lang w:val="en-US" w:eastAsia="zh-CN"/>
              </w:rPr>
              <w:t>建设1个</w:t>
            </w:r>
            <w:r>
              <w:rPr>
                <w:rFonts w:hint="eastAsia" w:cs="Times New Roman"/>
                <w:color w:val="auto"/>
                <w:sz w:val="24"/>
                <w:szCs w:val="24"/>
                <w:lang w:val="en-US" w:eastAsia="zh-CN"/>
              </w:rPr>
              <w:t>21</w:t>
            </w:r>
            <w:r>
              <w:rPr>
                <w:rFonts w:hint="eastAsia" w:ascii="Times New Roman" w:hAnsi="Times New Roman" w:eastAsia="宋体" w:cs="Times New Roman"/>
                <w:color w:val="auto"/>
                <w:sz w:val="24"/>
                <w:szCs w:val="24"/>
                <w:lang w:val="en-US" w:eastAsia="zh-CN"/>
              </w:rPr>
              <w:t>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的事故应急池，能够满足事故状态下事故废水的收集。一旦发生事故，立即</w:t>
            </w:r>
            <w:r>
              <w:rPr>
                <w:rFonts w:hint="eastAsia" w:cs="Times New Roman"/>
                <w:color w:val="auto"/>
                <w:sz w:val="24"/>
                <w:szCs w:val="24"/>
                <w:lang w:val="en-US" w:eastAsia="zh-CN"/>
              </w:rPr>
              <w:t>联系园区负责人</w:t>
            </w:r>
            <w:r>
              <w:rPr>
                <w:rFonts w:hint="eastAsia" w:ascii="Times New Roman" w:hAnsi="Times New Roman" w:eastAsia="宋体" w:cs="Times New Roman"/>
                <w:color w:val="auto"/>
                <w:sz w:val="24"/>
                <w:szCs w:val="24"/>
                <w:lang w:val="en-US" w:eastAsia="zh-CN"/>
              </w:rPr>
              <w:t>关闭雨水阀门，打开应急事故池阀门；消防废水、污染雨水、泄漏物料经雨水管网收集进入事故应急池，利用与事故应急池连接的雨水管网使事故废水流入事故应急池内，企业再根据事件消防水性质接污水管排放或委托有资质单位处理。</w:t>
            </w:r>
          </w:p>
          <w:p w14:paraId="587A37D4">
            <w:pPr>
              <w:snapToGrid w:val="0"/>
              <w:ind w:firstLine="42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C.三级防控：若未及时收集，消防废水或泄漏物料通过雨水管网流到厂外，立即关闭厂区雨水排放口阀门，同时上报企业应急管理机构，迅速向上级管理部门报告并请求外部增援。</w:t>
            </w:r>
          </w:p>
          <w:p w14:paraId="3A3F2AC5">
            <w:pPr>
              <w:snapToGrid w:val="0"/>
              <w:ind w:firstLine="42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企业应急管理机构接到通知后第一时间携应急物资赶赴现场进行应急处置，同时寻求园区及外部互助单位援助，使用堵漏工具对厂区雨水排放口进行封堵，构筑围堤、造坑导流、挖坑收容，避免事故废水进入市政雨水管网；就地投加药剂处置，降低危险性；启动应急设施，收集事故废水，利用厂区及周边企业事故应急池、槽车或专用收集池等进行暂存。若事故废水不慎进入河流，相关管理部门应立即启动园区/区域环境风险防控措施：关闭关联河道闸阀；视情况在污染区上、下游使用拦污索或筑坝拦截污染物，阻隔污染物进一步扩散至附近水体；投加活性炭等吸附材料，就地投加药剂处置，或将污染水抽至安全地方处置。同时根据泄漏液特性进行泄漏液收集、开展河水上下游的水质监测。</w:t>
            </w:r>
          </w:p>
          <w:p w14:paraId="2A9FD357">
            <w:pPr>
              <w:snapToGrid w:val="0"/>
              <w:ind w:firstLine="420"/>
              <w:rPr>
                <w:rFonts w:hint="eastAsia"/>
                <w:color w:val="auto"/>
                <w:lang w:val="en-US" w:eastAsia="zh-CN"/>
              </w:rPr>
            </w:pPr>
            <w:r>
              <w:rPr>
                <w:rFonts w:hint="eastAsia" w:ascii="Times New Roman" w:hAnsi="Times New Roman" w:eastAsia="宋体" w:cs="Times New Roman"/>
                <w:color w:val="auto"/>
                <w:sz w:val="24"/>
                <w:szCs w:val="24"/>
                <w:lang w:val="en-US" w:eastAsia="zh-CN"/>
              </w:rPr>
              <w:t>三级防控体系能确保事故状态下的泄漏物料、消防废水等全部处于受控状态，实现对事故废水源头、过程和终端的预防和控制，使环境风险可控，降低对厂区外界环境造成的影响。</w:t>
            </w:r>
            <w:r>
              <w:rPr>
                <w:rFonts w:hint="eastAsia"/>
                <w:color w:val="auto"/>
                <w:lang w:val="en-US" w:eastAsia="zh-CN"/>
              </w:rPr>
              <w:t xml:space="preserve">       </w:t>
            </w:r>
          </w:p>
          <w:p w14:paraId="1DDBEB87">
            <w:pPr>
              <w:adjustRightInd w:val="0"/>
              <w:snapToGrid w:val="0"/>
              <w:ind w:firstLine="0" w:firstLineChars="0"/>
              <w:jc w:val="left"/>
              <w:rPr>
                <w:b/>
                <w:bCs/>
                <w:color w:val="auto"/>
                <w:sz w:val="24"/>
                <w:szCs w:val="24"/>
              </w:rPr>
            </w:pPr>
            <w:r>
              <w:rPr>
                <w:b/>
                <w:bCs/>
                <w:color w:val="auto"/>
                <w:sz w:val="24"/>
                <w:szCs w:val="24"/>
              </w:rPr>
              <w:t>7.</w:t>
            </w:r>
            <w:r>
              <w:rPr>
                <w:rFonts w:hint="eastAsia"/>
                <w:b/>
                <w:bCs/>
                <w:color w:val="auto"/>
                <w:sz w:val="24"/>
                <w:szCs w:val="24"/>
              </w:rPr>
              <w:t>5环境应急管理制度</w:t>
            </w:r>
          </w:p>
          <w:p w14:paraId="78419B9E">
            <w:pPr>
              <w:ind w:firstLine="420"/>
              <w:jc w:val="left"/>
              <w:rPr>
                <w:b/>
                <w:bCs/>
                <w:color w:val="auto"/>
                <w:sz w:val="24"/>
                <w:szCs w:val="24"/>
              </w:rPr>
            </w:pPr>
            <w:r>
              <w:rPr>
                <w:rFonts w:hint="eastAsia"/>
                <w:color w:val="auto"/>
                <w:sz w:val="24"/>
                <w:szCs w:val="24"/>
              </w:rPr>
              <w:t>①突发环境事件应急预案</w:t>
            </w:r>
          </w:p>
          <w:p w14:paraId="3C2E9CF6">
            <w:pPr>
              <w:snapToGrid w:val="0"/>
              <w:ind w:firstLine="420"/>
              <w:rPr>
                <w:rFonts w:hint="eastAsia"/>
                <w:color w:val="auto"/>
                <w:sz w:val="24"/>
                <w:szCs w:val="24"/>
              </w:rPr>
            </w:pPr>
            <w:r>
              <w:rPr>
                <w:color w:val="auto"/>
                <w:sz w:val="24"/>
                <w:szCs w:val="24"/>
              </w:rPr>
              <w:t>本项目建成后</w:t>
            </w:r>
            <w:r>
              <w:rPr>
                <w:rFonts w:hint="eastAsia"/>
                <w:color w:val="auto"/>
                <w:sz w:val="24"/>
                <w:szCs w:val="24"/>
              </w:rPr>
              <w:t>，</w:t>
            </w:r>
            <w:r>
              <w:rPr>
                <w:color w:val="auto"/>
                <w:sz w:val="24"/>
                <w:szCs w:val="24"/>
              </w:rPr>
              <w:t>建设单</w:t>
            </w:r>
            <w:r>
              <w:rPr>
                <w:rFonts w:hint="eastAsia"/>
                <w:color w:val="auto"/>
                <w:sz w:val="24"/>
                <w:szCs w:val="24"/>
                <w:lang w:eastAsia="zh-CN"/>
              </w:rPr>
              <w:t>位在</w:t>
            </w:r>
            <w:r>
              <w:rPr>
                <w:color w:val="auto"/>
                <w:sz w:val="24"/>
                <w:szCs w:val="24"/>
              </w:rPr>
              <w:t>试生产前须按照</w:t>
            </w:r>
            <w:r>
              <w:rPr>
                <w:rFonts w:hint="eastAsia"/>
                <w:color w:val="auto"/>
                <w:sz w:val="24"/>
                <w:szCs w:val="24"/>
              </w:rPr>
              <w:t>江苏省地方标准</w:t>
            </w:r>
            <w:r>
              <w:rPr>
                <w:color w:val="auto"/>
                <w:sz w:val="24"/>
                <w:szCs w:val="24"/>
              </w:rPr>
              <w:t>《</w:t>
            </w:r>
            <w:r>
              <w:rPr>
                <w:rFonts w:hint="eastAsia"/>
                <w:color w:val="auto"/>
                <w:sz w:val="24"/>
                <w:szCs w:val="24"/>
              </w:rPr>
              <w:t>企事业单位和工业园区突发环境事件应急预案编制导则（DB32/3795-2020）</w:t>
            </w:r>
            <w:r>
              <w:rPr>
                <w:color w:val="auto"/>
                <w:sz w:val="24"/>
                <w:szCs w:val="24"/>
              </w:rPr>
              <w:t>》的要求编制环境风险事故应急预案，并定期组织学习事故应急预案和演练，根据演习情况结合实际对预案进行适当修改。应急队伍要进行专业培训，并要有培训记录和档案。同时，加强各应急救援专业队伍的建设，配有相应器材并确保设备性能完好。一旦风险事故发生，立即启动应急预案，应急指挥系统就位，保证通讯畅通，深入现场，迅速准确报警和通知相关部门，请求应急救援，防止事故扩大，迅速遏制泄漏物进入环境。</w:t>
            </w:r>
          </w:p>
          <w:p w14:paraId="025965BB">
            <w:pPr>
              <w:snapToGrid w:val="0"/>
              <w:ind w:firstLine="420"/>
              <w:rPr>
                <w:rFonts w:hint="eastAsia"/>
                <w:color w:val="auto"/>
                <w:sz w:val="24"/>
                <w:szCs w:val="24"/>
              </w:rPr>
            </w:pPr>
            <w:r>
              <w:rPr>
                <w:rFonts w:hint="eastAsia"/>
                <w:color w:val="auto"/>
                <w:sz w:val="24"/>
                <w:szCs w:val="24"/>
              </w:rPr>
              <w:t>本项目的应急预案应与</w:t>
            </w:r>
            <w:r>
              <w:rPr>
                <w:rFonts w:hint="eastAsia"/>
                <w:color w:val="auto"/>
                <w:sz w:val="24"/>
                <w:szCs w:val="24"/>
                <w:lang w:val="en-US" w:eastAsia="zh-CN"/>
              </w:rPr>
              <w:t>金坛区</w:t>
            </w:r>
            <w:r>
              <w:rPr>
                <w:rFonts w:hint="eastAsia"/>
                <w:color w:val="auto"/>
                <w:sz w:val="24"/>
                <w:szCs w:val="24"/>
              </w:rPr>
              <w:t>突发环境事故应急预案相联动，按照“企业自救、属地为主”的原则，一旦发生环境污染事故，企业可立即进行自救，采取一切措施控制事态发展，并及时向地方人民政府报告，超出本企业应急处理能力时，应启动上一级预案，由地方政府动用社会应急救援力量，实行分级管理、分级响应和联动，充分发挥地方政府职能作用和各部门的专业优势，加强各部门的协同和合作，提高快速应对能力。</w:t>
            </w:r>
          </w:p>
          <w:p w14:paraId="797C1A22">
            <w:pPr>
              <w:ind w:firstLine="420"/>
              <w:jc w:val="left"/>
              <w:rPr>
                <w:rFonts w:hint="eastAsia"/>
                <w:color w:val="auto"/>
                <w:sz w:val="24"/>
                <w:szCs w:val="24"/>
              </w:rPr>
            </w:pPr>
            <w:r>
              <w:rPr>
                <w:rFonts w:hint="eastAsia"/>
                <w:color w:val="auto"/>
                <w:sz w:val="24"/>
                <w:szCs w:val="24"/>
              </w:rPr>
              <w:t>②应急监测计划</w:t>
            </w:r>
          </w:p>
          <w:p w14:paraId="42B8C35A">
            <w:pPr>
              <w:snapToGrid w:val="0"/>
              <w:ind w:firstLine="420"/>
              <w:rPr>
                <w:rFonts w:hint="eastAsia"/>
                <w:color w:val="auto"/>
                <w:sz w:val="24"/>
                <w:szCs w:val="24"/>
              </w:rPr>
            </w:pPr>
            <w:r>
              <w:rPr>
                <w:rFonts w:hint="eastAsia"/>
                <w:color w:val="auto"/>
                <w:sz w:val="24"/>
                <w:szCs w:val="24"/>
              </w:rPr>
              <w:t>突发环境事件时，应急响应机构应迅速通知环境检测机构相关监测人员赶赴现场，根据事件的实际情况，迅速确定监测方案，及时开展应急监测工作，在尽可能短的时间内作出判断，以便对事件及时正确进行处理。</w:t>
            </w:r>
          </w:p>
          <w:p w14:paraId="0610046A">
            <w:pPr>
              <w:snapToGrid w:val="0"/>
              <w:ind w:firstLine="420"/>
              <w:rPr>
                <w:rFonts w:hint="eastAsia"/>
                <w:color w:val="auto"/>
                <w:sz w:val="24"/>
                <w:szCs w:val="24"/>
              </w:rPr>
            </w:pPr>
            <w:r>
              <w:rPr>
                <w:rFonts w:hint="eastAsia"/>
                <w:color w:val="auto"/>
                <w:sz w:val="24"/>
                <w:szCs w:val="24"/>
              </w:rPr>
              <w:t>事故发生后，应针对不同事故类型，因地制宜开展应急监测，监测频次可根据事故持续时间等确定：</w:t>
            </w:r>
          </w:p>
          <w:p w14:paraId="48E08CEB">
            <w:pPr>
              <w:snapToGrid w:val="0"/>
              <w:ind w:firstLine="420"/>
              <w:rPr>
                <w:rFonts w:hint="eastAsia"/>
                <w:color w:val="auto"/>
                <w:sz w:val="24"/>
                <w:szCs w:val="24"/>
              </w:rPr>
            </w:pPr>
            <w:r>
              <w:rPr>
                <w:rFonts w:hint="eastAsia"/>
                <w:color w:val="auto"/>
                <w:sz w:val="24"/>
                <w:szCs w:val="24"/>
              </w:rPr>
              <w:t>烟气处理系统事故故障：可对烟气排气筒各排放因子进行监测。并设置厂界无组织废气监控点，监测</w:t>
            </w:r>
            <w:r>
              <w:rPr>
                <w:color w:val="auto"/>
                <w:sz w:val="24"/>
                <w:szCs w:val="24"/>
              </w:rPr>
              <w:t>颗粒物</w:t>
            </w:r>
            <w:r>
              <w:rPr>
                <w:rFonts w:hint="eastAsia"/>
                <w:color w:val="auto"/>
                <w:sz w:val="24"/>
                <w:szCs w:val="24"/>
              </w:rPr>
              <w:t>、</w:t>
            </w:r>
            <w:r>
              <w:rPr>
                <w:color w:val="auto"/>
                <w:sz w:val="24"/>
                <w:szCs w:val="24"/>
              </w:rPr>
              <w:t>非甲烷总烃</w:t>
            </w:r>
            <w:r>
              <w:rPr>
                <w:rFonts w:hint="eastAsia"/>
                <w:color w:val="auto"/>
                <w:sz w:val="24"/>
                <w:szCs w:val="24"/>
                <w:lang w:eastAsia="zh-CN"/>
              </w:rPr>
              <w:t>、苯乙烯</w:t>
            </w:r>
            <w:r>
              <w:rPr>
                <w:rFonts w:hint="eastAsia"/>
                <w:color w:val="auto"/>
                <w:sz w:val="24"/>
                <w:szCs w:val="24"/>
                <w:lang w:val="en-US" w:eastAsia="zh-CN"/>
              </w:rPr>
              <w:t>、1,3-丁二烯</w:t>
            </w:r>
            <w:r>
              <w:rPr>
                <w:rFonts w:hint="eastAsia"/>
                <w:color w:val="auto"/>
                <w:sz w:val="24"/>
                <w:szCs w:val="24"/>
                <w:lang w:eastAsia="zh-CN"/>
              </w:rPr>
              <w:t>、丙烯腈、甲苯、乙苯、氯苯类、酚类、</w:t>
            </w:r>
            <w:r>
              <w:rPr>
                <w:rFonts w:hint="eastAsia"/>
                <w:color w:val="auto"/>
                <w:sz w:val="24"/>
                <w:szCs w:val="24"/>
                <w:lang w:val="en-US" w:eastAsia="zh-CN"/>
              </w:rPr>
              <w:t>二氯甲烷等</w:t>
            </w:r>
            <w:r>
              <w:rPr>
                <w:rFonts w:hint="eastAsia"/>
                <w:color w:val="auto"/>
                <w:sz w:val="24"/>
                <w:szCs w:val="24"/>
              </w:rPr>
              <w:t>。</w:t>
            </w:r>
          </w:p>
          <w:p w14:paraId="4784C25E">
            <w:pPr>
              <w:snapToGrid w:val="0"/>
              <w:ind w:firstLine="420"/>
              <w:rPr>
                <w:rFonts w:hint="eastAsia"/>
                <w:color w:val="auto"/>
                <w:sz w:val="24"/>
                <w:szCs w:val="24"/>
              </w:rPr>
            </w:pPr>
            <w:r>
              <w:rPr>
                <w:rFonts w:hint="eastAsia"/>
                <w:color w:val="auto"/>
                <w:sz w:val="24"/>
                <w:szCs w:val="24"/>
              </w:rPr>
              <w:t>火灾事故：监控周围环境空气，监测</w:t>
            </w:r>
            <w:r>
              <w:rPr>
                <w:color w:val="auto"/>
                <w:sz w:val="24"/>
                <w:szCs w:val="24"/>
              </w:rPr>
              <w:t>颗粒物</w:t>
            </w:r>
            <w:r>
              <w:rPr>
                <w:rFonts w:hint="eastAsia"/>
                <w:color w:val="auto"/>
                <w:sz w:val="24"/>
                <w:szCs w:val="24"/>
              </w:rPr>
              <w:t>、</w:t>
            </w:r>
            <w:r>
              <w:rPr>
                <w:color w:val="auto"/>
                <w:sz w:val="24"/>
                <w:szCs w:val="24"/>
              </w:rPr>
              <w:t>非甲烷总烃</w:t>
            </w:r>
            <w:r>
              <w:rPr>
                <w:rFonts w:hint="eastAsia"/>
                <w:color w:val="auto"/>
                <w:sz w:val="24"/>
                <w:szCs w:val="24"/>
                <w:lang w:val="en-US" w:eastAsia="zh-CN"/>
              </w:rPr>
              <w:t>等</w:t>
            </w:r>
            <w:r>
              <w:rPr>
                <w:rFonts w:hint="eastAsia"/>
                <w:color w:val="auto"/>
                <w:sz w:val="24"/>
                <w:szCs w:val="24"/>
              </w:rPr>
              <w:t>。</w:t>
            </w:r>
          </w:p>
          <w:p w14:paraId="39E9D455">
            <w:pPr>
              <w:snapToGrid w:val="0"/>
              <w:ind w:firstLine="420"/>
              <w:rPr>
                <w:rFonts w:hint="eastAsia"/>
                <w:color w:val="auto"/>
                <w:sz w:val="24"/>
                <w:szCs w:val="24"/>
                <w:lang w:eastAsia="zh-CN"/>
              </w:rPr>
            </w:pPr>
            <w:r>
              <w:rPr>
                <w:rFonts w:hint="eastAsia"/>
                <w:color w:val="auto"/>
                <w:sz w:val="24"/>
                <w:szCs w:val="24"/>
              </w:rPr>
              <w:t>危废泄漏事故等：应对厂区内废物贮存场所或其他泄漏处附近地下水和土壤进行监测</w:t>
            </w:r>
            <w:r>
              <w:rPr>
                <w:rFonts w:hint="eastAsia"/>
                <w:color w:val="auto"/>
                <w:sz w:val="24"/>
                <w:szCs w:val="24"/>
                <w:lang w:eastAsia="zh-CN"/>
              </w:rPr>
              <w:t>。</w:t>
            </w:r>
          </w:p>
          <w:p w14:paraId="1A9B6B86">
            <w:pPr>
              <w:snapToGrid w:val="0"/>
              <w:ind w:firstLine="420"/>
              <w:rPr>
                <w:color w:val="auto"/>
                <w:sz w:val="24"/>
                <w:szCs w:val="24"/>
              </w:rPr>
            </w:pPr>
            <w:r>
              <w:rPr>
                <w:rFonts w:hint="eastAsia"/>
                <w:color w:val="auto"/>
                <w:sz w:val="24"/>
                <w:szCs w:val="24"/>
              </w:rPr>
              <w:t>③</w:t>
            </w:r>
            <w:r>
              <w:rPr>
                <w:color w:val="auto"/>
                <w:sz w:val="24"/>
                <w:szCs w:val="24"/>
              </w:rPr>
              <w:t>风险应急物资配备</w:t>
            </w:r>
          </w:p>
          <w:p w14:paraId="021031FA">
            <w:pPr>
              <w:snapToGrid w:val="0"/>
              <w:ind w:firstLine="420"/>
              <w:rPr>
                <w:rFonts w:hint="eastAsia"/>
                <w:color w:val="auto"/>
                <w:sz w:val="24"/>
                <w:szCs w:val="24"/>
              </w:rPr>
            </w:pPr>
            <w:r>
              <w:rPr>
                <w:color w:val="auto"/>
                <w:sz w:val="24"/>
                <w:szCs w:val="24"/>
              </w:rPr>
              <w:t>工作人员需配备有防护服、劳保用品等</w:t>
            </w:r>
            <w:r>
              <w:rPr>
                <w:rFonts w:hint="eastAsia"/>
                <w:color w:val="auto"/>
                <w:sz w:val="24"/>
                <w:szCs w:val="24"/>
              </w:rPr>
              <w:t>，</w:t>
            </w:r>
            <w:r>
              <w:rPr>
                <w:color w:val="auto"/>
                <w:sz w:val="24"/>
                <w:szCs w:val="24"/>
              </w:rPr>
              <w:t>车间、仓库等场所应配置足量的灭火器</w:t>
            </w:r>
            <w:r>
              <w:rPr>
                <w:rFonts w:hint="eastAsia"/>
                <w:color w:val="auto"/>
                <w:sz w:val="24"/>
                <w:szCs w:val="24"/>
              </w:rPr>
              <w:t>，</w:t>
            </w:r>
            <w:r>
              <w:rPr>
                <w:color w:val="auto"/>
                <w:sz w:val="24"/>
                <w:szCs w:val="24"/>
              </w:rPr>
              <w:t>厂区周围和车间需有视频监控装置，厂区配备有足够的应急设施。应急物资应专人负责管理和维护</w:t>
            </w:r>
            <w:r>
              <w:rPr>
                <w:rFonts w:hint="eastAsia"/>
                <w:color w:val="auto"/>
                <w:sz w:val="24"/>
                <w:szCs w:val="24"/>
              </w:rPr>
              <w:t>，</w:t>
            </w:r>
            <w:r>
              <w:rPr>
                <w:color w:val="auto"/>
                <w:sz w:val="24"/>
                <w:szCs w:val="24"/>
              </w:rPr>
              <w:t>专物专用，除抢险救灾外，严禁挪作他用</w:t>
            </w:r>
            <w:r>
              <w:rPr>
                <w:rFonts w:hint="eastAsia"/>
                <w:color w:val="auto"/>
                <w:sz w:val="24"/>
                <w:szCs w:val="24"/>
              </w:rPr>
              <w:t>，</w:t>
            </w:r>
            <w:r>
              <w:rPr>
                <w:color w:val="auto"/>
                <w:sz w:val="24"/>
                <w:szCs w:val="24"/>
              </w:rPr>
              <w:t>消防器材要经常检查保养，定期更换药剂，定点摆放，便于取用</w:t>
            </w:r>
            <w:r>
              <w:rPr>
                <w:rFonts w:hint="eastAsia"/>
                <w:color w:val="auto"/>
                <w:sz w:val="24"/>
                <w:szCs w:val="24"/>
              </w:rPr>
              <w:t>，</w:t>
            </w:r>
            <w:r>
              <w:rPr>
                <w:color w:val="auto"/>
                <w:sz w:val="24"/>
                <w:szCs w:val="24"/>
              </w:rPr>
              <w:t>应急物资必须立标志牌，物资上下不得遮盖、堆放其他物品，保持通道畅通</w:t>
            </w:r>
            <w:r>
              <w:rPr>
                <w:rFonts w:hint="eastAsia"/>
                <w:color w:val="auto"/>
                <w:sz w:val="24"/>
                <w:szCs w:val="24"/>
              </w:rPr>
              <w:t>，并设立</w:t>
            </w:r>
            <w:r>
              <w:rPr>
                <w:color w:val="auto"/>
                <w:sz w:val="24"/>
                <w:szCs w:val="24"/>
              </w:rPr>
              <w:t>严禁烟花、污水排放口、一般固体废弃物、安全通道、灭火器及消防栓等主要警示牌。</w:t>
            </w:r>
            <w:r>
              <w:rPr>
                <w:rFonts w:hint="eastAsia"/>
                <w:color w:val="auto"/>
                <w:sz w:val="24"/>
                <w:szCs w:val="24"/>
              </w:rPr>
              <w:t>设立厂内急救指挥小组，并和当地事故应急救援部门建立正常联系，一旦出现事故能立刻采取有效救援措施。</w:t>
            </w:r>
          </w:p>
          <w:p w14:paraId="7256BF83">
            <w:pPr>
              <w:snapToGrid w:val="0"/>
              <w:ind w:firstLine="420"/>
              <w:rPr>
                <w:rFonts w:hint="eastAsia"/>
                <w:color w:val="auto"/>
                <w:sz w:val="24"/>
                <w:szCs w:val="24"/>
              </w:rPr>
            </w:pPr>
            <w:r>
              <w:rPr>
                <w:rFonts w:hint="eastAsia"/>
                <w:color w:val="auto"/>
                <w:sz w:val="24"/>
                <w:szCs w:val="24"/>
                <w:lang w:val="en-US" w:eastAsia="zh-CN"/>
              </w:rPr>
              <w:t>④</w:t>
            </w:r>
            <w:r>
              <w:rPr>
                <w:rFonts w:hint="eastAsia"/>
                <w:color w:val="auto"/>
                <w:sz w:val="24"/>
                <w:szCs w:val="24"/>
              </w:rPr>
              <w:t>应急管理培训、应急演练</w:t>
            </w:r>
          </w:p>
          <w:p w14:paraId="1D57693E">
            <w:pPr>
              <w:snapToGrid w:val="0"/>
              <w:ind w:firstLine="420"/>
              <w:rPr>
                <w:rFonts w:hint="eastAsia"/>
                <w:color w:val="auto"/>
                <w:sz w:val="24"/>
                <w:szCs w:val="24"/>
              </w:rPr>
            </w:pPr>
            <w:r>
              <w:rPr>
                <w:rFonts w:hint="eastAsia"/>
                <w:color w:val="auto"/>
                <w:sz w:val="24"/>
                <w:szCs w:val="24"/>
              </w:rPr>
              <w:t>每年至少进行一次全员应急管理培训，培训内容包括：事故预防、危险辨识、事故报告、应急响应、各类事故处置方案、基本救护常识、避灾避险、逃生自救等。</w:t>
            </w:r>
          </w:p>
          <w:p w14:paraId="4E0D2291">
            <w:pPr>
              <w:snapToGrid w:val="0"/>
              <w:ind w:firstLine="420"/>
              <w:rPr>
                <w:rFonts w:hint="eastAsia"/>
                <w:color w:val="auto"/>
                <w:sz w:val="24"/>
                <w:szCs w:val="24"/>
              </w:rPr>
            </w:pPr>
            <w:r>
              <w:rPr>
                <w:rFonts w:hint="eastAsia"/>
                <w:color w:val="auto"/>
                <w:sz w:val="24"/>
                <w:szCs w:val="24"/>
              </w:rPr>
              <w:t>根据年度应急演练计划，每年至少分别安排一次桌面演练和综合演练，强化职工应急意识，提高应急队伍的反应速度和实战能力。</w:t>
            </w:r>
          </w:p>
          <w:p w14:paraId="6C20FF94">
            <w:pPr>
              <w:adjustRightInd w:val="0"/>
              <w:snapToGrid w:val="0"/>
              <w:ind w:firstLine="0" w:firstLineChars="0"/>
              <w:jc w:val="left"/>
              <w:rPr>
                <w:b/>
                <w:bCs/>
                <w:color w:val="auto"/>
                <w:sz w:val="24"/>
                <w:szCs w:val="24"/>
              </w:rPr>
            </w:pPr>
            <w:r>
              <w:rPr>
                <w:rFonts w:hint="eastAsia"/>
                <w:b/>
                <w:bCs/>
                <w:color w:val="auto"/>
                <w:sz w:val="24"/>
                <w:szCs w:val="24"/>
              </w:rPr>
              <w:t>7.6环境风险结论</w:t>
            </w:r>
          </w:p>
          <w:p w14:paraId="3824142D">
            <w:pPr>
              <w:snapToGrid w:val="0"/>
              <w:ind w:firstLine="420"/>
              <w:rPr>
                <w:rFonts w:hint="eastAsia"/>
                <w:color w:val="auto"/>
                <w:sz w:val="24"/>
                <w:szCs w:val="24"/>
              </w:rPr>
            </w:pPr>
            <w:r>
              <w:rPr>
                <w:rFonts w:hint="eastAsia"/>
                <w:color w:val="auto"/>
                <w:sz w:val="24"/>
                <w:szCs w:val="24"/>
              </w:rPr>
              <w:t>一般情况下，发生环境风险事故几率较小，为进一步减少风险产生的几率，避免风险情况的出现，建设单位需加强生产、安全管理和作业场所的在线监控、监测，及时预警、报警；防止由安全事故引发的环境事件，注意与区域的联动。同时关注危废仓库危险废物存放过程的环境风险，制定切实可行的突发环境事件应急预案（并报备），明确应急物资的配备要求。防止由此带来的生产安全和环境风险。本项目的事故风险处于可接收水平。</w:t>
            </w:r>
          </w:p>
          <w:p w14:paraId="62FE2A85">
            <w:pPr>
              <w:ind w:firstLine="0" w:firstLineChars="0"/>
              <w:rPr>
                <w:b/>
                <w:color w:val="auto"/>
                <w:sz w:val="24"/>
                <w:szCs w:val="24"/>
              </w:rPr>
            </w:pPr>
            <w:r>
              <w:rPr>
                <w:b/>
                <w:bCs/>
                <w:color w:val="auto"/>
                <w:sz w:val="24"/>
                <w:szCs w:val="24"/>
              </w:rPr>
              <w:t>8、</w:t>
            </w:r>
            <w:r>
              <w:rPr>
                <w:b/>
                <w:color w:val="auto"/>
                <w:sz w:val="24"/>
                <w:szCs w:val="24"/>
              </w:rPr>
              <w:t>电磁辐射</w:t>
            </w:r>
          </w:p>
          <w:p w14:paraId="3C4EFAD7">
            <w:pPr>
              <w:ind w:firstLine="420"/>
              <w:rPr>
                <w:color w:val="auto"/>
                <w:sz w:val="24"/>
                <w:szCs w:val="24"/>
                <w:lang w:val="zh-CN"/>
              </w:rPr>
            </w:pPr>
            <w:r>
              <w:rPr>
                <w:color w:val="auto"/>
                <w:sz w:val="24"/>
                <w:szCs w:val="24"/>
                <w:lang w:val="zh-CN"/>
              </w:rPr>
              <w:t>本项目</w:t>
            </w:r>
            <w:r>
              <w:rPr>
                <w:rFonts w:hint="eastAsia"/>
                <w:color w:val="auto"/>
                <w:sz w:val="24"/>
                <w:szCs w:val="24"/>
                <w:lang w:val="en-US" w:eastAsia="zh-CN"/>
              </w:rPr>
              <w:t>不涉及</w:t>
            </w:r>
            <w:r>
              <w:rPr>
                <w:color w:val="auto"/>
                <w:sz w:val="24"/>
                <w:szCs w:val="24"/>
                <w:lang w:val="zh-CN"/>
              </w:rPr>
              <w:t>。</w:t>
            </w:r>
          </w:p>
          <w:p w14:paraId="730DAC09">
            <w:pPr>
              <w:adjustRightInd w:val="0"/>
              <w:snapToGrid w:val="0"/>
              <w:spacing w:line="460" w:lineRule="exact"/>
              <w:ind w:firstLine="0" w:firstLineChars="0"/>
              <w:jc w:val="left"/>
              <w:rPr>
                <w:color w:val="auto"/>
                <w:sz w:val="24"/>
                <w:szCs w:val="24"/>
              </w:rPr>
            </w:pPr>
          </w:p>
          <w:p w14:paraId="045092FC">
            <w:pPr>
              <w:adjustRightInd w:val="0"/>
              <w:snapToGrid w:val="0"/>
              <w:ind w:firstLine="420"/>
              <w:rPr>
                <w:rFonts w:hint="default" w:eastAsia="宋体"/>
                <w:color w:val="auto"/>
                <w:sz w:val="24"/>
                <w:szCs w:val="24"/>
                <w:lang w:val="en-US" w:eastAsia="zh-CN"/>
              </w:rPr>
            </w:pPr>
          </w:p>
        </w:tc>
      </w:tr>
    </w:tbl>
    <w:p w14:paraId="7CD73B3A">
      <w:pPr>
        <w:ind w:firstLine="420"/>
        <w:rPr>
          <w:color w:val="auto"/>
        </w:rPr>
        <w:sectPr>
          <w:pgSz w:w="11907" w:h="16840"/>
          <w:pgMar w:top="1440" w:right="1080" w:bottom="1440" w:left="1080" w:header="964" w:footer="964" w:gutter="0"/>
          <w:pgBorders w:offsetFrom="page">
            <w:top w:val="none" w:sz="0" w:space="0"/>
            <w:left w:val="none" w:sz="0" w:space="0"/>
            <w:bottom w:val="none" w:sz="0" w:space="0"/>
            <w:right w:val="none" w:sz="0" w:space="0"/>
          </w:pgBorders>
          <w:cols w:space="720" w:num="1"/>
          <w:docGrid w:type="linesAndChars" w:linePitch="312" w:charSpace="0"/>
        </w:sectPr>
      </w:pPr>
    </w:p>
    <w:p w14:paraId="1C2B09C8">
      <w:pPr>
        <w:pStyle w:val="4"/>
        <w:spacing w:before="0" w:after="0"/>
        <w:rPr>
          <w:rFonts w:eastAsia="宋体"/>
          <w:color w:val="auto"/>
        </w:rPr>
      </w:pPr>
      <w:r>
        <w:rPr>
          <w:rFonts w:eastAsia="宋体"/>
          <w:color w:val="auto"/>
        </w:rPr>
        <w:t>五、环境保护措施监督检查清单</w:t>
      </w: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1183"/>
        <w:gridCol w:w="1956"/>
        <w:gridCol w:w="1518"/>
        <w:gridCol w:w="4451"/>
      </w:tblGrid>
      <w:tr w14:paraId="69D899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noWrap w:val="0"/>
            <w:vAlign w:val="center"/>
          </w:tcPr>
          <w:p w14:paraId="2B2053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lang w:val="en-US" w:eastAsia="zh-CN" w:bidi="ar-SA"/>
              </w:rPr>
            </w:pPr>
            <w:r>
              <w:rPr>
                <w:b/>
                <w:bCs/>
                <w:color w:val="auto"/>
                <w:sz w:val="21"/>
                <w:szCs w:val="21"/>
              </w:rPr>
              <w:t>内容要素</w:t>
            </w:r>
          </w:p>
        </w:tc>
        <w:tc>
          <w:tcPr>
            <w:tcW w:w="0" w:type="auto"/>
            <w:tcBorders>
              <w:tl2br w:val="nil"/>
              <w:tr2bl w:val="nil"/>
            </w:tcBorders>
            <w:noWrap w:val="0"/>
            <w:vAlign w:val="center"/>
          </w:tcPr>
          <w:p w14:paraId="4A5003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color w:val="auto"/>
                <w:kern w:val="2"/>
                <w:sz w:val="21"/>
                <w:szCs w:val="21"/>
                <w:lang w:val="en-US" w:eastAsia="zh-CN" w:bidi="ar-SA"/>
              </w:rPr>
            </w:pPr>
            <w:r>
              <w:rPr>
                <w:b/>
                <w:bCs/>
                <w:color w:val="auto"/>
                <w:sz w:val="21"/>
                <w:szCs w:val="21"/>
              </w:rPr>
              <w:t>排放口污染源</w:t>
            </w:r>
          </w:p>
        </w:tc>
        <w:tc>
          <w:tcPr>
            <w:tcW w:w="0" w:type="auto"/>
            <w:tcBorders>
              <w:tl2br w:val="nil"/>
              <w:tr2bl w:val="nil"/>
            </w:tcBorders>
            <w:noWrap w:val="0"/>
            <w:vAlign w:val="center"/>
          </w:tcPr>
          <w:p w14:paraId="7BE3E1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b/>
                <w:bCs/>
                <w:color w:val="auto"/>
                <w:sz w:val="21"/>
                <w:szCs w:val="21"/>
              </w:rPr>
              <w:t>污染物项目</w:t>
            </w:r>
          </w:p>
        </w:tc>
        <w:tc>
          <w:tcPr>
            <w:tcW w:w="762" w:type="pct"/>
            <w:tcBorders>
              <w:tl2br w:val="nil"/>
              <w:tr2bl w:val="nil"/>
            </w:tcBorders>
            <w:noWrap w:val="0"/>
            <w:vAlign w:val="center"/>
          </w:tcPr>
          <w:p w14:paraId="1CCEC7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b/>
                <w:bCs/>
                <w:color w:val="auto"/>
                <w:sz w:val="21"/>
                <w:szCs w:val="21"/>
              </w:rPr>
              <w:t>环境保护措施</w:t>
            </w:r>
          </w:p>
        </w:tc>
        <w:tc>
          <w:tcPr>
            <w:tcW w:w="2234" w:type="pct"/>
            <w:tcBorders>
              <w:tl2br w:val="nil"/>
              <w:tr2bl w:val="nil"/>
            </w:tcBorders>
            <w:noWrap w:val="0"/>
            <w:vAlign w:val="center"/>
          </w:tcPr>
          <w:p w14:paraId="027FB7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color w:val="auto"/>
                <w:kern w:val="2"/>
                <w:sz w:val="21"/>
                <w:szCs w:val="21"/>
                <w:lang w:val="en-US" w:eastAsia="zh-CN" w:bidi="ar-SA"/>
              </w:rPr>
            </w:pPr>
            <w:r>
              <w:rPr>
                <w:b/>
                <w:bCs/>
                <w:color w:val="auto"/>
                <w:sz w:val="21"/>
                <w:szCs w:val="21"/>
              </w:rPr>
              <w:t>执行标准</w:t>
            </w:r>
          </w:p>
        </w:tc>
      </w:tr>
      <w:tr w14:paraId="1D24C3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restart"/>
            <w:tcBorders>
              <w:tl2br w:val="nil"/>
              <w:tr2bl w:val="nil"/>
            </w:tcBorders>
            <w:noWrap w:val="0"/>
            <w:vAlign w:val="center"/>
          </w:tcPr>
          <w:p w14:paraId="5A8322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color w:val="auto"/>
                <w:sz w:val="21"/>
                <w:szCs w:val="21"/>
              </w:rPr>
              <w:t>大气环境</w:t>
            </w:r>
          </w:p>
        </w:tc>
        <w:tc>
          <w:tcPr>
            <w:tcW w:w="0" w:type="auto"/>
            <w:vMerge w:val="restart"/>
            <w:tcBorders>
              <w:tl2br w:val="nil"/>
              <w:tr2bl w:val="nil"/>
            </w:tcBorders>
            <w:noWrap w:val="0"/>
            <w:vAlign w:val="center"/>
          </w:tcPr>
          <w:p w14:paraId="39BB63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DA001</w:t>
            </w:r>
          </w:p>
        </w:tc>
        <w:tc>
          <w:tcPr>
            <w:tcW w:w="0" w:type="auto"/>
            <w:tcBorders>
              <w:tl2br w:val="nil"/>
              <w:tr2bl w:val="nil"/>
            </w:tcBorders>
            <w:noWrap w:val="0"/>
            <w:vAlign w:val="center"/>
          </w:tcPr>
          <w:p w14:paraId="37D004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sz w:val="21"/>
                <w:szCs w:val="21"/>
                <w:highlight w:val="none"/>
                <w:lang w:val="en-US" w:eastAsia="zh-CN"/>
              </w:rPr>
              <w:t>非甲烷总烃</w:t>
            </w:r>
          </w:p>
        </w:tc>
        <w:tc>
          <w:tcPr>
            <w:tcW w:w="762" w:type="pct"/>
            <w:vMerge w:val="restart"/>
            <w:tcBorders>
              <w:tl2br w:val="nil"/>
              <w:tr2bl w:val="nil"/>
            </w:tcBorders>
            <w:noWrap w:val="0"/>
            <w:vAlign w:val="center"/>
          </w:tcPr>
          <w:p w14:paraId="4E13C2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二级活性炭吸附装置</w:t>
            </w:r>
          </w:p>
        </w:tc>
        <w:tc>
          <w:tcPr>
            <w:tcW w:w="2234" w:type="pct"/>
            <w:tcBorders>
              <w:tl2br w:val="nil"/>
              <w:tr2bl w:val="nil"/>
            </w:tcBorders>
            <w:noWrap w:val="0"/>
            <w:vAlign w:val="center"/>
          </w:tcPr>
          <w:p w14:paraId="369D0C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lang w:val="en-US"/>
              </w:rPr>
            </w:pPr>
            <w:r>
              <w:rPr>
                <w:rFonts w:hint="eastAsia" w:cs="Times New Roman"/>
                <w:color w:val="auto"/>
                <w:sz w:val="21"/>
                <w:szCs w:val="21"/>
                <w:highlight w:val="none"/>
                <w:lang w:val="en-US" w:eastAsia="zh-CN"/>
              </w:rPr>
              <w:t>《印刷工业大气污染物排放标准》（DB32 4438-2022）表1</w:t>
            </w:r>
          </w:p>
        </w:tc>
      </w:tr>
      <w:tr w14:paraId="3C1D05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l2br w:val="nil"/>
              <w:tr2bl w:val="nil"/>
            </w:tcBorders>
            <w:noWrap w:val="0"/>
            <w:vAlign w:val="center"/>
          </w:tcPr>
          <w:p w14:paraId="0160A0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0" w:type="auto"/>
            <w:vMerge w:val="continue"/>
            <w:tcBorders>
              <w:tl2br w:val="nil"/>
              <w:tr2bl w:val="nil"/>
            </w:tcBorders>
            <w:noWrap w:val="0"/>
            <w:vAlign w:val="center"/>
          </w:tcPr>
          <w:p w14:paraId="2EE87D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c>
          <w:tcPr>
            <w:tcW w:w="0" w:type="auto"/>
            <w:tcBorders>
              <w:tl2br w:val="nil"/>
              <w:tr2bl w:val="nil"/>
            </w:tcBorders>
            <w:shd w:val="clear" w:color="auto" w:fill="auto"/>
            <w:noWrap w:val="0"/>
            <w:vAlign w:val="center"/>
          </w:tcPr>
          <w:p w14:paraId="2B045A2B">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苯乙烯</w:t>
            </w:r>
          </w:p>
        </w:tc>
        <w:tc>
          <w:tcPr>
            <w:tcW w:w="762" w:type="pct"/>
            <w:vMerge w:val="continue"/>
            <w:tcBorders>
              <w:tl2br w:val="nil"/>
              <w:tr2bl w:val="nil"/>
            </w:tcBorders>
            <w:noWrap w:val="0"/>
            <w:vAlign w:val="center"/>
          </w:tcPr>
          <w:p w14:paraId="01420D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c>
          <w:tcPr>
            <w:tcW w:w="2234" w:type="pct"/>
            <w:vMerge w:val="restart"/>
            <w:tcBorders>
              <w:tl2br w:val="nil"/>
              <w:tr2bl w:val="nil"/>
            </w:tcBorders>
            <w:noWrap w:val="0"/>
            <w:vAlign w:val="center"/>
          </w:tcPr>
          <w:p w14:paraId="6291F5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s="Times New Roman"/>
                <w:color w:val="auto"/>
                <w:sz w:val="21"/>
                <w:szCs w:val="21"/>
                <w:highlight w:val="none"/>
                <w:lang w:val="en-US" w:eastAsia="zh-CN"/>
              </w:rPr>
              <w:t>《合成树脂工业污染物排放标准》（GB31572-2015）（含2024年修改单）表5</w:t>
            </w:r>
          </w:p>
        </w:tc>
      </w:tr>
      <w:tr w14:paraId="44C3CD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l2br w:val="nil"/>
              <w:tr2bl w:val="nil"/>
            </w:tcBorders>
            <w:noWrap w:val="0"/>
            <w:vAlign w:val="center"/>
          </w:tcPr>
          <w:p w14:paraId="7A68D8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0" w:type="auto"/>
            <w:vMerge w:val="continue"/>
            <w:tcBorders>
              <w:tl2br w:val="nil"/>
              <w:tr2bl w:val="nil"/>
            </w:tcBorders>
            <w:noWrap w:val="0"/>
            <w:vAlign w:val="center"/>
          </w:tcPr>
          <w:p w14:paraId="10AE49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c>
          <w:tcPr>
            <w:tcW w:w="0" w:type="auto"/>
            <w:tcBorders>
              <w:tl2br w:val="nil"/>
              <w:tr2bl w:val="nil"/>
            </w:tcBorders>
            <w:shd w:val="clear" w:color="auto" w:fill="auto"/>
            <w:noWrap w:val="0"/>
            <w:vAlign w:val="center"/>
          </w:tcPr>
          <w:p w14:paraId="3913F7F0">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color w:val="auto"/>
                <w:highlight w:val="none"/>
              </w:rPr>
              <w:t>1,3-丁二烯</w:t>
            </w:r>
          </w:p>
        </w:tc>
        <w:tc>
          <w:tcPr>
            <w:tcW w:w="762" w:type="pct"/>
            <w:vMerge w:val="continue"/>
            <w:tcBorders>
              <w:tl2br w:val="nil"/>
              <w:tr2bl w:val="nil"/>
            </w:tcBorders>
            <w:noWrap w:val="0"/>
            <w:vAlign w:val="center"/>
          </w:tcPr>
          <w:p w14:paraId="691F37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c>
          <w:tcPr>
            <w:tcW w:w="2234" w:type="pct"/>
            <w:vMerge w:val="continue"/>
            <w:tcBorders>
              <w:tl2br w:val="nil"/>
              <w:tr2bl w:val="nil"/>
            </w:tcBorders>
            <w:noWrap w:val="0"/>
            <w:vAlign w:val="center"/>
          </w:tcPr>
          <w:p w14:paraId="2F5AE3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p>
        </w:tc>
      </w:tr>
      <w:tr w14:paraId="70C09E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l2br w:val="nil"/>
              <w:tr2bl w:val="nil"/>
            </w:tcBorders>
            <w:noWrap w:val="0"/>
            <w:vAlign w:val="center"/>
          </w:tcPr>
          <w:p w14:paraId="6DAD12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0" w:type="auto"/>
            <w:vMerge w:val="continue"/>
            <w:tcBorders>
              <w:tl2br w:val="nil"/>
              <w:tr2bl w:val="nil"/>
            </w:tcBorders>
            <w:noWrap w:val="0"/>
            <w:vAlign w:val="center"/>
          </w:tcPr>
          <w:p w14:paraId="192920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c>
          <w:tcPr>
            <w:tcW w:w="0" w:type="auto"/>
            <w:tcBorders>
              <w:tl2br w:val="nil"/>
              <w:tr2bl w:val="nil"/>
            </w:tcBorders>
            <w:shd w:val="clear" w:color="auto" w:fill="auto"/>
            <w:noWrap w:val="0"/>
            <w:vAlign w:val="center"/>
          </w:tcPr>
          <w:p w14:paraId="34B47245">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丙</w:t>
            </w:r>
            <w:r>
              <w:rPr>
                <w:rFonts w:hint="default" w:ascii="Times New Roman" w:hAnsi="Times New Roman" w:eastAsia="宋体" w:cs="Times New Roman"/>
                <w:color w:val="auto"/>
                <w:sz w:val="21"/>
                <w:szCs w:val="21"/>
                <w:highlight w:val="none"/>
                <w:lang w:val="en-US" w:eastAsia="zh-CN"/>
              </w:rPr>
              <w:t>烯腈</w:t>
            </w:r>
          </w:p>
        </w:tc>
        <w:tc>
          <w:tcPr>
            <w:tcW w:w="762" w:type="pct"/>
            <w:vMerge w:val="continue"/>
            <w:tcBorders>
              <w:tl2br w:val="nil"/>
              <w:tr2bl w:val="nil"/>
            </w:tcBorders>
            <w:noWrap w:val="0"/>
            <w:vAlign w:val="center"/>
          </w:tcPr>
          <w:p w14:paraId="1969D8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c>
          <w:tcPr>
            <w:tcW w:w="2234" w:type="pct"/>
            <w:vMerge w:val="continue"/>
            <w:tcBorders>
              <w:tl2br w:val="nil"/>
              <w:tr2bl w:val="nil"/>
            </w:tcBorders>
            <w:noWrap w:val="0"/>
            <w:vAlign w:val="center"/>
          </w:tcPr>
          <w:p w14:paraId="43F207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r>
      <w:tr w14:paraId="5365F8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l2br w:val="nil"/>
              <w:tr2bl w:val="nil"/>
            </w:tcBorders>
            <w:noWrap w:val="0"/>
            <w:vAlign w:val="center"/>
          </w:tcPr>
          <w:p w14:paraId="2CEF61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0" w:type="auto"/>
            <w:vMerge w:val="continue"/>
            <w:tcBorders>
              <w:tl2br w:val="nil"/>
              <w:tr2bl w:val="nil"/>
            </w:tcBorders>
            <w:noWrap w:val="0"/>
            <w:vAlign w:val="center"/>
          </w:tcPr>
          <w:p w14:paraId="28A9BE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c>
          <w:tcPr>
            <w:tcW w:w="0" w:type="auto"/>
            <w:tcBorders>
              <w:tl2br w:val="nil"/>
              <w:tr2bl w:val="nil"/>
            </w:tcBorders>
            <w:shd w:val="clear" w:color="auto" w:fill="auto"/>
            <w:noWrap w:val="0"/>
            <w:vAlign w:val="center"/>
          </w:tcPr>
          <w:p w14:paraId="0CA8E709">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甲苯</w:t>
            </w:r>
          </w:p>
        </w:tc>
        <w:tc>
          <w:tcPr>
            <w:tcW w:w="762" w:type="pct"/>
            <w:vMerge w:val="continue"/>
            <w:tcBorders>
              <w:tl2br w:val="nil"/>
              <w:tr2bl w:val="nil"/>
            </w:tcBorders>
            <w:noWrap w:val="0"/>
            <w:vAlign w:val="center"/>
          </w:tcPr>
          <w:p w14:paraId="770CA0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c>
          <w:tcPr>
            <w:tcW w:w="2234" w:type="pct"/>
            <w:vMerge w:val="continue"/>
            <w:tcBorders>
              <w:tl2br w:val="nil"/>
              <w:tr2bl w:val="nil"/>
            </w:tcBorders>
            <w:noWrap w:val="0"/>
            <w:vAlign w:val="center"/>
          </w:tcPr>
          <w:p w14:paraId="6B074A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r>
      <w:tr w14:paraId="1D2E94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l2br w:val="nil"/>
              <w:tr2bl w:val="nil"/>
            </w:tcBorders>
            <w:noWrap w:val="0"/>
            <w:vAlign w:val="center"/>
          </w:tcPr>
          <w:p w14:paraId="629BEB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0" w:type="auto"/>
            <w:vMerge w:val="continue"/>
            <w:tcBorders>
              <w:tl2br w:val="nil"/>
              <w:tr2bl w:val="nil"/>
            </w:tcBorders>
            <w:noWrap w:val="0"/>
            <w:vAlign w:val="center"/>
          </w:tcPr>
          <w:p w14:paraId="5E69D1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c>
          <w:tcPr>
            <w:tcW w:w="0" w:type="auto"/>
            <w:tcBorders>
              <w:tl2br w:val="nil"/>
              <w:tr2bl w:val="nil"/>
            </w:tcBorders>
            <w:shd w:val="clear" w:color="auto" w:fill="auto"/>
            <w:noWrap w:val="0"/>
            <w:vAlign w:val="center"/>
          </w:tcPr>
          <w:p w14:paraId="281A82EC">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乙苯</w:t>
            </w:r>
          </w:p>
        </w:tc>
        <w:tc>
          <w:tcPr>
            <w:tcW w:w="762" w:type="pct"/>
            <w:vMerge w:val="continue"/>
            <w:tcBorders>
              <w:tl2br w:val="nil"/>
              <w:tr2bl w:val="nil"/>
            </w:tcBorders>
            <w:noWrap w:val="0"/>
            <w:vAlign w:val="center"/>
          </w:tcPr>
          <w:p w14:paraId="4124FC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c>
          <w:tcPr>
            <w:tcW w:w="2234" w:type="pct"/>
            <w:vMerge w:val="continue"/>
            <w:tcBorders>
              <w:tl2br w:val="nil"/>
              <w:tr2bl w:val="nil"/>
            </w:tcBorders>
            <w:noWrap w:val="0"/>
            <w:vAlign w:val="center"/>
          </w:tcPr>
          <w:p w14:paraId="084073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r>
      <w:tr w14:paraId="3E7C60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l2br w:val="nil"/>
              <w:tr2bl w:val="nil"/>
            </w:tcBorders>
            <w:noWrap w:val="0"/>
            <w:vAlign w:val="center"/>
          </w:tcPr>
          <w:p w14:paraId="57009D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0" w:type="auto"/>
            <w:vMerge w:val="continue"/>
            <w:tcBorders>
              <w:tl2br w:val="nil"/>
              <w:tr2bl w:val="nil"/>
            </w:tcBorders>
            <w:noWrap w:val="0"/>
            <w:vAlign w:val="center"/>
          </w:tcPr>
          <w:p w14:paraId="409E00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c>
          <w:tcPr>
            <w:tcW w:w="0" w:type="auto"/>
            <w:tcBorders>
              <w:tl2br w:val="nil"/>
              <w:tr2bl w:val="nil"/>
            </w:tcBorders>
            <w:shd w:val="clear" w:color="auto" w:fill="auto"/>
            <w:noWrap w:val="0"/>
            <w:vAlign w:val="center"/>
          </w:tcPr>
          <w:p w14:paraId="2F87D9B5">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highlight w:val="none"/>
                <w:lang w:val="en-US" w:eastAsia="zh-CN"/>
              </w:rPr>
              <w:t>氯苯类</w:t>
            </w:r>
          </w:p>
        </w:tc>
        <w:tc>
          <w:tcPr>
            <w:tcW w:w="762" w:type="pct"/>
            <w:vMerge w:val="continue"/>
            <w:tcBorders>
              <w:tl2br w:val="nil"/>
              <w:tr2bl w:val="nil"/>
            </w:tcBorders>
            <w:noWrap w:val="0"/>
            <w:vAlign w:val="center"/>
          </w:tcPr>
          <w:p w14:paraId="492AD0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c>
          <w:tcPr>
            <w:tcW w:w="2234" w:type="pct"/>
            <w:vMerge w:val="continue"/>
            <w:tcBorders>
              <w:tl2br w:val="nil"/>
              <w:tr2bl w:val="nil"/>
            </w:tcBorders>
            <w:noWrap w:val="0"/>
            <w:vAlign w:val="center"/>
          </w:tcPr>
          <w:p w14:paraId="5CB16E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r>
      <w:tr w14:paraId="113B41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l2br w:val="nil"/>
              <w:tr2bl w:val="nil"/>
            </w:tcBorders>
            <w:noWrap w:val="0"/>
            <w:vAlign w:val="center"/>
          </w:tcPr>
          <w:p w14:paraId="5AFF9B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0" w:type="auto"/>
            <w:vMerge w:val="continue"/>
            <w:tcBorders>
              <w:tl2br w:val="nil"/>
              <w:tr2bl w:val="nil"/>
            </w:tcBorders>
            <w:noWrap w:val="0"/>
            <w:vAlign w:val="center"/>
          </w:tcPr>
          <w:p w14:paraId="78C294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c>
          <w:tcPr>
            <w:tcW w:w="0" w:type="auto"/>
            <w:tcBorders>
              <w:tl2br w:val="nil"/>
              <w:tr2bl w:val="nil"/>
            </w:tcBorders>
            <w:shd w:val="clear" w:color="auto" w:fill="auto"/>
            <w:noWrap w:val="0"/>
            <w:vAlign w:val="center"/>
          </w:tcPr>
          <w:p w14:paraId="3D849CDC">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酚类</w:t>
            </w:r>
          </w:p>
        </w:tc>
        <w:tc>
          <w:tcPr>
            <w:tcW w:w="762" w:type="pct"/>
            <w:vMerge w:val="continue"/>
            <w:tcBorders>
              <w:tl2br w:val="nil"/>
              <w:tr2bl w:val="nil"/>
            </w:tcBorders>
            <w:noWrap w:val="0"/>
            <w:vAlign w:val="center"/>
          </w:tcPr>
          <w:p w14:paraId="6CFF43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c>
          <w:tcPr>
            <w:tcW w:w="2234" w:type="pct"/>
            <w:vMerge w:val="continue"/>
            <w:tcBorders>
              <w:tl2br w:val="nil"/>
              <w:tr2bl w:val="nil"/>
            </w:tcBorders>
            <w:noWrap w:val="0"/>
            <w:vAlign w:val="center"/>
          </w:tcPr>
          <w:p w14:paraId="7CFC16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r>
      <w:tr w14:paraId="2D6080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l2br w:val="nil"/>
              <w:tr2bl w:val="nil"/>
            </w:tcBorders>
            <w:noWrap w:val="0"/>
            <w:vAlign w:val="center"/>
          </w:tcPr>
          <w:p w14:paraId="722BE9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0" w:type="auto"/>
            <w:vMerge w:val="continue"/>
            <w:tcBorders>
              <w:tl2br w:val="nil"/>
              <w:tr2bl w:val="nil"/>
            </w:tcBorders>
            <w:noWrap w:val="0"/>
            <w:vAlign w:val="center"/>
          </w:tcPr>
          <w:p w14:paraId="6E1F09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c>
          <w:tcPr>
            <w:tcW w:w="0" w:type="auto"/>
            <w:tcBorders>
              <w:tl2br w:val="nil"/>
              <w:tr2bl w:val="nil"/>
            </w:tcBorders>
            <w:shd w:val="clear" w:color="auto" w:fill="auto"/>
            <w:noWrap w:val="0"/>
            <w:vAlign w:val="center"/>
          </w:tcPr>
          <w:p w14:paraId="4AA60BFA">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二氯甲烷</w:t>
            </w:r>
          </w:p>
        </w:tc>
        <w:tc>
          <w:tcPr>
            <w:tcW w:w="762" w:type="pct"/>
            <w:vMerge w:val="continue"/>
            <w:tcBorders>
              <w:tl2br w:val="nil"/>
              <w:tr2bl w:val="nil"/>
            </w:tcBorders>
            <w:noWrap w:val="0"/>
            <w:vAlign w:val="center"/>
          </w:tcPr>
          <w:p w14:paraId="33528C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c>
          <w:tcPr>
            <w:tcW w:w="2234" w:type="pct"/>
            <w:vMerge w:val="continue"/>
            <w:tcBorders>
              <w:tl2br w:val="nil"/>
              <w:tr2bl w:val="nil"/>
            </w:tcBorders>
            <w:noWrap w:val="0"/>
            <w:vAlign w:val="center"/>
          </w:tcPr>
          <w:p w14:paraId="4BD8D9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r>
      <w:tr w14:paraId="12A10A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l2br w:val="nil"/>
              <w:tr2bl w:val="nil"/>
            </w:tcBorders>
            <w:noWrap w:val="0"/>
            <w:vAlign w:val="center"/>
          </w:tcPr>
          <w:p w14:paraId="17B225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0" w:type="auto"/>
            <w:vMerge w:val="continue"/>
            <w:tcBorders>
              <w:tl2br w:val="nil"/>
              <w:tr2bl w:val="nil"/>
            </w:tcBorders>
            <w:noWrap w:val="0"/>
            <w:vAlign w:val="center"/>
          </w:tcPr>
          <w:p w14:paraId="0326BD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c>
          <w:tcPr>
            <w:tcW w:w="0" w:type="auto"/>
            <w:tcBorders>
              <w:tl2br w:val="nil"/>
              <w:tr2bl w:val="nil"/>
            </w:tcBorders>
            <w:shd w:val="clear" w:color="auto" w:fill="auto"/>
            <w:noWrap w:val="0"/>
            <w:vAlign w:val="center"/>
          </w:tcPr>
          <w:p w14:paraId="544F1AA7">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氨</w:t>
            </w:r>
          </w:p>
        </w:tc>
        <w:tc>
          <w:tcPr>
            <w:tcW w:w="762" w:type="pct"/>
            <w:vMerge w:val="continue"/>
            <w:tcBorders>
              <w:tl2br w:val="nil"/>
              <w:tr2bl w:val="nil"/>
            </w:tcBorders>
            <w:noWrap w:val="0"/>
            <w:vAlign w:val="center"/>
          </w:tcPr>
          <w:p w14:paraId="49A071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c>
          <w:tcPr>
            <w:tcW w:w="2234" w:type="pct"/>
            <w:vMerge w:val="continue"/>
            <w:tcBorders>
              <w:tl2br w:val="nil"/>
              <w:tr2bl w:val="nil"/>
            </w:tcBorders>
            <w:noWrap w:val="0"/>
            <w:vAlign w:val="center"/>
          </w:tcPr>
          <w:p w14:paraId="78C202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r>
      <w:tr w14:paraId="7A9265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l2br w:val="nil"/>
              <w:tr2bl w:val="nil"/>
            </w:tcBorders>
            <w:noWrap w:val="0"/>
            <w:vAlign w:val="center"/>
          </w:tcPr>
          <w:p w14:paraId="246E7E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0" w:type="auto"/>
            <w:vMerge w:val="restart"/>
            <w:tcBorders>
              <w:tl2br w:val="nil"/>
              <w:tr2bl w:val="nil"/>
            </w:tcBorders>
            <w:noWrap w:val="0"/>
            <w:vAlign w:val="center"/>
          </w:tcPr>
          <w:p w14:paraId="7CD10D0B">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厂界</w:t>
            </w:r>
          </w:p>
        </w:tc>
        <w:tc>
          <w:tcPr>
            <w:tcW w:w="0" w:type="auto"/>
            <w:tcBorders>
              <w:tl2br w:val="nil"/>
              <w:tr2bl w:val="nil"/>
            </w:tcBorders>
            <w:shd w:val="clear" w:color="auto" w:fill="auto"/>
            <w:noWrap w:val="0"/>
            <w:vAlign w:val="center"/>
          </w:tcPr>
          <w:p w14:paraId="1E603F14">
            <w:pPr>
              <w:spacing w:line="240" w:lineRule="auto"/>
              <w:ind w:firstLine="0" w:firstLineChars="0"/>
              <w:jc w:val="center"/>
              <w:rPr>
                <w:rFonts w:hint="eastAsia" w:cs="Times New Roman"/>
                <w:color w:val="auto"/>
                <w:kern w:val="2"/>
                <w:sz w:val="21"/>
                <w:szCs w:val="21"/>
                <w:lang w:val="en-US" w:eastAsia="zh-CN" w:bidi="ar-SA"/>
              </w:rPr>
            </w:pPr>
            <w:r>
              <w:rPr>
                <w:rFonts w:hint="eastAsia"/>
                <w:color w:val="auto"/>
                <w:sz w:val="21"/>
                <w:szCs w:val="21"/>
                <w:lang w:val="en-US" w:eastAsia="zh-CN"/>
              </w:rPr>
              <w:t>颗粒物</w:t>
            </w:r>
          </w:p>
        </w:tc>
        <w:tc>
          <w:tcPr>
            <w:tcW w:w="762" w:type="pct"/>
            <w:vMerge w:val="restart"/>
            <w:tcBorders>
              <w:tl2br w:val="nil"/>
              <w:tr2bl w:val="nil"/>
            </w:tcBorders>
            <w:noWrap w:val="0"/>
            <w:vAlign w:val="center"/>
          </w:tcPr>
          <w:p w14:paraId="44B89C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源头治理，加强管理</w:t>
            </w:r>
          </w:p>
        </w:tc>
        <w:tc>
          <w:tcPr>
            <w:tcW w:w="2234" w:type="pct"/>
            <w:vMerge w:val="restart"/>
            <w:tcBorders>
              <w:tl2br w:val="nil"/>
              <w:tr2bl w:val="nil"/>
            </w:tcBorders>
            <w:noWrap w:val="0"/>
            <w:vAlign w:val="center"/>
          </w:tcPr>
          <w:p w14:paraId="1624F2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rPr>
              <w:t>《大气污染物综合排放标准》（DB32/4041-2021）中表</w:t>
            </w:r>
            <w:r>
              <w:rPr>
                <w:rFonts w:hint="eastAsia"/>
                <w:color w:val="auto"/>
                <w:sz w:val="21"/>
                <w:szCs w:val="21"/>
                <w:highlight w:val="none"/>
                <w:lang w:val="en-US" w:eastAsia="zh-CN"/>
              </w:rPr>
              <w:t>3</w:t>
            </w:r>
          </w:p>
        </w:tc>
      </w:tr>
      <w:tr w14:paraId="09DD40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l2br w:val="nil"/>
              <w:tr2bl w:val="nil"/>
            </w:tcBorders>
            <w:noWrap w:val="0"/>
            <w:vAlign w:val="center"/>
          </w:tcPr>
          <w:p w14:paraId="2B8455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p>
        </w:tc>
        <w:tc>
          <w:tcPr>
            <w:tcW w:w="0" w:type="auto"/>
            <w:vMerge w:val="continue"/>
            <w:tcBorders>
              <w:tl2br w:val="nil"/>
              <w:tr2bl w:val="nil"/>
            </w:tcBorders>
            <w:noWrap w:val="0"/>
            <w:vAlign w:val="center"/>
          </w:tcPr>
          <w:p w14:paraId="1DE2C19A">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0" w:type="auto"/>
            <w:tcBorders>
              <w:tl2br w:val="nil"/>
              <w:tr2bl w:val="nil"/>
            </w:tcBorders>
            <w:shd w:val="clear" w:color="auto" w:fill="auto"/>
            <w:noWrap w:val="0"/>
            <w:vAlign w:val="center"/>
          </w:tcPr>
          <w:p w14:paraId="13A65FC4">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highlight w:val="none"/>
                <w:lang w:val="en-US" w:eastAsia="zh-CN"/>
              </w:rPr>
              <w:t>丙烯腈</w:t>
            </w:r>
          </w:p>
        </w:tc>
        <w:tc>
          <w:tcPr>
            <w:tcW w:w="762" w:type="pct"/>
            <w:vMerge w:val="continue"/>
            <w:tcBorders>
              <w:tl2br w:val="nil"/>
              <w:tr2bl w:val="nil"/>
            </w:tcBorders>
            <w:noWrap w:val="0"/>
            <w:vAlign w:val="center"/>
          </w:tcPr>
          <w:p w14:paraId="1C6E98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2234" w:type="pct"/>
            <w:vMerge w:val="continue"/>
            <w:tcBorders>
              <w:tl2br w:val="nil"/>
              <w:tr2bl w:val="nil"/>
            </w:tcBorders>
            <w:noWrap w:val="0"/>
            <w:vAlign w:val="center"/>
          </w:tcPr>
          <w:p w14:paraId="248D65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lang w:val="en-US" w:eastAsia="zh-CN"/>
              </w:rPr>
            </w:pPr>
          </w:p>
        </w:tc>
      </w:tr>
      <w:tr w14:paraId="47B75F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l2br w:val="nil"/>
              <w:tr2bl w:val="nil"/>
            </w:tcBorders>
            <w:noWrap w:val="0"/>
            <w:vAlign w:val="center"/>
          </w:tcPr>
          <w:p w14:paraId="5B55D7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p>
        </w:tc>
        <w:tc>
          <w:tcPr>
            <w:tcW w:w="0" w:type="auto"/>
            <w:vMerge w:val="continue"/>
            <w:tcBorders>
              <w:tl2br w:val="nil"/>
              <w:tr2bl w:val="nil"/>
            </w:tcBorders>
            <w:noWrap w:val="0"/>
            <w:vAlign w:val="center"/>
          </w:tcPr>
          <w:p w14:paraId="2D622B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c>
          <w:tcPr>
            <w:tcW w:w="0" w:type="auto"/>
            <w:tcBorders>
              <w:tl2br w:val="nil"/>
              <w:tr2bl w:val="nil"/>
            </w:tcBorders>
            <w:shd w:val="clear" w:color="auto" w:fill="auto"/>
            <w:noWrap w:val="0"/>
            <w:vAlign w:val="center"/>
          </w:tcPr>
          <w:p w14:paraId="536E5AA0">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氯苯类</w:t>
            </w:r>
          </w:p>
        </w:tc>
        <w:tc>
          <w:tcPr>
            <w:tcW w:w="762" w:type="pct"/>
            <w:vMerge w:val="continue"/>
            <w:tcBorders>
              <w:tl2br w:val="nil"/>
              <w:tr2bl w:val="nil"/>
            </w:tcBorders>
            <w:noWrap w:val="0"/>
            <w:vAlign w:val="center"/>
          </w:tcPr>
          <w:p w14:paraId="780BD1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2234" w:type="pct"/>
            <w:vMerge w:val="continue"/>
            <w:tcBorders>
              <w:tl2br w:val="nil"/>
              <w:tr2bl w:val="nil"/>
            </w:tcBorders>
            <w:noWrap w:val="0"/>
            <w:vAlign w:val="center"/>
          </w:tcPr>
          <w:p w14:paraId="1DE45A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r>
      <w:tr w14:paraId="550428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l2br w:val="nil"/>
              <w:tr2bl w:val="nil"/>
            </w:tcBorders>
            <w:noWrap w:val="0"/>
            <w:vAlign w:val="center"/>
          </w:tcPr>
          <w:p w14:paraId="0094E2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p>
        </w:tc>
        <w:tc>
          <w:tcPr>
            <w:tcW w:w="0" w:type="auto"/>
            <w:vMerge w:val="continue"/>
            <w:tcBorders>
              <w:tl2br w:val="nil"/>
              <w:tr2bl w:val="nil"/>
            </w:tcBorders>
            <w:noWrap w:val="0"/>
            <w:vAlign w:val="center"/>
          </w:tcPr>
          <w:p w14:paraId="7F804E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c>
          <w:tcPr>
            <w:tcW w:w="0" w:type="auto"/>
            <w:tcBorders>
              <w:tl2br w:val="nil"/>
              <w:tr2bl w:val="nil"/>
            </w:tcBorders>
            <w:shd w:val="clear" w:color="auto" w:fill="auto"/>
            <w:noWrap w:val="0"/>
            <w:vAlign w:val="center"/>
          </w:tcPr>
          <w:p w14:paraId="13EF474D">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酚类</w:t>
            </w:r>
          </w:p>
        </w:tc>
        <w:tc>
          <w:tcPr>
            <w:tcW w:w="762" w:type="pct"/>
            <w:vMerge w:val="continue"/>
            <w:tcBorders>
              <w:tl2br w:val="nil"/>
              <w:tr2bl w:val="nil"/>
            </w:tcBorders>
            <w:noWrap w:val="0"/>
            <w:vAlign w:val="center"/>
          </w:tcPr>
          <w:p w14:paraId="360CC6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2234" w:type="pct"/>
            <w:vMerge w:val="continue"/>
            <w:tcBorders>
              <w:tl2br w:val="nil"/>
              <w:tr2bl w:val="nil"/>
            </w:tcBorders>
            <w:noWrap w:val="0"/>
            <w:vAlign w:val="center"/>
          </w:tcPr>
          <w:p w14:paraId="609990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r>
      <w:tr w14:paraId="521464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l2br w:val="nil"/>
              <w:tr2bl w:val="nil"/>
            </w:tcBorders>
            <w:noWrap w:val="0"/>
            <w:vAlign w:val="center"/>
          </w:tcPr>
          <w:p w14:paraId="592581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p>
        </w:tc>
        <w:tc>
          <w:tcPr>
            <w:tcW w:w="0" w:type="auto"/>
            <w:vMerge w:val="continue"/>
            <w:tcBorders>
              <w:tl2br w:val="nil"/>
              <w:tr2bl w:val="nil"/>
            </w:tcBorders>
            <w:noWrap w:val="0"/>
            <w:vAlign w:val="center"/>
          </w:tcPr>
          <w:p w14:paraId="41C4FC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c>
          <w:tcPr>
            <w:tcW w:w="0" w:type="auto"/>
            <w:tcBorders>
              <w:tl2br w:val="nil"/>
              <w:tr2bl w:val="nil"/>
            </w:tcBorders>
            <w:shd w:val="clear" w:color="auto" w:fill="auto"/>
            <w:noWrap w:val="0"/>
            <w:vAlign w:val="center"/>
          </w:tcPr>
          <w:p w14:paraId="3B0DBA1A">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lang w:val="en-US" w:eastAsia="zh-CN"/>
              </w:rPr>
              <w:t>二氯甲烷</w:t>
            </w:r>
          </w:p>
        </w:tc>
        <w:tc>
          <w:tcPr>
            <w:tcW w:w="762" w:type="pct"/>
            <w:vMerge w:val="continue"/>
            <w:tcBorders>
              <w:tl2br w:val="nil"/>
              <w:tr2bl w:val="nil"/>
            </w:tcBorders>
            <w:noWrap w:val="0"/>
            <w:vAlign w:val="center"/>
          </w:tcPr>
          <w:p w14:paraId="7AD14F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2234" w:type="pct"/>
            <w:vMerge w:val="continue"/>
            <w:tcBorders>
              <w:tl2br w:val="nil"/>
              <w:tr2bl w:val="nil"/>
            </w:tcBorders>
            <w:noWrap w:val="0"/>
            <w:vAlign w:val="center"/>
          </w:tcPr>
          <w:p w14:paraId="1F68E6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r>
      <w:tr w14:paraId="3E0038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0" w:type="auto"/>
            <w:vMerge w:val="continue"/>
            <w:tcBorders>
              <w:tl2br w:val="nil"/>
              <w:tr2bl w:val="nil"/>
            </w:tcBorders>
            <w:noWrap w:val="0"/>
            <w:vAlign w:val="center"/>
          </w:tcPr>
          <w:p w14:paraId="05FB73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p>
        </w:tc>
        <w:tc>
          <w:tcPr>
            <w:tcW w:w="0" w:type="auto"/>
            <w:vMerge w:val="continue"/>
            <w:tcBorders>
              <w:tl2br w:val="nil"/>
              <w:tr2bl w:val="nil"/>
            </w:tcBorders>
            <w:noWrap w:val="0"/>
            <w:vAlign w:val="center"/>
          </w:tcPr>
          <w:p w14:paraId="450A89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c>
          <w:tcPr>
            <w:tcW w:w="0" w:type="auto"/>
            <w:tcBorders>
              <w:tl2br w:val="nil"/>
              <w:tr2bl w:val="nil"/>
            </w:tcBorders>
            <w:shd w:val="clear" w:color="auto" w:fill="auto"/>
            <w:noWrap w:val="0"/>
            <w:vAlign w:val="center"/>
          </w:tcPr>
          <w:p w14:paraId="6318CF50">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甲苯</w:t>
            </w:r>
          </w:p>
        </w:tc>
        <w:tc>
          <w:tcPr>
            <w:tcW w:w="762" w:type="pct"/>
            <w:vMerge w:val="continue"/>
            <w:tcBorders>
              <w:tl2br w:val="nil"/>
              <w:tr2bl w:val="nil"/>
            </w:tcBorders>
            <w:noWrap w:val="0"/>
            <w:vAlign w:val="center"/>
          </w:tcPr>
          <w:p w14:paraId="5B512A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2234" w:type="pct"/>
            <w:vMerge w:val="restart"/>
            <w:tcBorders>
              <w:tl2br w:val="nil"/>
              <w:tr2bl w:val="nil"/>
            </w:tcBorders>
            <w:noWrap w:val="0"/>
            <w:vAlign w:val="center"/>
          </w:tcPr>
          <w:p w14:paraId="27A405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cs="Times New Roman"/>
                <w:color w:val="auto"/>
                <w:sz w:val="21"/>
                <w:szCs w:val="21"/>
                <w:highlight w:val="none"/>
                <w:lang w:val="en-US" w:eastAsia="zh-CN"/>
              </w:rPr>
              <w:t>《合成树脂工业污染物排放标准》（GB31572-2015）（含2024年修改单）中表9</w:t>
            </w:r>
          </w:p>
        </w:tc>
      </w:tr>
      <w:tr w14:paraId="6FAF27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l2br w:val="nil"/>
              <w:tr2bl w:val="nil"/>
            </w:tcBorders>
            <w:noWrap w:val="0"/>
            <w:vAlign w:val="center"/>
          </w:tcPr>
          <w:p w14:paraId="528AD7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p>
        </w:tc>
        <w:tc>
          <w:tcPr>
            <w:tcW w:w="0" w:type="auto"/>
            <w:vMerge w:val="continue"/>
            <w:tcBorders>
              <w:tl2br w:val="nil"/>
              <w:tr2bl w:val="nil"/>
            </w:tcBorders>
            <w:noWrap w:val="0"/>
            <w:vAlign w:val="center"/>
          </w:tcPr>
          <w:p w14:paraId="72B312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c>
          <w:tcPr>
            <w:tcW w:w="0" w:type="auto"/>
            <w:tcBorders>
              <w:tl2br w:val="nil"/>
              <w:tr2bl w:val="nil"/>
            </w:tcBorders>
            <w:shd w:val="clear" w:color="auto" w:fill="auto"/>
            <w:noWrap w:val="0"/>
            <w:vAlign w:val="center"/>
          </w:tcPr>
          <w:p w14:paraId="1738B6A8">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color w:val="auto"/>
                <w:sz w:val="21"/>
                <w:szCs w:val="21"/>
              </w:rPr>
              <w:t>非甲烷总烃</w:t>
            </w:r>
          </w:p>
        </w:tc>
        <w:tc>
          <w:tcPr>
            <w:tcW w:w="762" w:type="pct"/>
            <w:vMerge w:val="continue"/>
            <w:tcBorders>
              <w:tl2br w:val="nil"/>
              <w:tr2bl w:val="nil"/>
            </w:tcBorders>
            <w:noWrap w:val="0"/>
            <w:vAlign w:val="center"/>
          </w:tcPr>
          <w:p w14:paraId="4018EC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2234" w:type="pct"/>
            <w:vMerge w:val="continue"/>
            <w:tcBorders>
              <w:tl2br w:val="nil"/>
              <w:tr2bl w:val="nil"/>
            </w:tcBorders>
            <w:noWrap w:val="0"/>
            <w:vAlign w:val="center"/>
          </w:tcPr>
          <w:p w14:paraId="584025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r>
      <w:tr w14:paraId="5DAB6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l2br w:val="nil"/>
              <w:tr2bl w:val="nil"/>
            </w:tcBorders>
            <w:noWrap w:val="0"/>
            <w:vAlign w:val="center"/>
          </w:tcPr>
          <w:p w14:paraId="6ABF7E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p>
        </w:tc>
        <w:tc>
          <w:tcPr>
            <w:tcW w:w="0" w:type="auto"/>
            <w:vMerge w:val="continue"/>
            <w:tcBorders>
              <w:tl2br w:val="nil"/>
              <w:tr2bl w:val="nil"/>
            </w:tcBorders>
            <w:noWrap w:val="0"/>
            <w:vAlign w:val="center"/>
          </w:tcPr>
          <w:p w14:paraId="40CA05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c>
          <w:tcPr>
            <w:tcW w:w="0" w:type="auto"/>
            <w:tcBorders>
              <w:tl2br w:val="nil"/>
              <w:tr2bl w:val="nil"/>
            </w:tcBorders>
            <w:shd w:val="clear" w:color="auto" w:fill="auto"/>
            <w:noWrap w:val="0"/>
            <w:vAlign w:val="center"/>
          </w:tcPr>
          <w:p w14:paraId="4FFBAB79">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苯乙烯</w:t>
            </w:r>
          </w:p>
        </w:tc>
        <w:tc>
          <w:tcPr>
            <w:tcW w:w="762" w:type="pct"/>
            <w:vMerge w:val="continue"/>
            <w:tcBorders>
              <w:tl2br w:val="nil"/>
              <w:tr2bl w:val="nil"/>
            </w:tcBorders>
            <w:noWrap w:val="0"/>
            <w:vAlign w:val="center"/>
          </w:tcPr>
          <w:p w14:paraId="25218D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2234" w:type="pct"/>
            <w:vMerge w:val="restart"/>
            <w:tcBorders>
              <w:tl2br w:val="nil"/>
              <w:tr2bl w:val="nil"/>
            </w:tcBorders>
            <w:noWrap w:val="0"/>
            <w:vAlign w:val="center"/>
          </w:tcPr>
          <w:p w14:paraId="4F2331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color w:val="auto"/>
              </w:rPr>
              <w:t>《恶臭污染物排放标准》（GB14554-93）表</w:t>
            </w:r>
            <w:r>
              <w:rPr>
                <w:rFonts w:hint="eastAsia"/>
                <w:color w:val="auto"/>
                <w:lang w:eastAsia="zh-CN"/>
              </w:rPr>
              <w:t>1</w:t>
            </w:r>
          </w:p>
        </w:tc>
      </w:tr>
      <w:tr w14:paraId="41A62F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l2br w:val="nil"/>
              <w:tr2bl w:val="nil"/>
            </w:tcBorders>
            <w:noWrap w:val="0"/>
            <w:vAlign w:val="center"/>
          </w:tcPr>
          <w:p w14:paraId="2A09DC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p>
        </w:tc>
        <w:tc>
          <w:tcPr>
            <w:tcW w:w="0" w:type="auto"/>
            <w:vMerge w:val="continue"/>
            <w:tcBorders>
              <w:tl2br w:val="nil"/>
              <w:tr2bl w:val="nil"/>
            </w:tcBorders>
            <w:noWrap w:val="0"/>
            <w:vAlign w:val="center"/>
          </w:tcPr>
          <w:p w14:paraId="3B9D70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c>
          <w:tcPr>
            <w:tcW w:w="0" w:type="auto"/>
            <w:tcBorders>
              <w:tl2br w:val="nil"/>
              <w:tr2bl w:val="nil"/>
            </w:tcBorders>
            <w:shd w:val="clear" w:color="auto" w:fill="auto"/>
            <w:noWrap w:val="0"/>
            <w:vAlign w:val="center"/>
          </w:tcPr>
          <w:p w14:paraId="1D5B5A36">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氨</w:t>
            </w:r>
          </w:p>
        </w:tc>
        <w:tc>
          <w:tcPr>
            <w:tcW w:w="762" w:type="pct"/>
            <w:vMerge w:val="continue"/>
            <w:tcBorders>
              <w:tl2br w:val="nil"/>
              <w:tr2bl w:val="nil"/>
            </w:tcBorders>
            <w:noWrap w:val="0"/>
            <w:vAlign w:val="center"/>
          </w:tcPr>
          <w:p w14:paraId="220246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2234" w:type="pct"/>
            <w:vMerge w:val="continue"/>
            <w:tcBorders>
              <w:tl2br w:val="nil"/>
              <w:tr2bl w:val="nil"/>
            </w:tcBorders>
            <w:noWrap w:val="0"/>
            <w:vAlign w:val="center"/>
          </w:tcPr>
          <w:p w14:paraId="1071E4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p>
        </w:tc>
      </w:tr>
      <w:tr w14:paraId="07DC25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l2br w:val="nil"/>
              <w:tr2bl w:val="nil"/>
            </w:tcBorders>
            <w:noWrap w:val="0"/>
            <w:vAlign w:val="center"/>
          </w:tcPr>
          <w:p w14:paraId="4A51D5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p>
        </w:tc>
        <w:tc>
          <w:tcPr>
            <w:tcW w:w="0" w:type="auto"/>
            <w:tcBorders>
              <w:tl2br w:val="nil"/>
              <w:tr2bl w:val="nil"/>
            </w:tcBorders>
            <w:noWrap w:val="0"/>
            <w:vAlign w:val="center"/>
          </w:tcPr>
          <w:p w14:paraId="507D03FF">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厂房外</w:t>
            </w:r>
          </w:p>
        </w:tc>
        <w:tc>
          <w:tcPr>
            <w:tcW w:w="0" w:type="auto"/>
            <w:tcBorders>
              <w:tl2br w:val="nil"/>
              <w:tr2bl w:val="nil"/>
            </w:tcBorders>
            <w:noWrap w:val="0"/>
            <w:vAlign w:val="center"/>
          </w:tcPr>
          <w:p w14:paraId="47F479D6">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非甲烷总烃</w:t>
            </w:r>
          </w:p>
        </w:tc>
        <w:tc>
          <w:tcPr>
            <w:tcW w:w="762" w:type="pct"/>
            <w:vMerge w:val="continue"/>
            <w:tcBorders>
              <w:tl2br w:val="nil"/>
              <w:tr2bl w:val="nil"/>
            </w:tcBorders>
            <w:noWrap w:val="0"/>
            <w:vAlign w:val="center"/>
          </w:tcPr>
          <w:p w14:paraId="539732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2234" w:type="pct"/>
            <w:tcBorders>
              <w:tl2br w:val="nil"/>
              <w:tr2bl w:val="nil"/>
            </w:tcBorders>
            <w:noWrap w:val="0"/>
            <w:vAlign w:val="center"/>
          </w:tcPr>
          <w:p w14:paraId="30B3CE32">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eastAsia="宋体"/>
                <w:color w:val="auto"/>
                <w:sz w:val="21"/>
                <w:szCs w:val="21"/>
                <w:lang w:val="en-US" w:eastAsia="zh-CN"/>
              </w:rPr>
              <w:t>《大气污染物综合排放标准》（DB32/4041-2021）表2</w:t>
            </w:r>
          </w:p>
        </w:tc>
      </w:tr>
      <w:tr w14:paraId="0038CF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noWrap w:val="0"/>
            <w:vAlign w:val="center"/>
          </w:tcPr>
          <w:p w14:paraId="63345B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color w:val="auto"/>
                <w:sz w:val="21"/>
                <w:szCs w:val="21"/>
              </w:rPr>
              <w:t>地表水环境</w:t>
            </w:r>
          </w:p>
        </w:tc>
        <w:tc>
          <w:tcPr>
            <w:tcW w:w="0" w:type="auto"/>
            <w:tcBorders>
              <w:tl2br w:val="nil"/>
              <w:tr2bl w:val="nil"/>
            </w:tcBorders>
            <w:noWrap w:val="0"/>
            <w:vAlign w:val="center"/>
          </w:tcPr>
          <w:p w14:paraId="44C923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生活污水</w:t>
            </w:r>
          </w:p>
        </w:tc>
        <w:tc>
          <w:tcPr>
            <w:tcW w:w="0" w:type="auto"/>
            <w:tcBorders>
              <w:tl2br w:val="nil"/>
              <w:tr2bl w:val="nil"/>
            </w:tcBorders>
            <w:noWrap w:val="0"/>
            <w:vAlign w:val="center"/>
          </w:tcPr>
          <w:p w14:paraId="36A251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pH、</w:t>
            </w:r>
            <w:r>
              <w:rPr>
                <w:color w:val="auto"/>
                <w:sz w:val="21"/>
                <w:szCs w:val="21"/>
              </w:rPr>
              <w:t>COD、SS、NH</w:t>
            </w:r>
            <w:r>
              <w:rPr>
                <w:color w:val="auto"/>
                <w:sz w:val="21"/>
                <w:szCs w:val="21"/>
                <w:vertAlign w:val="subscript"/>
              </w:rPr>
              <w:t>3</w:t>
            </w:r>
            <w:r>
              <w:rPr>
                <w:color w:val="auto"/>
                <w:sz w:val="21"/>
                <w:szCs w:val="21"/>
              </w:rPr>
              <w:t>-N、TP、TN</w:t>
            </w:r>
          </w:p>
        </w:tc>
        <w:tc>
          <w:tcPr>
            <w:tcW w:w="762" w:type="pct"/>
            <w:tcBorders>
              <w:tl2br w:val="nil"/>
              <w:tr2bl w:val="nil"/>
            </w:tcBorders>
            <w:noWrap w:val="0"/>
            <w:vAlign w:val="center"/>
          </w:tcPr>
          <w:p w14:paraId="491E4D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cs="Times New Roman"/>
                <w:smallCaps w:val="0"/>
                <w:color w:val="auto"/>
                <w:spacing w:val="0"/>
                <w:kern w:val="0"/>
                <w:position w:val="0"/>
                <w:sz w:val="21"/>
                <w:szCs w:val="21"/>
                <w:lang w:val="en-US" w:eastAsia="zh-CN"/>
              </w:rPr>
              <w:t>经化粪池处理后</w:t>
            </w:r>
            <w:r>
              <w:rPr>
                <w:rFonts w:hint="default" w:ascii="Times New Roman" w:hAnsi="Times New Roman" w:eastAsia="宋体" w:cs="Times New Roman"/>
                <w:smallCaps w:val="0"/>
                <w:color w:val="auto"/>
                <w:spacing w:val="0"/>
                <w:kern w:val="0"/>
                <w:position w:val="0"/>
                <w:sz w:val="21"/>
                <w:szCs w:val="21"/>
              </w:rPr>
              <w:t>接入市政污水管网</w:t>
            </w:r>
          </w:p>
        </w:tc>
        <w:tc>
          <w:tcPr>
            <w:tcW w:w="2234" w:type="pct"/>
            <w:tcBorders>
              <w:tl2br w:val="nil"/>
              <w:tr2bl w:val="nil"/>
            </w:tcBorders>
            <w:noWrap w:val="0"/>
            <w:vAlign w:val="center"/>
          </w:tcPr>
          <w:p w14:paraId="5968C6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金坛第二污水处理厂</w:t>
            </w:r>
            <w:r>
              <w:rPr>
                <w:color w:val="auto"/>
                <w:sz w:val="21"/>
                <w:szCs w:val="21"/>
              </w:rPr>
              <w:t>接管标准</w:t>
            </w:r>
          </w:p>
        </w:tc>
      </w:tr>
      <w:tr w14:paraId="5A1CFC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noWrap w:val="0"/>
            <w:vAlign w:val="center"/>
          </w:tcPr>
          <w:p w14:paraId="006B22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color w:val="auto"/>
                <w:sz w:val="21"/>
                <w:szCs w:val="21"/>
              </w:rPr>
              <w:t>声环境</w:t>
            </w:r>
          </w:p>
        </w:tc>
        <w:tc>
          <w:tcPr>
            <w:tcW w:w="0" w:type="auto"/>
            <w:tcBorders>
              <w:tl2br w:val="nil"/>
              <w:tr2bl w:val="nil"/>
            </w:tcBorders>
            <w:noWrap w:val="0"/>
            <w:vAlign w:val="center"/>
          </w:tcPr>
          <w:p w14:paraId="0930AC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color w:val="auto"/>
                <w:sz w:val="21"/>
                <w:szCs w:val="21"/>
              </w:rPr>
              <w:t>各厂界</w:t>
            </w:r>
          </w:p>
        </w:tc>
        <w:tc>
          <w:tcPr>
            <w:tcW w:w="0" w:type="auto"/>
            <w:tcBorders>
              <w:tl2br w:val="nil"/>
              <w:tr2bl w:val="nil"/>
            </w:tcBorders>
            <w:noWrap w:val="0"/>
            <w:vAlign w:val="center"/>
          </w:tcPr>
          <w:p w14:paraId="524D56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昼间</w:t>
            </w:r>
            <w:r>
              <w:rPr>
                <w:color w:val="auto"/>
                <w:sz w:val="21"/>
                <w:szCs w:val="21"/>
              </w:rPr>
              <w:t>等效连续A</w:t>
            </w:r>
            <w:r>
              <w:rPr>
                <w:rFonts w:hint="eastAsia"/>
                <w:color w:val="auto"/>
                <w:sz w:val="21"/>
                <w:szCs w:val="21"/>
                <w:lang w:val="en-US" w:eastAsia="zh-CN"/>
              </w:rPr>
              <w:t>计权</w:t>
            </w:r>
            <w:r>
              <w:rPr>
                <w:color w:val="auto"/>
                <w:sz w:val="21"/>
                <w:szCs w:val="21"/>
              </w:rPr>
              <w:t>声级</w:t>
            </w:r>
          </w:p>
        </w:tc>
        <w:tc>
          <w:tcPr>
            <w:tcW w:w="762" w:type="pct"/>
            <w:tcBorders>
              <w:tl2br w:val="nil"/>
              <w:tr2bl w:val="nil"/>
            </w:tcBorders>
            <w:noWrap w:val="0"/>
            <w:vAlign w:val="center"/>
          </w:tcPr>
          <w:p w14:paraId="17449D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color w:val="auto"/>
                <w:sz w:val="21"/>
                <w:szCs w:val="21"/>
              </w:rPr>
              <w:t>隔声、减震</w:t>
            </w:r>
          </w:p>
        </w:tc>
        <w:tc>
          <w:tcPr>
            <w:tcW w:w="2234" w:type="pct"/>
            <w:tcBorders>
              <w:tl2br w:val="nil"/>
              <w:tr2bl w:val="nil"/>
            </w:tcBorders>
            <w:noWrap w:val="0"/>
            <w:vAlign w:val="center"/>
          </w:tcPr>
          <w:p w14:paraId="1E5DE3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color w:val="auto"/>
                <w:sz w:val="21"/>
                <w:szCs w:val="21"/>
              </w:rPr>
              <w:t>《工业企业厂界环境噪声排放标准》</w:t>
            </w:r>
            <w:r>
              <w:rPr>
                <w:rFonts w:hint="eastAsia"/>
                <w:color w:val="auto"/>
                <w:sz w:val="21"/>
                <w:szCs w:val="21"/>
                <w:lang w:eastAsia="zh-CN"/>
              </w:rPr>
              <w:t>（</w:t>
            </w:r>
            <w:r>
              <w:rPr>
                <w:color w:val="auto"/>
                <w:sz w:val="21"/>
                <w:szCs w:val="21"/>
              </w:rPr>
              <w:t>GB12348-2008</w:t>
            </w:r>
            <w:r>
              <w:rPr>
                <w:rFonts w:hint="eastAsia"/>
                <w:color w:val="auto"/>
                <w:sz w:val="21"/>
                <w:szCs w:val="21"/>
                <w:lang w:eastAsia="zh-CN"/>
              </w:rPr>
              <w:t>）</w:t>
            </w:r>
            <w:r>
              <w:rPr>
                <w:color w:val="auto"/>
                <w:sz w:val="21"/>
                <w:szCs w:val="21"/>
              </w:rPr>
              <w:t>表1中的</w:t>
            </w:r>
            <w:r>
              <w:rPr>
                <w:rFonts w:hint="eastAsia"/>
                <w:color w:val="auto"/>
                <w:sz w:val="21"/>
                <w:szCs w:val="21"/>
                <w:lang w:val="en-US" w:eastAsia="zh-CN"/>
              </w:rPr>
              <w:t>2</w:t>
            </w:r>
            <w:r>
              <w:rPr>
                <w:color w:val="auto"/>
                <w:sz w:val="21"/>
                <w:szCs w:val="21"/>
              </w:rPr>
              <w:t>类标准</w:t>
            </w:r>
          </w:p>
        </w:tc>
      </w:tr>
      <w:tr w14:paraId="72FA80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noWrap w:val="0"/>
            <w:vAlign w:val="center"/>
          </w:tcPr>
          <w:p w14:paraId="4CE68E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color w:val="auto"/>
                <w:sz w:val="21"/>
                <w:szCs w:val="21"/>
              </w:rPr>
              <w:t>固体废物</w:t>
            </w:r>
          </w:p>
        </w:tc>
        <w:tc>
          <w:tcPr>
            <w:tcW w:w="0" w:type="auto"/>
            <w:gridSpan w:val="4"/>
            <w:tcBorders>
              <w:tl2br w:val="nil"/>
              <w:tr2bl w:val="nil"/>
            </w:tcBorders>
            <w:noWrap w:val="0"/>
            <w:vAlign w:val="center"/>
          </w:tcPr>
          <w:p w14:paraId="0388D5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一般工业固废暂存于</w:t>
            </w:r>
            <w:r>
              <w:rPr>
                <w:rFonts w:hint="eastAsia"/>
                <w:color w:val="auto"/>
                <w:sz w:val="21"/>
                <w:szCs w:val="21"/>
                <w:lang w:val="en-US" w:eastAsia="zh-CN"/>
              </w:rPr>
              <w:t>10</w:t>
            </w:r>
            <w:r>
              <w:rPr>
                <w:rFonts w:hint="eastAsia"/>
                <w:color w:val="auto"/>
                <w:sz w:val="21"/>
                <w:szCs w:val="21"/>
              </w:rPr>
              <w:t>m</w:t>
            </w:r>
            <w:r>
              <w:rPr>
                <w:rFonts w:hint="eastAsia"/>
                <w:color w:val="auto"/>
                <w:sz w:val="21"/>
                <w:szCs w:val="21"/>
                <w:vertAlign w:val="superscript"/>
              </w:rPr>
              <w:t>2</w:t>
            </w:r>
            <w:r>
              <w:rPr>
                <w:rFonts w:hint="eastAsia"/>
                <w:color w:val="auto"/>
                <w:sz w:val="21"/>
                <w:szCs w:val="21"/>
              </w:rPr>
              <w:t>的一般工业固废暂存间，定期综合利用；危险废物暂存于</w:t>
            </w:r>
            <w:r>
              <w:rPr>
                <w:rFonts w:hint="eastAsia"/>
                <w:color w:val="auto"/>
                <w:sz w:val="21"/>
                <w:szCs w:val="21"/>
                <w:highlight w:val="none"/>
                <w:lang w:val="en-US" w:eastAsia="zh-CN"/>
              </w:rPr>
              <w:t>12</w:t>
            </w:r>
            <w:r>
              <w:rPr>
                <w:rFonts w:hint="eastAsia"/>
                <w:color w:val="auto"/>
                <w:sz w:val="21"/>
                <w:szCs w:val="21"/>
                <w:highlight w:val="none"/>
              </w:rPr>
              <w:t>m</w:t>
            </w:r>
            <w:r>
              <w:rPr>
                <w:rFonts w:hint="eastAsia"/>
                <w:color w:val="auto"/>
                <w:sz w:val="21"/>
                <w:szCs w:val="21"/>
                <w:highlight w:val="none"/>
                <w:vertAlign w:val="superscript"/>
              </w:rPr>
              <w:t>2</w:t>
            </w:r>
            <w:r>
              <w:rPr>
                <w:rFonts w:hint="eastAsia"/>
                <w:color w:val="auto"/>
                <w:sz w:val="21"/>
                <w:szCs w:val="21"/>
              </w:rPr>
              <w:t>危废间，危废间设置防雨、防火、防雷、防</w:t>
            </w:r>
            <w:r>
              <w:rPr>
                <w:rFonts w:hint="eastAsia"/>
                <w:color w:val="auto"/>
                <w:sz w:val="21"/>
                <w:szCs w:val="21"/>
                <w:lang w:eastAsia="zh-CN"/>
              </w:rPr>
              <w:t>渗</w:t>
            </w:r>
            <w:r>
              <w:rPr>
                <w:rFonts w:hint="eastAsia"/>
                <w:color w:val="auto"/>
                <w:sz w:val="21"/>
                <w:szCs w:val="21"/>
              </w:rPr>
              <w:t>漏、防扬散装置，配置监控设施、通讯设备、照明设施、消防设施等，并按规定设置相应标志、标牌及标识，危废定期交由资质单位处置；生活垃圾交由环卫部门统一清运处理。</w:t>
            </w:r>
          </w:p>
        </w:tc>
      </w:tr>
      <w:tr w14:paraId="4ED58F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noWrap w:val="0"/>
            <w:vAlign w:val="center"/>
          </w:tcPr>
          <w:p w14:paraId="0F9237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土壤及地下水污染防治措施</w:t>
            </w:r>
          </w:p>
        </w:tc>
        <w:tc>
          <w:tcPr>
            <w:tcW w:w="0" w:type="auto"/>
            <w:gridSpan w:val="4"/>
            <w:tcBorders>
              <w:tl2br w:val="nil"/>
              <w:tr2bl w:val="nil"/>
            </w:tcBorders>
            <w:noWrap w:val="0"/>
            <w:vAlign w:val="center"/>
          </w:tcPr>
          <w:p w14:paraId="5966D5AF">
            <w:pPr>
              <w:pStyle w:val="14"/>
              <w:adjustRightInd w:val="0"/>
              <w:snapToGrid w:val="0"/>
              <w:spacing w:before="0" w:beforeAutospacing="0" w:after="0" w:afterAutospacing="0" w:line="360" w:lineRule="exact"/>
              <w:ind w:firstLine="420" w:firstLineChars="200"/>
              <w:jc w:val="both"/>
              <w:rPr>
                <w:rFonts w:hint="eastAsia" w:ascii="Times New Roman" w:hAnsi="Times New Roman" w:eastAsia="宋体" w:cs="Times New Roman"/>
                <w:bCs w:val="0"/>
                <w:color w:val="auto"/>
                <w:spacing w:val="0"/>
                <w:kern w:val="2"/>
                <w:sz w:val="21"/>
                <w:szCs w:val="21"/>
                <w:lang w:val="en-US" w:eastAsia="zh-CN" w:bidi="ar-SA"/>
              </w:rPr>
            </w:pPr>
            <w:r>
              <w:rPr>
                <w:rFonts w:hint="default" w:ascii="Times New Roman" w:hAnsi="Times New Roman" w:eastAsia="宋体" w:cs="Times New Roman"/>
                <w:bCs w:val="0"/>
                <w:color w:val="auto"/>
                <w:spacing w:val="0"/>
                <w:kern w:val="2"/>
                <w:sz w:val="21"/>
                <w:szCs w:val="21"/>
                <w:lang w:val="en-US" w:eastAsia="zh-CN" w:bidi="ar-SA"/>
              </w:rPr>
              <w:t>本项目正常生产时车间的跑冒滴漏</w:t>
            </w:r>
            <w:r>
              <w:rPr>
                <w:rFonts w:hint="eastAsia" w:ascii="Times New Roman" w:hAnsi="Times New Roman" w:cs="Times New Roman"/>
                <w:bCs w:val="0"/>
                <w:color w:val="auto"/>
                <w:spacing w:val="0"/>
                <w:kern w:val="2"/>
                <w:sz w:val="21"/>
                <w:szCs w:val="21"/>
                <w:lang w:val="en-US" w:eastAsia="zh-CN" w:bidi="ar-SA"/>
              </w:rPr>
              <w:t>基本</w:t>
            </w:r>
            <w:r>
              <w:rPr>
                <w:rFonts w:hint="default" w:ascii="Times New Roman" w:hAnsi="Times New Roman" w:eastAsia="宋体" w:cs="Times New Roman"/>
                <w:bCs w:val="0"/>
                <w:color w:val="auto"/>
                <w:spacing w:val="0"/>
                <w:kern w:val="2"/>
                <w:sz w:val="21"/>
                <w:szCs w:val="21"/>
                <w:lang w:val="en-US" w:eastAsia="zh-CN" w:bidi="ar-SA"/>
              </w:rPr>
              <w:t>不会下渗到地下水中。室外管道和阀门的跑冒滴漏水量较小。且本项目用地现状为工业用地，确保各项防渗措施得以落实、加强维护和厂区环境管理的前提下，正常工况下对地下水基本无渗漏，污染较小。</w:t>
            </w:r>
          </w:p>
        </w:tc>
      </w:tr>
      <w:tr w14:paraId="3433B5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noWrap w:val="0"/>
            <w:vAlign w:val="center"/>
          </w:tcPr>
          <w:p w14:paraId="3AFE8F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w:t>
            </w:r>
          </w:p>
          <w:p w14:paraId="698C1C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措施</w:t>
            </w:r>
          </w:p>
        </w:tc>
        <w:tc>
          <w:tcPr>
            <w:tcW w:w="0" w:type="auto"/>
            <w:gridSpan w:val="4"/>
            <w:tcBorders>
              <w:tl2br w:val="nil"/>
              <w:tr2bl w:val="nil"/>
            </w:tcBorders>
            <w:noWrap w:val="0"/>
            <w:vAlign w:val="center"/>
          </w:tcPr>
          <w:p w14:paraId="3DBDD7EE">
            <w:pPr>
              <w:pStyle w:val="14"/>
              <w:adjustRightInd w:val="0"/>
              <w:snapToGrid w:val="0"/>
              <w:spacing w:before="0" w:beforeAutospacing="0" w:after="0" w:afterAutospacing="0" w:line="360" w:lineRule="exact"/>
              <w:ind w:firstLine="420" w:firstLineChars="200"/>
              <w:jc w:val="left"/>
              <w:rPr>
                <w:rFonts w:hint="eastAsia" w:ascii="Times New Roman" w:hAnsi="Times New Roman" w:eastAsia="宋体" w:cs="Times New Roman"/>
                <w:bCs w:val="0"/>
                <w:color w:val="auto"/>
                <w:spacing w:val="0"/>
                <w:kern w:val="2"/>
                <w:sz w:val="21"/>
                <w:szCs w:val="21"/>
                <w:lang w:val="en-US" w:eastAsia="zh-CN" w:bidi="ar-SA"/>
              </w:rPr>
            </w:pPr>
            <w:r>
              <w:rPr>
                <w:rFonts w:hint="default" w:ascii="Times New Roman" w:hAnsi="Times New Roman" w:eastAsia="宋体" w:cs="Times New Roman"/>
                <w:bCs w:val="0"/>
                <w:color w:val="auto"/>
                <w:spacing w:val="0"/>
                <w:kern w:val="2"/>
                <w:sz w:val="21"/>
                <w:szCs w:val="21"/>
                <w:lang w:val="en-US" w:eastAsia="zh-CN" w:bidi="ar-SA"/>
              </w:rPr>
              <w:t>对照《江苏省生态红线区域保护规划》、《江苏省国家级生态保护红线规划》，本项目不处于禁止及限制开发范围内，而本项目产生的生活污水接管进金坛第二污水处理厂处理，不直接排入外环境水体。因此，本项目对生态无影响。</w:t>
            </w:r>
          </w:p>
        </w:tc>
      </w:tr>
      <w:tr w14:paraId="4B01BB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noWrap w:val="0"/>
            <w:vAlign w:val="center"/>
          </w:tcPr>
          <w:p w14:paraId="2748A8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p w14:paraId="386A91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防范措施</w:t>
            </w:r>
          </w:p>
        </w:tc>
        <w:tc>
          <w:tcPr>
            <w:tcW w:w="0" w:type="auto"/>
            <w:gridSpan w:val="4"/>
            <w:tcBorders>
              <w:tl2br w:val="nil"/>
              <w:tr2bl w:val="nil"/>
            </w:tcBorders>
            <w:noWrap w:val="0"/>
            <w:vAlign w:val="center"/>
          </w:tcPr>
          <w:p w14:paraId="2B9648F0">
            <w:pPr>
              <w:pStyle w:val="14"/>
              <w:adjustRightInd w:val="0"/>
              <w:snapToGrid w:val="0"/>
              <w:spacing w:before="0" w:beforeAutospacing="0" w:after="0" w:afterAutospacing="0" w:line="360" w:lineRule="exact"/>
              <w:ind w:firstLine="420" w:firstLineChars="200"/>
              <w:jc w:val="both"/>
              <w:rPr>
                <w:rFonts w:hint="eastAsia" w:ascii="Times New Roman" w:hAnsi="Times New Roman" w:eastAsia="宋体" w:cs="Times New Roman"/>
                <w:bCs w:val="0"/>
                <w:color w:val="auto"/>
                <w:spacing w:val="0"/>
                <w:kern w:val="2"/>
                <w:sz w:val="21"/>
                <w:szCs w:val="21"/>
                <w:lang w:val="en-US" w:eastAsia="zh-CN" w:bidi="ar-SA"/>
              </w:rPr>
            </w:pPr>
            <w:r>
              <w:rPr>
                <w:rFonts w:hint="default" w:ascii="Times New Roman" w:hAnsi="Times New Roman" w:eastAsia="宋体" w:cs="Times New Roman"/>
                <w:bCs w:val="0"/>
                <w:color w:val="auto"/>
                <w:spacing w:val="0"/>
                <w:kern w:val="2"/>
                <w:sz w:val="21"/>
                <w:szCs w:val="21"/>
                <w:lang w:val="en-US" w:eastAsia="zh-CN" w:bidi="ar-SA"/>
              </w:rPr>
              <w:t>企业在做好相应的风险防范措施的前提下，风险可防控。</w:t>
            </w:r>
          </w:p>
        </w:tc>
      </w:tr>
      <w:tr w14:paraId="7B323D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0" w:type="auto"/>
            <w:tcBorders>
              <w:tl2br w:val="nil"/>
              <w:tr2bl w:val="nil"/>
            </w:tcBorders>
            <w:noWrap w:val="0"/>
            <w:vAlign w:val="center"/>
          </w:tcPr>
          <w:p w14:paraId="78C024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其他环境</w:t>
            </w:r>
          </w:p>
          <w:p w14:paraId="22424B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管理要求</w:t>
            </w:r>
          </w:p>
        </w:tc>
        <w:tc>
          <w:tcPr>
            <w:tcW w:w="0" w:type="auto"/>
            <w:gridSpan w:val="4"/>
            <w:tcBorders>
              <w:tl2br w:val="nil"/>
              <w:tr2bl w:val="nil"/>
            </w:tcBorders>
            <w:noWrap w:val="0"/>
            <w:vAlign w:val="center"/>
          </w:tcPr>
          <w:p w14:paraId="2064ECD7">
            <w:pPr>
              <w:pStyle w:val="38"/>
              <w:spacing w:line="360" w:lineRule="exact"/>
              <w:ind w:left="-52" w:leftChars="-25" w:right="-52" w:rightChars="-25" w:firstLine="420" w:firstLineChars="200"/>
              <w:jc w:val="left"/>
              <w:rPr>
                <w:rFonts w:hint="default" w:ascii="Times New Roman" w:hAnsi="Times New Roman" w:eastAsia="宋体" w:cs="Times New Roman"/>
                <w:bCs w:val="0"/>
                <w:color w:val="auto"/>
                <w:spacing w:val="0"/>
                <w:kern w:val="2"/>
                <w:sz w:val="21"/>
                <w:szCs w:val="21"/>
                <w:lang w:val="en-US" w:eastAsia="zh-CN" w:bidi="ar-SA"/>
              </w:rPr>
            </w:pPr>
            <w:r>
              <w:rPr>
                <w:rFonts w:hint="default" w:ascii="Times New Roman" w:hAnsi="Times New Roman" w:eastAsia="宋体" w:cs="Times New Roman"/>
                <w:bCs w:val="0"/>
                <w:color w:val="auto"/>
                <w:spacing w:val="0"/>
                <w:kern w:val="2"/>
                <w:sz w:val="21"/>
                <w:szCs w:val="21"/>
                <w:lang w:val="en-US" w:eastAsia="zh-CN" w:bidi="ar-SA"/>
              </w:rPr>
              <w:t>（1）保持与环境保护主管机构的密切联系，及时了解国家、地方对本项目的有关环境保护的法律法规和其他要求，及时向环境保护主管机构反映与项目有关的污染因素、存在的问题、采取的污染控制对策等环境保护方面的内容，听取环境保护主管机构的批示意见；</w:t>
            </w:r>
          </w:p>
          <w:p w14:paraId="7837CDF4">
            <w:pPr>
              <w:pStyle w:val="38"/>
              <w:spacing w:line="360" w:lineRule="exact"/>
              <w:ind w:left="-52" w:leftChars="-25" w:right="-52" w:rightChars="-25" w:firstLine="420" w:firstLineChars="200"/>
              <w:jc w:val="left"/>
              <w:rPr>
                <w:rFonts w:hint="default" w:ascii="Times New Roman" w:hAnsi="Times New Roman" w:eastAsia="宋体" w:cs="Times New Roman"/>
                <w:bCs w:val="0"/>
                <w:color w:val="auto"/>
                <w:spacing w:val="0"/>
                <w:kern w:val="2"/>
                <w:sz w:val="21"/>
                <w:szCs w:val="21"/>
                <w:lang w:val="en-US" w:eastAsia="zh-CN" w:bidi="ar-SA"/>
              </w:rPr>
            </w:pPr>
            <w:r>
              <w:rPr>
                <w:rFonts w:hint="default" w:ascii="Times New Roman" w:hAnsi="Times New Roman" w:eastAsia="宋体" w:cs="Times New Roman"/>
                <w:bCs w:val="0"/>
                <w:color w:val="auto"/>
                <w:spacing w:val="0"/>
                <w:kern w:val="2"/>
                <w:sz w:val="21"/>
                <w:szCs w:val="21"/>
                <w:lang w:val="en-US" w:eastAsia="zh-CN" w:bidi="ar-SA"/>
              </w:rPr>
              <w:t>（2）及时将国家、地方与本项目环境保护有关的法律法规和其他要求向单位负责人汇报，及时向本单位有关机构、人员进行通报，组织职工进行环境保护方面的教育、培训，增强环保意识；</w:t>
            </w:r>
          </w:p>
          <w:p w14:paraId="2746E0A3">
            <w:pPr>
              <w:pStyle w:val="38"/>
              <w:spacing w:line="360" w:lineRule="exact"/>
              <w:ind w:left="-52" w:leftChars="-25" w:right="-52" w:rightChars="-25" w:firstLine="420" w:firstLineChars="200"/>
              <w:jc w:val="left"/>
              <w:rPr>
                <w:rFonts w:hint="default" w:ascii="Times New Roman" w:hAnsi="Times New Roman" w:eastAsia="宋体" w:cs="Times New Roman"/>
                <w:bCs w:val="0"/>
                <w:color w:val="auto"/>
                <w:spacing w:val="0"/>
                <w:kern w:val="2"/>
                <w:sz w:val="21"/>
                <w:szCs w:val="21"/>
                <w:lang w:val="en-US" w:eastAsia="zh-CN" w:bidi="ar-SA"/>
              </w:rPr>
            </w:pPr>
            <w:r>
              <w:rPr>
                <w:rFonts w:hint="default" w:ascii="Times New Roman" w:hAnsi="Times New Roman" w:eastAsia="宋体" w:cs="Times New Roman"/>
                <w:bCs w:val="0"/>
                <w:color w:val="auto"/>
                <w:spacing w:val="0"/>
                <w:kern w:val="2"/>
                <w:sz w:val="21"/>
                <w:szCs w:val="21"/>
                <w:lang w:val="en-US" w:eastAsia="zh-CN" w:bidi="ar-SA"/>
              </w:rPr>
              <w:t>（3）及时向单位负责人汇报与本项目有关的污染因素、存在问题、采取的污染控制对策、实施情况等，提出改进建议；</w:t>
            </w:r>
          </w:p>
          <w:p w14:paraId="3FE8219A">
            <w:pPr>
              <w:pStyle w:val="38"/>
              <w:spacing w:line="360" w:lineRule="exact"/>
              <w:ind w:left="-52" w:leftChars="-25" w:right="-52" w:rightChars="-25" w:firstLine="420" w:firstLineChars="200"/>
              <w:jc w:val="left"/>
              <w:rPr>
                <w:rFonts w:hint="default" w:ascii="Times New Roman" w:hAnsi="Times New Roman" w:eastAsia="宋体" w:cs="Times New Roman"/>
                <w:bCs w:val="0"/>
                <w:color w:val="auto"/>
                <w:spacing w:val="0"/>
                <w:kern w:val="2"/>
                <w:sz w:val="21"/>
                <w:szCs w:val="21"/>
                <w:lang w:val="en-US" w:eastAsia="zh-CN" w:bidi="ar-SA"/>
              </w:rPr>
            </w:pPr>
            <w:r>
              <w:rPr>
                <w:rFonts w:hint="default" w:ascii="Times New Roman" w:hAnsi="Times New Roman" w:eastAsia="宋体" w:cs="Times New Roman"/>
                <w:bCs w:val="0"/>
                <w:color w:val="auto"/>
                <w:spacing w:val="0"/>
                <w:kern w:val="2"/>
                <w:sz w:val="21"/>
                <w:szCs w:val="21"/>
                <w:lang w:val="en-US" w:eastAsia="zh-CN" w:bidi="ar-SA"/>
              </w:rPr>
              <w:t>（4）负责制定、监督实施本单位的有关环境保护管理规章制度，负责实施污染控制措施、管理污染治理设施，并进行详细地记录、以备检查；</w:t>
            </w:r>
          </w:p>
          <w:p w14:paraId="5F476D77">
            <w:pPr>
              <w:pStyle w:val="38"/>
              <w:spacing w:line="360" w:lineRule="exact"/>
              <w:ind w:left="-52" w:leftChars="-25" w:right="-52" w:rightChars="-25" w:firstLine="420" w:firstLineChars="200"/>
              <w:jc w:val="left"/>
              <w:rPr>
                <w:rFonts w:hint="default" w:ascii="Times New Roman" w:hAnsi="Times New Roman" w:eastAsia="宋体" w:cs="Times New Roman"/>
                <w:bCs w:val="0"/>
                <w:color w:val="auto"/>
                <w:spacing w:val="0"/>
                <w:kern w:val="2"/>
                <w:sz w:val="21"/>
                <w:szCs w:val="21"/>
                <w:lang w:val="en-US" w:eastAsia="zh-CN" w:bidi="ar-SA"/>
              </w:rPr>
            </w:pPr>
            <w:r>
              <w:rPr>
                <w:rFonts w:hint="default" w:ascii="Times New Roman" w:hAnsi="Times New Roman" w:eastAsia="宋体" w:cs="Times New Roman"/>
                <w:bCs w:val="0"/>
                <w:color w:val="auto"/>
                <w:spacing w:val="0"/>
                <w:kern w:val="2"/>
                <w:sz w:val="21"/>
                <w:szCs w:val="21"/>
                <w:lang w:val="en-US" w:eastAsia="zh-CN" w:bidi="ar-SA"/>
              </w:rPr>
              <w:t>（5）按照本报告提出的各项环境保护措施，编制详细的环境保护措施落实计划，明确各污染源位置、环境影响、环境保护措施、落实责任机构（人）等，并将该环境保护计划以书面形式发放给相关人员，以便于各项措施的有效落实；</w:t>
            </w:r>
          </w:p>
          <w:p w14:paraId="156B4752">
            <w:pPr>
              <w:pStyle w:val="38"/>
              <w:spacing w:line="360" w:lineRule="exact"/>
              <w:ind w:left="-52" w:leftChars="-25" w:right="-52" w:rightChars="-25" w:firstLine="420" w:firstLineChars="200"/>
              <w:jc w:val="left"/>
              <w:rPr>
                <w:rFonts w:hint="default" w:ascii="Times New Roman" w:hAnsi="Times New Roman" w:eastAsia="宋体" w:cs="Times New Roman"/>
                <w:bCs w:val="0"/>
                <w:color w:val="auto"/>
                <w:spacing w:val="0"/>
                <w:kern w:val="2"/>
                <w:sz w:val="21"/>
                <w:szCs w:val="21"/>
                <w:lang w:val="en-US" w:eastAsia="zh-CN" w:bidi="ar-SA"/>
              </w:rPr>
            </w:pPr>
            <w:r>
              <w:rPr>
                <w:rFonts w:hint="default" w:ascii="Times New Roman" w:hAnsi="Times New Roman" w:eastAsia="宋体" w:cs="Times New Roman"/>
                <w:bCs w:val="0"/>
                <w:color w:val="auto"/>
                <w:spacing w:val="0"/>
                <w:kern w:val="2"/>
                <w:sz w:val="21"/>
                <w:szCs w:val="21"/>
                <w:lang w:val="en-US" w:eastAsia="zh-CN" w:bidi="ar-SA"/>
              </w:rPr>
              <w:t>（6）按《江苏省排污口设置及规范化整治管理办法》(苏环控</w:t>
            </w:r>
            <w:r>
              <w:rPr>
                <w:rFonts w:hint="default" w:ascii="Times New Roman" w:hAnsi="Times New Roman" w:cs="Times New Roman"/>
                <w:color w:val="auto"/>
                <w:spacing w:val="-4"/>
              </w:rPr>
              <w:t>〔</w:t>
            </w:r>
            <w:r>
              <w:rPr>
                <w:rFonts w:hint="default" w:ascii="Times New Roman" w:hAnsi="Times New Roman" w:cs="Times New Roman"/>
                <w:color w:val="auto"/>
                <w:spacing w:val="-4"/>
                <w:lang w:val="en-US" w:eastAsia="zh-CN"/>
              </w:rPr>
              <w:t>1997</w:t>
            </w:r>
            <w:r>
              <w:rPr>
                <w:rFonts w:hint="default" w:ascii="Times New Roman" w:hAnsi="Times New Roman" w:cs="Times New Roman"/>
                <w:color w:val="auto"/>
                <w:spacing w:val="-4"/>
              </w:rPr>
              <w:t>〕</w:t>
            </w:r>
            <w:r>
              <w:rPr>
                <w:rFonts w:hint="default" w:ascii="Times New Roman" w:hAnsi="Times New Roman" w:eastAsia="宋体" w:cs="Times New Roman"/>
                <w:bCs w:val="0"/>
                <w:color w:val="auto"/>
                <w:spacing w:val="0"/>
                <w:kern w:val="2"/>
                <w:sz w:val="21"/>
                <w:szCs w:val="21"/>
                <w:lang w:val="en-US" w:eastAsia="zh-CN" w:bidi="ar-SA"/>
              </w:rPr>
              <w:t>122号)要求，对废气排口、固定噪声污染源、固废临时堆场进行规范化设置；</w:t>
            </w:r>
          </w:p>
          <w:p w14:paraId="35E10F92">
            <w:pPr>
              <w:pStyle w:val="38"/>
              <w:spacing w:line="360" w:lineRule="exact"/>
              <w:ind w:left="-52" w:leftChars="-25" w:right="-52" w:rightChars="-25" w:firstLine="420" w:firstLineChars="200"/>
              <w:jc w:val="left"/>
              <w:rPr>
                <w:rFonts w:hint="default" w:ascii="Times New Roman" w:hAnsi="Times New Roman" w:eastAsia="宋体" w:cs="Times New Roman"/>
                <w:bCs w:val="0"/>
                <w:color w:val="auto"/>
                <w:spacing w:val="0"/>
                <w:kern w:val="2"/>
                <w:sz w:val="21"/>
                <w:szCs w:val="21"/>
                <w:lang w:val="en-US" w:eastAsia="zh-CN" w:bidi="ar-SA"/>
              </w:rPr>
            </w:pPr>
            <w:r>
              <w:rPr>
                <w:rFonts w:hint="default" w:ascii="Times New Roman" w:hAnsi="Times New Roman" w:eastAsia="宋体" w:cs="Times New Roman"/>
                <w:bCs w:val="0"/>
                <w:color w:val="auto"/>
                <w:spacing w:val="0"/>
                <w:kern w:val="2"/>
                <w:sz w:val="21"/>
                <w:szCs w:val="21"/>
                <w:lang w:val="en-US" w:eastAsia="zh-CN" w:bidi="ar-SA"/>
              </w:rPr>
              <w:t>（7）根据《企业环境信息依法披露管理办法》（部令第24号）要求，向社会公开如下信息：</w:t>
            </w:r>
          </w:p>
          <w:p w14:paraId="07B62AD8">
            <w:pPr>
              <w:pStyle w:val="38"/>
              <w:spacing w:line="360" w:lineRule="exact"/>
              <w:ind w:left="-52" w:leftChars="-25" w:right="-52" w:rightChars="-25" w:firstLine="420" w:firstLineChars="200"/>
              <w:jc w:val="left"/>
              <w:rPr>
                <w:rFonts w:hint="default" w:ascii="Times New Roman" w:hAnsi="Times New Roman" w:eastAsia="宋体" w:cs="Times New Roman"/>
                <w:bCs w:val="0"/>
                <w:color w:val="auto"/>
                <w:spacing w:val="0"/>
                <w:kern w:val="2"/>
                <w:sz w:val="21"/>
                <w:szCs w:val="21"/>
                <w:lang w:val="en-US" w:eastAsia="zh-CN" w:bidi="ar-SA"/>
              </w:rPr>
            </w:pPr>
            <w:r>
              <w:rPr>
                <w:rFonts w:hint="default" w:ascii="Times New Roman" w:hAnsi="Times New Roman" w:eastAsia="宋体" w:cs="Times New Roman"/>
                <w:bCs w:val="0"/>
                <w:color w:val="auto"/>
                <w:spacing w:val="0"/>
                <w:kern w:val="2"/>
                <w:sz w:val="21"/>
                <w:szCs w:val="21"/>
                <w:lang w:val="en-US" w:eastAsia="zh-CN" w:bidi="ar-SA"/>
              </w:rPr>
              <w:t>①企业基本信息，包括企业生产和生态环境保护等方面的基础信息；</w:t>
            </w:r>
          </w:p>
          <w:p w14:paraId="21208291">
            <w:pPr>
              <w:pStyle w:val="38"/>
              <w:spacing w:line="360" w:lineRule="exact"/>
              <w:ind w:left="-52" w:leftChars="-25" w:right="-52" w:rightChars="-25" w:firstLine="420" w:firstLineChars="200"/>
              <w:jc w:val="left"/>
              <w:rPr>
                <w:rFonts w:hint="default" w:ascii="Times New Roman" w:hAnsi="Times New Roman" w:eastAsia="宋体" w:cs="Times New Roman"/>
                <w:bCs w:val="0"/>
                <w:color w:val="auto"/>
                <w:spacing w:val="0"/>
                <w:kern w:val="2"/>
                <w:sz w:val="21"/>
                <w:szCs w:val="21"/>
                <w:lang w:val="en-US" w:eastAsia="zh-CN" w:bidi="ar-SA"/>
              </w:rPr>
            </w:pPr>
            <w:r>
              <w:rPr>
                <w:rFonts w:hint="default" w:ascii="Times New Roman" w:hAnsi="Times New Roman" w:eastAsia="宋体" w:cs="Times New Roman"/>
                <w:bCs w:val="0"/>
                <w:color w:val="auto"/>
                <w:spacing w:val="0"/>
                <w:kern w:val="2"/>
                <w:sz w:val="21"/>
                <w:szCs w:val="21"/>
                <w:lang w:val="en-US" w:eastAsia="zh-CN" w:bidi="ar-SA"/>
              </w:rPr>
              <w:t>②企业环境管理信息，包括生态环境行政许可、环境保护税、环境污染责任保险、环保信用评价等方面的信息；</w:t>
            </w:r>
          </w:p>
          <w:p w14:paraId="3B2D2D53">
            <w:pPr>
              <w:pStyle w:val="38"/>
              <w:spacing w:line="360" w:lineRule="exact"/>
              <w:ind w:left="-52" w:leftChars="-25" w:right="-52" w:rightChars="-25" w:firstLine="420" w:firstLineChars="200"/>
              <w:jc w:val="left"/>
              <w:rPr>
                <w:rFonts w:hint="default" w:ascii="Times New Roman" w:hAnsi="Times New Roman" w:eastAsia="宋体" w:cs="Times New Roman"/>
                <w:bCs w:val="0"/>
                <w:color w:val="auto"/>
                <w:spacing w:val="0"/>
                <w:kern w:val="2"/>
                <w:sz w:val="21"/>
                <w:szCs w:val="21"/>
                <w:lang w:val="en-US" w:eastAsia="zh-CN" w:bidi="ar-SA"/>
              </w:rPr>
            </w:pPr>
            <w:r>
              <w:rPr>
                <w:rFonts w:hint="default" w:ascii="Times New Roman" w:hAnsi="Times New Roman" w:eastAsia="宋体" w:cs="Times New Roman"/>
                <w:bCs w:val="0"/>
                <w:color w:val="auto"/>
                <w:spacing w:val="0"/>
                <w:kern w:val="2"/>
                <w:sz w:val="21"/>
                <w:szCs w:val="21"/>
                <w:lang w:val="en-US" w:eastAsia="zh-CN" w:bidi="ar-SA"/>
              </w:rPr>
              <w:t>③污染物产生、治理与排放信息，包括污染治理设施、污染物排放，有毒有害物质排放，工业固体废物和危险废物产生、贮存、流向、利用、处置、自行监测等方面的信息；</w:t>
            </w:r>
          </w:p>
          <w:p w14:paraId="2310D5AA">
            <w:pPr>
              <w:pStyle w:val="38"/>
              <w:spacing w:line="360" w:lineRule="exact"/>
              <w:ind w:left="-52" w:leftChars="-25" w:right="-52" w:rightChars="-25" w:firstLine="420" w:firstLineChars="200"/>
              <w:jc w:val="left"/>
              <w:rPr>
                <w:rFonts w:hint="default" w:ascii="Times New Roman" w:hAnsi="Times New Roman" w:eastAsia="宋体" w:cs="Times New Roman"/>
                <w:bCs w:val="0"/>
                <w:color w:val="auto"/>
                <w:spacing w:val="0"/>
                <w:kern w:val="2"/>
                <w:sz w:val="21"/>
                <w:szCs w:val="21"/>
                <w:lang w:val="en-US" w:eastAsia="zh-CN" w:bidi="ar-SA"/>
              </w:rPr>
            </w:pPr>
            <w:r>
              <w:rPr>
                <w:rFonts w:hint="default" w:ascii="Times New Roman" w:hAnsi="Times New Roman" w:eastAsia="宋体" w:cs="Times New Roman"/>
                <w:bCs w:val="0"/>
                <w:color w:val="auto"/>
                <w:spacing w:val="0"/>
                <w:kern w:val="2"/>
                <w:sz w:val="21"/>
                <w:szCs w:val="21"/>
                <w:lang w:val="en-US" w:eastAsia="zh-CN" w:bidi="ar-SA"/>
              </w:rPr>
              <w:t>④碳排放信息、包括排放量、排放设施等方面的信息；</w:t>
            </w:r>
          </w:p>
          <w:p w14:paraId="5B193ECA">
            <w:pPr>
              <w:pStyle w:val="38"/>
              <w:spacing w:line="360" w:lineRule="exact"/>
              <w:ind w:left="-52" w:leftChars="-25" w:right="-52" w:rightChars="-25" w:firstLine="420" w:firstLineChars="200"/>
              <w:jc w:val="left"/>
              <w:rPr>
                <w:rFonts w:hint="default" w:ascii="Times New Roman" w:hAnsi="Times New Roman" w:eastAsia="宋体" w:cs="Times New Roman"/>
                <w:bCs w:val="0"/>
                <w:color w:val="auto"/>
                <w:spacing w:val="0"/>
                <w:kern w:val="2"/>
                <w:sz w:val="21"/>
                <w:szCs w:val="21"/>
                <w:lang w:val="en-US" w:eastAsia="zh-CN" w:bidi="ar-SA"/>
              </w:rPr>
            </w:pPr>
            <w:r>
              <w:rPr>
                <w:rFonts w:hint="default" w:ascii="Times New Roman" w:hAnsi="Times New Roman" w:eastAsia="宋体" w:cs="Times New Roman"/>
                <w:bCs w:val="0"/>
                <w:color w:val="auto"/>
                <w:spacing w:val="0"/>
                <w:kern w:val="2"/>
                <w:sz w:val="21"/>
                <w:szCs w:val="21"/>
                <w:lang w:val="en-US" w:eastAsia="zh-CN" w:bidi="ar-SA"/>
              </w:rPr>
              <w:t>⑤生态环境应急信息，包括突发环境事件应急预案、重污染天气应急响应等方面的信息；</w:t>
            </w:r>
          </w:p>
          <w:p w14:paraId="5BF3CC48">
            <w:pPr>
              <w:pStyle w:val="38"/>
              <w:spacing w:line="360" w:lineRule="exact"/>
              <w:ind w:left="-52" w:leftChars="-25" w:right="-52" w:rightChars="-25" w:firstLine="420" w:firstLineChars="200"/>
              <w:jc w:val="left"/>
              <w:rPr>
                <w:rFonts w:hint="default" w:ascii="Times New Roman" w:hAnsi="Times New Roman" w:eastAsia="宋体" w:cs="Times New Roman"/>
                <w:bCs w:val="0"/>
                <w:color w:val="auto"/>
                <w:spacing w:val="0"/>
                <w:kern w:val="2"/>
                <w:sz w:val="21"/>
                <w:szCs w:val="21"/>
                <w:lang w:val="en-US" w:eastAsia="zh-CN" w:bidi="ar-SA"/>
              </w:rPr>
            </w:pPr>
            <w:r>
              <w:rPr>
                <w:rFonts w:hint="default" w:ascii="Times New Roman" w:hAnsi="Times New Roman" w:eastAsia="宋体" w:cs="Times New Roman"/>
                <w:bCs w:val="0"/>
                <w:color w:val="auto"/>
                <w:spacing w:val="0"/>
                <w:kern w:val="2"/>
                <w:sz w:val="21"/>
                <w:szCs w:val="21"/>
                <w:lang w:val="en-US" w:eastAsia="zh-CN" w:bidi="ar-SA"/>
              </w:rPr>
              <w:t>⑥生态环境违法信息；</w:t>
            </w:r>
          </w:p>
          <w:p w14:paraId="4AC502E6">
            <w:pPr>
              <w:pStyle w:val="38"/>
              <w:spacing w:line="360" w:lineRule="exact"/>
              <w:ind w:left="-52" w:leftChars="-25" w:right="-52" w:rightChars="-25" w:firstLine="420" w:firstLineChars="200"/>
              <w:jc w:val="left"/>
              <w:rPr>
                <w:rFonts w:hint="default" w:ascii="Times New Roman" w:hAnsi="Times New Roman" w:eastAsia="宋体" w:cs="Times New Roman"/>
                <w:bCs w:val="0"/>
                <w:color w:val="auto"/>
                <w:spacing w:val="0"/>
                <w:kern w:val="2"/>
                <w:sz w:val="21"/>
                <w:szCs w:val="21"/>
                <w:lang w:val="en-US" w:eastAsia="zh-CN" w:bidi="ar-SA"/>
              </w:rPr>
            </w:pPr>
            <w:r>
              <w:rPr>
                <w:rFonts w:hint="default" w:ascii="Times New Roman" w:hAnsi="Times New Roman" w:eastAsia="宋体" w:cs="Times New Roman"/>
                <w:bCs w:val="0"/>
                <w:color w:val="auto"/>
                <w:spacing w:val="0"/>
                <w:kern w:val="2"/>
                <w:sz w:val="21"/>
                <w:szCs w:val="21"/>
                <w:lang w:val="en-US" w:eastAsia="zh-CN" w:bidi="ar-SA"/>
              </w:rPr>
              <w:t>⑦本年度临时环境信息依法披露情况；</w:t>
            </w:r>
          </w:p>
          <w:p w14:paraId="5AB7FACE">
            <w:pPr>
              <w:pStyle w:val="38"/>
              <w:spacing w:line="360" w:lineRule="exact"/>
              <w:ind w:left="-52" w:leftChars="-25" w:right="-52" w:rightChars="-25" w:firstLine="420" w:firstLineChars="200"/>
              <w:jc w:val="left"/>
              <w:rPr>
                <w:rFonts w:hint="default" w:ascii="Times New Roman" w:hAnsi="Times New Roman" w:eastAsia="宋体" w:cs="Times New Roman"/>
                <w:bCs w:val="0"/>
                <w:color w:val="auto"/>
                <w:spacing w:val="0"/>
                <w:kern w:val="2"/>
                <w:sz w:val="21"/>
                <w:szCs w:val="21"/>
                <w:lang w:val="en-US" w:eastAsia="zh-CN" w:bidi="ar-SA"/>
              </w:rPr>
            </w:pPr>
            <w:r>
              <w:rPr>
                <w:rFonts w:hint="default" w:ascii="Times New Roman" w:hAnsi="Times New Roman" w:eastAsia="宋体" w:cs="Times New Roman"/>
                <w:bCs w:val="0"/>
                <w:color w:val="auto"/>
                <w:spacing w:val="0"/>
                <w:kern w:val="2"/>
                <w:sz w:val="21"/>
                <w:szCs w:val="21"/>
                <w:lang w:val="en-US" w:eastAsia="zh-CN" w:bidi="ar-SA"/>
              </w:rPr>
              <w:t>⑧法律法规规定的其他环境信息。</w:t>
            </w:r>
          </w:p>
          <w:p w14:paraId="134D018C">
            <w:pPr>
              <w:pStyle w:val="38"/>
              <w:spacing w:line="360" w:lineRule="exact"/>
              <w:ind w:left="-52" w:leftChars="-25" w:right="-52" w:rightChars="-25" w:firstLine="420" w:firstLineChars="200"/>
              <w:jc w:val="left"/>
              <w:rPr>
                <w:rFonts w:hint="default"/>
                <w:bCs w:val="0"/>
                <w:color w:val="auto"/>
                <w:spacing w:val="0"/>
                <w:kern w:val="2"/>
                <w:sz w:val="21"/>
              </w:rPr>
            </w:pPr>
            <w:r>
              <w:rPr>
                <w:rFonts w:hint="eastAsia" w:cs="Times New Roman"/>
                <w:bCs w:val="0"/>
                <w:color w:val="auto"/>
                <w:spacing w:val="0"/>
                <w:kern w:val="2"/>
                <w:sz w:val="21"/>
                <w:szCs w:val="21"/>
                <w:lang w:val="en-US" w:eastAsia="zh-CN" w:bidi="ar-SA"/>
              </w:rPr>
              <w:t>（8）</w:t>
            </w:r>
            <w:r>
              <w:rPr>
                <w:rFonts w:hint="default"/>
                <w:bCs w:val="0"/>
                <w:color w:val="auto"/>
                <w:spacing w:val="0"/>
                <w:kern w:val="2"/>
                <w:sz w:val="21"/>
              </w:rPr>
              <w:t>本项目建成后，要求企业对其运营期的生产活动建立健全各类环境管理的相关规章、制度和措施，具体包括：</w:t>
            </w:r>
          </w:p>
          <w:p w14:paraId="4202C8A6">
            <w:pPr>
              <w:pStyle w:val="38"/>
              <w:spacing w:line="360" w:lineRule="exact"/>
              <w:ind w:left="-52" w:leftChars="-25" w:right="-52" w:rightChars="-25" w:firstLine="420" w:firstLineChars="200"/>
              <w:jc w:val="left"/>
              <w:rPr>
                <w:rFonts w:hint="default"/>
                <w:bCs w:val="0"/>
                <w:color w:val="auto"/>
                <w:spacing w:val="0"/>
                <w:kern w:val="2"/>
                <w:sz w:val="21"/>
              </w:rPr>
            </w:pPr>
            <w:r>
              <w:rPr>
                <w:rFonts w:hint="default"/>
                <w:bCs w:val="0"/>
                <w:color w:val="auto"/>
                <w:spacing w:val="0"/>
                <w:kern w:val="2"/>
                <w:sz w:val="21"/>
              </w:rPr>
              <w:t>①“三同时”制度</w:t>
            </w:r>
          </w:p>
          <w:p w14:paraId="08C16928">
            <w:pPr>
              <w:pStyle w:val="38"/>
              <w:spacing w:line="360" w:lineRule="exact"/>
              <w:ind w:left="-52" w:leftChars="-25" w:right="-52" w:rightChars="-25" w:firstLine="420" w:firstLineChars="200"/>
              <w:jc w:val="left"/>
              <w:rPr>
                <w:rFonts w:hint="default"/>
                <w:bCs w:val="0"/>
                <w:color w:val="auto"/>
                <w:spacing w:val="0"/>
                <w:kern w:val="2"/>
                <w:sz w:val="21"/>
              </w:rPr>
            </w:pPr>
            <w:r>
              <w:rPr>
                <w:rFonts w:hint="default"/>
                <w:bCs w:val="0"/>
                <w:color w:val="auto"/>
                <w:spacing w:val="0"/>
                <w:kern w:val="2"/>
                <w:sz w:val="21"/>
              </w:rPr>
              <w:t>严格贯彻执行“三同时”制度，确保污染防治设施能够与项目主体工程同时设计、同时施工、同时投入运行。</w:t>
            </w:r>
          </w:p>
          <w:p w14:paraId="2FF72894">
            <w:pPr>
              <w:pStyle w:val="38"/>
              <w:spacing w:line="360" w:lineRule="exact"/>
              <w:ind w:left="-52" w:leftChars="-25" w:right="-52" w:rightChars="-25" w:firstLine="420" w:firstLineChars="200"/>
              <w:jc w:val="left"/>
              <w:rPr>
                <w:rFonts w:hint="default"/>
                <w:bCs w:val="0"/>
                <w:color w:val="auto"/>
                <w:spacing w:val="0"/>
                <w:kern w:val="2"/>
                <w:sz w:val="21"/>
              </w:rPr>
            </w:pPr>
            <w:r>
              <w:rPr>
                <w:rFonts w:hint="default"/>
                <w:bCs w:val="0"/>
                <w:color w:val="auto"/>
                <w:spacing w:val="0"/>
                <w:kern w:val="2"/>
                <w:sz w:val="21"/>
              </w:rPr>
              <w:t>②排污许可管理制度</w:t>
            </w:r>
          </w:p>
          <w:p w14:paraId="2DCE41CA">
            <w:pPr>
              <w:pStyle w:val="38"/>
              <w:spacing w:line="360" w:lineRule="exact"/>
              <w:ind w:left="-52" w:leftChars="-25" w:right="-52" w:rightChars="-25" w:firstLine="420" w:firstLineChars="200"/>
              <w:jc w:val="left"/>
              <w:rPr>
                <w:rFonts w:hint="default"/>
                <w:bCs w:val="0"/>
                <w:color w:val="auto"/>
                <w:spacing w:val="0"/>
                <w:kern w:val="2"/>
                <w:sz w:val="21"/>
              </w:rPr>
            </w:pPr>
            <w:r>
              <w:rPr>
                <w:rFonts w:hint="default"/>
                <w:bCs w:val="0"/>
                <w:color w:val="auto"/>
                <w:spacing w:val="0"/>
                <w:kern w:val="2"/>
                <w:sz w:val="21"/>
              </w:rPr>
              <w:t>根据《固定污染源排污许可分类管理名录（2019年版）》要求申领排污许可证。</w:t>
            </w:r>
          </w:p>
          <w:p w14:paraId="44AAD718">
            <w:pPr>
              <w:pStyle w:val="38"/>
              <w:spacing w:line="360" w:lineRule="exact"/>
              <w:ind w:left="-52" w:leftChars="-25" w:right="-52" w:rightChars="-25" w:firstLine="420" w:firstLineChars="200"/>
              <w:jc w:val="left"/>
              <w:rPr>
                <w:rFonts w:hint="default"/>
                <w:bCs w:val="0"/>
                <w:color w:val="auto"/>
                <w:spacing w:val="0"/>
                <w:kern w:val="2"/>
                <w:sz w:val="21"/>
              </w:rPr>
            </w:pPr>
            <w:r>
              <w:rPr>
                <w:rFonts w:hint="default"/>
                <w:bCs w:val="0"/>
                <w:color w:val="auto"/>
                <w:spacing w:val="0"/>
                <w:kern w:val="2"/>
                <w:sz w:val="21"/>
              </w:rPr>
              <w:t>③环境报告制度</w:t>
            </w:r>
          </w:p>
          <w:p w14:paraId="02F01E7A">
            <w:pPr>
              <w:pStyle w:val="38"/>
              <w:spacing w:line="360" w:lineRule="exact"/>
              <w:ind w:left="-52" w:leftChars="-25" w:right="-52" w:rightChars="-25" w:firstLine="420" w:firstLineChars="200"/>
              <w:jc w:val="left"/>
              <w:rPr>
                <w:rFonts w:hint="default"/>
                <w:bCs w:val="0"/>
                <w:color w:val="auto"/>
                <w:spacing w:val="0"/>
                <w:kern w:val="2"/>
                <w:sz w:val="21"/>
              </w:rPr>
            </w:pPr>
            <w:r>
              <w:rPr>
                <w:rFonts w:hint="default"/>
                <w:bCs w:val="0"/>
                <w:color w:val="auto"/>
                <w:spacing w:val="0"/>
                <w:kern w:val="2"/>
                <w:sz w:val="21"/>
              </w:rPr>
              <w:t>定期向当地环保部门报告污染治理设施运行情况、污染物排放情况以及污染事故、污染纠纷等情况。</w:t>
            </w:r>
          </w:p>
          <w:p w14:paraId="0EC2149E">
            <w:pPr>
              <w:pStyle w:val="38"/>
              <w:spacing w:line="360" w:lineRule="exact"/>
              <w:ind w:left="-52" w:leftChars="-25" w:right="-52" w:rightChars="-25" w:firstLine="420" w:firstLineChars="200"/>
              <w:jc w:val="left"/>
              <w:rPr>
                <w:rFonts w:hint="default"/>
                <w:bCs w:val="0"/>
                <w:color w:val="auto"/>
                <w:spacing w:val="0"/>
                <w:kern w:val="2"/>
                <w:sz w:val="21"/>
              </w:rPr>
            </w:pPr>
            <w:r>
              <w:rPr>
                <w:rFonts w:hint="default"/>
                <w:bCs w:val="0"/>
                <w:color w:val="auto"/>
                <w:spacing w:val="0"/>
                <w:kern w:val="2"/>
                <w:sz w:val="21"/>
              </w:rPr>
              <w:t>④环境治理设施监管联动机制</w:t>
            </w:r>
          </w:p>
          <w:p w14:paraId="681251EF">
            <w:pPr>
              <w:pStyle w:val="38"/>
              <w:spacing w:line="360" w:lineRule="exact"/>
              <w:ind w:left="-52" w:leftChars="-25" w:right="-52" w:rightChars="-25" w:firstLine="420" w:firstLineChars="200"/>
              <w:jc w:val="left"/>
              <w:rPr>
                <w:rFonts w:hint="default"/>
                <w:bCs w:val="0"/>
                <w:color w:val="auto"/>
                <w:spacing w:val="0"/>
                <w:kern w:val="2"/>
                <w:sz w:val="21"/>
              </w:rPr>
            </w:pPr>
            <w:r>
              <w:rPr>
                <w:rFonts w:hint="default"/>
                <w:bCs w:val="0"/>
                <w:color w:val="auto"/>
                <w:spacing w:val="0"/>
                <w:kern w:val="2"/>
                <w:sz w:val="21"/>
              </w:rPr>
              <w:t>建立污染处理设施监管联动机制，建立健全内部管理责任制度，严格依据标准规范建设环境治理设施，并制定操作规程，建立管理台账，以确定其安全、稳定、有效运行。</w:t>
            </w:r>
          </w:p>
          <w:p w14:paraId="3F334371">
            <w:pPr>
              <w:pStyle w:val="38"/>
              <w:spacing w:line="360" w:lineRule="exact"/>
              <w:ind w:left="-52" w:leftChars="-25" w:right="-52" w:rightChars="-25" w:firstLine="420" w:firstLineChars="200"/>
              <w:jc w:val="left"/>
              <w:rPr>
                <w:rFonts w:hint="default"/>
                <w:bCs w:val="0"/>
                <w:color w:val="auto"/>
                <w:spacing w:val="0"/>
                <w:kern w:val="2"/>
                <w:sz w:val="21"/>
              </w:rPr>
            </w:pPr>
            <w:r>
              <w:rPr>
                <w:rFonts w:hint="default"/>
                <w:bCs w:val="0"/>
                <w:color w:val="auto"/>
                <w:spacing w:val="0"/>
                <w:kern w:val="2"/>
                <w:sz w:val="21"/>
              </w:rPr>
              <w:t>⑤其他各类环保规章制度</w:t>
            </w:r>
          </w:p>
          <w:p w14:paraId="5E38D216">
            <w:pPr>
              <w:pStyle w:val="38"/>
              <w:spacing w:line="360" w:lineRule="exact"/>
              <w:ind w:left="-52" w:leftChars="-25" w:right="-52" w:rightChars="-25" w:firstLine="420" w:firstLineChars="200"/>
              <w:jc w:val="left"/>
              <w:rPr>
                <w:rFonts w:hint="default" w:ascii="Times New Roman" w:hAnsi="Times New Roman" w:eastAsia="宋体" w:cs="Times New Roman"/>
                <w:bCs w:val="0"/>
                <w:color w:val="auto"/>
                <w:spacing w:val="0"/>
                <w:kern w:val="2"/>
                <w:sz w:val="21"/>
                <w:szCs w:val="21"/>
                <w:lang w:val="en-US" w:eastAsia="zh-CN" w:bidi="ar-SA"/>
              </w:rPr>
            </w:pPr>
            <w:r>
              <w:rPr>
                <w:rFonts w:hint="default"/>
                <w:bCs w:val="0"/>
                <w:color w:val="auto"/>
                <w:spacing w:val="0"/>
                <w:kern w:val="2"/>
                <w:sz w:val="21"/>
              </w:rPr>
              <w:t>制定全公司的环境方针、环境管理手册及一系列作业指导书以促进全公司的环境保护工作，使环境保护工作规范化和程序化，通过重要环境因素识别、提出持续改进措施，将全公司环境污染的影响逐年降低。</w:t>
            </w:r>
          </w:p>
          <w:p w14:paraId="32810B18">
            <w:pPr>
              <w:pStyle w:val="38"/>
              <w:spacing w:line="360" w:lineRule="exact"/>
              <w:ind w:left="0" w:leftChars="0" w:right="-52" w:rightChars="-25" w:firstLine="0" w:firstLineChars="0"/>
              <w:jc w:val="left"/>
              <w:rPr>
                <w:rFonts w:hint="default" w:ascii="Times New Roman" w:hAnsi="Times New Roman" w:eastAsia="宋体" w:cs="Times New Roman"/>
                <w:bCs w:val="0"/>
                <w:color w:val="auto"/>
                <w:spacing w:val="0"/>
                <w:kern w:val="2"/>
                <w:sz w:val="21"/>
                <w:szCs w:val="21"/>
                <w:lang w:val="en-US" w:eastAsia="zh-CN" w:bidi="ar-SA"/>
              </w:rPr>
            </w:pPr>
          </w:p>
          <w:p w14:paraId="4E3E1E26">
            <w:pPr>
              <w:pStyle w:val="38"/>
              <w:spacing w:line="360" w:lineRule="exact"/>
              <w:ind w:left="-52" w:leftChars="-25" w:right="-52" w:rightChars="-25" w:firstLine="420" w:firstLineChars="200"/>
              <w:jc w:val="left"/>
              <w:rPr>
                <w:rFonts w:hint="default" w:ascii="Times New Roman" w:hAnsi="Times New Roman" w:eastAsia="宋体" w:cs="Times New Roman"/>
                <w:bCs w:val="0"/>
                <w:color w:val="auto"/>
                <w:spacing w:val="0"/>
                <w:kern w:val="2"/>
                <w:sz w:val="21"/>
                <w:szCs w:val="21"/>
                <w:lang w:val="en-US" w:eastAsia="zh-CN" w:bidi="ar-SA"/>
              </w:rPr>
            </w:pPr>
          </w:p>
          <w:p w14:paraId="5DB6154F">
            <w:pPr>
              <w:pStyle w:val="38"/>
              <w:spacing w:line="360" w:lineRule="exact"/>
              <w:ind w:left="-52" w:leftChars="-25" w:right="-52" w:rightChars="-25" w:firstLine="420" w:firstLineChars="200"/>
              <w:jc w:val="left"/>
              <w:rPr>
                <w:rFonts w:hint="default" w:ascii="Times New Roman" w:hAnsi="Times New Roman" w:eastAsia="宋体" w:cs="Times New Roman"/>
                <w:bCs w:val="0"/>
                <w:color w:val="auto"/>
                <w:spacing w:val="0"/>
                <w:kern w:val="2"/>
                <w:sz w:val="21"/>
                <w:szCs w:val="21"/>
                <w:lang w:val="en-US" w:eastAsia="zh-CN" w:bidi="ar-SA"/>
              </w:rPr>
            </w:pPr>
          </w:p>
          <w:p w14:paraId="5439837D">
            <w:pPr>
              <w:pStyle w:val="38"/>
              <w:spacing w:line="360" w:lineRule="exact"/>
              <w:ind w:left="-52" w:leftChars="-25" w:right="-52" w:rightChars="-25" w:firstLine="420" w:firstLineChars="200"/>
              <w:jc w:val="left"/>
              <w:rPr>
                <w:rFonts w:hint="default" w:ascii="Times New Roman" w:hAnsi="Times New Roman" w:eastAsia="宋体" w:cs="Times New Roman"/>
                <w:bCs w:val="0"/>
                <w:color w:val="auto"/>
                <w:spacing w:val="0"/>
                <w:kern w:val="2"/>
                <w:sz w:val="21"/>
                <w:szCs w:val="21"/>
                <w:lang w:val="en-US" w:eastAsia="zh-CN" w:bidi="ar-SA"/>
              </w:rPr>
            </w:pPr>
          </w:p>
          <w:p w14:paraId="38B339B7">
            <w:pPr>
              <w:pStyle w:val="38"/>
              <w:spacing w:line="360" w:lineRule="exact"/>
              <w:ind w:left="0" w:leftChars="0" w:right="-52" w:rightChars="-25" w:firstLine="0" w:firstLineChars="0"/>
              <w:jc w:val="left"/>
              <w:rPr>
                <w:rFonts w:hint="default" w:ascii="Times New Roman" w:hAnsi="Times New Roman" w:eastAsia="宋体" w:cs="Times New Roman"/>
                <w:bCs w:val="0"/>
                <w:color w:val="auto"/>
                <w:spacing w:val="0"/>
                <w:kern w:val="2"/>
                <w:sz w:val="21"/>
                <w:szCs w:val="21"/>
                <w:lang w:val="en-US" w:eastAsia="zh-CN" w:bidi="ar-SA"/>
              </w:rPr>
            </w:pPr>
          </w:p>
          <w:p w14:paraId="5BB4A802">
            <w:pPr>
              <w:pStyle w:val="38"/>
              <w:spacing w:line="360" w:lineRule="exact"/>
              <w:ind w:left="0" w:leftChars="0" w:right="-52" w:rightChars="-25" w:firstLine="0" w:firstLineChars="0"/>
              <w:jc w:val="left"/>
              <w:rPr>
                <w:rFonts w:hint="eastAsia" w:ascii="Times New Roman" w:hAnsi="Times New Roman" w:eastAsia="宋体" w:cs="Times New Roman"/>
                <w:bCs w:val="0"/>
                <w:color w:val="auto"/>
                <w:spacing w:val="0"/>
                <w:kern w:val="2"/>
                <w:sz w:val="21"/>
                <w:szCs w:val="21"/>
                <w:lang w:val="en-US" w:eastAsia="zh-CN" w:bidi="ar-SA"/>
              </w:rPr>
            </w:pPr>
          </w:p>
        </w:tc>
      </w:tr>
    </w:tbl>
    <w:p w14:paraId="4C78BA0E">
      <w:pPr>
        <w:pStyle w:val="35"/>
        <w:rPr>
          <w:color w:val="auto"/>
        </w:rPr>
        <w:sectPr>
          <w:pgSz w:w="11907" w:h="16840"/>
          <w:pgMar w:top="1440" w:right="1080" w:bottom="1440" w:left="1080" w:header="964" w:footer="964" w:gutter="0"/>
          <w:pgBorders w:offsetFrom="page">
            <w:top w:val="none" w:sz="0" w:space="0"/>
            <w:left w:val="none" w:sz="0" w:space="0"/>
            <w:bottom w:val="none" w:sz="0" w:space="0"/>
            <w:right w:val="none" w:sz="0" w:space="0"/>
          </w:pgBorders>
          <w:cols w:space="720" w:num="1"/>
          <w:docGrid w:type="linesAndChars" w:linePitch="312" w:charSpace="0"/>
        </w:sectPr>
      </w:pPr>
    </w:p>
    <w:p w14:paraId="3BCD9B66">
      <w:pPr>
        <w:pStyle w:val="4"/>
        <w:spacing w:before="0" w:after="0"/>
        <w:rPr>
          <w:rFonts w:eastAsia="宋体"/>
          <w:color w:val="auto"/>
        </w:rPr>
      </w:pPr>
      <w:r>
        <w:rPr>
          <w:rFonts w:eastAsia="宋体"/>
          <w:color w:val="auto"/>
        </w:rPr>
        <w:t>六、结论</w:t>
      </w:r>
    </w:p>
    <w:tbl>
      <w:tblPr>
        <w:tblStyle w:val="17"/>
        <w:tblW w:w="97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28"/>
      </w:tblGrid>
      <w:tr w14:paraId="2EF007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41" w:hRule="atLeast"/>
          <w:jc w:val="center"/>
        </w:trPr>
        <w:tc>
          <w:tcPr>
            <w:tcW w:w="9728" w:type="dxa"/>
            <w:noWrap w:val="0"/>
            <w:vAlign w:val="top"/>
          </w:tcPr>
          <w:p w14:paraId="280C103B">
            <w:pPr>
              <w:ind w:firstLine="422"/>
              <w:rPr>
                <w:b/>
                <w:bCs/>
                <w:color w:val="auto"/>
                <w:sz w:val="24"/>
                <w:szCs w:val="24"/>
              </w:rPr>
            </w:pPr>
            <w:r>
              <w:rPr>
                <w:b/>
                <w:bCs/>
                <w:color w:val="auto"/>
                <w:sz w:val="24"/>
                <w:szCs w:val="24"/>
              </w:rPr>
              <w:t>项目建设符合国家、地方产业政策；项目用地为规划工业用地，项目所采用的污染防治措施技术经济可行，能保证各种污染物稳定达标排放；废气经处理后均达标排放，总量在可控制的范围内平衡，符合总量控制要求；针对项目特点提出了具体的、有针对性的风险防范措施、环境管理要求及监测计划。</w:t>
            </w:r>
          </w:p>
          <w:p w14:paraId="0990A818">
            <w:pPr>
              <w:ind w:firstLine="422"/>
              <w:rPr>
                <w:b/>
                <w:bCs/>
                <w:color w:val="auto"/>
                <w:sz w:val="24"/>
                <w:szCs w:val="24"/>
              </w:rPr>
            </w:pPr>
            <w:r>
              <w:rPr>
                <w:b/>
                <w:bCs/>
                <w:color w:val="auto"/>
                <w:sz w:val="24"/>
                <w:szCs w:val="24"/>
              </w:rPr>
              <w:t>综上，在落实本报告中的各项环保措施以及各级环保主管部门管理要求，严格执行环保“三同时”的前提下，从环保角度分析，本项目建设具有环境可行性。</w:t>
            </w:r>
          </w:p>
          <w:p w14:paraId="65B1CE56">
            <w:pPr>
              <w:widowControl/>
              <w:snapToGrid w:val="0"/>
              <w:ind w:firstLine="422"/>
              <w:rPr>
                <w:color w:val="auto"/>
                <w:sz w:val="24"/>
                <w:szCs w:val="24"/>
              </w:rPr>
            </w:pPr>
            <w:r>
              <w:rPr>
                <w:b/>
                <w:bCs/>
                <w:color w:val="auto"/>
                <w:sz w:val="24"/>
                <w:szCs w:val="24"/>
              </w:rPr>
              <w:t>同时，拟建项目在设计、建设、运行全过程中还必须满足消防、安全、职业卫生等相关管理要求，进行规范化的设计、施工和运行管理。</w:t>
            </w:r>
          </w:p>
          <w:p w14:paraId="63743115">
            <w:pPr>
              <w:ind w:firstLine="420"/>
              <w:rPr>
                <w:color w:val="auto"/>
              </w:rPr>
            </w:pPr>
          </w:p>
          <w:p w14:paraId="5522EDD2">
            <w:pPr>
              <w:pStyle w:val="5"/>
              <w:ind w:firstLine="482"/>
              <w:rPr>
                <w:color w:val="auto"/>
                <w:sz w:val="24"/>
              </w:rPr>
            </w:pPr>
          </w:p>
          <w:p w14:paraId="439E9C83">
            <w:pPr>
              <w:ind w:firstLine="480"/>
              <w:rPr>
                <w:color w:val="auto"/>
                <w:sz w:val="24"/>
              </w:rPr>
            </w:pPr>
          </w:p>
          <w:p w14:paraId="2B6B2C8F">
            <w:pPr>
              <w:pStyle w:val="5"/>
              <w:ind w:left="0" w:leftChars="0" w:firstLine="0" w:firstLineChars="0"/>
              <w:rPr>
                <w:color w:val="auto"/>
                <w:sz w:val="24"/>
              </w:rPr>
            </w:pPr>
          </w:p>
          <w:p w14:paraId="482455DE">
            <w:pPr>
              <w:rPr>
                <w:color w:val="auto"/>
                <w:sz w:val="24"/>
              </w:rPr>
            </w:pPr>
          </w:p>
          <w:p w14:paraId="57EB9625">
            <w:pPr>
              <w:rPr>
                <w:color w:val="auto"/>
                <w:sz w:val="24"/>
              </w:rPr>
            </w:pPr>
          </w:p>
          <w:p w14:paraId="57122FA5">
            <w:pPr>
              <w:ind w:firstLine="480"/>
              <w:rPr>
                <w:color w:val="auto"/>
                <w:sz w:val="24"/>
              </w:rPr>
            </w:pPr>
          </w:p>
          <w:p w14:paraId="508B4065">
            <w:pPr>
              <w:pStyle w:val="5"/>
              <w:ind w:firstLine="0" w:firstLineChars="0"/>
              <w:rPr>
                <w:color w:val="auto"/>
                <w:sz w:val="24"/>
              </w:rPr>
            </w:pPr>
          </w:p>
        </w:tc>
      </w:tr>
    </w:tbl>
    <w:p w14:paraId="0704AC67">
      <w:pPr>
        <w:ind w:firstLine="482"/>
        <w:rPr>
          <w:b/>
          <w:color w:val="auto"/>
          <w:sz w:val="24"/>
        </w:rPr>
        <w:sectPr>
          <w:pgSz w:w="11921" w:h="16838"/>
          <w:pgMar w:top="1440" w:right="1080" w:bottom="1440" w:left="1080" w:header="851" w:footer="992" w:gutter="0"/>
          <w:pgBorders w:offsetFrom="page">
            <w:top w:val="none" w:sz="0" w:space="0"/>
            <w:left w:val="none" w:sz="0" w:space="0"/>
            <w:bottom w:val="none" w:sz="0" w:space="0"/>
            <w:right w:val="none" w:sz="0" w:space="0"/>
          </w:pgBorders>
          <w:cols w:space="720" w:num="1"/>
          <w:docGrid w:type="lines" w:linePitch="312" w:charSpace="0"/>
        </w:sectPr>
      </w:pPr>
    </w:p>
    <w:p w14:paraId="4E52BC6B">
      <w:pPr>
        <w:pStyle w:val="4"/>
        <w:spacing w:before="0" w:after="0"/>
        <w:jc w:val="left"/>
        <w:rPr>
          <w:rFonts w:eastAsia="宋体"/>
          <w:color w:val="auto"/>
        </w:rPr>
      </w:pPr>
      <w:r>
        <w:rPr>
          <w:rFonts w:eastAsia="宋体"/>
          <w:color w:val="auto"/>
        </w:rPr>
        <w:t>附表</w:t>
      </w:r>
    </w:p>
    <w:p w14:paraId="5141A3A3">
      <w:pPr>
        <w:spacing w:line="640" w:lineRule="exact"/>
        <w:ind w:firstLine="0" w:firstLineChars="0"/>
        <w:jc w:val="center"/>
        <w:rPr>
          <w:color w:val="auto"/>
          <w:sz w:val="38"/>
          <w:szCs w:val="38"/>
        </w:rPr>
      </w:pPr>
      <w:r>
        <w:rPr>
          <w:color w:val="auto"/>
          <w:sz w:val="38"/>
          <w:szCs w:val="38"/>
          <w:highlight w:val="none"/>
        </w:rPr>
        <w:t>建设项目污染物排放量汇总表</w:t>
      </w:r>
      <w:r>
        <w:rPr>
          <w:rStyle w:val="22"/>
          <w:color w:val="auto"/>
        </w:rPr>
        <w:t xml:space="preserve"> </w:t>
      </w:r>
      <w:r>
        <w:rPr>
          <w:color w:val="auto"/>
          <w:sz w:val="38"/>
          <w:szCs w:val="38"/>
        </w:rPr>
        <w:t>单位：t/a</w:t>
      </w:r>
    </w:p>
    <w:tbl>
      <w:tblPr>
        <w:tblStyle w:val="17"/>
        <w:tblW w:w="502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14"/>
        <w:gridCol w:w="898"/>
        <w:gridCol w:w="1403"/>
        <w:gridCol w:w="1786"/>
        <w:gridCol w:w="1307"/>
        <w:gridCol w:w="1741"/>
        <w:gridCol w:w="1594"/>
        <w:gridCol w:w="1803"/>
        <w:gridCol w:w="2022"/>
        <w:gridCol w:w="1098"/>
      </w:tblGrid>
      <w:tr w14:paraId="69DDE4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62" w:hRule="atLeast"/>
        </w:trPr>
        <w:tc>
          <w:tcPr>
            <w:tcW w:w="466" w:type="pct"/>
            <w:gridSpan w:val="2"/>
            <w:tcBorders>
              <w:tl2br w:val="nil"/>
              <w:tr2bl w:val="nil"/>
            </w:tcBorders>
            <w:noWrap w:val="0"/>
            <w:vAlign w:val="center"/>
          </w:tcPr>
          <w:p w14:paraId="09DEFD42">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mc:AlternateContent>
                <mc:Choice Requires="wpg">
                  <w:drawing>
                    <wp:anchor distT="0" distB="0" distL="114300" distR="114300" simplePos="0" relativeHeight="251659264" behindDoc="1" locked="0" layoutInCell="1" allowOverlap="1">
                      <wp:simplePos x="0" y="0"/>
                      <wp:positionH relativeFrom="page">
                        <wp:posOffset>8255</wp:posOffset>
                      </wp:positionH>
                      <wp:positionV relativeFrom="paragraph">
                        <wp:posOffset>9525</wp:posOffset>
                      </wp:positionV>
                      <wp:extent cx="808355" cy="520065"/>
                      <wp:effectExtent l="2540" t="3810" r="8255" b="9525"/>
                      <wp:wrapNone/>
                      <wp:docPr id="637" name="组合 637"/>
                      <wp:cNvGraphicFramePr/>
                      <a:graphic xmlns:a="http://schemas.openxmlformats.org/drawingml/2006/main">
                        <a:graphicData uri="http://schemas.microsoft.com/office/word/2010/wordprocessingGroup">
                          <wpg:wgp>
                            <wpg:cNvGrpSpPr/>
                            <wpg:grpSpPr>
                              <a:xfrm>
                                <a:off x="0" y="0"/>
                                <a:ext cx="808355" cy="520065"/>
                                <a:chOff x="1553" y="735"/>
                                <a:chExt cx="1273" cy="819"/>
                              </a:xfrm>
                              <a:effectLst/>
                            </wpg:grpSpPr>
                            <wps:wsp>
                              <wps:cNvPr id="636" name="任意多边形 637"/>
                              <wps:cNvSpPr/>
                              <wps:spPr>
                                <a:xfrm>
                                  <a:off x="1553" y="735"/>
                                  <a:ext cx="1273" cy="819"/>
                                </a:xfrm>
                                <a:custGeom>
                                  <a:avLst/>
                                  <a:gdLst/>
                                  <a:ahLst/>
                                  <a:cxnLst/>
                                  <a:pathLst>
                                    <a:path w="1273" h="819">
                                      <a:moveTo>
                                        <a:pt x="0" y="0"/>
                                      </a:moveTo>
                                      <a:lnTo>
                                        <a:pt x="1272" y="818"/>
                                      </a:lnTo>
                                    </a:path>
                                  </a:pathLst>
                                </a:custGeom>
                                <a:noFill/>
                                <a:ln w="6096"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0.65pt;margin-top:0.75pt;height:40.95pt;width:63.65pt;mso-position-horizontal-relative:page;z-index:-251657216;mso-width-relative:page;mso-height-relative:page;" coordorigin="1553,735" coordsize="1273,819" o:gfxdata="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qDg8W1QAAAAYBAAAPAAAAAAAAAAEAIAAAACIAAABkcnMvZG93bnJldi54bWxQSwECFAAU&#10;AAAACACHTuJAXjOq7J8CAADhBQAADgAAAAAAAAABACAAAAAkAQAAZHJzL2Uyb0RvYy54bWxQSwUG&#10;AAAAAAYABgBZAQAANQYAAAAA&#10;">
                      <o:lock v:ext="edit" aspectratio="f"/>
                      <v:shape id="任意多边形 637" o:spid="_x0000_s1026" o:spt="100" style="position:absolute;left:1553;top:735;height:819;width:1273;" filled="f" stroked="t" coordsize="1273,819" o:gfxdata="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9oSW/&#10;AAAA3AAAAA8AAAAAAAAAAQAgAAAAIgAAAGRycy9kb3ducmV2LnhtbFBLAQIUABQAAAAIAIdO4kAz&#10;LwWeOwAAADkAAAAQAAAAAAAAAAEAIAAAAA4BAABkcnMvc2hhcGV4bWwueG1sUEsFBgAAAAAGAAYA&#10;WwEAALgDAAAAAA==&#10;" path="m0,0l1272,818e">
                        <v:fill on="f" focussize="0,0"/>
                        <v:stroke weight="0.48pt" color="#000000" joinstyle="round"/>
                        <v:imagedata o:title=""/>
                        <o:lock v:ext="edit" aspectratio="f"/>
                      </v:shape>
                    </v:group>
                  </w:pict>
                </mc:Fallback>
              </mc:AlternateContent>
            </w:r>
            <w:r>
              <w:rPr>
                <w:color w:val="auto"/>
                <w:sz w:val="21"/>
                <w:szCs w:val="21"/>
              </w:rPr>
              <w:t>项目</w:t>
            </w:r>
          </w:p>
          <w:p w14:paraId="089A7251">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p w14:paraId="4340DAF7">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分类</w:t>
            </w:r>
          </w:p>
        </w:tc>
        <w:tc>
          <w:tcPr>
            <w:tcW w:w="498" w:type="pct"/>
            <w:tcBorders>
              <w:tl2br w:val="nil"/>
              <w:tr2bl w:val="nil"/>
            </w:tcBorders>
            <w:noWrap w:val="0"/>
            <w:vAlign w:val="center"/>
          </w:tcPr>
          <w:p w14:paraId="4B93B90B">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污染物名称</w:t>
            </w:r>
          </w:p>
        </w:tc>
        <w:tc>
          <w:tcPr>
            <w:tcW w:w="634" w:type="pct"/>
            <w:tcBorders>
              <w:tl2br w:val="nil"/>
              <w:tr2bl w:val="nil"/>
            </w:tcBorders>
            <w:noWrap w:val="0"/>
            <w:vAlign w:val="center"/>
          </w:tcPr>
          <w:p w14:paraId="28B1AB9C">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现有工程</w:t>
            </w:r>
          </w:p>
          <w:p w14:paraId="44737D8B">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排放量（固体废物产生量）</w:t>
            </w:r>
            <w:r>
              <w:rPr>
                <w:rFonts w:hint="eastAsia" w:ascii="宋体" w:hAnsi="宋体" w:cs="宋体"/>
                <w:color w:val="auto"/>
                <w:sz w:val="21"/>
                <w:szCs w:val="21"/>
              </w:rPr>
              <w:t>①</w:t>
            </w:r>
          </w:p>
        </w:tc>
        <w:tc>
          <w:tcPr>
            <w:tcW w:w="464" w:type="pct"/>
            <w:tcBorders>
              <w:tl2br w:val="nil"/>
              <w:tr2bl w:val="nil"/>
            </w:tcBorders>
            <w:noWrap w:val="0"/>
            <w:vAlign w:val="center"/>
          </w:tcPr>
          <w:p w14:paraId="69797C2B">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现有工程</w:t>
            </w:r>
          </w:p>
          <w:p w14:paraId="5F43CDCF">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许可排放量</w:t>
            </w:r>
          </w:p>
          <w:p w14:paraId="213985FF">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rFonts w:hint="eastAsia" w:ascii="宋体" w:hAnsi="宋体" w:cs="宋体"/>
                <w:color w:val="auto"/>
                <w:sz w:val="21"/>
                <w:szCs w:val="21"/>
              </w:rPr>
              <w:t>②</w:t>
            </w:r>
          </w:p>
        </w:tc>
        <w:tc>
          <w:tcPr>
            <w:tcW w:w="618" w:type="pct"/>
            <w:tcBorders>
              <w:tl2br w:val="nil"/>
              <w:tr2bl w:val="nil"/>
            </w:tcBorders>
            <w:noWrap w:val="0"/>
            <w:vAlign w:val="center"/>
          </w:tcPr>
          <w:p w14:paraId="69629B6C">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在建工程</w:t>
            </w:r>
          </w:p>
          <w:p w14:paraId="50100CEE">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排放量（固体废物产生量）</w:t>
            </w:r>
            <w:r>
              <w:rPr>
                <w:rFonts w:hint="eastAsia" w:ascii="宋体" w:hAnsi="宋体" w:cs="宋体"/>
                <w:color w:val="auto"/>
                <w:sz w:val="21"/>
                <w:szCs w:val="21"/>
              </w:rPr>
              <w:t>③</w:t>
            </w:r>
          </w:p>
        </w:tc>
        <w:tc>
          <w:tcPr>
            <w:tcW w:w="566" w:type="pct"/>
            <w:tcBorders>
              <w:tl2br w:val="nil"/>
              <w:tr2bl w:val="nil"/>
            </w:tcBorders>
            <w:noWrap w:val="0"/>
            <w:vAlign w:val="center"/>
          </w:tcPr>
          <w:p w14:paraId="1D344FD4">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本项目</w:t>
            </w:r>
          </w:p>
          <w:p w14:paraId="194832DF">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排放量（固体废物产生量）</w:t>
            </w:r>
            <w:r>
              <w:rPr>
                <w:rFonts w:hint="eastAsia" w:ascii="宋体" w:hAnsi="宋体" w:cs="宋体"/>
                <w:color w:val="auto"/>
                <w:sz w:val="21"/>
                <w:szCs w:val="21"/>
              </w:rPr>
              <w:t>④</w:t>
            </w:r>
          </w:p>
        </w:tc>
        <w:tc>
          <w:tcPr>
            <w:tcW w:w="640" w:type="pct"/>
            <w:tcBorders>
              <w:tl2br w:val="nil"/>
              <w:tr2bl w:val="nil"/>
            </w:tcBorders>
            <w:noWrap w:val="0"/>
            <w:vAlign w:val="center"/>
          </w:tcPr>
          <w:p w14:paraId="6AC34C84">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以新带老削减量</w:t>
            </w:r>
          </w:p>
          <w:p w14:paraId="3CF10551">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（新建项目不填）</w:t>
            </w:r>
            <w:r>
              <w:rPr>
                <w:rFonts w:hint="eastAsia" w:ascii="宋体" w:hAnsi="宋体" w:cs="宋体"/>
                <w:color w:val="auto"/>
                <w:sz w:val="21"/>
                <w:szCs w:val="21"/>
              </w:rPr>
              <w:t>⑤</w:t>
            </w:r>
          </w:p>
        </w:tc>
        <w:tc>
          <w:tcPr>
            <w:tcW w:w="718" w:type="pct"/>
            <w:tcBorders>
              <w:tl2br w:val="nil"/>
              <w:tr2bl w:val="nil"/>
            </w:tcBorders>
            <w:noWrap w:val="0"/>
            <w:vAlign w:val="center"/>
          </w:tcPr>
          <w:p w14:paraId="0EB46494">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本项目建成后全厂排放量（固体废物产生量）</w:t>
            </w:r>
            <w:r>
              <w:rPr>
                <w:rFonts w:hint="eastAsia" w:ascii="宋体" w:hAnsi="宋体" w:cs="宋体"/>
                <w:color w:val="auto"/>
                <w:sz w:val="21"/>
                <w:szCs w:val="21"/>
              </w:rPr>
              <w:t>⑥</w:t>
            </w:r>
          </w:p>
        </w:tc>
        <w:tc>
          <w:tcPr>
            <w:tcW w:w="390" w:type="pct"/>
            <w:tcBorders>
              <w:tl2br w:val="nil"/>
              <w:tr2bl w:val="nil"/>
            </w:tcBorders>
            <w:noWrap w:val="0"/>
            <w:vAlign w:val="center"/>
          </w:tcPr>
          <w:p w14:paraId="087BDB6B">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变化量</w:t>
            </w:r>
            <w:r>
              <w:rPr>
                <w:rFonts w:hint="eastAsia" w:ascii="宋体" w:hAnsi="宋体" w:cs="宋体"/>
                <w:color w:val="auto"/>
                <w:sz w:val="21"/>
                <w:szCs w:val="21"/>
              </w:rPr>
              <w:t>⑦</w:t>
            </w:r>
          </w:p>
        </w:tc>
      </w:tr>
      <w:tr w14:paraId="79B4FD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47" w:type="pct"/>
            <w:vMerge w:val="restart"/>
            <w:tcBorders>
              <w:tl2br w:val="nil"/>
              <w:tr2bl w:val="nil"/>
            </w:tcBorders>
            <w:noWrap w:val="0"/>
            <w:vAlign w:val="center"/>
          </w:tcPr>
          <w:p w14:paraId="5ADD14D9">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废气</w:t>
            </w:r>
          </w:p>
        </w:tc>
        <w:tc>
          <w:tcPr>
            <w:tcW w:w="319" w:type="pct"/>
            <w:vMerge w:val="restart"/>
            <w:tcBorders>
              <w:tl2br w:val="nil"/>
              <w:tr2bl w:val="nil"/>
            </w:tcBorders>
            <w:noWrap w:val="0"/>
            <w:vAlign w:val="center"/>
          </w:tcPr>
          <w:p w14:paraId="746AA778">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有组织</w:t>
            </w:r>
          </w:p>
        </w:tc>
        <w:tc>
          <w:tcPr>
            <w:tcW w:w="498" w:type="pct"/>
            <w:vMerge w:val="restart"/>
            <w:tcBorders>
              <w:tl2br w:val="nil"/>
              <w:tr2bl w:val="nil"/>
            </w:tcBorders>
            <w:noWrap w:val="0"/>
            <w:vAlign w:val="center"/>
          </w:tcPr>
          <w:p w14:paraId="329A293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634" w:type="pct"/>
            <w:vMerge w:val="restart"/>
            <w:tcBorders>
              <w:tl2br w:val="nil"/>
              <w:tr2bl w:val="nil"/>
            </w:tcBorders>
            <w:noWrap w:val="0"/>
            <w:vAlign w:val="center"/>
          </w:tcPr>
          <w:p w14:paraId="5EBEF777">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464" w:type="pct"/>
            <w:vMerge w:val="restart"/>
            <w:tcBorders>
              <w:tl2br w:val="nil"/>
              <w:tr2bl w:val="nil"/>
            </w:tcBorders>
            <w:noWrap w:val="0"/>
            <w:vAlign w:val="center"/>
          </w:tcPr>
          <w:p w14:paraId="640D336F">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618" w:type="pct"/>
            <w:vMerge w:val="restart"/>
            <w:tcBorders>
              <w:tl2br w:val="nil"/>
              <w:tr2bl w:val="nil"/>
            </w:tcBorders>
            <w:noWrap w:val="0"/>
            <w:vAlign w:val="center"/>
          </w:tcPr>
          <w:p w14:paraId="1434668B">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566" w:type="pct"/>
            <w:vMerge w:val="restart"/>
            <w:tcBorders>
              <w:tl2br w:val="nil"/>
              <w:tr2bl w:val="nil"/>
            </w:tcBorders>
            <w:noWrap w:val="0"/>
            <w:vAlign w:val="center"/>
          </w:tcPr>
          <w:p w14:paraId="2A4DAEA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0.0355</w:t>
            </w:r>
          </w:p>
        </w:tc>
        <w:tc>
          <w:tcPr>
            <w:tcW w:w="640" w:type="pct"/>
            <w:vMerge w:val="restart"/>
            <w:tcBorders>
              <w:tl2br w:val="nil"/>
              <w:tr2bl w:val="nil"/>
            </w:tcBorders>
            <w:noWrap w:val="0"/>
            <w:vAlign w:val="center"/>
          </w:tcPr>
          <w:p w14:paraId="27F31D54">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718" w:type="pct"/>
            <w:vMerge w:val="restart"/>
            <w:tcBorders>
              <w:tl2br w:val="nil"/>
              <w:tr2bl w:val="nil"/>
            </w:tcBorders>
            <w:noWrap w:val="0"/>
            <w:vAlign w:val="center"/>
          </w:tcPr>
          <w:p w14:paraId="3290515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0.0355</w:t>
            </w:r>
          </w:p>
        </w:tc>
        <w:tc>
          <w:tcPr>
            <w:tcW w:w="390" w:type="pct"/>
            <w:vMerge w:val="restart"/>
            <w:tcBorders>
              <w:tl2br w:val="nil"/>
              <w:tr2bl w:val="nil"/>
            </w:tcBorders>
            <w:noWrap w:val="0"/>
            <w:vAlign w:val="center"/>
          </w:tcPr>
          <w:p w14:paraId="53A7C2E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0.0355</w:t>
            </w:r>
          </w:p>
        </w:tc>
      </w:tr>
      <w:tr w14:paraId="590874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47" w:type="pct"/>
            <w:vMerge w:val="continue"/>
            <w:tcBorders>
              <w:tl2br w:val="nil"/>
              <w:tr2bl w:val="nil"/>
            </w:tcBorders>
            <w:noWrap w:val="0"/>
            <w:vAlign w:val="center"/>
          </w:tcPr>
          <w:p w14:paraId="14C6092E">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p>
        </w:tc>
        <w:tc>
          <w:tcPr>
            <w:tcW w:w="319" w:type="pct"/>
            <w:vMerge w:val="continue"/>
            <w:tcBorders>
              <w:tl2br w:val="nil"/>
              <w:tr2bl w:val="nil"/>
            </w:tcBorders>
            <w:noWrap w:val="0"/>
            <w:vAlign w:val="center"/>
          </w:tcPr>
          <w:p w14:paraId="10CDEA3F">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p>
        </w:tc>
        <w:tc>
          <w:tcPr>
            <w:tcW w:w="498" w:type="pct"/>
            <w:vMerge w:val="continue"/>
            <w:tcBorders>
              <w:tl2br w:val="nil"/>
              <w:tr2bl w:val="nil"/>
            </w:tcBorders>
            <w:noWrap w:val="0"/>
            <w:vAlign w:val="center"/>
          </w:tcPr>
          <w:p w14:paraId="6C659D7C">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p>
        </w:tc>
        <w:tc>
          <w:tcPr>
            <w:tcW w:w="634" w:type="pct"/>
            <w:vMerge w:val="continue"/>
            <w:tcBorders>
              <w:tl2br w:val="nil"/>
              <w:tr2bl w:val="nil"/>
            </w:tcBorders>
            <w:noWrap w:val="0"/>
            <w:vAlign w:val="center"/>
          </w:tcPr>
          <w:p w14:paraId="0B6DABF8">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p>
        </w:tc>
        <w:tc>
          <w:tcPr>
            <w:tcW w:w="464" w:type="pct"/>
            <w:vMerge w:val="continue"/>
            <w:tcBorders>
              <w:tl2br w:val="nil"/>
              <w:tr2bl w:val="nil"/>
            </w:tcBorders>
            <w:noWrap w:val="0"/>
            <w:vAlign w:val="center"/>
          </w:tcPr>
          <w:p w14:paraId="394D859C">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p>
        </w:tc>
        <w:tc>
          <w:tcPr>
            <w:tcW w:w="618" w:type="pct"/>
            <w:vMerge w:val="continue"/>
            <w:tcBorders>
              <w:tl2br w:val="nil"/>
              <w:tr2bl w:val="nil"/>
            </w:tcBorders>
            <w:noWrap w:val="0"/>
            <w:vAlign w:val="center"/>
          </w:tcPr>
          <w:p w14:paraId="3CEE5AA2">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p>
        </w:tc>
        <w:tc>
          <w:tcPr>
            <w:tcW w:w="566" w:type="pct"/>
            <w:vMerge w:val="continue"/>
            <w:tcBorders>
              <w:tl2br w:val="nil"/>
              <w:tr2bl w:val="nil"/>
            </w:tcBorders>
            <w:noWrap w:val="0"/>
            <w:vAlign w:val="center"/>
          </w:tcPr>
          <w:p w14:paraId="3297A8E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640" w:type="pct"/>
            <w:vMerge w:val="continue"/>
            <w:tcBorders>
              <w:tl2br w:val="nil"/>
              <w:tr2bl w:val="nil"/>
            </w:tcBorders>
            <w:noWrap w:val="0"/>
            <w:vAlign w:val="center"/>
          </w:tcPr>
          <w:p w14:paraId="61E58AD5">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p>
        </w:tc>
        <w:tc>
          <w:tcPr>
            <w:tcW w:w="718" w:type="pct"/>
            <w:vMerge w:val="continue"/>
            <w:tcBorders>
              <w:tl2br w:val="nil"/>
              <w:tr2bl w:val="nil"/>
            </w:tcBorders>
            <w:noWrap w:val="0"/>
            <w:vAlign w:val="center"/>
          </w:tcPr>
          <w:p w14:paraId="0DA668D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390" w:type="pct"/>
            <w:vMerge w:val="continue"/>
            <w:tcBorders>
              <w:tl2br w:val="nil"/>
              <w:tr2bl w:val="nil"/>
            </w:tcBorders>
            <w:noWrap w:val="0"/>
            <w:vAlign w:val="center"/>
          </w:tcPr>
          <w:p w14:paraId="11CF9DA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p>
        </w:tc>
      </w:tr>
      <w:tr w14:paraId="290FD0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47" w:type="pct"/>
            <w:vMerge w:val="continue"/>
            <w:tcBorders>
              <w:tl2br w:val="nil"/>
              <w:tr2bl w:val="nil"/>
            </w:tcBorders>
            <w:noWrap w:val="0"/>
            <w:vAlign w:val="center"/>
          </w:tcPr>
          <w:p w14:paraId="0886BF5C">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p>
        </w:tc>
        <w:tc>
          <w:tcPr>
            <w:tcW w:w="319" w:type="pct"/>
            <w:vMerge w:val="restart"/>
            <w:tcBorders>
              <w:tl2br w:val="nil"/>
              <w:tr2bl w:val="nil"/>
            </w:tcBorders>
            <w:noWrap w:val="0"/>
            <w:vAlign w:val="center"/>
          </w:tcPr>
          <w:p w14:paraId="0E482E0C">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无组织</w:t>
            </w:r>
          </w:p>
        </w:tc>
        <w:tc>
          <w:tcPr>
            <w:tcW w:w="498" w:type="pct"/>
            <w:vMerge w:val="restart"/>
            <w:tcBorders>
              <w:tl2br w:val="nil"/>
              <w:tr2bl w:val="nil"/>
            </w:tcBorders>
            <w:noWrap w:val="0"/>
            <w:vAlign w:val="center"/>
          </w:tcPr>
          <w:p w14:paraId="33823A4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634" w:type="pct"/>
            <w:vMerge w:val="restart"/>
            <w:tcBorders>
              <w:tl2br w:val="nil"/>
              <w:tr2bl w:val="nil"/>
            </w:tcBorders>
            <w:noWrap w:val="0"/>
            <w:vAlign w:val="center"/>
          </w:tcPr>
          <w:p w14:paraId="1ACD03E8">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464" w:type="pct"/>
            <w:vMerge w:val="restart"/>
            <w:tcBorders>
              <w:tl2br w:val="nil"/>
              <w:tr2bl w:val="nil"/>
            </w:tcBorders>
            <w:noWrap w:val="0"/>
            <w:vAlign w:val="center"/>
          </w:tcPr>
          <w:p w14:paraId="4B891E95">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618" w:type="pct"/>
            <w:vMerge w:val="restart"/>
            <w:tcBorders>
              <w:tl2br w:val="nil"/>
              <w:tr2bl w:val="nil"/>
            </w:tcBorders>
            <w:noWrap w:val="0"/>
            <w:vAlign w:val="center"/>
          </w:tcPr>
          <w:p w14:paraId="571F21C7">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566" w:type="pct"/>
            <w:vMerge w:val="restart"/>
            <w:tcBorders>
              <w:tl2br w:val="nil"/>
              <w:tr2bl w:val="nil"/>
            </w:tcBorders>
            <w:noWrap w:val="0"/>
            <w:vAlign w:val="center"/>
          </w:tcPr>
          <w:p w14:paraId="2C4C71B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0.0394</w:t>
            </w:r>
          </w:p>
        </w:tc>
        <w:tc>
          <w:tcPr>
            <w:tcW w:w="640" w:type="pct"/>
            <w:vMerge w:val="restart"/>
            <w:tcBorders>
              <w:tl2br w:val="nil"/>
              <w:tr2bl w:val="nil"/>
            </w:tcBorders>
            <w:noWrap w:val="0"/>
            <w:vAlign w:val="center"/>
          </w:tcPr>
          <w:p w14:paraId="2D3CBB17">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718" w:type="pct"/>
            <w:vMerge w:val="restart"/>
            <w:tcBorders>
              <w:tl2br w:val="nil"/>
              <w:tr2bl w:val="nil"/>
            </w:tcBorders>
            <w:noWrap w:val="0"/>
            <w:vAlign w:val="center"/>
          </w:tcPr>
          <w:p w14:paraId="5E25183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0.0394</w:t>
            </w:r>
          </w:p>
        </w:tc>
        <w:tc>
          <w:tcPr>
            <w:tcW w:w="390" w:type="pct"/>
            <w:vMerge w:val="restart"/>
            <w:tcBorders>
              <w:tl2br w:val="nil"/>
              <w:tr2bl w:val="nil"/>
            </w:tcBorders>
            <w:noWrap w:val="0"/>
            <w:vAlign w:val="center"/>
          </w:tcPr>
          <w:p w14:paraId="32CD4DE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0.0394</w:t>
            </w:r>
          </w:p>
        </w:tc>
      </w:tr>
      <w:tr w14:paraId="6FD9CA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47" w:type="pct"/>
            <w:vMerge w:val="continue"/>
            <w:tcBorders>
              <w:tl2br w:val="nil"/>
              <w:tr2bl w:val="nil"/>
            </w:tcBorders>
            <w:noWrap w:val="0"/>
            <w:vAlign w:val="center"/>
          </w:tcPr>
          <w:p w14:paraId="6FB2B818">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319" w:type="pct"/>
            <w:vMerge w:val="continue"/>
            <w:tcBorders>
              <w:tl2br w:val="nil"/>
              <w:tr2bl w:val="nil"/>
            </w:tcBorders>
            <w:noWrap w:val="0"/>
            <w:vAlign w:val="center"/>
          </w:tcPr>
          <w:p w14:paraId="61621644">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498" w:type="pct"/>
            <w:vMerge w:val="continue"/>
            <w:tcBorders>
              <w:tl2br w:val="nil"/>
              <w:tr2bl w:val="nil"/>
            </w:tcBorders>
            <w:noWrap w:val="0"/>
            <w:vAlign w:val="center"/>
          </w:tcPr>
          <w:p w14:paraId="1213DB51">
            <w:pPr>
              <w:keepNext w:val="0"/>
              <w:keepLines w:val="0"/>
              <w:pageBreakBefore w:val="0"/>
              <w:kinsoku/>
              <w:wordWrap/>
              <w:overflowPunct/>
              <w:topLinePunct w:val="0"/>
              <w:autoSpaceDE/>
              <w:autoSpaceDN/>
              <w:bidi w:val="0"/>
              <w:spacing w:line="240" w:lineRule="auto"/>
              <w:ind w:left="0" w:leftChars="0" w:right="0" w:rightChars="0" w:firstLine="0" w:firstLineChars="0"/>
              <w:contextualSpacing/>
              <w:jc w:val="center"/>
              <w:rPr>
                <w:rFonts w:hint="eastAsia" w:ascii="Times New Roman" w:hAnsi="Times New Roman" w:eastAsia="宋体" w:cs="Times New Roman"/>
                <w:bCs/>
                <w:color w:val="auto"/>
                <w:kern w:val="2"/>
                <w:sz w:val="21"/>
                <w:szCs w:val="21"/>
                <w:lang w:val="en-US" w:eastAsia="zh-CN" w:bidi="ar-SA"/>
              </w:rPr>
            </w:pPr>
          </w:p>
        </w:tc>
        <w:tc>
          <w:tcPr>
            <w:tcW w:w="634" w:type="pct"/>
            <w:vMerge w:val="continue"/>
            <w:tcBorders>
              <w:tl2br w:val="nil"/>
              <w:tr2bl w:val="nil"/>
            </w:tcBorders>
            <w:noWrap w:val="0"/>
            <w:vAlign w:val="center"/>
          </w:tcPr>
          <w:p w14:paraId="36F61C29">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p>
        </w:tc>
        <w:tc>
          <w:tcPr>
            <w:tcW w:w="464" w:type="pct"/>
            <w:vMerge w:val="continue"/>
            <w:tcBorders>
              <w:tl2br w:val="nil"/>
              <w:tr2bl w:val="nil"/>
            </w:tcBorders>
            <w:noWrap w:val="0"/>
            <w:vAlign w:val="center"/>
          </w:tcPr>
          <w:p w14:paraId="4105B99C">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p>
        </w:tc>
        <w:tc>
          <w:tcPr>
            <w:tcW w:w="618" w:type="pct"/>
            <w:vMerge w:val="continue"/>
            <w:tcBorders>
              <w:tl2br w:val="nil"/>
              <w:tr2bl w:val="nil"/>
            </w:tcBorders>
            <w:noWrap w:val="0"/>
            <w:vAlign w:val="center"/>
          </w:tcPr>
          <w:p w14:paraId="6BBC45A9">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p>
        </w:tc>
        <w:tc>
          <w:tcPr>
            <w:tcW w:w="566" w:type="pct"/>
            <w:vMerge w:val="continue"/>
            <w:tcBorders>
              <w:tl2br w:val="nil"/>
              <w:tr2bl w:val="nil"/>
            </w:tcBorders>
            <w:noWrap w:val="0"/>
            <w:vAlign w:val="center"/>
          </w:tcPr>
          <w:p w14:paraId="0524FF7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640" w:type="pct"/>
            <w:vMerge w:val="continue"/>
            <w:tcBorders>
              <w:tl2br w:val="nil"/>
              <w:tr2bl w:val="nil"/>
            </w:tcBorders>
            <w:noWrap w:val="0"/>
            <w:vAlign w:val="center"/>
          </w:tcPr>
          <w:p w14:paraId="0D41F48F">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p>
        </w:tc>
        <w:tc>
          <w:tcPr>
            <w:tcW w:w="718" w:type="pct"/>
            <w:vMerge w:val="continue"/>
            <w:tcBorders>
              <w:tl2br w:val="nil"/>
              <w:tr2bl w:val="nil"/>
            </w:tcBorders>
            <w:noWrap w:val="0"/>
            <w:vAlign w:val="center"/>
          </w:tcPr>
          <w:p w14:paraId="6F4949D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390" w:type="pct"/>
            <w:vMerge w:val="continue"/>
            <w:tcBorders>
              <w:tl2br w:val="nil"/>
              <w:tr2bl w:val="nil"/>
            </w:tcBorders>
            <w:noWrap w:val="0"/>
            <w:vAlign w:val="center"/>
          </w:tcPr>
          <w:p w14:paraId="5B3247E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p>
        </w:tc>
      </w:tr>
      <w:tr w14:paraId="010A9D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147" w:type="pct"/>
            <w:vMerge w:val="restart"/>
            <w:tcBorders>
              <w:tl2br w:val="nil"/>
              <w:tr2bl w:val="nil"/>
            </w:tcBorders>
            <w:noWrap w:val="0"/>
            <w:vAlign w:val="center"/>
          </w:tcPr>
          <w:p w14:paraId="35BEF3C7">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废水</w:t>
            </w:r>
          </w:p>
        </w:tc>
        <w:tc>
          <w:tcPr>
            <w:tcW w:w="319" w:type="pct"/>
            <w:vMerge w:val="restart"/>
            <w:tcBorders>
              <w:tl2br w:val="nil"/>
              <w:tr2bl w:val="nil"/>
            </w:tcBorders>
            <w:noWrap w:val="0"/>
            <w:vAlign w:val="center"/>
          </w:tcPr>
          <w:p w14:paraId="3C2D2284">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生活</w:t>
            </w:r>
          </w:p>
          <w:p w14:paraId="5A441F59">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污水</w:t>
            </w:r>
          </w:p>
        </w:tc>
        <w:tc>
          <w:tcPr>
            <w:tcW w:w="498" w:type="pct"/>
            <w:tcBorders>
              <w:tl2br w:val="nil"/>
              <w:tr2bl w:val="nil"/>
            </w:tcBorders>
            <w:noWrap w:val="0"/>
            <w:vAlign w:val="center"/>
          </w:tcPr>
          <w:p w14:paraId="419CE177">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水量</w:t>
            </w:r>
          </w:p>
        </w:tc>
        <w:tc>
          <w:tcPr>
            <w:tcW w:w="634" w:type="pct"/>
            <w:tcBorders>
              <w:tl2br w:val="nil"/>
              <w:tr2bl w:val="nil"/>
            </w:tcBorders>
            <w:noWrap w:val="0"/>
            <w:vAlign w:val="center"/>
          </w:tcPr>
          <w:p w14:paraId="6EBCDC00">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464" w:type="pct"/>
            <w:tcBorders>
              <w:tl2br w:val="nil"/>
              <w:tr2bl w:val="nil"/>
            </w:tcBorders>
            <w:noWrap w:val="0"/>
            <w:vAlign w:val="center"/>
          </w:tcPr>
          <w:p w14:paraId="12B7340A">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618" w:type="pct"/>
            <w:tcBorders>
              <w:tl2br w:val="nil"/>
              <w:tr2bl w:val="nil"/>
            </w:tcBorders>
            <w:noWrap w:val="0"/>
            <w:vAlign w:val="center"/>
          </w:tcPr>
          <w:p w14:paraId="0F9A7EFC">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566" w:type="pct"/>
            <w:tcBorders>
              <w:tl2br w:val="nil"/>
              <w:tr2bl w:val="nil"/>
            </w:tcBorders>
            <w:noWrap w:val="0"/>
            <w:vAlign w:val="center"/>
          </w:tcPr>
          <w:p w14:paraId="15FC2A0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1200</w:t>
            </w:r>
          </w:p>
        </w:tc>
        <w:tc>
          <w:tcPr>
            <w:tcW w:w="640" w:type="pct"/>
            <w:tcBorders>
              <w:tl2br w:val="nil"/>
              <w:tr2bl w:val="nil"/>
            </w:tcBorders>
            <w:noWrap w:val="0"/>
            <w:vAlign w:val="center"/>
          </w:tcPr>
          <w:p w14:paraId="1E751CF4">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718" w:type="pct"/>
            <w:tcBorders>
              <w:tl2br w:val="nil"/>
              <w:tr2bl w:val="nil"/>
            </w:tcBorders>
            <w:noWrap w:val="0"/>
            <w:vAlign w:val="center"/>
          </w:tcPr>
          <w:p w14:paraId="57AC169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1200</w:t>
            </w:r>
          </w:p>
        </w:tc>
        <w:tc>
          <w:tcPr>
            <w:tcW w:w="390" w:type="pct"/>
            <w:tcBorders>
              <w:tl2br w:val="nil"/>
              <w:tr2bl w:val="nil"/>
            </w:tcBorders>
            <w:noWrap w:val="0"/>
            <w:vAlign w:val="center"/>
          </w:tcPr>
          <w:p w14:paraId="68280CF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+1200</w:t>
            </w:r>
          </w:p>
        </w:tc>
      </w:tr>
      <w:tr w14:paraId="495BB7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47" w:type="pct"/>
            <w:vMerge w:val="continue"/>
            <w:tcBorders>
              <w:tl2br w:val="nil"/>
              <w:tr2bl w:val="nil"/>
            </w:tcBorders>
            <w:noWrap w:val="0"/>
            <w:vAlign w:val="center"/>
          </w:tcPr>
          <w:p w14:paraId="483D822C">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319" w:type="pct"/>
            <w:vMerge w:val="continue"/>
            <w:tcBorders>
              <w:tl2br w:val="nil"/>
              <w:tr2bl w:val="nil"/>
            </w:tcBorders>
            <w:noWrap w:val="0"/>
            <w:vAlign w:val="center"/>
          </w:tcPr>
          <w:p w14:paraId="4594EEE0">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498" w:type="pct"/>
            <w:tcBorders>
              <w:tl2br w:val="nil"/>
              <w:tr2bl w:val="nil"/>
            </w:tcBorders>
            <w:noWrap w:val="0"/>
            <w:vAlign w:val="center"/>
          </w:tcPr>
          <w:p w14:paraId="345AD550">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COD</w:t>
            </w:r>
          </w:p>
        </w:tc>
        <w:tc>
          <w:tcPr>
            <w:tcW w:w="634" w:type="pct"/>
            <w:tcBorders>
              <w:tl2br w:val="nil"/>
              <w:tr2bl w:val="nil"/>
            </w:tcBorders>
            <w:noWrap w:val="0"/>
            <w:vAlign w:val="center"/>
          </w:tcPr>
          <w:p w14:paraId="33E50694">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464" w:type="pct"/>
            <w:tcBorders>
              <w:tl2br w:val="nil"/>
              <w:tr2bl w:val="nil"/>
            </w:tcBorders>
            <w:noWrap w:val="0"/>
            <w:vAlign w:val="center"/>
          </w:tcPr>
          <w:p w14:paraId="04F45497">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618" w:type="pct"/>
            <w:tcBorders>
              <w:tl2br w:val="nil"/>
              <w:tr2bl w:val="nil"/>
            </w:tcBorders>
            <w:noWrap w:val="0"/>
            <w:vAlign w:val="center"/>
          </w:tcPr>
          <w:p w14:paraId="58D49A32">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566" w:type="pct"/>
            <w:tcBorders>
              <w:tl2br w:val="nil"/>
              <w:tr2bl w:val="nil"/>
            </w:tcBorders>
            <w:noWrap w:val="0"/>
            <w:vAlign w:val="center"/>
          </w:tcPr>
          <w:p w14:paraId="4AA1F4B6">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0.48</w:t>
            </w:r>
          </w:p>
        </w:tc>
        <w:tc>
          <w:tcPr>
            <w:tcW w:w="640" w:type="pct"/>
            <w:tcBorders>
              <w:tl2br w:val="nil"/>
              <w:tr2bl w:val="nil"/>
            </w:tcBorders>
            <w:noWrap w:val="0"/>
            <w:vAlign w:val="center"/>
          </w:tcPr>
          <w:p w14:paraId="45F1F518">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718" w:type="pct"/>
            <w:tcBorders>
              <w:tl2br w:val="nil"/>
              <w:tr2bl w:val="nil"/>
            </w:tcBorders>
            <w:noWrap w:val="0"/>
            <w:vAlign w:val="center"/>
          </w:tcPr>
          <w:p w14:paraId="3130D80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0.48</w:t>
            </w:r>
          </w:p>
        </w:tc>
        <w:tc>
          <w:tcPr>
            <w:tcW w:w="390" w:type="pct"/>
            <w:tcBorders>
              <w:tl2br w:val="nil"/>
              <w:tr2bl w:val="nil"/>
            </w:tcBorders>
            <w:noWrap w:val="0"/>
            <w:vAlign w:val="center"/>
          </w:tcPr>
          <w:p w14:paraId="07D8A89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0.48</w:t>
            </w:r>
          </w:p>
        </w:tc>
      </w:tr>
      <w:tr w14:paraId="376A36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47" w:type="pct"/>
            <w:vMerge w:val="continue"/>
            <w:tcBorders>
              <w:tl2br w:val="nil"/>
              <w:tr2bl w:val="nil"/>
            </w:tcBorders>
            <w:noWrap w:val="0"/>
            <w:vAlign w:val="center"/>
          </w:tcPr>
          <w:p w14:paraId="1AD9BA26">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319" w:type="pct"/>
            <w:vMerge w:val="continue"/>
            <w:tcBorders>
              <w:tl2br w:val="nil"/>
              <w:tr2bl w:val="nil"/>
            </w:tcBorders>
            <w:noWrap w:val="0"/>
            <w:vAlign w:val="center"/>
          </w:tcPr>
          <w:p w14:paraId="46BCF962">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498" w:type="pct"/>
            <w:tcBorders>
              <w:tl2br w:val="nil"/>
              <w:tr2bl w:val="nil"/>
            </w:tcBorders>
            <w:noWrap w:val="0"/>
            <w:vAlign w:val="center"/>
          </w:tcPr>
          <w:p w14:paraId="3F4E3026">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SS</w:t>
            </w:r>
          </w:p>
        </w:tc>
        <w:tc>
          <w:tcPr>
            <w:tcW w:w="634" w:type="pct"/>
            <w:tcBorders>
              <w:tl2br w:val="nil"/>
              <w:tr2bl w:val="nil"/>
            </w:tcBorders>
            <w:noWrap w:val="0"/>
            <w:vAlign w:val="center"/>
          </w:tcPr>
          <w:p w14:paraId="470A3DB4">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464" w:type="pct"/>
            <w:tcBorders>
              <w:tl2br w:val="nil"/>
              <w:tr2bl w:val="nil"/>
            </w:tcBorders>
            <w:noWrap w:val="0"/>
            <w:vAlign w:val="center"/>
          </w:tcPr>
          <w:p w14:paraId="474FAFF1">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618" w:type="pct"/>
            <w:tcBorders>
              <w:tl2br w:val="nil"/>
              <w:tr2bl w:val="nil"/>
            </w:tcBorders>
            <w:noWrap w:val="0"/>
            <w:vAlign w:val="center"/>
          </w:tcPr>
          <w:p w14:paraId="6D18A976">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566" w:type="pct"/>
            <w:tcBorders>
              <w:tl2br w:val="nil"/>
              <w:tr2bl w:val="nil"/>
            </w:tcBorders>
            <w:noWrap w:val="0"/>
            <w:vAlign w:val="center"/>
          </w:tcPr>
          <w:p w14:paraId="7C4F2878">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0.24</w:t>
            </w:r>
          </w:p>
        </w:tc>
        <w:tc>
          <w:tcPr>
            <w:tcW w:w="640" w:type="pct"/>
            <w:tcBorders>
              <w:tl2br w:val="nil"/>
              <w:tr2bl w:val="nil"/>
            </w:tcBorders>
            <w:noWrap w:val="0"/>
            <w:vAlign w:val="center"/>
          </w:tcPr>
          <w:p w14:paraId="4B71C4C5">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718" w:type="pct"/>
            <w:tcBorders>
              <w:tl2br w:val="nil"/>
              <w:tr2bl w:val="nil"/>
            </w:tcBorders>
            <w:noWrap w:val="0"/>
            <w:vAlign w:val="center"/>
          </w:tcPr>
          <w:p w14:paraId="0F2B8B6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0.24</w:t>
            </w:r>
          </w:p>
        </w:tc>
        <w:tc>
          <w:tcPr>
            <w:tcW w:w="390" w:type="pct"/>
            <w:tcBorders>
              <w:tl2br w:val="nil"/>
              <w:tr2bl w:val="nil"/>
            </w:tcBorders>
            <w:noWrap w:val="0"/>
            <w:vAlign w:val="center"/>
          </w:tcPr>
          <w:p w14:paraId="150BE4E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0.24</w:t>
            </w:r>
          </w:p>
        </w:tc>
      </w:tr>
      <w:tr w14:paraId="4C2DA9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47" w:type="pct"/>
            <w:vMerge w:val="continue"/>
            <w:tcBorders>
              <w:tl2br w:val="nil"/>
              <w:tr2bl w:val="nil"/>
            </w:tcBorders>
            <w:noWrap w:val="0"/>
            <w:vAlign w:val="center"/>
          </w:tcPr>
          <w:p w14:paraId="356A6C40">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319" w:type="pct"/>
            <w:vMerge w:val="continue"/>
            <w:tcBorders>
              <w:tl2br w:val="nil"/>
              <w:tr2bl w:val="nil"/>
            </w:tcBorders>
            <w:noWrap w:val="0"/>
            <w:vAlign w:val="center"/>
          </w:tcPr>
          <w:p w14:paraId="21B58BD0">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498" w:type="pct"/>
            <w:tcBorders>
              <w:tl2br w:val="nil"/>
              <w:tr2bl w:val="nil"/>
            </w:tcBorders>
            <w:noWrap w:val="0"/>
            <w:vAlign w:val="center"/>
          </w:tcPr>
          <w:p w14:paraId="6F071C15">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氨氮</w:t>
            </w:r>
          </w:p>
        </w:tc>
        <w:tc>
          <w:tcPr>
            <w:tcW w:w="634" w:type="pct"/>
            <w:tcBorders>
              <w:tl2br w:val="nil"/>
              <w:tr2bl w:val="nil"/>
            </w:tcBorders>
            <w:noWrap w:val="0"/>
            <w:vAlign w:val="center"/>
          </w:tcPr>
          <w:p w14:paraId="5931AB36">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464" w:type="pct"/>
            <w:tcBorders>
              <w:tl2br w:val="nil"/>
              <w:tr2bl w:val="nil"/>
            </w:tcBorders>
            <w:noWrap w:val="0"/>
            <w:vAlign w:val="center"/>
          </w:tcPr>
          <w:p w14:paraId="074F7C39">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618" w:type="pct"/>
            <w:tcBorders>
              <w:tl2br w:val="nil"/>
              <w:tr2bl w:val="nil"/>
            </w:tcBorders>
            <w:noWrap w:val="0"/>
            <w:vAlign w:val="center"/>
          </w:tcPr>
          <w:p w14:paraId="34B548C2">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566" w:type="pct"/>
            <w:tcBorders>
              <w:tl2br w:val="nil"/>
              <w:tr2bl w:val="nil"/>
            </w:tcBorders>
            <w:noWrap w:val="0"/>
            <w:vAlign w:val="center"/>
          </w:tcPr>
          <w:p w14:paraId="2DADB37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w:t>
            </w:r>
          </w:p>
        </w:tc>
        <w:tc>
          <w:tcPr>
            <w:tcW w:w="640" w:type="pct"/>
            <w:tcBorders>
              <w:tl2br w:val="nil"/>
              <w:tr2bl w:val="nil"/>
            </w:tcBorders>
            <w:noWrap w:val="0"/>
            <w:vAlign w:val="center"/>
          </w:tcPr>
          <w:p w14:paraId="21B4CA6B">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718" w:type="pct"/>
            <w:tcBorders>
              <w:tl2br w:val="nil"/>
              <w:tr2bl w:val="nil"/>
            </w:tcBorders>
            <w:noWrap w:val="0"/>
            <w:vAlign w:val="center"/>
          </w:tcPr>
          <w:p w14:paraId="021C6196">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w:t>
            </w:r>
          </w:p>
        </w:tc>
        <w:tc>
          <w:tcPr>
            <w:tcW w:w="390" w:type="pct"/>
            <w:tcBorders>
              <w:tl2br w:val="nil"/>
              <w:tr2bl w:val="nil"/>
            </w:tcBorders>
            <w:noWrap w:val="0"/>
            <w:vAlign w:val="center"/>
          </w:tcPr>
          <w:p w14:paraId="541424F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0.03</w:t>
            </w:r>
          </w:p>
        </w:tc>
      </w:tr>
      <w:tr w14:paraId="4D092E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47" w:type="pct"/>
            <w:vMerge w:val="continue"/>
            <w:tcBorders>
              <w:tl2br w:val="nil"/>
              <w:tr2bl w:val="nil"/>
            </w:tcBorders>
            <w:noWrap w:val="0"/>
            <w:vAlign w:val="center"/>
          </w:tcPr>
          <w:p w14:paraId="65CAF563">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319" w:type="pct"/>
            <w:vMerge w:val="continue"/>
            <w:tcBorders>
              <w:tl2br w:val="nil"/>
              <w:tr2bl w:val="nil"/>
            </w:tcBorders>
            <w:noWrap w:val="0"/>
            <w:vAlign w:val="center"/>
          </w:tcPr>
          <w:p w14:paraId="4B5F6D27">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498" w:type="pct"/>
            <w:tcBorders>
              <w:tl2br w:val="nil"/>
              <w:tr2bl w:val="nil"/>
            </w:tcBorders>
            <w:noWrap w:val="0"/>
            <w:vAlign w:val="center"/>
          </w:tcPr>
          <w:p w14:paraId="1F5F9062">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TN</w:t>
            </w:r>
          </w:p>
        </w:tc>
        <w:tc>
          <w:tcPr>
            <w:tcW w:w="634" w:type="pct"/>
            <w:tcBorders>
              <w:tl2br w:val="nil"/>
              <w:tr2bl w:val="nil"/>
            </w:tcBorders>
            <w:noWrap w:val="0"/>
            <w:vAlign w:val="center"/>
          </w:tcPr>
          <w:p w14:paraId="7A0163CC">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464" w:type="pct"/>
            <w:tcBorders>
              <w:tl2br w:val="nil"/>
              <w:tr2bl w:val="nil"/>
            </w:tcBorders>
            <w:noWrap w:val="0"/>
            <w:vAlign w:val="center"/>
          </w:tcPr>
          <w:p w14:paraId="273B3017">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618" w:type="pct"/>
            <w:tcBorders>
              <w:tl2br w:val="nil"/>
              <w:tr2bl w:val="nil"/>
            </w:tcBorders>
            <w:noWrap w:val="0"/>
            <w:vAlign w:val="center"/>
          </w:tcPr>
          <w:p w14:paraId="75E4E405">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566" w:type="pct"/>
            <w:tcBorders>
              <w:tl2br w:val="nil"/>
              <w:tr2bl w:val="nil"/>
            </w:tcBorders>
            <w:noWrap w:val="0"/>
            <w:vAlign w:val="center"/>
          </w:tcPr>
          <w:p w14:paraId="511D4F3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0.042</w:t>
            </w:r>
          </w:p>
        </w:tc>
        <w:tc>
          <w:tcPr>
            <w:tcW w:w="640" w:type="pct"/>
            <w:tcBorders>
              <w:tl2br w:val="nil"/>
              <w:tr2bl w:val="nil"/>
            </w:tcBorders>
            <w:noWrap w:val="0"/>
            <w:vAlign w:val="center"/>
          </w:tcPr>
          <w:p w14:paraId="535F444A">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718" w:type="pct"/>
            <w:tcBorders>
              <w:tl2br w:val="nil"/>
              <w:tr2bl w:val="nil"/>
            </w:tcBorders>
            <w:noWrap w:val="0"/>
            <w:vAlign w:val="center"/>
          </w:tcPr>
          <w:p w14:paraId="5860467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0.042</w:t>
            </w:r>
          </w:p>
        </w:tc>
        <w:tc>
          <w:tcPr>
            <w:tcW w:w="390" w:type="pct"/>
            <w:tcBorders>
              <w:tl2br w:val="nil"/>
              <w:tr2bl w:val="nil"/>
            </w:tcBorders>
            <w:noWrap w:val="0"/>
            <w:vAlign w:val="center"/>
          </w:tcPr>
          <w:p w14:paraId="495F49F6">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0.042</w:t>
            </w:r>
          </w:p>
        </w:tc>
      </w:tr>
      <w:tr w14:paraId="2A8D6D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9" w:hRule="atLeast"/>
        </w:trPr>
        <w:tc>
          <w:tcPr>
            <w:tcW w:w="147" w:type="pct"/>
            <w:vMerge w:val="continue"/>
            <w:tcBorders>
              <w:tl2br w:val="nil"/>
              <w:tr2bl w:val="nil"/>
            </w:tcBorders>
            <w:noWrap w:val="0"/>
            <w:vAlign w:val="center"/>
          </w:tcPr>
          <w:p w14:paraId="5B80F47B">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319" w:type="pct"/>
            <w:vMerge w:val="continue"/>
            <w:tcBorders>
              <w:tl2br w:val="nil"/>
              <w:tr2bl w:val="nil"/>
            </w:tcBorders>
            <w:noWrap w:val="0"/>
            <w:vAlign w:val="center"/>
          </w:tcPr>
          <w:p w14:paraId="2938168D">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498" w:type="pct"/>
            <w:tcBorders>
              <w:tl2br w:val="nil"/>
              <w:tr2bl w:val="nil"/>
            </w:tcBorders>
            <w:noWrap w:val="0"/>
            <w:vAlign w:val="center"/>
          </w:tcPr>
          <w:p w14:paraId="7AC6CDFA">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TP</w:t>
            </w:r>
          </w:p>
        </w:tc>
        <w:tc>
          <w:tcPr>
            <w:tcW w:w="634" w:type="pct"/>
            <w:tcBorders>
              <w:tl2br w:val="nil"/>
              <w:tr2bl w:val="nil"/>
            </w:tcBorders>
            <w:noWrap w:val="0"/>
            <w:vAlign w:val="center"/>
          </w:tcPr>
          <w:p w14:paraId="276CD361">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464" w:type="pct"/>
            <w:tcBorders>
              <w:tl2br w:val="nil"/>
              <w:tr2bl w:val="nil"/>
            </w:tcBorders>
            <w:noWrap w:val="0"/>
            <w:vAlign w:val="center"/>
          </w:tcPr>
          <w:p w14:paraId="7510310D">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618" w:type="pct"/>
            <w:tcBorders>
              <w:tl2br w:val="nil"/>
              <w:tr2bl w:val="nil"/>
            </w:tcBorders>
            <w:noWrap w:val="0"/>
            <w:vAlign w:val="center"/>
          </w:tcPr>
          <w:p w14:paraId="3A9588E3">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566" w:type="pct"/>
            <w:tcBorders>
              <w:tl2br w:val="nil"/>
              <w:tr2bl w:val="nil"/>
            </w:tcBorders>
            <w:noWrap w:val="0"/>
            <w:vAlign w:val="center"/>
          </w:tcPr>
          <w:p w14:paraId="17E705E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0.003</w:t>
            </w:r>
          </w:p>
        </w:tc>
        <w:tc>
          <w:tcPr>
            <w:tcW w:w="640" w:type="pct"/>
            <w:tcBorders>
              <w:tl2br w:val="nil"/>
              <w:tr2bl w:val="nil"/>
            </w:tcBorders>
            <w:noWrap w:val="0"/>
            <w:vAlign w:val="center"/>
          </w:tcPr>
          <w:p w14:paraId="6E144EFF">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718" w:type="pct"/>
            <w:tcBorders>
              <w:tl2br w:val="nil"/>
              <w:tr2bl w:val="nil"/>
            </w:tcBorders>
            <w:noWrap w:val="0"/>
            <w:vAlign w:val="center"/>
          </w:tcPr>
          <w:p w14:paraId="5A929DEC">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0.003</w:t>
            </w:r>
          </w:p>
        </w:tc>
        <w:tc>
          <w:tcPr>
            <w:tcW w:w="390" w:type="pct"/>
            <w:tcBorders>
              <w:tl2br w:val="nil"/>
              <w:tr2bl w:val="nil"/>
            </w:tcBorders>
            <w:noWrap w:val="0"/>
            <w:vAlign w:val="center"/>
          </w:tcPr>
          <w:p w14:paraId="5285E4A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0.003</w:t>
            </w:r>
          </w:p>
        </w:tc>
      </w:tr>
      <w:tr w14:paraId="4EBCD3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66" w:type="pct"/>
            <w:gridSpan w:val="2"/>
            <w:vMerge w:val="restart"/>
            <w:tcBorders>
              <w:tl2br w:val="nil"/>
              <w:tr2bl w:val="nil"/>
            </w:tcBorders>
            <w:noWrap w:val="0"/>
            <w:vAlign w:val="center"/>
          </w:tcPr>
          <w:p w14:paraId="5C548CD9">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一般工业固体废物</w:t>
            </w:r>
          </w:p>
        </w:tc>
        <w:tc>
          <w:tcPr>
            <w:tcW w:w="498" w:type="pct"/>
            <w:tcBorders>
              <w:tl2br w:val="nil"/>
              <w:tr2bl w:val="nil"/>
            </w:tcBorders>
            <w:shd w:val="clear" w:color="auto" w:fill="auto"/>
            <w:noWrap w:val="0"/>
            <w:vAlign w:val="center"/>
          </w:tcPr>
          <w:p w14:paraId="4405ACA8">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不合格品</w:t>
            </w:r>
            <w:r>
              <w:rPr>
                <w:rFonts w:hint="eastAsia" w:cs="Times New Roman"/>
                <w:color w:val="auto"/>
                <w:sz w:val="21"/>
                <w:szCs w:val="21"/>
                <w:lang w:val="en-US" w:eastAsia="zh-CN"/>
              </w:rPr>
              <w:t>（注塑后检验产生）</w:t>
            </w:r>
          </w:p>
        </w:tc>
        <w:tc>
          <w:tcPr>
            <w:tcW w:w="634" w:type="pct"/>
            <w:tcBorders>
              <w:tl2br w:val="nil"/>
              <w:tr2bl w:val="nil"/>
            </w:tcBorders>
            <w:noWrap w:val="0"/>
            <w:vAlign w:val="center"/>
          </w:tcPr>
          <w:p w14:paraId="440B0A54">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464" w:type="pct"/>
            <w:tcBorders>
              <w:tl2br w:val="nil"/>
              <w:tr2bl w:val="nil"/>
            </w:tcBorders>
            <w:noWrap w:val="0"/>
            <w:vAlign w:val="center"/>
          </w:tcPr>
          <w:p w14:paraId="618DFFAC">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618" w:type="pct"/>
            <w:tcBorders>
              <w:tl2br w:val="nil"/>
              <w:tr2bl w:val="nil"/>
            </w:tcBorders>
            <w:noWrap w:val="0"/>
            <w:vAlign w:val="center"/>
          </w:tcPr>
          <w:p w14:paraId="333C0FD9">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566" w:type="pct"/>
            <w:tcBorders>
              <w:tl2br w:val="nil"/>
              <w:tr2bl w:val="nil"/>
            </w:tcBorders>
            <w:shd w:val="clear" w:color="auto" w:fill="auto"/>
            <w:noWrap w:val="0"/>
            <w:vAlign w:val="center"/>
          </w:tcPr>
          <w:p w14:paraId="4C99E79D">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640" w:type="pct"/>
            <w:tcBorders>
              <w:tl2br w:val="nil"/>
              <w:tr2bl w:val="nil"/>
            </w:tcBorders>
            <w:noWrap w:val="0"/>
            <w:vAlign w:val="center"/>
          </w:tcPr>
          <w:p w14:paraId="5FE6AB39">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718" w:type="pct"/>
            <w:tcBorders>
              <w:tl2br w:val="nil"/>
              <w:tr2bl w:val="nil"/>
            </w:tcBorders>
            <w:shd w:val="clear" w:color="auto" w:fill="auto"/>
            <w:noWrap w:val="0"/>
            <w:vAlign w:val="center"/>
          </w:tcPr>
          <w:p w14:paraId="0633C2D8">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390" w:type="pct"/>
            <w:tcBorders>
              <w:tl2br w:val="nil"/>
              <w:tr2bl w:val="nil"/>
            </w:tcBorders>
            <w:noWrap w:val="0"/>
            <w:vAlign w:val="center"/>
          </w:tcPr>
          <w:p w14:paraId="6A0DAA2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r>
      <w:tr w14:paraId="133054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66" w:type="pct"/>
            <w:gridSpan w:val="2"/>
            <w:vMerge w:val="continue"/>
            <w:tcBorders>
              <w:tl2br w:val="nil"/>
              <w:tr2bl w:val="nil"/>
            </w:tcBorders>
            <w:noWrap w:val="0"/>
            <w:vAlign w:val="center"/>
          </w:tcPr>
          <w:p w14:paraId="78310C0B">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498" w:type="pct"/>
            <w:tcBorders>
              <w:tl2br w:val="nil"/>
              <w:tr2bl w:val="nil"/>
            </w:tcBorders>
            <w:shd w:val="clear" w:color="auto" w:fill="auto"/>
            <w:noWrap w:val="0"/>
            <w:vAlign w:val="center"/>
          </w:tcPr>
          <w:p w14:paraId="170FDE6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不合格品</w:t>
            </w:r>
            <w:r>
              <w:rPr>
                <w:rFonts w:hint="eastAsia" w:cs="Times New Roman"/>
                <w:color w:val="auto"/>
                <w:sz w:val="21"/>
                <w:szCs w:val="21"/>
                <w:lang w:val="en-US" w:eastAsia="zh-CN"/>
              </w:rPr>
              <w:t>（组装后检验产生）</w:t>
            </w:r>
          </w:p>
        </w:tc>
        <w:tc>
          <w:tcPr>
            <w:tcW w:w="634" w:type="pct"/>
            <w:tcBorders>
              <w:tl2br w:val="nil"/>
              <w:tr2bl w:val="nil"/>
            </w:tcBorders>
            <w:noWrap w:val="0"/>
            <w:vAlign w:val="center"/>
          </w:tcPr>
          <w:p w14:paraId="57A8F1D6">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464" w:type="pct"/>
            <w:tcBorders>
              <w:tl2br w:val="nil"/>
              <w:tr2bl w:val="nil"/>
            </w:tcBorders>
            <w:noWrap w:val="0"/>
            <w:vAlign w:val="center"/>
          </w:tcPr>
          <w:p w14:paraId="68FA95E1">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618" w:type="pct"/>
            <w:tcBorders>
              <w:tl2br w:val="nil"/>
              <w:tr2bl w:val="nil"/>
            </w:tcBorders>
            <w:noWrap w:val="0"/>
            <w:vAlign w:val="center"/>
          </w:tcPr>
          <w:p w14:paraId="4176FBA4">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566" w:type="pct"/>
            <w:tcBorders>
              <w:tl2br w:val="nil"/>
              <w:tr2bl w:val="nil"/>
            </w:tcBorders>
            <w:shd w:val="clear" w:color="auto" w:fill="auto"/>
            <w:noWrap w:val="0"/>
            <w:vAlign w:val="center"/>
          </w:tcPr>
          <w:p w14:paraId="20C1FB0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640" w:type="pct"/>
            <w:tcBorders>
              <w:tl2br w:val="nil"/>
              <w:tr2bl w:val="nil"/>
            </w:tcBorders>
            <w:noWrap w:val="0"/>
            <w:vAlign w:val="center"/>
          </w:tcPr>
          <w:p w14:paraId="13699046">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718" w:type="pct"/>
            <w:tcBorders>
              <w:tl2br w:val="nil"/>
              <w:tr2bl w:val="nil"/>
            </w:tcBorders>
            <w:shd w:val="clear" w:color="auto" w:fill="auto"/>
            <w:noWrap w:val="0"/>
            <w:vAlign w:val="center"/>
          </w:tcPr>
          <w:p w14:paraId="4734B6A8">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390" w:type="pct"/>
            <w:tcBorders>
              <w:tl2br w:val="nil"/>
              <w:tr2bl w:val="nil"/>
            </w:tcBorders>
            <w:noWrap w:val="0"/>
            <w:vAlign w:val="center"/>
          </w:tcPr>
          <w:p w14:paraId="00EE550F">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r>
      <w:tr w14:paraId="78CC6A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66" w:type="pct"/>
            <w:gridSpan w:val="2"/>
            <w:vMerge w:val="continue"/>
            <w:tcBorders>
              <w:tl2br w:val="nil"/>
              <w:tr2bl w:val="nil"/>
            </w:tcBorders>
            <w:noWrap w:val="0"/>
            <w:vAlign w:val="center"/>
          </w:tcPr>
          <w:p w14:paraId="6F668D25">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498" w:type="pct"/>
            <w:tcBorders>
              <w:tl2br w:val="nil"/>
              <w:tr2bl w:val="nil"/>
            </w:tcBorders>
            <w:shd w:val="clear" w:color="auto" w:fill="auto"/>
            <w:noWrap w:val="0"/>
            <w:vAlign w:val="center"/>
          </w:tcPr>
          <w:p w14:paraId="72A7EE9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废磨料</w:t>
            </w:r>
          </w:p>
        </w:tc>
        <w:tc>
          <w:tcPr>
            <w:tcW w:w="634" w:type="pct"/>
            <w:tcBorders>
              <w:tl2br w:val="nil"/>
              <w:tr2bl w:val="nil"/>
            </w:tcBorders>
            <w:shd w:val="clear" w:color="auto" w:fill="auto"/>
            <w:noWrap w:val="0"/>
            <w:vAlign w:val="center"/>
          </w:tcPr>
          <w:p w14:paraId="5D18BD95">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0</w:t>
            </w:r>
          </w:p>
        </w:tc>
        <w:tc>
          <w:tcPr>
            <w:tcW w:w="464" w:type="pct"/>
            <w:tcBorders>
              <w:tl2br w:val="nil"/>
              <w:tr2bl w:val="nil"/>
            </w:tcBorders>
            <w:shd w:val="clear" w:color="auto" w:fill="auto"/>
            <w:noWrap w:val="0"/>
            <w:vAlign w:val="center"/>
          </w:tcPr>
          <w:p w14:paraId="7327338C">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0</w:t>
            </w:r>
          </w:p>
        </w:tc>
        <w:tc>
          <w:tcPr>
            <w:tcW w:w="618" w:type="pct"/>
            <w:tcBorders>
              <w:tl2br w:val="nil"/>
              <w:tr2bl w:val="nil"/>
            </w:tcBorders>
            <w:shd w:val="clear" w:color="auto" w:fill="auto"/>
            <w:noWrap w:val="0"/>
            <w:vAlign w:val="center"/>
          </w:tcPr>
          <w:p w14:paraId="4B7F581B">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w:t>
            </w:r>
          </w:p>
        </w:tc>
        <w:tc>
          <w:tcPr>
            <w:tcW w:w="566" w:type="pct"/>
            <w:tcBorders>
              <w:tl2br w:val="nil"/>
              <w:tr2bl w:val="nil"/>
            </w:tcBorders>
            <w:shd w:val="clear" w:color="auto" w:fill="auto"/>
            <w:noWrap w:val="0"/>
            <w:vAlign w:val="center"/>
          </w:tcPr>
          <w:p w14:paraId="5DDD6B28">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0.08</w:t>
            </w:r>
          </w:p>
        </w:tc>
        <w:tc>
          <w:tcPr>
            <w:tcW w:w="640" w:type="pct"/>
            <w:tcBorders>
              <w:tl2br w:val="nil"/>
              <w:tr2bl w:val="nil"/>
            </w:tcBorders>
            <w:shd w:val="clear" w:color="auto" w:fill="auto"/>
            <w:noWrap w:val="0"/>
            <w:vAlign w:val="center"/>
          </w:tcPr>
          <w:p w14:paraId="148EE68F">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w:t>
            </w:r>
          </w:p>
        </w:tc>
        <w:tc>
          <w:tcPr>
            <w:tcW w:w="718" w:type="pct"/>
            <w:tcBorders>
              <w:tl2br w:val="nil"/>
              <w:tr2bl w:val="nil"/>
            </w:tcBorders>
            <w:shd w:val="clear" w:color="auto" w:fill="auto"/>
            <w:noWrap w:val="0"/>
            <w:vAlign w:val="center"/>
          </w:tcPr>
          <w:p w14:paraId="6C74D1EE">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0.08</w:t>
            </w:r>
          </w:p>
        </w:tc>
        <w:tc>
          <w:tcPr>
            <w:tcW w:w="390" w:type="pct"/>
            <w:tcBorders>
              <w:tl2br w:val="nil"/>
              <w:tr2bl w:val="nil"/>
            </w:tcBorders>
            <w:shd w:val="clear" w:color="auto" w:fill="auto"/>
            <w:noWrap w:val="0"/>
            <w:vAlign w:val="center"/>
          </w:tcPr>
          <w:p w14:paraId="77ADF4C8">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+0.08</w:t>
            </w:r>
          </w:p>
        </w:tc>
      </w:tr>
      <w:tr w14:paraId="399206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66" w:type="pct"/>
            <w:gridSpan w:val="2"/>
            <w:vMerge w:val="continue"/>
            <w:tcBorders>
              <w:tl2br w:val="nil"/>
              <w:tr2bl w:val="nil"/>
            </w:tcBorders>
            <w:noWrap w:val="0"/>
            <w:vAlign w:val="center"/>
          </w:tcPr>
          <w:p w14:paraId="553FAEC2">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498" w:type="pct"/>
            <w:tcBorders>
              <w:tl2br w:val="nil"/>
              <w:tr2bl w:val="nil"/>
            </w:tcBorders>
            <w:shd w:val="clear" w:color="auto" w:fill="auto"/>
            <w:noWrap w:val="0"/>
            <w:vAlign w:val="center"/>
          </w:tcPr>
          <w:p w14:paraId="72452776">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废金属屑</w:t>
            </w:r>
          </w:p>
        </w:tc>
        <w:tc>
          <w:tcPr>
            <w:tcW w:w="634" w:type="pct"/>
            <w:tcBorders>
              <w:tl2br w:val="nil"/>
              <w:tr2bl w:val="nil"/>
            </w:tcBorders>
            <w:noWrap w:val="0"/>
            <w:vAlign w:val="center"/>
          </w:tcPr>
          <w:p w14:paraId="44A5428E">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464" w:type="pct"/>
            <w:tcBorders>
              <w:tl2br w:val="nil"/>
              <w:tr2bl w:val="nil"/>
            </w:tcBorders>
            <w:noWrap w:val="0"/>
            <w:vAlign w:val="center"/>
          </w:tcPr>
          <w:p w14:paraId="2E847765">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618" w:type="pct"/>
            <w:tcBorders>
              <w:tl2br w:val="nil"/>
              <w:tr2bl w:val="nil"/>
            </w:tcBorders>
            <w:noWrap w:val="0"/>
            <w:vAlign w:val="center"/>
          </w:tcPr>
          <w:p w14:paraId="3E6EA8E4">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w:t>
            </w:r>
          </w:p>
        </w:tc>
        <w:tc>
          <w:tcPr>
            <w:tcW w:w="566" w:type="pct"/>
            <w:tcBorders>
              <w:tl2br w:val="nil"/>
              <w:tr2bl w:val="nil"/>
            </w:tcBorders>
            <w:shd w:val="clear" w:color="auto" w:fill="auto"/>
            <w:noWrap w:val="0"/>
            <w:vAlign w:val="center"/>
          </w:tcPr>
          <w:p w14:paraId="7FADA0B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w:t>
            </w:r>
          </w:p>
        </w:tc>
        <w:tc>
          <w:tcPr>
            <w:tcW w:w="640" w:type="pct"/>
            <w:tcBorders>
              <w:tl2br w:val="nil"/>
              <w:tr2bl w:val="nil"/>
            </w:tcBorders>
            <w:noWrap w:val="0"/>
            <w:vAlign w:val="center"/>
          </w:tcPr>
          <w:p w14:paraId="3988BA6C">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w:t>
            </w:r>
          </w:p>
        </w:tc>
        <w:tc>
          <w:tcPr>
            <w:tcW w:w="718" w:type="pct"/>
            <w:tcBorders>
              <w:tl2br w:val="nil"/>
              <w:tr2bl w:val="nil"/>
            </w:tcBorders>
            <w:shd w:val="clear" w:color="auto" w:fill="auto"/>
            <w:noWrap w:val="0"/>
            <w:vAlign w:val="center"/>
          </w:tcPr>
          <w:p w14:paraId="124BB2D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w:t>
            </w:r>
          </w:p>
        </w:tc>
        <w:tc>
          <w:tcPr>
            <w:tcW w:w="390" w:type="pct"/>
            <w:tcBorders>
              <w:tl2br w:val="nil"/>
              <w:tr2bl w:val="nil"/>
            </w:tcBorders>
            <w:noWrap w:val="0"/>
            <w:vAlign w:val="center"/>
          </w:tcPr>
          <w:p w14:paraId="36F031BD">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w:t>
            </w:r>
          </w:p>
        </w:tc>
      </w:tr>
      <w:tr w14:paraId="4C5048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66" w:type="pct"/>
            <w:gridSpan w:val="2"/>
            <w:vMerge w:val="continue"/>
            <w:tcBorders>
              <w:tl2br w:val="nil"/>
              <w:tr2bl w:val="nil"/>
            </w:tcBorders>
            <w:noWrap w:val="0"/>
            <w:vAlign w:val="center"/>
          </w:tcPr>
          <w:p w14:paraId="364C4903">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498" w:type="pct"/>
            <w:tcBorders>
              <w:tl2br w:val="nil"/>
              <w:tr2bl w:val="nil"/>
            </w:tcBorders>
            <w:shd w:val="clear" w:color="auto" w:fill="auto"/>
            <w:noWrap w:val="0"/>
            <w:vAlign w:val="center"/>
          </w:tcPr>
          <w:p w14:paraId="202C5299">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废石英砂</w:t>
            </w:r>
          </w:p>
        </w:tc>
        <w:tc>
          <w:tcPr>
            <w:tcW w:w="634" w:type="pct"/>
            <w:tcBorders>
              <w:tl2br w:val="nil"/>
              <w:tr2bl w:val="nil"/>
            </w:tcBorders>
            <w:noWrap w:val="0"/>
            <w:vAlign w:val="center"/>
          </w:tcPr>
          <w:p w14:paraId="3ABD56F8">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464" w:type="pct"/>
            <w:tcBorders>
              <w:tl2br w:val="nil"/>
              <w:tr2bl w:val="nil"/>
            </w:tcBorders>
            <w:noWrap w:val="0"/>
            <w:vAlign w:val="center"/>
          </w:tcPr>
          <w:p w14:paraId="7C089245">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618" w:type="pct"/>
            <w:tcBorders>
              <w:tl2br w:val="nil"/>
              <w:tr2bl w:val="nil"/>
            </w:tcBorders>
            <w:noWrap w:val="0"/>
            <w:vAlign w:val="center"/>
          </w:tcPr>
          <w:p w14:paraId="4FF8DB2A">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566" w:type="pct"/>
            <w:tcBorders>
              <w:tl2br w:val="nil"/>
              <w:tr2bl w:val="nil"/>
            </w:tcBorders>
            <w:shd w:val="clear" w:color="auto" w:fill="auto"/>
            <w:noWrap w:val="0"/>
            <w:vAlign w:val="center"/>
          </w:tcPr>
          <w:p w14:paraId="07EE3DF9">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w:t>
            </w:r>
          </w:p>
        </w:tc>
        <w:tc>
          <w:tcPr>
            <w:tcW w:w="640" w:type="pct"/>
            <w:tcBorders>
              <w:tl2br w:val="nil"/>
              <w:tr2bl w:val="nil"/>
            </w:tcBorders>
            <w:noWrap w:val="0"/>
            <w:vAlign w:val="center"/>
          </w:tcPr>
          <w:p w14:paraId="3D2EA00A">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718" w:type="pct"/>
            <w:tcBorders>
              <w:tl2br w:val="nil"/>
              <w:tr2bl w:val="nil"/>
            </w:tcBorders>
            <w:shd w:val="clear" w:color="auto" w:fill="auto"/>
            <w:noWrap w:val="0"/>
            <w:vAlign w:val="center"/>
          </w:tcPr>
          <w:p w14:paraId="707EA4D8">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w:t>
            </w:r>
          </w:p>
        </w:tc>
        <w:tc>
          <w:tcPr>
            <w:tcW w:w="390" w:type="pct"/>
            <w:tcBorders>
              <w:tl2br w:val="nil"/>
              <w:tr2bl w:val="nil"/>
            </w:tcBorders>
            <w:noWrap w:val="0"/>
            <w:vAlign w:val="center"/>
          </w:tcPr>
          <w:p w14:paraId="1CB24FDC">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0.6</w:t>
            </w:r>
          </w:p>
        </w:tc>
      </w:tr>
      <w:tr w14:paraId="054763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66" w:type="pct"/>
            <w:gridSpan w:val="2"/>
            <w:vMerge w:val="continue"/>
            <w:tcBorders>
              <w:tl2br w:val="nil"/>
              <w:tr2bl w:val="nil"/>
            </w:tcBorders>
            <w:noWrap w:val="0"/>
            <w:vAlign w:val="center"/>
          </w:tcPr>
          <w:p w14:paraId="4EB1B571">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498" w:type="pct"/>
            <w:tcBorders>
              <w:tl2br w:val="nil"/>
              <w:tr2bl w:val="nil"/>
            </w:tcBorders>
            <w:shd w:val="clear" w:color="auto" w:fill="auto"/>
            <w:noWrap w:val="0"/>
            <w:vAlign w:val="center"/>
          </w:tcPr>
          <w:p w14:paraId="5D1C3558">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废活性炭</w:t>
            </w:r>
          </w:p>
        </w:tc>
        <w:tc>
          <w:tcPr>
            <w:tcW w:w="634" w:type="pct"/>
            <w:tcBorders>
              <w:tl2br w:val="nil"/>
              <w:tr2bl w:val="nil"/>
            </w:tcBorders>
            <w:noWrap w:val="0"/>
            <w:vAlign w:val="center"/>
          </w:tcPr>
          <w:p w14:paraId="2D9772AC">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464" w:type="pct"/>
            <w:tcBorders>
              <w:tl2br w:val="nil"/>
              <w:tr2bl w:val="nil"/>
            </w:tcBorders>
            <w:noWrap w:val="0"/>
            <w:vAlign w:val="center"/>
          </w:tcPr>
          <w:p w14:paraId="06A705BD">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618" w:type="pct"/>
            <w:tcBorders>
              <w:tl2br w:val="nil"/>
              <w:tr2bl w:val="nil"/>
            </w:tcBorders>
            <w:noWrap w:val="0"/>
            <w:vAlign w:val="center"/>
          </w:tcPr>
          <w:p w14:paraId="0C8F9077">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566" w:type="pct"/>
            <w:tcBorders>
              <w:tl2br w:val="nil"/>
              <w:tr2bl w:val="nil"/>
            </w:tcBorders>
            <w:shd w:val="clear" w:color="auto" w:fill="auto"/>
            <w:noWrap w:val="0"/>
            <w:vAlign w:val="center"/>
          </w:tcPr>
          <w:p w14:paraId="456DAB58">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w:t>
            </w:r>
          </w:p>
        </w:tc>
        <w:tc>
          <w:tcPr>
            <w:tcW w:w="640" w:type="pct"/>
            <w:tcBorders>
              <w:tl2br w:val="nil"/>
              <w:tr2bl w:val="nil"/>
            </w:tcBorders>
            <w:noWrap w:val="0"/>
            <w:vAlign w:val="center"/>
          </w:tcPr>
          <w:p w14:paraId="73C42B34">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718" w:type="pct"/>
            <w:tcBorders>
              <w:tl2br w:val="nil"/>
              <w:tr2bl w:val="nil"/>
            </w:tcBorders>
            <w:shd w:val="clear" w:color="auto" w:fill="auto"/>
            <w:noWrap w:val="0"/>
            <w:vAlign w:val="center"/>
          </w:tcPr>
          <w:p w14:paraId="34A5FF5E">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w:t>
            </w:r>
          </w:p>
        </w:tc>
        <w:tc>
          <w:tcPr>
            <w:tcW w:w="390" w:type="pct"/>
            <w:tcBorders>
              <w:tl2br w:val="nil"/>
              <w:tr2bl w:val="nil"/>
            </w:tcBorders>
            <w:noWrap w:val="0"/>
            <w:vAlign w:val="center"/>
          </w:tcPr>
          <w:p w14:paraId="529E527D">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0.4</w:t>
            </w:r>
          </w:p>
        </w:tc>
      </w:tr>
      <w:tr w14:paraId="39F017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66" w:type="pct"/>
            <w:gridSpan w:val="2"/>
            <w:vMerge w:val="continue"/>
            <w:tcBorders>
              <w:tl2br w:val="nil"/>
              <w:tr2bl w:val="nil"/>
            </w:tcBorders>
            <w:noWrap w:val="0"/>
            <w:vAlign w:val="center"/>
          </w:tcPr>
          <w:p w14:paraId="33AA48FA">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498" w:type="pct"/>
            <w:tcBorders>
              <w:tl2br w:val="nil"/>
              <w:tr2bl w:val="nil"/>
            </w:tcBorders>
            <w:shd w:val="clear" w:color="auto" w:fill="auto"/>
            <w:noWrap w:val="0"/>
            <w:vAlign w:val="center"/>
          </w:tcPr>
          <w:p w14:paraId="191B385A">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废滤芯</w:t>
            </w:r>
          </w:p>
        </w:tc>
        <w:tc>
          <w:tcPr>
            <w:tcW w:w="634" w:type="pct"/>
            <w:tcBorders>
              <w:tl2br w:val="nil"/>
              <w:tr2bl w:val="nil"/>
            </w:tcBorders>
            <w:noWrap w:val="0"/>
            <w:vAlign w:val="center"/>
          </w:tcPr>
          <w:p w14:paraId="77111D58">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464" w:type="pct"/>
            <w:tcBorders>
              <w:tl2br w:val="nil"/>
              <w:tr2bl w:val="nil"/>
            </w:tcBorders>
            <w:noWrap w:val="0"/>
            <w:vAlign w:val="center"/>
          </w:tcPr>
          <w:p w14:paraId="665D6000">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618" w:type="pct"/>
            <w:tcBorders>
              <w:tl2br w:val="nil"/>
              <w:tr2bl w:val="nil"/>
            </w:tcBorders>
            <w:noWrap w:val="0"/>
            <w:vAlign w:val="center"/>
          </w:tcPr>
          <w:p w14:paraId="58139B74">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566" w:type="pct"/>
            <w:tcBorders>
              <w:tl2br w:val="nil"/>
              <w:tr2bl w:val="nil"/>
            </w:tcBorders>
            <w:shd w:val="clear" w:color="auto" w:fill="auto"/>
            <w:noWrap w:val="0"/>
            <w:vAlign w:val="center"/>
          </w:tcPr>
          <w:p w14:paraId="33A9D938">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w:t>
            </w:r>
          </w:p>
        </w:tc>
        <w:tc>
          <w:tcPr>
            <w:tcW w:w="640" w:type="pct"/>
            <w:tcBorders>
              <w:tl2br w:val="nil"/>
              <w:tr2bl w:val="nil"/>
            </w:tcBorders>
            <w:noWrap w:val="0"/>
            <w:vAlign w:val="center"/>
          </w:tcPr>
          <w:p w14:paraId="410713C6">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718" w:type="pct"/>
            <w:tcBorders>
              <w:tl2br w:val="nil"/>
              <w:tr2bl w:val="nil"/>
            </w:tcBorders>
            <w:shd w:val="clear" w:color="auto" w:fill="auto"/>
            <w:noWrap w:val="0"/>
            <w:vAlign w:val="center"/>
          </w:tcPr>
          <w:p w14:paraId="05FBE142">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w:t>
            </w:r>
          </w:p>
        </w:tc>
        <w:tc>
          <w:tcPr>
            <w:tcW w:w="390" w:type="pct"/>
            <w:tcBorders>
              <w:tl2br w:val="nil"/>
              <w:tr2bl w:val="nil"/>
            </w:tcBorders>
            <w:noWrap w:val="0"/>
            <w:vAlign w:val="center"/>
          </w:tcPr>
          <w:p w14:paraId="33AF860D">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0.4</w:t>
            </w:r>
          </w:p>
        </w:tc>
      </w:tr>
      <w:tr w14:paraId="6627E6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66" w:type="pct"/>
            <w:gridSpan w:val="2"/>
            <w:vMerge w:val="continue"/>
            <w:tcBorders>
              <w:tl2br w:val="nil"/>
              <w:tr2bl w:val="nil"/>
            </w:tcBorders>
            <w:noWrap w:val="0"/>
            <w:vAlign w:val="center"/>
          </w:tcPr>
          <w:p w14:paraId="7B56113C">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498" w:type="pct"/>
            <w:tcBorders>
              <w:tl2br w:val="nil"/>
              <w:tr2bl w:val="nil"/>
            </w:tcBorders>
            <w:shd w:val="clear" w:color="auto" w:fill="auto"/>
            <w:noWrap w:val="0"/>
            <w:vAlign w:val="center"/>
          </w:tcPr>
          <w:p w14:paraId="283CD622">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废滤膜</w:t>
            </w:r>
          </w:p>
        </w:tc>
        <w:tc>
          <w:tcPr>
            <w:tcW w:w="634" w:type="pct"/>
            <w:tcBorders>
              <w:tl2br w:val="nil"/>
              <w:tr2bl w:val="nil"/>
            </w:tcBorders>
            <w:noWrap w:val="0"/>
            <w:vAlign w:val="center"/>
          </w:tcPr>
          <w:p w14:paraId="1EB668F8">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464" w:type="pct"/>
            <w:tcBorders>
              <w:tl2br w:val="nil"/>
              <w:tr2bl w:val="nil"/>
            </w:tcBorders>
            <w:noWrap w:val="0"/>
            <w:vAlign w:val="center"/>
          </w:tcPr>
          <w:p w14:paraId="65472545">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618" w:type="pct"/>
            <w:tcBorders>
              <w:tl2br w:val="nil"/>
              <w:tr2bl w:val="nil"/>
            </w:tcBorders>
            <w:noWrap w:val="0"/>
            <w:vAlign w:val="center"/>
          </w:tcPr>
          <w:p w14:paraId="3A64CE67">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566" w:type="pct"/>
            <w:tcBorders>
              <w:tl2br w:val="nil"/>
              <w:tr2bl w:val="nil"/>
            </w:tcBorders>
            <w:shd w:val="clear" w:color="auto" w:fill="auto"/>
            <w:noWrap w:val="0"/>
            <w:vAlign w:val="center"/>
          </w:tcPr>
          <w:p w14:paraId="27146AB0">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w:t>
            </w:r>
          </w:p>
        </w:tc>
        <w:tc>
          <w:tcPr>
            <w:tcW w:w="640" w:type="pct"/>
            <w:tcBorders>
              <w:tl2br w:val="nil"/>
              <w:tr2bl w:val="nil"/>
            </w:tcBorders>
            <w:noWrap w:val="0"/>
            <w:vAlign w:val="center"/>
          </w:tcPr>
          <w:p w14:paraId="2DA2FD1D">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718" w:type="pct"/>
            <w:tcBorders>
              <w:tl2br w:val="nil"/>
              <w:tr2bl w:val="nil"/>
            </w:tcBorders>
            <w:shd w:val="clear" w:color="auto" w:fill="auto"/>
            <w:noWrap w:val="0"/>
            <w:vAlign w:val="center"/>
          </w:tcPr>
          <w:p w14:paraId="6A4B9B78">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w:t>
            </w:r>
          </w:p>
        </w:tc>
        <w:tc>
          <w:tcPr>
            <w:tcW w:w="390" w:type="pct"/>
            <w:tcBorders>
              <w:tl2br w:val="nil"/>
              <w:tr2bl w:val="nil"/>
            </w:tcBorders>
            <w:noWrap w:val="0"/>
            <w:vAlign w:val="center"/>
          </w:tcPr>
          <w:p w14:paraId="2ED99C51">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0.2</w:t>
            </w:r>
          </w:p>
        </w:tc>
      </w:tr>
      <w:tr w14:paraId="3C7B9B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66" w:type="pct"/>
            <w:gridSpan w:val="2"/>
            <w:vMerge w:val="continue"/>
            <w:tcBorders>
              <w:tl2br w:val="nil"/>
              <w:tr2bl w:val="nil"/>
            </w:tcBorders>
            <w:noWrap w:val="0"/>
            <w:vAlign w:val="center"/>
          </w:tcPr>
          <w:p w14:paraId="31988747">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498" w:type="pct"/>
            <w:tcBorders>
              <w:tl2br w:val="nil"/>
              <w:tr2bl w:val="nil"/>
            </w:tcBorders>
            <w:shd w:val="clear" w:color="auto" w:fill="auto"/>
            <w:noWrap w:val="0"/>
            <w:vAlign w:val="center"/>
          </w:tcPr>
          <w:p w14:paraId="54B5CBD5">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废包装材料</w:t>
            </w:r>
          </w:p>
        </w:tc>
        <w:tc>
          <w:tcPr>
            <w:tcW w:w="634" w:type="pct"/>
            <w:tcBorders>
              <w:tl2br w:val="nil"/>
              <w:tr2bl w:val="nil"/>
            </w:tcBorders>
            <w:noWrap w:val="0"/>
            <w:vAlign w:val="center"/>
          </w:tcPr>
          <w:p w14:paraId="13FA8C65">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464" w:type="pct"/>
            <w:tcBorders>
              <w:tl2br w:val="nil"/>
              <w:tr2bl w:val="nil"/>
            </w:tcBorders>
            <w:noWrap w:val="0"/>
            <w:vAlign w:val="center"/>
          </w:tcPr>
          <w:p w14:paraId="778FAB18">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618" w:type="pct"/>
            <w:tcBorders>
              <w:tl2br w:val="nil"/>
              <w:tr2bl w:val="nil"/>
            </w:tcBorders>
            <w:noWrap w:val="0"/>
            <w:vAlign w:val="center"/>
          </w:tcPr>
          <w:p w14:paraId="1DA890C0">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566" w:type="pct"/>
            <w:tcBorders>
              <w:tl2br w:val="nil"/>
              <w:tr2bl w:val="nil"/>
            </w:tcBorders>
            <w:shd w:val="clear" w:color="auto" w:fill="auto"/>
            <w:noWrap w:val="0"/>
            <w:vAlign w:val="center"/>
          </w:tcPr>
          <w:p w14:paraId="14799029">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640" w:type="pct"/>
            <w:tcBorders>
              <w:tl2br w:val="nil"/>
              <w:tr2bl w:val="nil"/>
            </w:tcBorders>
            <w:noWrap w:val="0"/>
            <w:vAlign w:val="center"/>
          </w:tcPr>
          <w:p w14:paraId="6336CD8B">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718" w:type="pct"/>
            <w:tcBorders>
              <w:tl2br w:val="nil"/>
              <w:tr2bl w:val="nil"/>
            </w:tcBorders>
            <w:shd w:val="clear" w:color="auto" w:fill="auto"/>
            <w:noWrap w:val="0"/>
            <w:vAlign w:val="center"/>
          </w:tcPr>
          <w:p w14:paraId="062315E7">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390" w:type="pct"/>
            <w:tcBorders>
              <w:tl2br w:val="nil"/>
              <w:tr2bl w:val="nil"/>
            </w:tcBorders>
            <w:noWrap w:val="0"/>
            <w:vAlign w:val="center"/>
          </w:tcPr>
          <w:p w14:paraId="468A2A69">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6F0BC3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66" w:type="pct"/>
            <w:gridSpan w:val="2"/>
            <w:vMerge w:val="continue"/>
            <w:tcBorders>
              <w:tl2br w:val="nil"/>
              <w:tr2bl w:val="nil"/>
            </w:tcBorders>
            <w:noWrap w:val="0"/>
            <w:vAlign w:val="center"/>
          </w:tcPr>
          <w:p w14:paraId="025763DA">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498" w:type="pct"/>
            <w:tcBorders>
              <w:tl2br w:val="nil"/>
              <w:tr2bl w:val="nil"/>
            </w:tcBorders>
            <w:shd w:val="clear" w:color="auto" w:fill="auto"/>
            <w:noWrap w:val="0"/>
            <w:vAlign w:val="center"/>
          </w:tcPr>
          <w:p w14:paraId="33614BA0">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废布袋</w:t>
            </w:r>
          </w:p>
        </w:tc>
        <w:tc>
          <w:tcPr>
            <w:tcW w:w="634" w:type="pct"/>
            <w:tcBorders>
              <w:tl2br w:val="nil"/>
              <w:tr2bl w:val="nil"/>
            </w:tcBorders>
            <w:noWrap w:val="0"/>
            <w:vAlign w:val="center"/>
          </w:tcPr>
          <w:p w14:paraId="06E7AFFC">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464" w:type="pct"/>
            <w:tcBorders>
              <w:tl2br w:val="nil"/>
              <w:tr2bl w:val="nil"/>
            </w:tcBorders>
            <w:noWrap w:val="0"/>
            <w:vAlign w:val="center"/>
          </w:tcPr>
          <w:p w14:paraId="4283FC8B">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618" w:type="pct"/>
            <w:tcBorders>
              <w:tl2br w:val="nil"/>
              <w:tr2bl w:val="nil"/>
            </w:tcBorders>
            <w:noWrap w:val="0"/>
            <w:vAlign w:val="center"/>
          </w:tcPr>
          <w:p w14:paraId="0BAC4B76">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566" w:type="pct"/>
            <w:tcBorders>
              <w:tl2br w:val="nil"/>
              <w:tr2bl w:val="nil"/>
            </w:tcBorders>
            <w:shd w:val="clear" w:color="auto" w:fill="auto"/>
            <w:noWrap w:val="0"/>
            <w:vAlign w:val="center"/>
          </w:tcPr>
          <w:p w14:paraId="6841EA9B">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w:t>
            </w:r>
          </w:p>
        </w:tc>
        <w:tc>
          <w:tcPr>
            <w:tcW w:w="640" w:type="pct"/>
            <w:tcBorders>
              <w:tl2br w:val="nil"/>
              <w:tr2bl w:val="nil"/>
            </w:tcBorders>
            <w:noWrap w:val="0"/>
            <w:vAlign w:val="center"/>
          </w:tcPr>
          <w:p w14:paraId="192A443E">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718" w:type="pct"/>
            <w:tcBorders>
              <w:tl2br w:val="nil"/>
              <w:tr2bl w:val="nil"/>
            </w:tcBorders>
            <w:shd w:val="clear" w:color="auto" w:fill="auto"/>
            <w:noWrap w:val="0"/>
            <w:vAlign w:val="center"/>
          </w:tcPr>
          <w:p w14:paraId="7DDBE166">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w:t>
            </w:r>
          </w:p>
        </w:tc>
        <w:tc>
          <w:tcPr>
            <w:tcW w:w="390" w:type="pct"/>
            <w:tcBorders>
              <w:tl2br w:val="nil"/>
              <w:tr2bl w:val="nil"/>
            </w:tcBorders>
            <w:noWrap w:val="0"/>
            <w:vAlign w:val="center"/>
          </w:tcPr>
          <w:p w14:paraId="5F82CB6E">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w:t>
            </w:r>
          </w:p>
        </w:tc>
      </w:tr>
      <w:tr w14:paraId="19DE92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66" w:type="pct"/>
            <w:gridSpan w:val="2"/>
            <w:vMerge w:val="continue"/>
            <w:tcBorders>
              <w:tl2br w:val="nil"/>
              <w:tr2bl w:val="nil"/>
            </w:tcBorders>
            <w:noWrap w:val="0"/>
            <w:vAlign w:val="center"/>
          </w:tcPr>
          <w:p w14:paraId="5F8191B0">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498" w:type="pct"/>
            <w:tcBorders>
              <w:tl2br w:val="nil"/>
              <w:tr2bl w:val="nil"/>
            </w:tcBorders>
            <w:shd w:val="clear" w:color="auto" w:fill="auto"/>
            <w:noWrap w:val="0"/>
            <w:vAlign w:val="center"/>
          </w:tcPr>
          <w:p w14:paraId="163A50A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废滤筒</w:t>
            </w:r>
          </w:p>
        </w:tc>
        <w:tc>
          <w:tcPr>
            <w:tcW w:w="634" w:type="pct"/>
            <w:tcBorders>
              <w:tl2br w:val="nil"/>
              <w:tr2bl w:val="nil"/>
            </w:tcBorders>
            <w:noWrap w:val="0"/>
            <w:vAlign w:val="center"/>
          </w:tcPr>
          <w:p w14:paraId="75459ACE">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464" w:type="pct"/>
            <w:tcBorders>
              <w:tl2br w:val="nil"/>
              <w:tr2bl w:val="nil"/>
            </w:tcBorders>
            <w:noWrap w:val="0"/>
            <w:vAlign w:val="center"/>
          </w:tcPr>
          <w:p w14:paraId="154FF644">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618" w:type="pct"/>
            <w:tcBorders>
              <w:tl2br w:val="nil"/>
              <w:tr2bl w:val="nil"/>
            </w:tcBorders>
            <w:noWrap w:val="0"/>
            <w:vAlign w:val="center"/>
          </w:tcPr>
          <w:p w14:paraId="443E1B34">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w:t>
            </w:r>
          </w:p>
        </w:tc>
        <w:tc>
          <w:tcPr>
            <w:tcW w:w="566" w:type="pct"/>
            <w:tcBorders>
              <w:tl2br w:val="nil"/>
              <w:tr2bl w:val="nil"/>
            </w:tcBorders>
            <w:shd w:val="clear" w:color="auto" w:fill="auto"/>
            <w:noWrap w:val="0"/>
            <w:vAlign w:val="center"/>
          </w:tcPr>
          <w:p w14:paraId="0B21B4F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5</w:t>
            </w:r>
          </w:p>
        </w:tc>
        <w:tc>
          <w:tcPr>
            <w:tcW w:w="640" w:type="pct"/>
            <w:tcBorders>
              <w:tl2br w:val="nil"/>
              <w:tr2bl w:val="nil"/>
            </w:tcBorders>
            <w:noWrap w:val="0"/>
            <w:vAlign w:val="center"/>
          </w:tcPr>
          <w:p w14:paraId="09059E42">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w:t>
            </w:r>
          </w:p>
        </w:tc>
        <w:tc>
          <w:tcPr>
            <w:tcW w:w="718" w:type="pct"/>
            <w:tcBorders>
              <w:tl2br w:val="nil"/>
              <w:tr2bl w:val="nil"/>
            </w:tcBorders>
            <w:shd w:val="clear" w:color="auto" w:fill="auto"/>
            <w:noWrap w:val="0"/>
            <w:vAlign w:val="center"/>
          </w:tcPr>
          <w:p w14:paraId="6AC688B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5</w:t>
            </w:r>
          </w:p>
        </w:tc>
        <w:tc>
          <w:tcPr>
            <w:tcW w:w="390" w:type="pct"/>
            <w:tcBorders>
              <w:tl2br w:val="nil"/>
              <w:tr2bl w:val="nil"/>
            </w:tcBorders>
            <w:noWrap w:val="0"/>
            <w:vAlign w:val="center"/>
          </w:tcPr>
          <w:p w14:paraId="3F5F87C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5</w:t>
            </w:r>
          </w:p>
        </w:tc>
      </w:tr>
      <w:tr w14:paraId="366F5B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66" w:type="pct"/>
            <w:gridSpan w:val="2"/>
            <w:vMerge w:val="restart"/>
            <w:tcBorders>
              <w:tl2br w:val="nil"/>
              <w:tr2bl w:val="nil"/>
            </w:tcBorders>
            <w:noWrap w:val="0"/>
            <w:vAlign w:val="center"/>
          </w:tcPr>
          <w:p w14:paraId="4BA3983D">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危险废物</w:t>
            </w:r>
          </w:p>
        </w:tc>
        <w:tc>
          <w:tcPr>
            <w:tcW w:w="498" w:type="pct"/>
            <w:tcBorders>
              <w:tl2br w:val="nil"/>
              <w:tr2bl w:val="nil"/>
            </w:tcBorders>
            <w:shd w:val="clear" w:color="auto" w:fill="auto"/>
            <w:noWrap w:val="0"/>
            <w:vAlign w:val="center"/>
          </w:tcPr>
          <w:p w14:paraId="6E0D46AF">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废墨盒</w:t>
            </w:r>
          </w:p>
        </w:tc>
        <w:tc>
          <w:tcPr>
            <w:tcW w:w="634" w:type="pct"/>
            <w:tcBorders>
              <w:tl2br w:val="nil"/>
              <w:tr2bl w:val="nil"/>
            </w:tcBorders>
            <w:noWrap w:val="0"/>
            <w:vAlign w:val="center"/>
          </w:tcPr>
          <w:p w14:paraId="5850FA40">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464" w:type="pct"/>
            <w:tcBorders>
              <w:tl2br w:val="nil"/>
              <w:tr2bl w:val="nil"/>
            </w:tcBorders>
            <w:noWrap w:val="0"/>
            <w:vAlign w:val="center"/>
          </w:tcPr>
          <w:p w14:paraId="3DBD0E04">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618" w:type="pct"/>
            <w:tcBorders>
              <w:tl2br w:val="nil"/>
              <w:tr2bl w:val="nil"/>
            </w:tcBorders>
            <w:noWrap w:val="0"/>
            <w:vAlign w:val="center"/>
          </w:tcPr>
          <w:p w14:paraId="4DFF72C4">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566" w:type="pct"/>
            <w:tcBorders>
              <w:tl2br w:val="nil"/>
              <w:tr2bl w:val="nil"/>
            </w:tcBorders>
            <w:shd w:val="clear" w:color="auto" w:fill="auto"/>
            <w:noWrap w:val="0"/>
            <w:vAlign w:val="center"/>
          </w:tcPr>
          <w:p w14:paraId="3676332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w:t>
            </w:r>
          </w:p>
        </w:tc>
        <w:tc>
          <w:tcPr>
            <w:tcW w:w="640" w:type="pct"/>
            <w:tcBorders>
              <w:tl2br w:val="nil"/>
              <w:tr2bl w:val="nil"/>
            </w:tcBorders>
            <w:noWrap w:val="0"/>
            <w:vAlign w:val="center"/>
          </w:tcPr>
          <w:p w14:paraId="511657A5">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718" w:type="pct"/>
            <w:tcBorders>
              <w:tl2br w:val="nil"/>
              <w:tr2bl w:val="nil"/>
            </w:tcBorders>
            <w:shd w:val="clear" w:color="auto" w:fill="auto"/>
            <w:noWrap w:val="0"/>
            <w:vAlign w:val="center"/>
          </w:tcPr>
          <w:p w14:paraId="66112EC0">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w:t>
            </w:r>
          </w:p>
        </w:tc>
        <w:tc>
          <w:tcPr>
            <w:tcW w:w="390" w:type="pct"/>
            <w:tcBorders>
              <w:tl2br w:val="nil"/>
              <w:tr2bl w:val="nil"/>
            </w:tcBorders>
            <w:noWrap w:val="0"/>
            <w:vAlign w:val="center"/>
          </w:tcPr>
          <w:p w14:paraId="320FEA74">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w:t>
            </w:r>
          </w:p>
        </w:tc>
      </w:tr>
      <w:tr w14:paraId="3408B5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7" w:hRule="atLeast"/>
        </w:trPr>
        <w:tc>
          <w:tcPr>
            <w:tcW w:w="466" w:type="pct"/>
            <w:gridSpan w:val="2"/>
            <w:vMerge w:val="continue"/>
            <w:noWrap w:val="0"/>
            <w:vAlign w:val="center"/>
          </w:tcPr>
          <w:p w14:paraId="3C15E91B">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498" w:type="pct"/>
            <w:shd w:val="clear" w:color="auto" w:fill="auto"/>
            <w:noWrap w:val="0"/>
            <w:vAlign w:val="center"/>
          </w:tcPr>
          <w:p w14:paraId="46DCA389">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清洗废液</w:t>
            </w:r>
          </w:p>
        </w:tc>
        <w:tc>
          <w:tcPr>
            <w:tcW w:w="634" w:type="pct"/>
            <w:noWrap w:val="0"/>
            <w:vAlign w:val="center"/>
          </w:tcPr>
          <w:p w14:paraId="40792E6C">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464" w:type="pct"/>
            <w:noWrap w:val="0"/>
            <w:vAlign w:val="center"/>
          </w:tcPr>
          <w:p w14:paraId="01E4619E">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618" w:type="pct"/>
            <w:noWrap w:val="0"/>
            <w:vAlign w:val="center"/>
          </w:tcPr>
          <w:p w14:paraId="1460E424">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566" w:type="pct"/>
            <w:shd w:val="clear" w:color="auto" w:fill="auto"/>
            <w:noWrap w:val="0"/>
            <w:vAlign w:val="center"/>
          </w:tcPr>
          <w:p w14:paraId="40275E19">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640" w:type="pct"/>
            <w:noWrap w:val="0"/>
            <w:vAlign w:val="center"/>
          </w:tcPr>
          <w:p w14:paraId="0883AEA4">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w:t>
            </w:r>
          </w:p>
        </w:tc>
        <w:tc>
          <w:tcPr>
            <w:tcW w:w="718" w:type="pct"/>
            <w:shd w:val="clear" w:color="auto" w:fill="auto"/>
            <w:noWrap w:val="0"/>
            <w:vAlign w:val="center"/>
          </w:tcPr>
          <w:p w14:paraId="2A570ECF">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390" w:type="pct"/>
            <w:noWrap w:val="0"/>
            <w:vAlign w:val="center"/>
          </w:tcPr>
          <w:p w14:paraId="1267357B">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5</w:t>
            </w:r>
          </w:p>
        </w:tc>
      </w:tr>
      <w:tr w14:paraId="2252C0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7" w:hRule="atLeast"/>
        </w:trPr>
        <w:tc>
          <w:tcPr>
            <w:tcW w:w="466" w:type="pct"/>
            <w:gridSpan w:val="2"/>
            <w:vMerge w:val="continue"/>
            <w:noWrap w:val="0"/>
            <w:vAlign w:val="center"/>
          </w:tcPr>
          <w:p w14:paraId="1991F0DF">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498" w:type="pct"/>
            <w:shd w:val="clear" w:color="auto" w:fill="auto"/>
            <w:noWrap w:val="0"/>
            <w:vAlign w:val="center"/>
          </w:tcPr>
          <w:p w14:paraId="76458294">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废切削液</w:t>
            </w:r>
          </w:p>
        </w:tc>
        <w:tc>
          <w:tcPr>
            <w:tcW w:w="634" w:type="pct"/>
            <w:noWrap w:val="0"/>
            <w:vAlign w:val="center"/>
          </w:tcPr>
          <w:p w14:paraId="01DE5E79">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464" w:type="pct"/>
            <w:noWrap w:val="0"/>
            <w:vAlign w:val="center"/>
          </w:tcPr>
          <w:p w14:paraId="2C3AB623">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618" w:type="pct"/>
            <w:noWrap w:val="0"/>
            <w:vAlign w:val="center"/>
          </w:tcPr>
          <w:p w14:paraId="4B28561A">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566" w:type="pct"/>
            <w:shd w:val="clear" w:color="auto" w:fill="auto"/>
            <w:noWrap w:val="0"/>
            <w:vAlign w:val="center"/>
          </w:tcPr>
          <w:p w14:paraId="69D513EF">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w:t>
            </w:r>
            <w:r>
              <w:rPr>
                <w:rFonts w:hint="eastAsia" w:cs="Times New Roman"/>
                <w:color w:val="auto"/>
                <w:sz w:val="21"/>
                <w:szCs w:val="21"/>
                <w:lang w:val="en-US" w:eastAsia="zh-CN"/>
              </w:rPr>
              <w:t>1</w:t>
            </w:r>
          </w:p>
        </w:tc>
        <w:tc>
          <w:tcPr>
            <w:tcW w:w="640" w:type="pct"/>
            <w:noWrap w:val="0"/>
            <w:vAlign w:val="center"/>
          </w:tcPr>
          <w:p w14:paraId="5D775B43">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w:t>
            </w:r>
          </w:p>
        </w:tc>
        <w:tc>
          <w:tcPr>
            <w:tcW w:w="718" w:type="pct"/>
            <w:shd w:val="clear" w:color="auto" w:fill="auto"/>
            <w:noWrap w:val="0"/>
            <w:vAlign w:val="center"/>
          </w:tcPr>
          <w:p w14:paraId="487D33A3">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w:t>
            </w:r>
            <w:r>
              <w:rPr>
                <w:rFonts w:hint="eastAsia" w:cs="Times New Roman"/>
                <w:color w:val="auto"/>
                <w:sz w:val="21"/>
                <w:szCs w:val="21"/>
                <w:lang w:val="en-US" w:eastAsia="zh-CN"/>
              </w:rPr>
              <w:t>1</w:t>
            </w:r>
          </w:p>
        </w:tc>
        <w:tc>
          <w:tcPr>
            <w:tcW w:w="390" w:type="pct"/>
            <w:noWrap w:val="0"/>
            <w:vAlign w:val="center"/>
          </w:tcPr>
          <w:p w14:paraId="1514641F">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w:t>
            </w:r>
            <w:r>
              <w:rPr>
                <w:rFonts w:hint="eastAsia" w:cs="Times New Roman"/>
                <w:color w:val="auto"/>
                <w:sz w:val="21"/>
                <w:szCs w:val="21"/>
                <w:lang w:val="en-US" w:eastAsia="zh-CN"/>
              </w:rPr>
              <w:t>1</w:t>
            </w:r>
          </w:p>
        </w:tc>
      </w:tr>
      <w:tr w14:paraId="743AB1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7" w:hRule="atLeast"/>
        </w:trPr>
        <w:tc>
          <w:tcPr>
            <w:tcW w:w="466" w:type="pct"/>
            <w:gridSpan w:val="2"/>
            <w:vMerge w:val="continue"/>
            <w:noWrap w:val="0"/>
            <w:vAlign w:val="center"/>
          </w:tcPr>
          <w:p w14:paraId="54304709">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498" w:type="pct"/>
            <w:shd w:val="clear" w:color="auto" w:fill="auto"/>
            <w:noWrap w:val="0"/>
            <w:vAlign w:val="center"/>
          </w:tcPr>
          <w:p w14:paraId="37DB415E">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废滤芯</w:t>
            </w:r>
          </w:p>
        </w:tc>
        <w:tc>
          <w:tcPr>
            <w:tcW w:w="634" w:type="pct"/>
            <w:noWrap w:val="0"/>
            <w:vAlign w:val="center"/>
          </w:tcPr>
          <w:p w14:paraId="05280647">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464" w:type="pct"/>
            <w:noWrap w:val="0"/>
            <w:vAlign w:val="center"/>
          </w:tcPr>
          <w:p w14:paraId="708C6B40">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618" w:type="pct"/>
            <w:noWrap w:val="0"/>
            <w:vAlign w:val="center"/>
          </w:tcPr>
          <w:p w14:paraId="5B551FF4">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566" w:type="pct"/>
            <w:shd w:val="clear" w:color="auto" w:fill="auto"/>
            <w:noWrap w:val="0"/>
            <w:vAlign w:val="center"/>
          </w:tcPr>
          <w:p w14:paraId="534DD9AC">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w:t>
            </w:r>
          </w:p>
        </w:tc>
        <w:tc>
          <w:tcPr>
            <w:tcW w:w="640" w:type="pct"/>
            <w:noWrap w:val="0"/>
            <w:vAlign w:val="center"/>
          </w:tcPr>
          <w:p w14:paraId="582BEC33">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w:t>
            </w:r>
          </w:p>
        </w:tc>
        <w:tc>
          <w:tcPr>
            <w:tcW w:w="718" w:type="pct"/>
            <w:shd w:val="clear" w:color="auto" w:fill="auto"/>
            <w:noWrap w:val="0"/>
            <w:vAlign w:val="center"/>
          </w:tcPr>
          <w:p w14:paraId="56B8BF55">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w:t>
            </w:r>
          </w:p>
        </w:tc>
        <w:tc>
          <w:tcPr>
            <w:tcW w:w="390" w:type="pct"/>
            <w:noWrap w:val="0"/>
            <w:vAlign w:val="center"/>
          </w:tcPr>
          <w:p w14:paraId="28B86173">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w:t>
            </w:r>
          </w:p>
        </w:tc>
      </w:tr>
      <w:tr w14:paraId="02CE85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7" w:hRule="atLeast"/>
        </w:trPr>
        <w:tc>
          <w:tcPr>
            <w:tcW w:w="466" w:type="pct"/>
            <w:gridSpan w:val="2"/>
            <w:vMerge w:val="continue"/>
            <w:noWrap w:val="0"/>
            <w:vAlign w:val="center"/>
          </w:tcPr>
          <w:p w14:paraId="3BC9FA1D">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498" w:type="pct"/>
            <w:shd w:val="clear" w:color="auto" w:fill="auto"/>
            <w:noWrap w:val="0"/>
            <w:vAlign w:val="center"/>
          </w:tcPr>
          <w:p w14:paraId="4302B024">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废煤油</w:t>
            </w:r>
          </w:p>
        </w:tc>
        <w:tc>
          <w:tcPr>
            <w:tcW w:w="634" w:type="pct"/>
            <w:shd w:val="clear" w:color="auto" w:fill="auto"/>
            <w:noWrap w:val="0"/>
            <w:vAlign w:val="center"/>
          </w:tcPr>
          <w:p w14:paraId="3061E380">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0</w:t>
            </w:r>
          </w:p>
        </w:tc>
        <w:tc>
          <w:tcPr>
            <w:tcW w:w="464" w:type="pct"/>
            <w:shd w:val="clear" w:color="auto" w:fill="auto"/>
            <w:noWrap w:val="0"/>
            <w:vAlign w:val="center"/>
          </w:tcPr>
          <w:p w14:paraId="631FD72C">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0</w:t>
            </w:r>
          </w:p>
        </w:tc>
        <w:tc>
          <w:tcPr>
            <w:tcW w:w="618" w:type="pct"/>
            <w:shd w:val="clear" w:color="auto" w:fill="auto"/>
            <w:noWrap w:val="0"/>
            <w:vAlign w:val="center"/>
          </w:tcPr>
          <w:p w14:paraId="22704006">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0</w:t>
            </w:r>
          </w:p>
        </w:tc>
        <w:tc>
          <w:tcPr>
            <w:tcW w:w="566" w:type="pct"/>
            <w:shd w:val="clear" w:color="auto" w:fill="auto"/>
            <w:noWrap w:val="0"/>
            <w:vAlign w:val="center"/>
          </w:tcPr>
          <w:p w14:paraId="4174E2C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041</w:t>
            </w:r>
          </w:p>
        </w:tc>
        <w:tc>
          <w:tcPr>
            <w:tcW w:w="640" w:type="pct"/>
            <w:shd w:val="clear" w:color="auto" w:fill="auto"/>
            <w:noWrap w:val="0"/>
            <w:vAlign w:val="center"/>
          </w:tcPr>
          <w:p w14:paraId="15B69279">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0</w:t>
            </w:r>
          </w:p>
        </w:tc>
        <w:tc>
          <w:tcPr>
            <w:tcW w:w="718" w:type="pct"/>
            <w:shd w:val="clear" w:color="auto" w:fill="auto"/>
            <w:noWrap w:val="0"/>
            <w:vAlign w:val="center"/>
          </w:tcPr>
          <w:p w14:paraId="70D9928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041</w:t>
            </w:r>
          </w:p>
        </w:tc>
        <w:tc>
          <w:tcPr>
            <w:tcW w:w="390" w:type="pct"/>
            <w:shd w:val="clear" w:color="auto" w:fill="auto"/>
            <w:noWrap w:val="0"/>
            <w:vAlign w:val="center"/>
          </w:tcPr>
          <w:p w14:paraId="0F45E06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041</w:t>
            </w:r>
          </w:p>
        </w:tc>
      </w:tr>
      <w:tr w14:paraId="39F33A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7" w:hRule="atLeast"/>
        </w:trPr>
        <w:tc>
          <w:tcPr>
            <w:tcW w:w="466" w:type="pct"/>
            <w:gridSpan w:val="2"/>
            <w:vMerge w:val="continue"/>
            <w:noWrap w:val="0"/>
            <w:vAlign w:val="center"/>
          </w:tcPr>
          <w:p w14:paraId="376F4B37">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498" w:type="pct"/>
            <w:shd w:val="clear" w:color="auto" w:fill="auto"/>
            <w:noWrap w:val="0"/>
            <w:vAlign w:val="center"/>
          </w:tcPr>
          <w:p w14:paraId="3F0BF72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废包装桶</w:t>
            </w:r>
          </w:p>
        </w:tc>
        <w:tc>
          <w:tcPr>
            <w:tcW w:w="634" w:type="pct"/>
            <w:shd w:val="clear" w:color="auto" w:fill="auto"/>
            <w:noWrap w:val="0"/>
            <w:vAlign w:val="center"/>
          </w:tcPr>
          <w:p w14:paraId="029EC2E4">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0</w:t>
            </w:r>
          </w:p>
        </w:tc>
        <w:tc>
          <w:tcPr>
            <w:tcW w:w="464" w:type="pct"/>
            <w:shd w:val="clear" w:color="auto" w:fill="auto"/>
            <w:noWrap w:val="0"/>
            <w:vAlign w:val="center"/>
          </w:tcPr>
          <w:p w14:paraId="68BF9D0C">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0</w:t>
            </w:r>
          </w:p>
        </w:tc>
        <w:tc>
          <w:tcPr>
            <w:tcW w:w="618" w:type="pct"/>
            <w:shd w:val="clear" w:color="auto" w:fill="auto"/>
            <w:noWrap w:val="0"/>
            <w:vAlign w:val="center"/>
          </w:tcPr>
          <w:p w14:paraId="0E5CB7CF">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0</w:t>
            </w:r>
          </w:p>
        </w:tc>
        <w:tc>
          <w:tcPr>
            <w:tcW w:w="566" w:type="pct"/>
            <w:shd w:val="clear" w:color="auto" w:fill="auto"/>
            <w:noWrap w:val="0"/>
            <w:vAlign w:val="center"/>
          </w:tcPr>
          <w:p w14:paraId="5BFC219C">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0.04</w:t>
            </w:r>
          </w:p>
        </w:tc>
        <w:tc>
          <w:tcPr>
            <w:tcW w:w="640" w:type="pct"/>
            <w:shd w:val="clear" w:color="auto" w:fill="auto"/>
            <w:noWrap w:val="0"/>
            <w:vAlign w:val="center"/>
          </w:tcPr>
          <w:p w14:paraId="3E06785D">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0</w:t>
            </w:r>
          </w:p>
        </w:tc>
        <w:tc>
          <w:tcPr>
            <w:tcW w:w="718" w:type="pct"/>
            <w:shd w:val="clear" w:color="auto" w:fill="auto"/>
            <w:noWrap w:val="0"/>
            <w:vAlign w:val="center"/>
          </w:tcPr>
          <w:p w14:paraId="012F8D77">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0.04</w:t>
            </w:r>
          </w:p>
        </w:tc>
        <w:tc>
          <w:tcPr>
            <w:tcW w:w="390" w:type="pct"/>
            <w:shd w:val="clear" w:color="auto" w:fill="auto"/>
            <w:noWrap w:val="0"/>
            <w:vAlign w:val="center"/>
          </w:tcPr>
          <w:p w14:paraId="314BD0D4">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+0.04</w:t>
            </w:r>
          </w:p>
        </w:tc>
      </w:tr>
      <w:tr w14:paraId="16B617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7" w:hRule="atLeast"/>
        </w:trPr>
        <w:tc>
          <w:tcPr>
            <w:tcW w:w="466" w:type="pct"/>
            <w:gridSpan w:val="2"/>
            <w:vMerge w:val="continue"/>
            <w:noWrap w:val="0"/>
            <w:vAlign w:val="center"/>
          </w:tcPr>
          <w:p w14:paraId="7D8C03D7">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498" w:type="pct"/>
            <w:shd w:val="clear" w:color="auto" w:fill="auto"/>
            <w:noWrap w:val="0"/>
            <w:vAlign w:val="center"/>
          </w:tcPr>
          <w:p w14:paraId="3C52FD84">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废活性炭</w:t>
            </w:r>
          </w:p>
        </w:tc>
        <w:tc>
          <w:tcPr>
            <w:tcW w:w="634" w:type="pct"/>
            <w:shd w:val="clear" w:color="auto" w:fill="auto"/>
            <w:noWrap w:val="0"/>
            <w:vAlign w:val="center"/>
          </w:tcPr>
          <w:p w14:paraId="1CDA631A">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0</w:t>
            </w:r>
          </w:p>
        </w:tc>
        <w:tc>
          <w:tcPr>
            <w:tcW w:w="464" w:type="pct"/>
            <w:shd w:val="clear" w:color="auto" w:fill="auto"/>
            <w:noWrap w:val="0"/>
            <w:vAlign w:val="center"/>
          </w:tcPr>
          <w:p w14:paraId="614F449E">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0</w:t>
            </w:r>
          </w:p>
        </w:tc>
        <w:tc>
          <w:tcPr>
            <w:tcW w:w="618" w:type="pct"/>
            <w:shd w:val="clear" w:color="auto" w:fill="auto"/>
            <w:noWrap w:val="0"/>
            <w:vAlign w:val="center"/>
          </w:tcPr>
          <w:p w14:paraId="4982D83C">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0</w:t>
            </w:r>
          </w:p>
        </w:tc>
        <w:tc>
          <w:tcPr>
            <w:tcW w:w="566" w:type="pct"/>
            <w:shd w:val="clear" w:color="auto" w:fill="auto"/>
            <w:noWrap w:val="0"/>
            <w:vAlign w:val="center"/>
          </w:tcPr>
          <w:p w14:paraId="4C5AA9AE">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1.9</w:t>
            </w:r>
          </w:p>
        </w:tc>
        <w:tc>
          <w:tcPr>
            <w:tcW w:w="640" w:type="pct"/>
            <w:shd w:val="clear" w:color="auto" w:fill="auto"/>
            <w:noWrap w:val="0"/>
            <w:vAlign w:val="center"/>
          </w:tcPr>
          <w:p w14:paraId="114AB353">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0</w:t>
            </w:r>
          </w:p>
        </w:tc>
        <w:tc>
          <w:tcPr>
            <w:tcW w:w="718" w:type="pct"/>
            <w:shd w:val="clear" w:color="auto" w:fill="auto"/>
            <w:noWrap w:val="0"/>
            <w:vAlign w:val="center"/>
          </w:tcPr>
          <w:p w14:paraId="400712BC">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1.9</w:t>
            </w:r>
          </w:p>
        </w:tc>
        <w:tc>
          <w:tcPr>
            <w:tcW w:w="390" w:type="pct"/>
            <w:shd w:val="clear" w:color="auto" w:fill="auto"/>
            <w:noWrap w:val="0"/>
            <w:vAlign w:val="center"/>
          </w:tcPr>
          <w:p w14:paraId="3FCA6FA7">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+1.9</w:t>
            </w:r>
          </w:p>
        </w:tc>
      </w:tr>
      <w:tr w14:paraId="3076DE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7" w:hRule="atLeast"/>
        </w:trPr>
        <w:tc>
          <w:tcPr>
            <w:tcW w:w="466" w:type="pct"/>
            <w:gridSpan w:val="2"/>
            <w:vMerge w:val="continue"/>
            <w:noWrap w:val="0"/>
            <w:vAlign w:val="center"/>
          </w:tcPr>
          <w:p w14:paraId="7A56142B">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498" w:type="pct"/>
            <w:shd w:val="clear" w:color="auto" w:fill="auto"/>
            <w:noWrap w:val="0"/>
            <w:vAlign w:val="center"/>
          </w:tcPr>
          <w:p w14:paraId="601097AB">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废抹布手套</w:t>
            </w:r>
          </w:p>
        </w:tc>
        <w:tc>
          <w:tcPr>
            <w:tcW w:w="634" w:type="pct"/>
            <w:shd w:val="clear" w:color="auto" w:fill="auto"/>
            <w:noWrap w:val="0"/>
            <w:vAlign w:val="center"/>
          </w:tcPr>
          <w:p w14:paraId="600E0924">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w:t>
            </w:r>
          </w:p>
        </w:tc>
        <w:tc>
          <w:tcPr>
            <w:tcW w:w="464" w:type="pct"/>
            <w:shd w:val="clear" w:color="auto" w:fill="auto"/>
            <w:noWrap w:val="0"/>
            <w:vAlign w:val="center"/>
          </w:tcPr>
          <w:p w14:paraId="5B181883">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w:t>
            </w:r>
          </w:p>
        </w:tc>
        <w:tc>
          <w:tcPr>
            <w:tcW w:w="618" w:type="pct"/>
            <w:shd w:val="clear" w:color="auto" w:fill="auto"/>
            <w:noWrap w:val="0"/>
            <w:vAlign w:val="center"/>
          </w:tcPr>
          <w:p w14:paraId="5D2BC578">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w:t>
            </w:r>
          </w:p>
        </w:tc>
        <w:tc>
          <w:tcPr>
            <w:tcW w:w="566" w:type="pct"/>
            <w:shd w:val="clear" w:color="auto" w:fill="auto"/>
            <w:noWrap w:val="0"/>
            <w:vAlign w:val="center"/>
          </w:tcPr>
          <w:p w14:paraId="21B648BE">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0.1</w:t>
            </w:r>
          </w:p>
        </w:tc>
        <w:tc>
          <w:tcPr>
            <w:tcW w:w="640" w:type="pct"/>
            <w:shd w:val="clear" w:color="auto" w:fill="auto"/>
            <w:noWrap w:val="0"/>
            <w:vAlign w:val="center"/>
          </w:tcPr>
          <w:p w14:paraId="51D68D30">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w:t>
            </w:r>
          </w:p>
        </w:tc>
        <w:tc>
          <w:tcPr>
            <w:tcW w:w="718" w:type="pct"/>
            <w:shd w:val="clear" w:color="auto" w:fill="auto"/>
            <w:noWrap w:val="0"/>
            <w:vAlign w:val="center"/>
          </w:tcPr>
          <w:p w14:paraId="7C3665B0">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0.1</w:t>
            </w:r>
          </w:p>
        </w:tc>
        <w:tc>
          <w:tcPr>
            <w:tcW w:w="390" w:type="pct"/>
            <w:shd w:val="clear" w:color="auto" w:fill="auto"/>
            <w:noWrap w:val="0"/>
            <w:vAlign w:val="center"/>
          </w:tcPr>
          <w:p w14:paraId="530F5D19">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+0.1</w:t>
            </w:r>
          </w:p>
        </w:tc>
      </w:tr>
      <w:tr w14:paraId="36A8C9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7" w:hRule="atLeast"/>
        </w:trPr>
        <w:tc>
          <w:tcPr>
            <w:tcW w:w="466" w:type="pct"/>
            <w:gridSpan w:val="2"/>
            <w:vMerge w:val="continue"/>
            <w:noWrap w:val="0"/>
            <w:vAlign w:val="center"/>
          </w:tcPr>
          <w:p w14:paraId="6369133E">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498" w:type="pct"/>
            <w:shd w:val="clear" w:color="auto" w:fill="auto"/>
            <w:noWrap w:val="0"/>
            <w:vAlign w:val="center"/>
          </w:tcPr>
          <w:p w14:paraId="5256331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b w:val="0"/>
                <w:bCs w:val="0"/>
                <w:color w:val="auto"/>
                <w:sz w:val="21"/>
                <w:szCs w:val="21"/>
                <w:lang w:val="en-US" w:eastAsia="zh-CN"/>
              </w:rPr>
              <w:t>废擦拭布</w:t>
            </w:r>
          </w:p>
        </w:tc>
        <w:tc>
          <w:tcPr>
            <w:tcW w:w="634" w:type="pct"/>
            <w:shd w:val="clear" w:color="auto" w:fill="auto"/>
            <w:noWrap w:val="0"/>
            <w:vAlign w:val="center"/>
          </w:tcPr>
          <w:p w14:paraId="7CE10311">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464" w:type="pct"/>
            <w:shd w:val="clear" w:color="auto" w:fill="auto"/>
            <w:noWrap w:val="0"/>
            <w:vAlign w:val="center"/>
          </w:tcPr>
          <w:p w14:paraId="563EA60C">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618" w:type="pct"/>
            <w:shd w:val="clear" w:color="auto" w:fill="auto"/>
            <w:noWrap w:val="0"/>
            <w:vAlign w:val="center"/>
          </w:tcPr>
          <w:p w14:paraId="18A64C41">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566" w:type="pct"/>
            <w:shd w:val="clear" w:color="auto" w:fill="auto"/>
            <w:noWrap w:val="0"/>
            <w:vAlign w:val="center"/>
          </w:tcPr>
          <w:p w14:paraId="33C118E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0.1</w:t>
            </w:r>
          </w:p>
        </w:tc>
        <w:tc>
          <w:tcPr>
            <w:tcW w:w="640" w:type="pct"/>
            <w:shd w:val="clear" w:color="auto" w:fill="auto"/>
            <w:noWrap w:val="0"/>
            <w:vAlign w:val="center"/>
          </w:tcPr>
          <w:p w14:paraId="68C70551">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718" w:type="pct"/>
            <w:shd w:val="clear" w:color="auto" w:fill="auto"/>
            <w:noWrap w:val="0"/>
            <w:vAlign w:val="center"/>
          </w:tcPr>
          <w:p w14:paraId="52D0A9B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highlight w:val="none"/>
                <w:lang w:val="en-US" w:eastAsia="zh-CN"/>
              </w:rPr>
              <w:t>0.1</w:t>
            </w:r>
          </w:p>
        </w:tc>
        <w:tc>
          <w:tcPr>
            <w:tcW w:w="390" w:type="pct"/>
            <w:shd w:val="clear" w:color="auto" w:fill="auto"/>
            <w:noWrap w:val="0"/>
            <w:vAlign w:val="center"/>
          </w:tcPr>
          <w:p w14:paraId="5908359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highlight w:val="none"/>
                <w:lang w:val="en-US" w:eastAsia="zh-CN"/>
              </w:rPr>
              <w:t>+0.1</w:t>
            </w:r>
          </w:p>
        </w:tc>
      </w:tr>
      <w:tr w14:paraId="1048AA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7" w:hRule="atLeast"/>
        </w:trPr>
        <w:tc>
          <w:tcPr>
            <w:tcW w:w="466" w:type="pct"/>
            <w:gridSpan w:val="2"/>
            <w:vMerge w:val="continue"/>
            <w:noWrap w:val="0"/>
            <w:vAlign w:val="center"/>
          </w:tcPr>
          <w:p w14:paraId="7ED8AD44">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498" w:type="pct"/>
            <w:shd w:val="clear" w:color="auto" w:fill="auto"/>
            <w:noWrap w:val="0"/>
            <w:vAlign w:val="center"/>
          </w:tcPr>
          <w:p w14:paraId="34EA2BB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b w:val="0"/>
                <w:bCs w:val="0"/>
                <w:color w:val="auto"/>
                <w:sz w:val="21"/>
                <w:szCs w:val="21"/>
                <w:lang w:val="en-US" w:eastAsia="zh-CN"/>
              </w:rPr>
              <w:t>抛光废液</w:t>
            </w:r>
          </w:p>
        </w:tc>
        <w:tc>
          <w:tcPr>
            <w:tcW w:w="634" w:type="pct"/>
            <w:noWrap w:val="0"/>
            <w:vAlign w:val="center"/>
          </w:tcPr>
          <w:p w14:paraId="1F5CBD43">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464" w:type="pct"/>
            <w:noWrap w:val="0"/>
            <w:vAlign w:val="center"/>
          </w:tcPr>
          <w:p w14:paraId="673B1DBA">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618" w:type="pct"/>
            <w:noWrap w:val="0"/>
            <w:vAlign w:val="center"/>
          </w:tcPr>
          <w:p w14:paraId="585F9A90">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566" w:type="pct"/>
            <w:shd w:val="clear" w:color="auto" w:fill="auto"/>
            <w:noWrap w:val="0"/>
            <w:vAlign w:val="center"/>
          </w:tcPr>
          <w:p w14:paraId="559AC7C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3</w:t>
            </w:r>
          </w:p>
        </w:tc>
        <w:tc>
          <w:tcPr>
            <w:tcW w:w="640" w:type="pct"/>
            <w:noWrap w:val="0"/>
            <w:vAlign w:val="center"/>
          </w:tcPr>
          <w:p w14:paraId="1E3DB196">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718" w:type="pct"/>
            <w:shd w:val="clear" w:color="auto" w:fill="auto"/>
            <w:noWrap w:val="0"/>
            <w:vAlign w:val="center"/>
          </w:tcPr>
          <w:p w14:paraId="527535D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c>
          <w:tcPr>
            <w:tcW w:w="390" w:type="pct"/>
            <w:shd w:val="clear" w:color="auto" w:fill="auto"/>
            <w:noWrap w:val="0"/>
            <w:vAlign w:val="center"/>
          </w:tcPr>
          <w:p w14:paraId="40B2A5D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r>
      <w:tr w14:paraId="267F53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7" w:hRule="atLeast"/>
        </w:trPr>
        <w:tc>
          <w:tcPr>
            <w:tcW w:w="466" w:type="pct"/>
            <w:gridSpan w:val="2"/>
            <w:vMerge w:val="continue"/>
            <w:noWrap w:val="0"/>
            <w:vAlign w:val="center"/>
          </w:tcPr>
          <w:p w14:paraId="231D5B82">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498" w:type="pct"/>
            <w:shd w:val="clear" w:color="auto" w:fill="auto"/>
            <w:noWrap w:val="0"/>
            <w:vAlign w:val="center"/>
          </w:tcPr>
          <w:p w14:paraId="46B7B53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废抹布</w:t>
            </w:r>
          </w:p>
        </w:tc>
        <w:tc>
          <w:tcPr>
            <w:tcW w:w="634" w:type="pct"/>
            <w:noWrap w:val="0"/>
            <w:vAlign w:val="center"/>
          </w:tcPr>
          <w:p w14:paraId="70DAFEC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464" w:type="pct"/>
            <w:noWrap w:val="0"/>
            <w:vAlign w:val="center"/>
          </w:tcPr>
          <w:p w14:paraId="2DFB5D0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618" w:type="pct"/>
            <w:noWrap w:val="0"/>
            <w:vAlign w:val="center"/>
          </w:tcPr>
          <w:p w14:paraId="6FE2261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566" w:type="pct"/>
            <w:shd w:val="clear" w:color="auto" w:fill="auto"/>
            <w:noWrap w:val="0"/>
            <w:vAlign w:val="center"/>
          </w:tcPr>
          <w:p w14:paraId="5750F4D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0.2</w:t>
            </w:r>
          </w:p>
        </w:tc>
        <w:tc>
          <w:tcPr>
            <w:tcW w:w="640" w:type="pct"/>
            <w:noWrap w:val="0"/>
            <w:vAlign w:val="center"/>
          </w:tcPr>
          <w:p w14:paraId="346D0F4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718" w:type="pct"/>
            <w:shd w:val="clear" w:color="auto" w:fill="auto"/>
            <w:noWrap w:val="0"/>
            <w:vAlign w:val="center"/>
          </w:tcPr>
          <w:p w14:paraId="187058F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0.2</w:t>
            </w:r>
          </w:p>
        </w:tc>
        <w:tc>
          <w:tcPr>
            <w:tcW w:w="390" w:type="pct"/>
            <w:shd w:val="clear" w:color="auto" w:fill="auto"/>
            <w:noWrap w:val="0"/>
            <w:vAlign w:val="center"/>
          </w:tcPr>
          <w:p w14:paraId="1F15D8A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+0.2</w:t>
            </w:r>
          </w:p>
        </w:tc>
      </w:tr>
      <w:tr w14:paraId="7A8371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66" w:type="pct"/>
            <w:gridSpan w:val="2"/>
            <w:noWrap w:val="0"/>
            <w:vAlign w:val="center"/>
          </w:tcPr>
          <w:p w14:paraId="560798C3">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生活垃圾</w:t>
            </w:r>
          </w:p>
        </w:tc>
        <w:tc>
          <w:tcPr>
            <w:tcW w:w="498" w:type="pct"/>
            <w:noWrap w:val="0"/>
            <w:vAlign w:val="center"/>
          </w:tcPr>
          <w:p w14:paraId="434096CA">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生活垃圾</w:t>
            </w:r>
          </w:p>
        </w:tc>
        <w:tc>
          <w:tcPr>
            <w:tcW w:w="634" w:type="pct"/>
            <w:noWrap w:val="0"/>
            <w:vAlign w:val="center"/>
          </w:tcPr>
          <w:p w14:paraId="3309E7A9">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464" w:type="pct"/>
            <w:noWrap w:val="0"/>
            <w:vAlign w:val="center"/>
          </w:tcPr>
          <w:p w14:paraId="5F222A3B">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618" w:type="pct"/>
            <w:noWrap w:val="0"/>
            <w:vAlign w:val="center"/>
          </w:tcPr>
          <w:p w14:paraId="6E672FCC">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566" w:type="pct"/>
            <w:noWrap w:val="0"/>
            <w:vAlign w:val="center"/>
          </w:tcPr>
          <w:p w14:paraId="5BF22CE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640" w:type="pct"/>
            <w:noWrap w:val="0"/>
            <w:vAlign w:val="center"/>
          </w:tcPr>
          <w:p w14:paraId="263558F4">
            <w:pPr>
              <w:keepNext w:val="0"/>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w:t>
            </w:r>
          </w:p>
        </w:tc>
        <w:tc>
          <w:tcPr>
            <w:tcW w:w="718" w:type="pct"/>
            <w:noWrap w:val="0"/>
            <w:vAlign w:val="center"/>
          </w:tcPr>
          <w:p w14:paraId="0DE7CB6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390" w:type="pct"/>
            <w:noWrap w:val="0"/>
            <w:vAlign w:val="center"/>
          </w:tcPr>
          <w:p w14:paraId="702F95D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r>
    </w:tbl>
    <w:p w14:paraId="0132B8D0">
      <w:pPr>
        <w:pStyle w:val="2"/>
        <w:spacing w:before="36" w:line="240" w:lineRule="auto"/>
        <w:ind w:firstLine="0" w:firstLineChars="0"/>
        <w:jc w:val="left"/>
        <w:rPr>
          <w:color w:val="auto"/>
          <w:sz w:val="24"/>
          <w:szCs w:val="24"/>
        </w:rPr>
        <w:sectPr>
          <w:pgSz w:w="16838" w:h="11921" w:orient="landscape"/>
          <w:pgMar w:top="1440" w:right="1440" w:bottom="1440" w:left="1440" w:header="851" w:footer="992" w:gutter="0"/>
          <w:pgBorders w:offsetFrom="page">
            <w:top w:val="none" w:sz="0" w:space="0"/>
            <w:left w:val="none" w:sz="0" w:space="0"/>
            <w:bottom w:val="none" w:sz="0" w:space="0"/>
            <w:right w:val="none" w:sz="0" w:space="0"/>
          </w:pgBorders>
          <w:cols w:space="720" w:num="1"/>
          <w:docGrid w:type="lines" w:linePitch="312" w:charSpace="0"/>
        </w:sectPr>
      </w:pPr>
      <w:r>
        <w:rPr>
          <w:rFonts w:hint="eastAsia" w:ascii="宋体" w:hAnsi="宋体" w:cs="宋体"/>
          <w:color w:val="auto"/>
          <w:spacing w:val="-3"/>
          <w:sz w:val="24"/>
          <w:szCs w:val="24"/>
        </w:rPr>
        <w:t>⑥</w:t>
      </w:r>
      <w:r>
        <w:rPr>
          <w:color w:val="auto"/>
          <w:spacing w:val="-16"/>
          <w:sz w:val="24"/>
          <w:szCs w:val="24"/>
        </w:rPr>
        <w:t>=</w:t>
      </w:r>
      <w:r>
        <w:rPr>
          <w:rFonts w:hint="eastAsia" w:ascii="宋体" w:hAnsi="宋体" w:cs="宋体"/>
          <w:color w:val="auto"/>
          <w:sz w:val="24"/>
          <w:szCs w:val="24"/>
        </w:rPr>
        <w:t>①</w:t>
      </w:r>
      <w:r>
        <w:rPr>
          <w:color w:val="auto"/>
          <w:spacing w:val="-9"/>
          <w:sz w:val="24"/>
          <w:szCs w:val="24"/>
        </w:rPr>
        <w:t>+</w:t>
      </w:r>
      <w:r>
        <w:rPr>
          <w:rFonts w:hint="eastAsia" w:ascii="宋体" w:hAnsi="宋体" w:cs="宋体"/>
          <w:color w:val="auto"/>
          <w:sz w:val="24"/>
          <w:szCs w:val="24"/>
        </w:rPr>
        <w:t>③</w:t>
      </w:r>
      <w:r>
        <w:rPr>
          <w:color w:val="auto"/>
          <w:spacing w:val="-9"/>
          <w:sz w:val="24"/>
          <w:szCs w:val="24"/>
        </w:rPr>
        <w:t>+</w:t>
      </w:r>
      <w:r>
        <w:rPr>
          <w:rFonts w:hint="eastAsia" w:ascii="宋体" w:hAnsi="宋体" w:cs="宋体"/>
          <w:color w:val="auto"/>
          <w:sz w:val="24"/>
          <w:szCs w:val="24"/>
        </w:rPr>
        <w:t>④</w:t>
      </w:r>
      <w:r>
        <w:rPr>
          <w:color w:val="auto"/>
          <w:spacing w:val="-8"/>
          <w:sz w:val="24"/>
          <w:szCs w:val="24"/>
        </w:rPr>
        <w:t>-</w:t>
      </w:r>
      <w:r>
        <w:rPr>
          <w:rFonts w:hint="eastAsia" w:ascii="宋体" w:hAnsi="宋体" w:cs="宋体"/>
          <w:color w:val="auto"/>
          <w:sz w:val="24"/>
          <w:szCs w:val="24"/>
        </w:rPr>
        <w:t>⑤</w:t>
      </w:r>
      <w:r>
        <w:rPr>
          <w:color w:val="auto"/>
          <w:spacing w:val="-34"/>
          <w:sz w:val="24"/>
          <w:szCs w:val="24"/>
        </w:rPr>
        <w:t>；</w:t>
      </w:r>
      <w:r>
        <w:rPr>
          <w:rFonts w:hint="eastAsia" w:ascii="宋体" w:hAnsi="宋体" w:cs="宋体"/>
          <w:color w:val="auto"/>
          <w:sz w:val="24"/>
          <w:szCs w:val="24"/>
        </w:rPr>
        <w:t>⑦</w:t>
      </w:r>
      <w:r>
        <w:rPr>
          <w:color w:val="auto"/>
          <w:spacing w:val="-9"/>
          <w:sz w:val="24"/>
          <w:szCs w:val="24"/>
        </w:rPr>
        <w:t>=</w:t>
      </w:r>
      <w:r>
        <w:rPr>
          <w:rFonts w:hint="eastAsia" w:ascii="宋体" w:hAnsi="宋体" w:cs="宋体"/>
          <w:color w:val="auto"/>
          <w:sz w:val="24"/>
          <w:szCs w:val="24"/>
        </w:rPr>
        <w:t>⑥</w:t>
      </w:r>
      <w:r>
        <w:rPr>
          <w:color w:val="auto"/>
          <w:spacing w:val="-18"/>
          <w:sz w:val="24"/>
          <w:szCs w:val="24"/>
        </w:rPr>
        <w:t>-</w:t>
      </w:r>
      <w:r>
        <w:rPr>
          <w:rFonts w:hint="eastAsia" w:ascii="宋体" w:hAnsi="宋体" w:cs="宋体"/>
          <w:color w:val="auto"/>
          <w:sz w:val="24"/>
          <w:szCs w:val="24"/>
        </w:rPr>
        <w:t>①</w:t>
      </w:r>
    </w:p>
    <w:p w14:paraId="542F5442">
      <w:pPr>
        <w:ind w:firstLine="420"/>
        <w:rPr>
          <w:color w:val="auto"/>
          <w:sz w:val="24"/>
          <w:szCs w:val="24"/>
        </w:rPr>
      </w:pPr>
      <w:r>
        <w:rPr>
          <w:color w:val="auto"/>
          <w:sz w:val="24"/>
          <w:szCs w:val="24"/>
        </w:rPr>
        <w:t>注释</w:t>
      </w:r>
    </w:p>
    <w:p w14:paraId="6194CAEC">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本报告表附图、附件：</w:t>
      </w:r>
    </w:p>
    <w:p w14:paraId="0D4CC08B">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附图</w:t>
      </w:r>
    </w:p>
    <w:p w14:paraId="482A8D1D">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 xml:space="preserve">附图1 </w:t>
      </w:r>
      <w:r>
        <w:rPr>
          <w:rFonts w:hint="eastAsia" w:ascii="Times New Roman" w:hAnsi="Times New Roman" w:eastAsia="宋体" w:cs="Times New Roman"/>
          <w:color w:val="auto"/>
          <w:kern w:val="0"/>
          <w:sz w:val="24"/>
          <w:szCs w:val="24"/>
          <w:highlight w:val="none"/>
          <w:lang w:val="en-US" w:eastAsia="zh-CN"/>
        </w:rPr>
        <w:t>建设项目</w:t>
      </w:r>
      <w:r>
        <w:rPr>
          <w:rFonts w:hint="default" w:ascii="Times New Roman" w:hAnsi="Times New Roman" w:eastAsia="宋体" w:cs="Times New Roman"/>
          <w:color w:val="auto"/>
          <w:kern w:val="0"/>
          <w:sz w:val="24"/>
          <w:szCs w:val="24"/>
          <w:highlight w:val="none"/>
          <w:lang w:val="en-US" w:eastAsia="zh-CN"/>
        </w:rPr>
        <w:t>地理位置图</w:t>
      </w:r>
    </w:p>
    <w:p w14:paraId="69224F91">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附图2 建设项目周围环境概况图（500米）</w:t>
      </w:r>
    </w:p>
    <w:p w14:paraId="7CD65764">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 xml:space="preserve">附图3 </w:t>
      </w:r>
      <w:r>
        <w:rPr>
          <w:rFonts w:hint="eastAsia" w:ascii="Times New Roman" w:hAnsi="Times New Roman" w:eastAsia="宋体" w:cs="Times New Roman"/>
          <w:color w:val="auto"/>
          <w:kern w:val="0"/>
          <w:sz w:val="24"/>
          <w:szCs w:val="24"/>
          <w:highlight w:val="none"/>
          <w:lang w:val="en-US" w:eastAsia="zh-CN"/>
        </w:rPr>
        <w:t>园区及厂区</w:t>
      </w:r>
      <w:r>
        <w:rPr>
          <w:rFonts w:hint="default" w:ascii="Times New Roman" w:hAnsi="Times New Roman" w:eastAsia="宋体" w:cs="Times New Roman"/>
          <w:color w:val="auto"/>
          <w:kern w:val="0"/>
          <w:sz w:val="24"/>
          <w:szCs w:val="24"/>
          <w:highlight w:val="none"/>
          <w:lang w:val="en-US" w:eastAsia="zh-CN"/>
        </w:rPr>
        <w:t>平面布置图</w:t>
      </w:r>
    </w:p>
    <w:p w14:paraId="059DC3F2">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附图4 金坛经济开发区规划图</w:t>
      </w:r>
    </w:p>
    <w:p w14:paraId="6064802B">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附图5 区域水系及地表水监测断面示意图</w:t>
      </w:r>
    </w:p>
    <w:p w14:paraId="33AA53F7">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附图6 常州市生态空间保护区域分布图</w:t>
      </w:r>
    </w:p>
    <w:p w14:paraId="076204EC">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附图7 常州市“三线一单”环境管控单元位置关系图</w:t>
      </w:r>
    </w:p>
    <w:p w14:paraId="52156F16">
      <w:pPr>
        <w:pStyle w:val="35"/>
        <w:tabs>
          <w:tab w:val="left" w:pos="0"/>
          <w:tab w:val="clear" w:pos="480"/>
        </w:tabs>
        <w:autoSpaceDE/>
        <w:autoSpaceDN/>
        <w:spacing w:line="360" w:lineRule="auto"/>
        <w:ind w:firstLine="480" w:firstLineChars="200"/>
        <w:outlineLvl w:val="9"/>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附图</w:t>
      </w:r>
      <w:r>
        <w:rPr>
          <w:rFonts w:hint="eastAsia" w:ascii="Times New Roman" w:hAnsi="Times New Roman" w:eastAsia="宋体" w:cs="Times New Roman"/>
          <w:b w:val="0"/>
          <w:bCs/>
          <w:color w:val="auto"/>
          <w:kern w:val="0"/>
          <w:sz w:val="24"/>
          <w:szCs w:val="24"/>
          <w:highlight w:val="none"/>
          <w:lang w:val="en-US" w:eastAsia="zh-CN"/>
        </w:rPr>
        <w:t>8</w:t>
      </w:r>
      <w:r>
        <w:rPr>
          <w:rFonts w:hint="default" w:ascii="Times New Roman" w:hAnsi="Times New Roman" w:eastAsia="宋体" w:cs="Times New Roman"/>
          <w:b w:val="0"/>
          <w:bCs/>
          <w:color w:val="auto"/>
          <w:kern w:val="0"/>
          <w:sz w:val="24"/>
          <w:szCs w:val="24"/>
          <w:highlight w:val="none"/>
          <w:lang w:val="en-US" w:eastAsia="zh-CN"/>
        </w:rPr>
        <w:t xml:space="preserve"> 江苏省2023年生态环境分区管控动态更新成果图</w:t>
      </w:r>
    </w:p>
    <w:p w14:paraId="271DC44D">
      <w:pPr>
        <w:pStyle w:val="35"/>
        <w:tabs>
          <w:tab w:val="left" w:pos="0"/>
          <w:tab w:val="clear" w:pos="480"/>
        </w:tabs>
        <w:autoSpaceDE/>
        <w:autoSpaceDN/>
        <w:spacing w:line="360" w:lineRule="auto"/>
        <w:ind w:firstLine="480" w:firstLineChars="200"/>
        <w:outlineLvl w:val="9"/>
        <w:rPr>
          <w:rFonts w:hint="eastAsia" w:ascii="Times New Roman" w:eastAsia="宋体" w:cs="Times New Roman"/>
          <w:b w:val="0"/>
          <w:bCs/>
          <w:color w:val="auto"/>
          <w:kern w:val="0"/>
          <w:sz w:val="24"/>
          <w:szCs w:val="24"/>
          <w:highlight w:val="none"/>
          <w:lang w:val="en-US" w:eastAsia="zh-CN"/>
        </w:rPr>
      </w:pPr>
      <w:r>
        <w:rPr>
          <w:rFonts w:hint="eastAsia" w:ascii="Times New Roman" w:eastAsia="宋体" w:cs="Times New Roman"/>
          <w:b w:val="0"/>
          <w:bCs/>
          <w:color w:val="auto"/>
          <w:kern w:val="0"/>
          <w:sz w:val="24"/>
          <w:szCs w:val="24"/>
          <w:highlight w:val="none"/>
          <w:lang w:val="en-US" w:eastAsia="zh-CN"/>
        </w:rPr>
        <w:t>附图9 常州市国土空间规划图</w:t>
      </w:r>
    </w:p>
    <w:p w14:paraId="72FF738F">
      <w:pPr>
        <w:pStyle w:val="35"/>
        <w:tabs>
          <w:tab w:val="left" w:pos="0"/>
          <w:tab w:val="clear" w:pos="480"/>
        </w:tabs>
        <w:autoSpaceDE/>
        <w:autoSpaceDN/>
        <w:spacing w:line="360" w:lineRule="auto"/>
        <w:ind w:firstLine="480" w:firstLineChars="200"/>
        <w:outlineLvl w:val="9"/>
        <w:rPr>
          <w:rFonts w:hint="default" w:ascii="Times New Roman" w:eastAsia="宋体" w:cs="Times New Roman"/>
          <w:b w:val="0"/>
          <w:bCs/>
          <w:color w:val="auto"/>
          <w:kern w:val="0"/>
          <w:sz w:val="24"/>
          <w:szCs w:val="24"/>
          <w:highlight w:val="none"/>
          <w:lang w:val="en-US" w:eastAsia="zh-CN"/>
        </w:rPr>
      </w:pPr>
      <w:r>
        <w:rPr>
          <w:rFonts w:hint="eastAsia" w:ascii="Times New Roman" w:eastAsia="宋体" w:cs="Times New Roman"/>
          <w:b w:val="0"/>
          <w:bCs/>
          <w:color w:val="auto"/>
          <w:kern w:val="0"/>
          <w:sz w:val="24"/>
          <w:szCs w:val="24"/>
          <w:highlight w:val="none"/>
          <w:lang w:val="en-US" w:eastAsia="zh-CN"/>
        </w:rPr>
        <w:t>附图10 声环境功能区划图</w:t>
      </w:r>
    </w:p>
    <w:p w14:paraId="3C75545C">
      <w:pPr>
        <w:pStyle w:val="35"/>
        <w:tabs>
          <w:tab w:val="left" w:pos="0"/>
          <w:tab w:val="clear" w:pos="480"/>
        </w:tabs>
        <w:autoSpaceDE/>
        <w:autoSpaceDN/>
        <w:spacing w:line="360" w:lineRule="auto"/>
        <w:ind w:firstLine="480" w:firstLineChars="200"/>
        <w:outlineLvl w:val="9"/>
        <w:rPr>
          <w:rFonts w:hint="default" w:ascii="Times New Roman" w:hAnsi="Times New Roman" w:eastAsia="宋体" w:cs="Times New Roman"/>
          <w:b w:val="0"/>
          <w:bCs/>
          <w:color w:val="auto"/>
          <w:kern w:val="0"/>
          <w:sz w:val="24"/>
          <w:szCs w:val="24"/>
          <w:highlight w:val="none"/>
          <w:lang w:val="en-US" w:eastAsia="zh-CN"/>
        </w:rPr>
      </w:pPr>
    </w:p>
    <w:p w14:paraId="46C39ED4">
      <w:pPr>
        <w:ind w:firstLine="420"/>
        <w:rPr>
          <w:color w:val="auto"/>
          <w:sz w:val="24"/>
          <w:szCs w:val="24"/>
        </w:rPr>
      </w:pPr>
    </w:p>
    <w:p w14:paraId="08A44CE2">
      <w:pPr>
        <w:ind w:firstLine="420"/>
        <w:rPr>
          <w:color w:val="auto"/>
          <w:sz w:val="24"/>
          <w:szCs w:val="24"/>
        </w:rPr>
        <w:sectPr>
          <w:pgSz w:w="11921" w:h="16838"/>
          <w:pgMar w:top="1587" w:right="1417" w:bottom="1587" w:left="1417" w:header="851" w:footer="992" w:gutter="0"/>
          <w:pgBorders w:offsetFrom="page">
            <w:top w:val="none" w:sz="0" w:space="0"/>
            <w:left w:val="none" w:sz="0" w:space="0"/>
            <w:bottom w:val="none" w:sz="0" w:space="0"/>
            <w:right w:val="none" w:sz="0" w:space="0"/>
          </w:pgBorders>
          <w:cols w:space="720" w:num="1"/>
          <w:docGrid w:type="lines" w:linePitch="312" w:charSpace="0"/>
        </w:sectPr>
      </w:pPr>
    </w:p>
    <w:p w14:paraId="06F5152C">
      <w:pPr>
        <w:ind w:firstLine="420"/>
        <w:rPr>
          <w:color w:val="auto"/>
          <w:sz w:val="24"/>
          <w:szCs w:val="24"/>
        </w:rPr>
      </w:pPr>
      <w:r>
        <w:rPr>
          <w:color w:val="auto"/>
          <w:sz w:val="24"/>
          <w:szCs w:val="24"/>
        </w:rPr>
        <w:t>附件</w:t>
      </w:r>
    </w:p>
    <w:p w14:paraId="383E7F13">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附件1 环评委托书</w:t>
      </w:r>
    </w:p>
    <w:p w14:paraId="57D1769A">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附件2 营业执照</w:t>
      </w:r>
    </w:p>
    <w:p w14:paraId="0547F16C">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附件3 法人身份证复印件</w:t>
      </w:r>
    </w:p>
    <w:p w14:paraId="6E8D41D2">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附件4 投资项目备案表</w:t>
      </w:r>
    </w:p>
    <w:p w14:paraId="34373C38">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附件5 土地证</w:t>
      </w:r>
      <w:r>
        <w:rPr>
          <w:rFonts w:hint="eastAsia" w:ascii="Times New Roman" w:hAnsi="Times New Roman" w:eastAsia="宋体" w:cs="Times New Roman"/>
          <w:color w:val="auto"/>
          <w:kern w:val="0"/>
          <w:sz w:val="24"/>
          <w:szCs w:val="24"/>
          <w:highlight w:val="none"/>
          <w:lang w:val="en-US" w:eastAsia="zh-CN"/>
        </w:rPr>
        <w:t>、宗地图</w:t>
      </w:r>
    </w:p>
    <w:p w14:paraId="2712DC03">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 xml:space="preserve">附件6 </w:t>
      </w:r>
      <w:r>
        <w:rPr>
          <w:rFonts w:hint="eastAsia" w:cs="Times New Roman"/>
          <w:color w:val="auto"/>
          <w:kern w:val="0"/>
          <w:sz w:val="24"/>
          <w:szCs w:val="24"/>
          <w:highlight w:val="none"/>
          <w:lang w:val="en-US" w:eastAsia="zh-CN"/>
        </w:rPr>
        <w:t>购房</w:t>
      </w:r>
      <w:r>
        <w:rPr>
          <w:rFonts w:hint="eastAsia" w:ascii="Times New Roman" w:hAnsi="Times New Roman" w:eastAsia="宋体" w:cs="Times New Roman"/>
          <w:color w:val="auto"/>
          <w:kern w:val="0"/>
          <w:sz w:val="24"/>
          <w:szCs w:val="24"/>
          <w:highlight w:val="none"/>
          <w:lang w:val="en-US" w:eastAsia="zh-CN"/>
        </w:rPr>
        <w:t>合同</w:t>
      </w:r>
    </w:p>
    <w:p w14:paraId="083185DE">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 xml:space="preserve">附件7 </w:t>
      </w:r>
      <w:r>
        <w:rPr>
          <w:rFonts w:hint="eastAsia" w:ascii="Times New Roman" w:hAnsi="Times New Roman" w:eastAsia="宋体" w:cs="Times New Roman"/>
          <w:color w:val="auto"/>
          <w:kern w:val="0"/>
          <w:sz w:val="24"/>
          <w:szCs w:val="24"/>
          <w:highlight w:val="none"/>
          <w:lang w:val="en-US" w:eastAsia="zh-CN"/>
        </w:rPr>
        <w:t>危废处置承诺书</w:t>
      </w:r>
    </w:p>
    <w:p w14:paraId="17357371">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附件8 污水拟接管协议</w:t>
      </w:r>
    </w:p>
    <w:p w14:paraId="191501C3">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附件9 建设项目环境影响申报审批现场勘察表</w:t>
      </w:r>
    </w:p>
    <w:p w14:paraId="32830A21">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附件10 环评工程师现场工作影像资料</w:t>
      </w:r>
    </w:p>
    <w:p w14:paraId="1FC40BF1">
      <w:pPr>
        <w:widowControl/>
        <w:spacing w:line="360" w:lineRule="auto"/>
        <w:ind w:firstLine="480" w:firstLineChars="200"/>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 xml:space="preserve">附件11 </w:t>
      </w:r>
      <w:r>
        <w:rPr>
          <w:rFonts w:hint="default" w:ascii="Times New Roman" w:hAnsi="Times New Roman" w:eastAsia="宋体" w:cs="Times New Roman"/>
          <w:b w:val="0"/>
          <w:bCs w:val="0"/>
          <w:color w:val="auto"/>
          <w:kern w:val="0"/>
          <w:sz w:val="24"/>
          <w:szCs w:val="24"/>
          <w:highlight w:val="none"/>
          <w:lang w:val="en-US" w:eastAsia="zh-CN"/>
        </w:rPr>
        <w:t>环境质量现状监测报告、引用说明</w:t>
      </w:r>
    </w:p>
    <w:p w14:paraId="53208EE7">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附件12 公示承诺书</w:t>
      </w:r>
    </w:p>
    <w:p w14:paraId="091F87CE">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附件13 建设单位承诺书</w:t>
      </w:r>
    </w:p>
    <w:p w14:paraId="60591995">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附件14 技术服务合同</w:t>
      </w:r>
    </w:p>
    <w:p w14:paraId="19D046E5">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附件15 UV油墨msds、VOCs检测报告</w:t>
      </w:r>
    </w:p>
    <w:p w14:paraId="5C961A88">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附件16 脱脂剂msds</w:t>
      </w:r>
    </w:p>
    <w:p w14:paraId="7DBA7BED">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eastAsia"/>
          <w:color w:val="auto"/>
          <w:sz w:val="24"/>
          <w:szCs w:val="24"/>
          <w:lang w:val="en-US" w:eastAsia="zh-CN"/>
        </w:rPr>
        <w:t xml:space="preserve">附件17 </w:t>
      </w:r>
      <w:r>
        <w:rPr>
          <w:rFonts w:hint="default" w:ascii="Times New Roman" w:hAnsi="Times New Roman" w:eastAsia="宋体" w:cs="Times New Roman"/>
          <w:b w:val="0"/>
          <w:bCs w:val="0"/>
          <w:color w:val="auto"/>
          <w:kern w:val="0"/>
          <w:sz w:val="24"/>
          <w:szCs w:val="24"/>
          <w:highlight w:val="none"/>
          <w:lang w:val="en-US" w:eastAsia="zh-CN"/>
        </w:rPr>
        <w:t>江苏省生态环境分区管控综合查询报告书</w:t>
      </w:r>
    </w:p>
    <w:p w14:paraId="30F3E461">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color w:val="auto"/>
        </w:rPr>
      </w:pPr>
      <w:r>
        <w:rPr>
          <w:rFonts w:hint="eastAsia" w:cs="Times New Roman"/>
          <w:b w:val="0"/>
          <w:bCs w:val="0"/>
          <w:color w:val="auto"/>
          <w:kern w:val="0"/>
          <w:sz w:val="24"/>
          <w:szCs w:val="24"/>
          <w:highlight w:val="none"/>
          <w:lang w:val="en-US" w:eastAsia="zh-CN"/>
        </w:rPr>
        <w:t>附件18 金坛开发区规划环评批文</w:t>
      </w:r>
    </w:p>
    <w:p w14:paraId="1EAC355D">
      <w:pPr>
        <w:pStyle w:val="2"/>
        <w:spacing w:line="240" w:lineRule="auto"/>
        <w:ind w:left="0" w:leftChars="0" w:firstLine="0" w:firstLineChars="0"/>
        <w:rPr>
          <w:rFonts w:hint="eastAsia" w:eastAsia="宋体"/>
          <w:lang w:eastAsia="zh-CN"/>
        </w:rPr>
      </w:pPr>
      <w:bookmarkStart w:id="17" w:name="_GoBack"/>
      <w:bookmarkEnd w:id="17"/>
    </w:p>
    <w:sectPr>
      <w:pgSz w:w="11921" w:h="16838"/>
      <w:pgMar w:top="1587" w:right="1417" w:bottom="1587" w:left="1417" w:header="851" w:footer="992" w:gutter="0"/>
      <w:pgBorders w:offsetFrom="page">
        <w:top w:val="none" w:sz="0" w:space="0"/>
        <w:left w:val="none" w:sz="0" w:space="0"/>
        <w:bottom w:val="none" w:sz="0" w:space="0"/>
        <w:right w:val="none" w:sz="0" w:space="0"/>
      </w:pgBorders>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F4838">
    <w:pPr>
      <w:pStyle w:val="10"/>
      <w:ind w:right="360"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61D55">
    <w:pPr>
      <w:pStyle w:val="10"/>
      <w:framePr w:wrap="around" w:vAnchor="text" w:hAnchor="margin" w:xAlign="center" w:y="1"/>
      <w:ind w:firstLine="360"/>
      <w:rPr>
        <w:rStyle w:val="21"/>
      </w:rPr>
    </w:pPr>
    <w:r>
      <w:fldChar w:fldCharType="begin"/>
    </w:r>
    <w:r>
      <w:rPr>
        <w:rStyle w:val="21"/>
      </w:rPr>
      <w:instrText xml:space="preserve">PAGE  </w:instrText>
    </w:r>
    <w:r>
      <w:fldChar w:fldCharType="separate"/>
    </w:r>
    <w:r>
      <w:rPr>
        <w:rStyle w:val="21"/>
      </w:rPr>
      <w:t>39</w:t>
    </w:r>
    <w:r>
      <w:fldChar w:fldCharType="end"/>
    </w:r>
  </w:p>
  <w:p w14:paraId="37B97A3D">
    <w:pPr>
      <w:pStyle w:val="10"/>
      <w:ind w:right="360"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0E601">
    <w:pPr>
      <w:pStyle w:val="10"/>
      <w:framePr w:wrap="around" w:vAnchor="text" w:hAnchor="margin" w:xAlign="center" w:y="1"/>
      <w:ind w:firstLine="360"/>
      <w:rPr>
        <w:rStyle w:val="21"/>
      </w:rPr>
    </w:pPr>
    <w:r>
      <w:fldChar w:fldCharType="begin"/>
    </w:r>
    <w:r>
      <w:rPr>
        <w:rStyle w:val="21"/>
      </w:rPr>
      <w:instrText xml:space="preserve">PAGE  </w:instrText>
    </w:r>
    <w:r>
      <w:fldChar w:fldCharType="separate"/>
    </w:r>
    <w:r>
      <w:rPr>
        <w:rStyle w:val="21"/>
      </w:rPr>
      <w:t>81</w:t>
    </w:r>
    <w:r>
      <w:fldChar w:fldCharType="end"/>
    </w:r>
  </w:p>
  <w:p w14:paraId="1AFD7E4B">
    <w:pPr>
      <w:pStyle w:val="10"/>
      <w:ind w:right="360" w:firstLine="36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1EA99">
    <w:pPr>
      <w:ind w:firstLine="0" w:firstLineChars="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61AC89"/>
    <w:multiLevelType w:val="singleLevel"/>
    <w:tmpl w:val="C061AC89"/>
    <w:lvl w:ilvl="0" w:tentative="0">
      <w:start w:val="7"/>
      <w:numFmt w:val="decimal"/>
      <w:suff w:val="nothing"/>
      <w:lvlText w:val="%1、"/>
      <w:lvlJc w:val="left"/>
    </w:lvl>
  </w:abstractNum>
  <w:abstractNum w:abstractNumId="1">
    <w:nsid w:val="00AA2BBF"/>
    <w:multiLevelType w:val="multilevel"/>
    <w:tmpl w:val="00AA2BBF"/>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738B95D"/>
    <w:multiLevelType w:val="singleLevel"/>
    <w:tmpl w:val="0738B95D"/>
    <w:lvl w:ilvl="0" w:tentative="0">
      <w:start w:val="11"/>
      <w:numFmt w:val="upperLetter"/>
      <w:suff w:val="nothing"/>
      <w:lvlText w:val="%1-"/>
      <w:lvlJc w:val="left"/>
    </w:lvl>
  </w:abstractNum>
  <w:abstractNum w:abstractNumId="3">
    <w:nsid w:val="3B0A2FE8"/>
    <w:multiLevelType w:val="singleLevel"/>
    <w:tmpl w:val="3B0A2FE8"/>
    <w:lvl w:ilvl="0" w:tentative="0">
      <w:start w:val="1"/>
      <w:numFmt w:val="bullet"/>
      <w:pStyle w:val="3"/>
      <w:lvlText w:val=""/>
      <w:lvlJc w:val="left"/>
      <w:pPr>
        <w:tabs>
          <w:tab w:val="left" w:pos="2040"/>
        </w:tabs>
        <w:ind w:left="2040" w:hanging="360"/>
      </w:pPr>
      <w:rPr>
        <w:rFonts w:hint="default" w:ascii="Wingdings" w:hAnsi="Wingdings"/>
      </w:rPr>
    </w:lvl>
  </w:abstractNum>
  <w:abstractNum w:abstractNumId="4">
    <w:nsid w:val="6EF76C8D"/>
    <w:multiLevelType w:val="singleLevel"/>
    <w:tmpl w:val="6EF76C8D"/>
    <w:lvl w:ilvl="0" w:tentative="0">
      <w:start w:val="2"/>
      <w:numFmt w:val="decimal"/>
      <w:suff w:val="nothing"/>
      <w:lvlText w:val="（%1）"/>
      <w:lvlJc w:val="left"/>
    </w:lvl>
  </w:abstractNum>
  <w:abstractNum w:abstractNumId="5">
    <w:nsid w:val="7A66BC96"/>
    <w:multiLevelType w:val="singleLevel"/>
    <w:tmpl w:val="7A66BC96"/>
    <w:lvl w:ilvl="0" w:tentative="0">
      <w:start w:val="1"/>
      <w:numFmt w:val="decimal"/>
      <w:suff w:val="nothing"/>
      <w:lvlText w:val="%1、"/>
      <w:lvlJc w:val="left"/>
    </w:lvl>
  </w:abstractNum>
  <w:num w:numId="1">
    <w:abstractNumId w:val="3"/>
  </w:num>
  <w:num w:numId="2">
    <w:abstractNumId w:val="0"/>
  </w:num>
  <w:num w:numId="3">
    <w:abstractNumId w:val="4"/>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5E5901"/>
    <w:rsid w:val="001F0D6C"/>
    <w:rsid w:val="01C51364"/>
    <w:rsid w:val="01D90B32"/>
    <w:rsid w:val="01E66FA5"/>
    <w:rsid w:val="024A084D"/>
    <w:rsid w:val="026033F5"/>
    <w:rsid w:val="02A52864"/>
    <w:rsid w:val="03761B9A"/>
    <w:rsid w:val="03F85454"/>
    <w:rsid w:val="04057ADC"/>
    <w:rsid w:val="041E22FB"/>
    <w:rsid w:val="042A47D4"/>
    <w:rsid w:val="04C9495C"/>
    <w:rsid w:val="051216E7"/>
    <w:rsid w:val="05640A3C"/>
    <w:rsid w:val="05704DD8"/>
    <w:rsid w:val="058F1702"/>
    <w:rsid w:val="06587D46"/>
    <w:rsid w:val="065C4EFE"/>
    <w:rsid w:val="06854F23"/>
    <w:rsid w:val="06912C30"/>
    <w:rsid w:val="07AC4BD1"/>
    <w:rsid w:val="08217FA4"/>
    <w:rsid w:val="085D5AE7"/>
    <w:rsid w:val="09616F12"/>
    <w:rsid w:val="09E96F21"/>
    <w:rsid w:val="0A334D52"/>
    <w:rsid w:val="0AC97464"/>
    <w:rsid w:val="0AF0679F"/>
    <w:rsid w:val="0BAA52EB"/>
    <w:rsid w:val="0BAA7E58"/>
    <w:rsid w:val="0C54227B"/>
    <w:rsid w:val="0C564D28"/>
    <w:rsid w:val="0C6E2C7C"/>
    <w:rsid w:val="0C931459"/>
    <w:rsid w:val="0CC86958"/>
    <w:rsid w:val="0CCF24C0"/>
    <w:rsid w:val="0D5C1907"/>
    <w:rsid w:val="0DB87581"/>
    <w:rsid w:val="0DE3083D"/>
    <w:rsid w:val="0E3A16A0"/>
    <w:rsid w:val="0ECA3D40"/>
    <w:rsid w:val="0EE859DF"/>
    <w:rsid w:val="0F072309"/>
    <w:rsid w:val="0F474DFC"/>
    <w:rsid w:val="0F4C5CA1"/>
    <w:rsid w:val="0F73799F"/>
    <w:rsid w:val="0FE1675B"/>
    <w:rsid w:val="0FF26B15"/>
    <w:rsid w:val="104F21BA"/>
    <w:rsid w:val="10B95FAA"/>
    <w:rsid w:val="11E931F7"/>
    <w:rsid w:val="11F47704"/>
    <w:rsid w:val="12884DC9"/>
    <w:rsid w:val="13286CF2"/>
    <w:rsid w:val="13710699"/>
    <w:rsid w:val="13961EAE"/>
    <w:rsid w:val="13D824C6"/>
    <w:rsid w:val="14E67516"/>
    <w:rsid w:val="14FE62CF"/>
    <w:rsid w:val="15B4486D"/>
    <w:rsid w:val="16A86180"/>
    <w:rsid w:val="16D50F3F"/>
    <w:rsid w:val="170D23C9"/>
    <w:rsid w:val="17316795"/>
    <w:rsid w:val="17504430"/>
    <w:rsid w:val="176A1687"/>
    <w:rsid w:val="17D80CE7"/>
    <w:rsid w:val="18316485"/>
    <w:rsid w:val="186B3909"/>
    <w:rsid w:val="189952A8"/>
    <w:rsid w:val="18B85986"/>
    <w:rsid w:val="18CE2FA4"/>
    <w:rsid w:val="19056277"/>
    <w:rsid w:val="19EC6CCB"/>
    <w:rsid w:val="1A361CF4"/>
    <w:rsid w:val="1A4B4268"/>
    <w:rsid w:val="1A846F04"/>
    <w:rsid w:val="1A865494"/>
    <w:rsid w:val="1A9D1D74"/>
    <w:rsid w:val="1A9F3630"/>
    <w:rsid w:val="1AAF48AC"/>
    <w:rsid w:val="1AC47300"/>
    <w:rsid w:val="1B8A3153"/>
    <w:rsid w:val="1C6A484E"/>
    <w:rsid w:val="1C725260"/>
    <w:rsid w:val="1CC655B2"/>
    <w:rsid w:val="1CD970E6"/>
    <w:rsid w:val="1D445F2A"/>
    <w:rsid w:val="1F576995"/>
    <w:rsid w:val="1FE16BA6"/>
    <w:rsid w:val="20541126"/>
    <w:rsid w:val="205F5538"/>
    <w:rsid w:val="20D504B9"/>
    <w:rsid w:val="20D64139"/>
    <w:rsid w:val="20DB35F6"/>
    <w:rsid w:val="20FC2382"/>
    <w:rsid w:val="210448FA"/>
    <w:rsid w:val="21463717"/>
    <w:rsid w:val="21FF50C2"/>
    <w:rsid w:val="22032E04"/>
    <w:rsid w:val="22925F36"/>
    <w:rsid w:val="22A31981"/>
    <w:rsid w:val="22F8223D"/>
    <w:rsid w:val="23D674C0"/>
    <w:rsid w:val="23F724F4"/>
    <w:rsid w:val="25184E18"/>
    <w:rsid w:val="258F065A"/>
    <w:rsid w:val="265005E2"/>
    <w:rsid w:val="26525940"/>
    <w:rsid w:val="26E477CD"/>
    <w:rsid w:val="26E825C8"/>
    <w:rsid w:val="27A40BE5"/>
    <w:rsid w:val="27D05A90"/>
    <w:rsid w:val="28904CC6"/>
    <w:rsid w:val="28BC7451"/>
    <w:rsid w:val="290B259E"/>
    <w:rsid w:val="29340FE6"/>
    <w:rsid w:val="293B0587"/>
    <w:rsid w:val="297168A5"/>
    <w:rsid w:val="2AC05D36"/>
    <w:rsid w:val="2AFA52AB"/>
    <w:rsid w:val="2B065713"/>
    <w:rsid w:val="2B920D55"/>
    <w:rsid w:val="2BEB76FE"/>
    <w:rsid w:val="2C0B1233"/>
    <w:rsid w:val="2C363DD6"/>
    <w:rsid w:val="2C4D105A"/>
    <w:rsid w:val="2C646B95"/>
    <w:rsid w:val="2CA67F3B"/>
    <w:rsid w:val="2D051F11"/>
    <w:rsid w:val="2D3809A4"/>
    <w:rsid w:val="2E250712"/>
    <w:rsid w:val="2E432744"/>
    <w:rsid w:val="2EC658E5"/>
    <w:rsid w:val="2EF22236"/>
    <w:rsid w:val="2F25085E"/>
    <w:rsid w:val="2F4405B8"/>
    <w:rsid w:val="2F6E39E2"/>
    <w:rsid w:val="2F754C15"/>
    <w:rsid w:val="2F792957"/>
    <w:rsid w:val="2FE57FED"/>
    <w:rsid w:val="30553C56"/>
    <w:rsid w:val="306E00EF"/>
    <w:rsid w:val="3091782D"/>
    <w:rsid w:val="30B87EFE"/>
    <w:rsid w:val="310D4304"/>
    <w:rsid w:val="31372A8A"/>
    <w:rsid w:val="32981347"/>
    <w:rsid w:val="32A61C6A"/>
    <w:rsid w:val="32AE0B6A"/>
    <w:rsid w:val="32EB591A"/>
    <w:rsid w:val="337B4EF0"/>
    <w:rsid w:val="33A42A33"/>
    <w:rsid w:val="33A562C7"/>
    <w:rsid w:val="33C53933"/>
    <w:rsid w:val="33ED121E"/>
    <w:rsid w:val="33EF31E8"/>
    <w:rsid w:val="3444219B"/>
    <w:rsid w:val="345614B9"/>
    <w:rsid w:val="34D348B8"/>
    <w:rsid w:val="34D449C8"/>
    <w:rsid w:val="35101668"/>
    <w:rsid w:val="35496928"/>
    <w:rsid w:val="355F451E"/>
    <w:rsid w:val="35EB5C31"/>
    <w:rsid w:val="35F26AEE"/>
    <w:rsid w:val="36073EB0"/>
    <w:rsid w:val="367227F7"/>
    <w:rsid w:val="369812C8"/>
    <w:rsid w:val="36B61A20"/>
    <w:rsid w:val="36F13BC7"/>
    <w:rsid w:val="36F666FD"/>
    <w:rsid w:val="37737C8C"/>
    <w:rsid w:val="378A1F9F"/>
    <w:rsid w:val="37920A3C"/>
    <w:rsid w:val="37B81B43"/>
    <w:rsid w:val="388C36FB"/>
    <w:rsid w:val="38D75F5E"/>
    <w:rsid w:val="39113C01"/>
    <w:rsid w:val="39203E44"/>
    <w:rsid w:val="39665CFB"/>
    <w:rsid w:val="39DF0A7F"/>
    <w:rsid w:val="39E66E3B"/>
    <w:rsid w:val="3A6D4E67"/>
    <w:rsid w:val="3A726921"/>
    <w:rsid w:val="3ABB3E24"/>
    <w:rsid w:val="3B077069"/>
    <w:rsid w:val="3B9308FD"/>
    <w:rsid w:val="3BD75B04"/>
    <w:rsid w:val="3BF43905"/>
    <w:rsid w:val="3C6779A4"/>
    <w:rsid w:val="3D2E29AF"/>
    <w:rsid w:val="3D502D9B"/>
    <w:rsid w:val="3D962926"/>
    <w:rsid w:val="3DA75105"/>
    <w:rsid w:val="3E1509D8"/>
    <w:rsid w:val="3E863D45"/>
    <w:rsid w:val="3EB47508"/>
    <w:rsid w:val="3EF04008"/>
    <w:rsid w:val="3F013931"/>
    <w:rsid w:val="3F253F62"/>
    <w:rsid w:val="40C94DC1"/>
    <w:rsid w:val="41140732"/>
    <w:rsid w:val="4252552E"/>
    <w:rsid w:val="425A2175"/>
    <w:rsid w:val="42845443"/>
    <w:rsid w:val="42C34E0B"/>
    <w:rsid w:val="430649CE"/>
    <w:rsid w:val="430810A5"/>
    <w:rsid w:val="43086156"/>
    <w:rsid w:val="43101D8E"/>
    <w:rsid w:val="43454B44"/>
    <w:rsid w:val="435749D4"/>
    <w:rsid w:val="436F7EA2"/>
    <w:rsid w:val="439A3786"/>
    <w:rsid w:val="43CC0E50"/>
    <w:rsid w:val="44332C7D"/>
    <w:rsid w:val="44AE0556"/>
    <w:rsid w:val="4513485D"/>
    <w:rsid w:val="455C49D9"/>
    <w:rsid w:val="45EE1552"/>
    <w:rsid w:val="46170183"/>
    <w:rsid w:val="463C3744"/>
    <w:rsid w:val="46A20569"/>
    <w:rsid w:val="46BA58D8"/>
    <w:rsid w:val="4714323A"/>
    <w:rsid w:val="477F77B8"/>
    <w:rsid w:val="47EF15B1"/>
    <w:rsid w:val="4828061F"/>
    <w:rsid w:val="48691363"/>
    <w:rsid w:val="48A95C04"/>
    <w:rsid w:val="48C91E02"/>
    <w:rsid w:val="48D20D16"/>
    <w:rsid w:val="4972249A"/>
    <w:rsid w:val="4B816722"/>
    <w:rsid w:val="4B914B94"/>
    <w:rsid w:val="4BB5041C"/>
    <w:rsid w:val="4BC4555C"/>
    <w:rsid w:val="4BDF36EB"/>
    <w:rsid w:val="4C7B78B7"/>
    <w:rsid w:val="4C8052C1"/>
    <w:rsid w:val="4CF77C53"/>
    <w:rsid w:val="4D0E6F71"/>
    <w:rsid w:val="4D111FCA"/>
    <w:rsid w:val="4D331F40"/>
    <w:rsid w:val="4D4E2E3D"/>
    <w:rsid w:val="4DF003E2"/>
    <w:rsid w:val="4E805C4A"/>
    <w:rsid w:val="4EA2742A"/>
    <w:rsid w:val="4EB1136E"/>
    <w:rsid w:val="4EC512BE"/>
    <w:rsid w:val="4EF9579A"/>
    <w:rsid w:val="4F5C39D0"/>
    <w:rsid w:val="4F7505EE"/>
    <w:rsid w:val="4FE82D58"/>
    <w:rsid w:val="50DF2ABC"/>
    <w:rsid w:val="50ED1C18"/>
    <w:rsid w:val="51683C12"/>
    <w:rsid w:val="51914ADE"/>
    <w:rsid w:val="51F65A90"/>
    <w:rsid w:val="52126331"/>
    <w:rsid w:val="52992845"/>
    <w:rsid w:val="52A0797E"/>
    <w:rsid w:val="52A57F6E"/>
    <w:rsid w:val="52B70A2F"/>
    <w:rsid w:val="52E361B6"/>
    <w:rsid w:val="5311062D"/>
    <w:rsid w:val="538E1C7E"/>
    <w:rsid w:val="53BF62DB"/>
    <w:rsid w:val="53D55AFF"/>
    <w:rsid w:val="54065CB8"/>
    <w:rsid w:val="541303D5"/>
    <w:rsid w:val="545A1A3D"/>
    <w:rsid w:val="546450D5"/>
    <w:rsid w:val="54E9736E"/>
    <w:rsid w:val="55312346"/>
    <w:rsid w:val="555F6A99"/>
    <w:rsid w:val="55794FCC"/>
    <w:rsid w:val="559C77AB"/>
    <w:rsid w:val="55C4407D"/>
    <w:rsid w:val="562B3880"/>
    <w:rsid w:val="56480AA5"/>
    <w:rsid w:val="565C617D"/>
    <w:rsid w:val="574A3290"/>
    <w:rsid w:val="578810DA"/>
    <w:rsid w:val="57976104"/>
    <w:rsid w:val="57A64363"/>
    <w:rsid w:val="582901C7"/>
    <w:rsid w:val="58520B11"/>
    <w:rsid w:val="58953AAF"/>
    <w:rsid w:val="590A19FE"/>
    <w:rsid w:val="592A2449"/>
    <w:rsid w:val="595119A0"/>
    <w:rsid w:val="59537B91"/>
    <w:rsid w:val="59927BFF"/>
    <w:rsid w:val="599E1210"/>
    <w:rsid w:val="59B668FA"/>
    <w:rsid w:val="5A3A490E"/>
    <w:rsid w:val="5A5E5901"/>
    <w:rsid w:val="5AA30F84"/>
    <w:rsid w:val="5ABA3CA0"/>
    <w:rsid w:val="5B6C3C8D"/>
    <w:rsid w:val="5BAC35E9"/>
    <w:rsid w:val="5BE2700B"/>
    <w:rsid w:val="5C19501A"/>
    <w:rsid w:val="5C1B7675"/>
    <w:rsid w:val="5CEC052B"/>
    <w:rsid w:val="5D465377"/>
    <w:rsid w:val="5E363E56"/>
    <w:rsid w:val="5E7A4B59"/>
    <w:rsid w:val="5E8F0FA0"/>
    <w:rsid w:val="5EC83355"/>
    <w:rsid w:val="5EEE3F19"/>
    <w:rsid w:val="5F674C0F"/>
    <w:rsid w:val="5FD0361E"/>
    <w:rsid w:val="5FD21144"/>
    <w:rsid w:val="606F4D99"/>
    <w:rsid w:val="614239B0"/>
    <w:rsid w:val="614E6EF1"/>
    <w:rsid w:val="61B83B4B"/>
    <w:rsid w:val="61E136A3"/>
    <w:rsid w:val="62B92A90"/>
    <w:rsid w:val="62DE7A3F"/>
    <w:rsid w:val="63CD397F"/>
    <w:rsid w:val="63ED0C43"/>
    <w:rsid w:val="63F3216E"/>
    <w:rsid w:val="640922D0"/>
    <w:rsid w:val="640970FF"/>
    <w:rsid w:val="6452324A"/>
    <w:rsid w:val="64760C38"/>
    <w:rsid w:val="6562740E"/>
    <w:rsid w:val="65ED0230"/>
    <w:rsid w:val="65FF1909"/>
    <w:rsid w:val="66267799"/>
    <w:rsid w:val="66EA1EFB"/>
    <w:rsid w:val="67441712"/>
    <w:rsid w:val="67B101D9"/>
    <w:rsid w:val="67C97D0F"/>
    <w:rsid w:val="681D5954"/>
    <w:rsid w:val="687E455F"/>
    <w:rsid w:val="68B425A7"/>
    <w:rsid w:val="691931E1"/>
    <w:rsid w:val="6A413A96"/>
    <w:rsid w:val="6A493FCB"/>
    <w:rsid w:val="6A7775D4"/>
    <w:rsid w:val="6A8353C1"/>
    <w:rsid w:val="6ADC678A"/>
    <w:rsid w:val="6B144D07"/>
    <w:rsid w:val="6B9E0A74"/>
    <w:rsid w:val="6C297DE5"/>
    <w:rsid w:val="6C445178"/>
    <w:rsid w:val="6C8B2DA7"/>
    <w:rsid w:val="6CAA377B"/>
    <w:rsid w:val="6DA478AC"/>
    <w:rsid w:val="6E1C7FFB"/>
    <w:rsid w:val="6E3F02ED"/>
    <w:rsid w:val="6E970129"/>
    <w:rsid w:val="6EE1292F"/>
    <w:rsid w:val="6F0E7CBF"/>
    <w:rsid w:val="6F3754C7"/>
    <w:rsid w:val="6F543924"/>
    <w:rsid w:val="701B19AD"/>
    <w:rsid w:val="703B2983"/>
    <w:rsid w:val="70787407"/>
    <w:rsid w:val="72442376"/>
    <w:rsid w:val="72B62B48"/>
    <w:rsid w:val="73144962"/>
    <w:rsid w:val="73227DBF"/>
    <w:rsid w:val="738D1AFA"/>
    <w:rsid w:val="73A6484A"/>
    <w:rsid w:val="73D47729"/>
    <w:rsid w:val="74B231F1"/>
    <w:rsid w:val="74F30935"/>
    <w:rsid w:val="750162FC"/>
    <w:rsid w:val="76254DF7"/>
    <w:rsid w:val="766A2DD4"/>
    <w:rsid w:val="76781DCD"/>
    <w:rsid w:val="76B536A5"/>
    <w:rsid w:val="76E25CB9"/>
    <w:rsid w:val="77065E4C"/>
    <w:rsid w:val="77AF6661"/>
    <w:rsid w:val="77C63707"/>
    <w:rsid w:val="77C65EB7"/>
    <w:rsid w:val="78091BCF"/>
    <w:rsid w:val="78326FD3"/>
    <w:rsid w:val="78340796"/>
    <w:rsid w:val="78606871"/>
    <w:rsid w:val="78EE46B5"/>
    <w:rsid w:val="78FC644E"/>
    <w:rsid w:val="791121E2"/>
    <w:rsid w:val="79433099"/>
    <w:rsid w:val="7A4555A2"/>
    <w:rsid w:val="7A603AC5"/>
    <w:rsid w:val="7AB931D5"/>
    <w:rsid w:val="7AF20495"/>
    <w:rsid w:val="7B9F499A"/>
    <w:rsid w:val="7BA85BEF"/>
    <w:rsid w:val="7BF67E7E"/>
    <w:rsid w:val="7C4D37F6"/>
    <w:rsid w:val="7C53287A"/>
    <w:rsid w:val="7C6678A7"/>
    <w:rsid w:val="7C9061B7"/>
    <w:rsid w:val="7CFD1A9F"/>
    <w:rsid w:val="7DB54CF6"/>
    <w:rsid w:val="7EF17EA8"/>
    <w:rsid w:val="7EFB3DBC"/>
    <w:rsid w:val="7F1F5F7C"/>
    <w:rsid w:val="7F2350C1"/>
    <w:rsid w:val="7F5D4A77"/>
    <w:rsid w:val="7F8C2C66"/>
    <w:rsid w:val="7FCA5213"/>
    <w:rsid w:val="7FCF533C"/>
    <w:rsid w:val="7FD47C3F"/>
    <w:rsid w:val="7FE24F7C"/>
    <w:rsid w:val="7FF076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80" w:lineRule="exact"/>
      <w:ind w:firstLine="1040" w:firstLineChars="200"/>
      <w:jc w:val="both"/>
    </w:pPr>
    <w:rPr>
      <w:rFonts w:ascii="Times New Roman" w:hAnsi="Times New Roman" w:eastAsia="宋体" w:cs="Times New Roman"/>
      <w:kern w:val="2"/>
      <w:sz w:val="21"/>
      <w:szCs w:val="21"/>
      <w:lang w:val="en-US" w:eastAsia="zh-CN" w:bidi="ar-SA"/>
    </w:rPr>
  </w:style>
  <w:style w:type="paragraph" w:styleId="4">
    <w:name w:val="heading 1"/>
    <w:basedOn w:val="1"/>
    <w:next w:val="1"/>
    <w:qFormat/>
    <w:uiPriority w:val="0"/>
    <w:pPr>
      <w:keepNext/>
      <w:keepLines/>
      <w:spacing w:before="340" w:after="330" w:line="240" w:lineRule="auto"/>
      <w:ind w:firstLine="0" w:firstLineChars="0"/>
      <w:jc w:val="center"/>
      <w:outlineLvl w:val="0"/>
    </w:pPr>
    <w:rPr>
      <w:rFonts w:eastAsia="黑体"/>
      <w:kern w:val="44"/>
      <w:sz w:val="30"/>
      <w:szCs w:val="30"/>
    </w:rPr>
  </w:style>
  <w:style w:type="paragraph" w:styleId="5">
    <w:name w:val="heading 3"/>
    <w:basedOn w:val="1"/>
    <w:next w:val="1"/>
    <w:qFormat/>
    <w:uiPriority w:val="0"/>
    <w:pPr>
      <w:keepNext/>
      <w:keepLines/>
      <w:spacing w:before="260" w:after="260" w:line="416" w:lineRule="auto"/>
      <w:ind w:firstLine="200" w:firstLineChars="200"/>
      <w:outlineLvl w:val="2"/>
    </w:pPr>
    <w:rPr>
      <w:b/>
      <w:bCs/>
      <w:sz w:val="32"/>
      <w:szCs w:val="32"/>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List Bullet 5"/>
    <w:basedOn w:val="1"/>
    <w:qFormat/>
    <w:uiPriority w:val="0"/>
    <w:pPr>
      <w:numPr>
        <w:ilvl w:val="0"/>
        <w:numId w:val="1"/>
      </w:numPr>
    </w:pPr>
  </w:style>
  <w:style w:type="paragraph" w:styleId="6">
    <w:name w:val="List 3"/>
    <w:basedOn w:val="1"/>
    <w:qFormat/>
    <w:uiPriority w:val="0"/>
    <w:pPr>
      <w:spacing w:line="240" w:lineRule="auto"/>
      <w:ind w:left="0" w:leftChars="0" w:firstLine="0" w:firstLineChars="0"/>
      <w:jc w:val="center"/>
    </w:pPr>
    <w:rPr>
      <w:sz w:val="21"/>
    </w:rPr>
  </w:style>
  <w:style w:type="paragraph" w:styleId="7">
    <w:name w:val="annotation text"/>
    <w:basedOn w:val="1"/>
    <w:qFormat/>
    <w:uiPriority w:val="0"/>
    <w:pPr>
      <w:jc w:val="left"/>
    </w:pPr>
  </w:style>
  <w:style w:type="paragraph" w:styleId="8">
    <w:name w:val="Body Text Indent"/>
    <w:basedOn w:val="1"/>
    <w:next w:val="1"/>
    <w:qFormat/>
    <w:uiPriority w:val="0"/>
    <w:pPr>
      <w:ind w:left="-3" w:firstLine="423"/>
    </w:pPr>
    <w:rPr>
      <w:rFonts w:ascii="楷体_GB2312" w:eastAsia="楷体_GB2312"/>
    </w:rPr>
  </w:style>
  <w:style w:type="paragraph" w:styleId="9">
    <w:name w:val="Block Text"/>
    <w:basedOn w:val="1"/>
    <w:qFormat/>
    <w:uiPriority w:val="0"/>
    <w:pPr>
      <w:spacing w:after="120" w:afterLines="0" w:afterAutospacing="0"/>
      <w:ind w:left="1440" w:leftChars="700" w:rightChars="700"/>
    </w:p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Indent 3"/>
    <w:basedOn w:val="1"/>
    <w:qFormat/>
    <w:uiPriority w:val="0"/>
    <w:pPr>
      <w:spacing w:line="280" w:lineRule="exact"/>
      <w:ind w:left="602" w:hanging="602"/>
    </w:pPr>
    <w:rPr>
      <w:kern w:val="0"/>
      <w:sz w:val="16"/>
      <w:szCs w:val="16"/>
    </w:rPr>
  </w:style>
  <w:style w:type="paragraph" w:styleId="13">
    <w:name w:val="toc 2"/>
    <w:basedOn w:val="1"/>
    <w:next w:val="1"/>
    <w:qFormat/>
    <w:uiPriority w:val="39"/>
    <w:pPr>
      <w:widowControl/>
      <w:tabs>
        <w:tab w:val="left" w:pos="840"/>
        <w:tab w:val="right" w:leader="dot" w:pos="8511"/>
      </w:tabs>
      <w:spacing w:line="320" w:lineRule="exact"/>
      <w:ind w:left="210"/>
      <w:jc w:val="left"/>
    </w:pPr>
    <w:rPr>
      <w:rFonts w:ascii="Calibri" w:hAnsi="Calibri"/>
      <w:smallCaps/>
      <w:kern w:val="0"/>
      <w:sz w:val="24"/>
      <w:szCs w:val="22"/>
    </w:rPr>
  </w:style>
  <w:style w:type="paragraph" w:styleId="14">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5">
    <w:name w:val="Body Text First Indent"/>
    <w:basedOn w:val="2"/>
    <w:next w:val="1"/>
    <w:qFormat/>
    <w:uiPriority w:val="99"/>
    <w:pPr>
      <w:ind w:firstLine="420" w:firstLineChars="100"/>
    </w:pPr>
  </w:style>
  <w:style w:type="paragraph" w:styleId="16">
    <w:name w:val="Body Text First Indent 2"/>
    <w:basedOn w:val="8"/>
    <w:next w:val="15"/>
    <w:qFormat/>
    <w:uiPriority w:val="0"/>
    <w:pPr>
      <w:spacing w:after="120"/>
      <w:ind w:left="420" w:leftChars="200" w:firstLine="420" w:firstLineChars="200"/>
    </w:pPr>
    <w:rPr>
      <w:rFonts w:ascii="Times New Roman" w:eastAsia="宋体"/>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page number"/>
    <w:qFormat/>
    <w:uiPriority w:val="0"/>
  </w:style>
  <w:style w:type="character" w:styleId="22">
    <w:name w:val="annotation reference"/>
    <w:qFormat/>
    <w:uiPriority w:val="0"/>
    <w:rPr>
      <w:sz w:val="21"/>
      <w:szCs w:val="21"/>
    </w:rPr>
  </w:style>
  <w:style w:type="paragraph" w:customStyle="1" w:styleId="23">
    <w:name w:val="陈表格"/>
    <w:basedOn w:val="1"/>
    <w:qFormat/>
    <w:uiPriority w:val="0"/>
    <w:pPr>
      <w:adjustRightInd w:val="0"/>
      <w:snapToGrid w:val="0"/>
      <w:spacing w:line="240" w:lineRule="auto"/>
      <w:ind w:firstLine="0" w:firstLineChars="0"/>
      <w:jc w:val="center"/>
    </w:pPr>
    <w:rPr>
      <w:kern w:val="0"/>
      <w:sz w:val="21"/>
      <w:szCs w:val="20"/>
    </w:rPr>
  </w:style>
  <w:style w:type="paragraph" w:customStyle="1" w:styleId="24">
    <w:name w:val="Table Paragraph"/>
    <w:basedOn w:val="1"/>
    <w:qFormat/>
    <w:uiPriority w:val="1"/>
    <w:rPr>
      <w:szCs w:val="21"/>
    </w:rPr>
  </w:style>
  <w:style w:type="paragraph" w:customStyle="1" w:styleId="25">
    <w:name w:val="表格文字"/>
    <w:basedOn w:val="1"/>
    <w:qFormat/>
    <w:uiPriority w:val="0"/>
  </w:style>
  <w:style w:type="paragraph" w:customStyle="1" w:styleId="26">
    <w:name w:val="图表文字"/>
    <w:basedOn w:val="1"/>
    <w:qFormat/>
    <w:uiPriority w:val="0"/>
    <w:pPr>
      <w:jc w:val="center"/>
    </w:pPr>
    <w:rPr>
      <w:rFonts w:ascii="仿宋_GB2312" w:eastAsia="仿宋_GB2312"/>
    </w:rPr>
  </w:style>
  <w:style w:type="paragraph" w:customStyle="1" w:styleId="27">
    <w:name w:val="报告表正文"/>
    <w:basedOn w:val="28"/>
    <w:qFormat/>
    <w:uiPriority w:val="0"/>
    <w:pPr>
      <w:ind w:firstLine="200" w:firstLineChars="200"/>
      <w:jc w:val="left"/>
    </w:pPr>
    <w:rPr>
      <w:rFonts w:ascii="Times New Roman" w:hAnsi="Times New Roman"/>
      <w:szCs w:val="24"/>
    </w:rPr>
  </w:style>
  <w:style w:type="paragraph" w:customStyle="1" w:styleId="28">
    <w:name w:val="列表1"/>
    <w:basedOn w:val="1"/>
    <w:qFormat/>
    <w:uiPriority w:val="0"/>
    <w:pPr>
      <w:spacing w:line="400" w:lineRule="exact"/>
      <w:jc w:val="center"/>
    </w:pPr>
    <w:rPr>
      <w:rFonts w:ascii="宋体" w:hAnsi="宋体" w:eastAsia="仿宋_GB2312"/>
      <w:sz w:val="24"/>
      <w:szCs w:val="20"/>
    </w:rPr>
  </w:style>
  <w:style w:type="paragraph" w:customStyle="1" w:styleId="29">
    <w:name w:val="p0"/>
    <w:basedOn w:val="1"/>
    <w:qFormat/>
    <w:uiPriority w:val="0"/>
    <w:pPr>
      <w:widowControl/>
      <w:snapToGrid w:val="0"/>
      <w:spacing w:line="300" w:lineRule="auto"/>
    </w:pPr>
    <w:rPr>
      <w:rFonts w:ascii="仿宋_GB2312" w:hAnsi="宋体" w:eastAsia="仿宋_GB2312" w:cs="宋体"/>
      <w:kern w:val="0"/>
      <w:sz w:val="28"/>
      <w:szCs w:val="28"/>
    </w:rPr>
  </w:style>
  <w:style w:type="paragraph" w:customStyle="1" w:styleId="30">
    <w:name w:val="表标题"/>
    <w:basedOn w:val="2"/>
    <w:next w:val="1"/>
    <w:qFormat/>
    <w:uiPriority w:val="0"/>
    <w:pPr>
      <w:spacing w:line="480" w:lineRule="exact"/>
      <w:jc w:val="center"/>
    </w:pPr>
    <w:rPr>
      <w:rFonts w:hAnsi="宋体"/>
      <w:color w:val="000000"/>
      <w:sz w:val="24"/>
    </w:rPr>
  </w:style>
  <w:style w:type="table" w:customStyle="1" w:styleId="31">
    <w:name w:val="Table Normal"/>
    <w:unhideWhenUsed/>
    <w:qFormat/>
    <w:uiPriority w:val="2"/>
    <w:rPr>
      <w:lang w:val="en-US" w:eastAsia="zh-CN" w:bidi="ar-SA"/>
    </w:rPr>
    <w:tblPr>
      <w:tblCellMar>
        <w:top w:w="0" w:type="dxa"/>
        <w:left w:w="0" w:type="dxa"/>
        <w:bottom w:w="0" w:type="dxa"/>
        <w:right w:w="0" w:type="dxa"/>
      </w:tblCellMar>
    </w:tblPr>
  </w:style>
  <w:style w:type="paragraph" w:customStyle="1" w:styleId="32">
    <w:name w:val="Table Text"/>
    <w:basedOn w:val="1"/>
    <w:semiHidden/>
    <w:qFormat/>
    <w:uiPriority w:val="0"/>
    <w:rPr>
      <w:rFonts w:ascii="宋体" w:hAnsi="宋体" w:eastAsia="宋体" w:cs="宋体"/>
      <w:sz w:val="21"/>
      <w:szCs w:val="21"/>
      <w:lang w:val="en-US" w:eastAsia="en-US" w:bidi="ar-SA"/>
    </w:rPr>
  </w:style>
  <w:style w:type="paragraph" w:customStyle="1" w:styleId="33">
    <w:name w:val="Z嵌套表格内容"/>
    <w:basedOn w:val="1"/>
    <w:qFormat/>
    <w:uiPriority w:val="0"/>
    <w:pPr>
      <w:jc w:val="center"/>
    </w:pPr>
  </w:style>
  <w:style w:type="paragraph" w:customStyle="1" w:styleId="34">
    <w:name w:val="样式 样式 样式 自动设置 + 五号 段前: 0.5 行 行距: 单倍行距 + 段前: 0.5 行"/>
    <w:basedOn w:val="1"/>
    <w:qFormat/>
    <w:uiPriority w:val="0"/>
    <w:pPr>
      <w:autoSpaceDE w:val="0"/>
      <w:autoSpaceDN w:val="0"/>
      <w:adjustRightInd w:val="0"/>
      <w:snapToGrid w:val="0"/>
    </w:pPr>
    <w:rPr>
      <w:rFonts w:cs="宋体"/>
      <w:szCs w:val="20"/>
    </w:rPr>
  </w:style>
  <w:style w:type="paragraph" w:customStyle="1" w:styleId="35">
    <w:name w:val="Default"/>
    <w:basedOn w:val="36"/>
    <w:qFormat/>
    <w:uiPriority w:val="0"/>
    <w:pPr>
      <w:widowControl w:val="0"/>
      <w:tabs>
        <w:tab w:val="left" w:pos="480"/>
      </w:tabs>
      <w:autoSpaceDE w:val="0"/>
      <w:autoSpaceDN w:val="0"/>
      <w:adjustRightInd w:val="0"/>
    </w:pPr>
    <w:rPr>
      <w:rFonts w:ascii="宋体"/>
      <w:color w:val="000000"/>
      <w:sz w:val="24"/>
      <w:szCs w:val="24"/>
      <w:lang w:val="en-US" w:eastAsia="zh-CN" w:bidi="ar-SA"/>
    </w:rPr>
  </w:style>
  <w:style w:type="paragraph" w:customStyle="1" w:styleId="36">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37">
    <w:name w:val="顺源 表头"/>
    <w:basedOn w:val="1"/>
    <w:qFormat/>
    <w:uiPriority w:val="0"/>
    <w:pPr>
      <w:jc w:val="center"/>
    </w:pPr>
    <w:rPr>
      <w:rFonts w:cs="微软雅黑"/>
      <w:b/>
      <w:color w:val="000000"/>
      <w:sz w:val="24"/>
      <w:szCs w:val="22"/>
    </w:rPr>
  </w:style>
  <w:style w:type="paragraph" w:customStyle="1" w:styleId="38">
    <w:name w:val="报告表内表格"/>
    <w:basedOn w:val="1"/>
    <w:qFormat/>
    <w:uiPriority w:val="0"/>
    <w:pPr>
      <w:autoSpaceDE w:val="0"/>
      <w:autoSpaceDN w:val="0"/>
      <w:adjustRightInd w:val="0"/>
      <w:snapToGrid w:val="0"/>
      <w:spacing w:line="360" w:lineRule="auto"/>
      <w:jc w:val="center"/>
    </w:pPr>
    <w:rPr>
      <w:bCs/>
      <w:spacing w:val="5"/>
      <w:kern w:val="0"/>
      <w:sz w:val="20"/>
      <w:szCs w:val="21"/>
    </w:rPr>
  </w:style>
  <w:style w:type="paragraph" w:customStyle="1" w:styleId="39">
    <w:name w:val="陈111"/>
    <w:basedOn w:val="1"/>
    <w:qFormat/>
    <w:uiPriority w:val="0"/>
    <w:pPr>
      <w:adjustRightInd w:val="0"/>
      <w:snapToGrid w:val="0"/>
      <w:spacing w:line="240" w:lineRule="auto"/>
      <w:ind w:firstLine="0" w:firstLineChars="0"/>
      <w:jc w:val="center"/>
    </w:pPr>
    <w:rPr>
      <w:rFonts w:ascii="Times New Roman" w:hAnsi="Times New Roman" w:eastAsia="宋体"/>
      <w:kern w:val="0"/>
      <w:sz w:val="24"/>
      <w:szCs w:val="20"/>
    </w:rPr>
  </w:style>
  <w:style w:type="paragraph" w:customStyle="1" w:styleId="40">
    <w:name w:val="Z正文"/>
    <w:basedOn w:val="1"/>
    <w:qFormat/>
    <w:uiPriority w:val="0"/>
    <w:pPr>
      <w:spacing w:line="400" w:lineRule="exact"/>
      <w:ind w:firstLine="600" w:firstLineChars="200"/>
    </w:pPr>
    <w:rPr>
      <w:rFonts w:ascii="Times New Roman" w:hAnsi="Times New Roman" w:eastAsia="宋体" w:cs="Times New Roman"/>
      <w:sz w:val="21"/>
      <w:szCs w:val="20"/>
    </w:rPr>
  </w:style>
  <w:style w:type="paragraph" w:customStyle="1" w:styleId="41">
    <w:name w:val="Z表格标题"/>
    <w:basedOn w:val="1"/>
    <w:next w:val="1"/>
    <w:qFormat/>
    <w:uiPriority w:val="0"/>
    <w:pPr>
      <w:spacing w:line="400" w:lineRule="exact"/>
      <w:jc w:val="center"/>
    </w:pPr>
    <w:rPr>
      <w:rFonts w:ascii="Times New Roman" w:hAnsi="Times New Roman" w:eastAsia="宋体"/>
      <w:b/>
    </w:rPr>
  </w:style>
  <w:style w:type="paragraph" w:customStyle="1" w:styleId="42">
    <w:name w:val="1正文"/>
    <w:basedOn w:val="43"/>
    <w:qFormat/>
    <w:uiPriority w:val="99"/>
    <w:pPr>
      <w:autoSpaceDE w:val="0"/>
      <w:autoSpaceDN w:val="0"/>
      <w:adjustRightInd w:val="0"/>
      <w:snapToGrid w:val="0"/>
      <w:spacing w:before="25" w:beforeLines="25" w:after="25" w:afterLines="25" w:line="360" w:lineRule="auto"/>
      <w:ind w:firstLine="200" w:firstLineChars="200"/>
    </w:pPr>
    <w:rPr>
      <w:rFonts w:eastAsia="仿宋"/>
      <w:bCs/>
      <w:spacing w:val="5"/>
      <w:kern w:val="0"/>
      <w:sz w:val="24"/>
      <w:szCs w:val="21"/>
    </w:rPr>
  </w:style>
  <w:style w:type="paragraph" w:customStyle="1" w:styleId="43">
    <w:name w:val="报告正文"/>
    <w:basedOn w:val="1"/>
    <w:qFormat/>
    <w:uiPriority w:val="0"/>
    <w:pPr>
      <w:adjustRightInd w:val="0"/>
      <w:snapToGrid w:val="0"/>
      <w:spacing w:line="480" w:lineRule="exact"/>
      <w:ind w:firstLine="560" w:firstLineChars="200"/>
      <w:jc w:val="left"/>
    </w:pPr>
    <w:rPr>
      <w:kern w:val="0"/>
      <w:sz w:val="20"/>
    </w:rPr>
  </w:style>
  <w:style w:type="paragraph" w:customStyle="1" w:styleId="44">
    <w:name w:val=" Char Char Char Char"/>
    <w:basedOn w:val="1"/>
    <w:qFormat/>
    <w:uiPriority w:val="0"/>
    <w:pPr>
      <w:adjustRightInd w:val="0"/>
      <w:snapToGrid w:val="0"/>
      <w:spacing w:line="360" w:lineRule="auto"/>
      <w:ind w:firstLine="420" w:firstLineChars="200"/>
    </w:pPr>
  </w:style>
  <w:style w:type="paragraph" w:customStyle="1" w:styleId="45">
    <w:name w:val="表"/>
    <w:basedOn w:val="1"/>
    <w:autoRedefine/>
    <w:qFormat/>
    <w:uiPriority w:val="0"/>
    <w:pPr>
      <w:keepNext/>
      <w:keepLines/>
      <w:adjustRightInd w:val="0"/>
      <w:spacing w:before="60"/>
      <w:jc w:val="center"/>
    </w:pPr>
    <w:rPr>
      <w:rFonts w:ascii="Calibri" w:hAnsi="Calibri" w:eastAsia="仿宋_GB2312"/>
      <w:kern w:val="21"/>
      <w:sz w:val="24"/>
      <w:szCs w:val="20"/>
    </w:rPr>
  </w:style>
  <w:style w:type="paragraph" w:customStyle="1" w:styleId="46">
    <w:name w:val="陈表格标题"/>
    <w:basedOn w:val="1"/>
    <w:next w:val="12"/>
    <w:qFormat/>
    <w:uiPriority w:val="0"/>
    <w:pPr>
      <w:adjustRightInd w:val="0"/>
      <w:snapToGrid w:val="0"/>
      <w:spacing w:line="240" w:lineRule="auto"/>
      <w:ind w:firstLine="720"/>
      <w:jc w:val="center"/>
    </w:pPr>
    <w:rPr>
      <w:rFonts w:hint="default" w:ascii="Times New Roman" w:hAnsi="Times New Roman"/>
      <w:b/>
      <w:kern w:val="0"/>
      <w:sz w:val="21"/>
      <w:szCs w:val="20"/>
    </w:rPr>
  </w:style>
  <w:style w:type="paragraph" w:customStyle="1" w:styleId="47">
    <w:name w:val="+正文"/>
    <w:basedOn w:val="1"/>
    <w:autoRedefine/>
    <w:qFormat/>
    <w:uiPriority w:val="0"/>
    <w:pPr>
      <w:spacing w:line="360" w:lineRule="auto"/>
      <w:ind w:firstLine="200" w:firstLineChars="200"/>
    </w:pPr>
    <w:rPr>
      <w:sz w:val="24"/>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7.wmf"/><Relationship Id="rId32" Type="http://schemas.openxmlformats.org/officeDocument/2006/relationships/oleObject" Target="embeddings/oleObject7.bin"/><Relationship Id="rId31" Type="http://schemas.openxmlformats.org/officeDocument/2006/relationships/image" Target="media/image16.wmf"/><Relationship Id="rId30" Type="http://schemas.openxmlformats.org/officeDocument/2006/relationships/oleObject" Target="embeddings/oleObject6.bin"/><Relationship Id="rId3" Type="http://schemas.openxmlformats.org/officeDocument/2006/relationships/footnotes" Target="footnotes.xml"/><Relationship Id="rId29" Type="http://schemas.openxmlformats.org/officeDocument/2006/relationships/image" Target="media/image15.wmf"/><Relationship Id="rId28" Type="http://schemas.openxmlformats.org/officeDocument/2006/relationships/oleObject" Target="embeddings/oleObject5.bin"/><Relationship Id="rId27" Type="http://schemas.openxmlformats.org/officeDocument/2006/relationships/image" Target="media/image14.wmf"/><Relationship Id="rId26" Type="http://schemas.openxmlformats.org/officeDocument/2006/relationships/oleObject" Target="embeddings/oleObject4.bin"/><Relationship Id="rId25" Type="http://schemas.openxmlformats.org/officeDocument/2006/relationships/image" Target="media/image13.wmf"/><Relationship Id="rId24" Type="http://schemas.openxmlformats.org/officeDocument/2006/relationships/oleObject" Target="embeddings/oleObject3.bin"/><Relationship Id="rId23" Type="http://schemas.openxmlformats.org/officeDocument/2006/relationships/image" Target="media/image12.wmf"/><Relationship Id="rId22" Type="http://schemas.openxmlformats.org/officeDocument/2006/relationships/oleObject" Target="embeddings/oleObject2.bin"/><Relationship Id="rId21" Type="http://schemas.openxmlformats.org/officeDocument/2006/relationships/image" Target="media/image11.png"/><Relationship Id="rId20" Type="http://schemas.openxmlformats.org/officeDocument/2006/relationships/image" Target="media/image10.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customShpExts>
  <extobjs>
    <extobj name="ECB019B1-382A-4266-B25C-5B523AA43C14-1">
      <extobjdata type="ECB019B1-382A-4266-B25C-5B523AA43C14" data="ewoJIkZpbGVJZCIgOiAiNDU3MjU5ODgzMzY0IiwKCSJHcm91cElkIiA6ICIyMzc5MDY2NSIsCgkiSW1hZ2UiIDogImlWQk9SdzBLR2dvQUFBQU5TVWhFVWdBQUJDTUFBQUlzQ0FZQUFBREl5V01uQUFBQUFYTlNSMElBcnM0YzZRQUFJQUJKUkVGVWVKenMzWGw4Rk9YOUIvRFBkM1p6UXNLdGdpaEJRMEVNbTUxWjc2dHE2OVdxdjdiYXFxaElRUkcxYXExS3ZTZ3FIdlcrMm5wU0ZXMVJxUmJyV2UramFxSHV6R1lURURScWxJZ2NRUTY1a3V6TzkvZkh6c1lsN0NhYmc1RGc1LzE2OGRyZG1lZDU1cGxOc3V4ODUzbStEME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"/>
    </extobj>
    <extobj name="ECB019B1-382A-4266-B25C-5B523AA43C14-2">
      <extobjdata type="ECB019B1-382A-4266-B25C-5B523AA43C14" data="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"/>
    </extobj>
    <extobj name="ECB019B1-382A-4266-B25C-5B523AA43C14-3">
      <extobjdata type="ECB019B1-382A-4266-B25C-5B523AA43C14" data="ewoJIkZpbGVJZCIgOiAiNDU3NDA1NjYyMTYyIiwKCSJHcm91cElkIiA6ICIyMzc5MDY2NSIsCgkiSW1hZ2UiIDogImlWQk9SdzBLR2dvQUFBQU5TVWhFVWdBQUE3c0FBQU9lQ0FZQUFBREMrd2R6QUFBQUFYTlNSMElBcnM0YzZRQUFJQUJKUkVGVWVKenMzWGw4WEZYOS8vSDN1VFBadWtGTFdTeEZDeFFvS1UzbVRnUmxGOWxCV1FxaUxBS3l0SWdnVlpZcUNncjZSUkZRMllUeVV4U1VJZ2l5U3d0VWtKYXlabWFTdGltbEtSUW9wV1hwM3F3ejkvUDdJek54a2licHBFMDdaWHc5SDQ4OHlOeDc3am1mR2RvKzhzNjU5eHdK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iTGYvRDRnWVB3RVFLQmRsQUFBQUFFbEZUa1N1UW1DQyIsCgkiVGhlbWUiIDogIiIsCgkiVHlwZSIgOiAiZmxvdyIsCgkiVXNlcklkIiA6ICI5NzIyMDM2IiwKCSJWZXJzaW9uIiA6ICIxOSIKfQo="/>
    </extobj>
    <extobj name="ECB019B1-382A-4266-B25C-5B523AA43C14-4">
      <extobjdata type="ECB019B1-382A-4266-B25C-5B523AA43C14" data="ewoJIkZpbGVJZCIgOiAiNDU3NDEyMTUyNzY5IiwKCSJHcm91cElkIiA6ICIyMzc5MDY2NSIsCgkiSW1hZ2UiIDogImlWQk9SdzBLR2dvQUFBQU5TVWhFVWdBQUFnRUFBQUZnQ0FZQUFBQWlwcW9EQUFBQUFYTlNSMElBcnM0YzZRQUFJQUJKUkVGVWVKenQzWGw4RlBYOVAvRFhlMlp6UTBBT3dVcmJVRUZva0dSbjFsdGI3VmVyMW1wcnRmREZYNjIxMW9ONjIycXQ5VDc2RlErc1NyV2wxZFpib0Y2MVd1OWJQSURzYkE2aVNGQ29FWkdiQk1peE81LzM3NC9zcHB0a0V4SUkyWkI5UFI4UEgyUm5Qdk9aejhUc3ptcy84NW5QQU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2ozL0grbmxoamtwN0orVVFBQUFBQkpSVTVFcmtKZ2dnPT0iLAoJIlRoZW1lIiA6ICIiLAoJIlR5cGUiIDogImZsb3ciLAoJIlVzZXJJZCIgOiAiOTcyMjAzNiIsCgkiVmVyc2lvbiIgOiAiMjQiCn0K"/>
    </extobj>
    <extobj name="ECB019B1-382A-4266-B25C-5B523AA43C14-5">
      <extobjdata type="ECB019B1-382A-4266-B25C-5B523AA43C14" data="ewoJIkZpbGVJZCIgOiAiNDU3NDIwOTYxMTMxIiwKCSJHcm91cElkIiA6ICIyMzc5MDY2NSIsCgkiSW1hZ2UiIDogImlWQk9SdzBLR2dvQUFBQU5TVWhFVWdBQUFmNEFBQUpWQ0FZQUFBQS9YSmVWQUFBQUFYTlNSMElBcnM0YzZRQUFJQUJKUkVGVWVKenMzWGw4Rk9YOUIvRFBkMmFUWFhKQk9CUTFZdFFnRUNIWm1iUmFGSXNYV2x0L3RkN2FJbmhiVDZ4NGExdEZVYlJhN3d1cG9paUlpbFJGeGFPb1JRU0U3RzZXRUVEQ0lTS0NBYmx6N3N6MzkwZDIwODFGd3BVQSszbS9Ybm1aZmVhWlo3Njd4UDNPUE04enp3Q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"/>
    </extobj>
    <extobj name="ECB019B1-382A-4266-B25C-5B523AA43C14-6">
      <extobjdata type="ECB019B1-382A-4266-B25C-5B523AA43C14" data="ewoJIkZpbGVJZCIgOiAiNDU3NjE3NTA2NzgwIiwKCSJHcm91cElkIiA6ICIyMzc5MDY2NSIsCgkiSW1hZ2UiIDogImlWQk9SdzBLR2dvQUFBQU5TVWhFVWdBQUJPY0FBQUVtQ0FZQUFBQXA3dlFIQUFBQUFYTlNSMElBcnM0YzZRQUFJQUJKUkVGVWVKenMzWGxjVkZYakJ2RG56QXlyS0dndXVHUHVxTWdNTGxuYWEvN2NselJ6eVN5WE11M05jazl6UzFHejNIZE5iWE10dGRUYzA5eFNORU1ZQWhOTlRGVGNTVkJBQnBpWjgvdkRtZnV5RERBSU9DclA5L1B4RTl4Nzdqbm5jcG14ZVR3TFF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1A2TDBnS1AvRnpiMUlMQUFBQUFFbEZUa1N1UW1DQyIsCgkiVGhlbWUiIDogIiIsCgkiVHlwZSIgOiAiZmxvdyIsCgkiVXNlcklkIiA6ICI5NzIyMDM2IiwKCSJWZXJzaW9uIiA6ICI0OS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114</Pages>
  <Words>43</Words>
  <Characters>69</Characters>
  <Lines>0</Lines>
  <Paragraphs>0</Paragraphs>
  <TotalTime>1</TotalTime>
  <ScaleCrop>false</ScaleCrop>
  <LinksUpToDate>false</LinksUpToDate>
  <CharactersWithSpaces>69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2025-08-22T11:15:00Z</dcterms:created>
  <dc:creator>小创来喽</dc:creator>
  <cp:lastModifiedBy>球球</cp:lastModifiedBy>
  <cp:lastPrinted>2025-08-28T01:09:00Z</cp:lastPrinted>
  <dcterms:modified xsi:type="dcterms:W3CDTF">2026-01-13T02:39:59Z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5EB44F581AB44732BAA814A828E1C932_13</vt:lpwstr>
  </property>
  <property fmtid="{D5CDD505-2E9C-101B-9397-08002B2CF9AE}" pid="4" name="KSOTemplateDocerSaveRecord">
    <vt:lpwstr>eyJoZGlkIjoiYWZhMzA0MTE2MGQ3ODcwOTgyMWY3NzY0ZDhkYzQxODciLCJ1c2VySWQiOiIzODk2NzQyOTcifQ==</vt:lpwstr>
  </property>
</Properties>
</file>