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1FC30A">
      <w:pPr>
        <w:pStyle w:val="23"/>
        <w:spacing w:before="0" w:beforeAutospacing="0" w:after="0" w:afterAutospacing="0"/>
        <w:jc w:val="center"/>
        <w:outlineLvl w:val="0"/>
        <w:rPr>
          <w:rFonts w:ascii="Times New Roman" w:hAnsi="Times New Roman"/>
          <w:b/>
          <w:bCs/>
          <w:snapToGrid w:val="0"/>
          <w:sz w:val="30"/>
          <w:szCs w:val="30"/>
        </w:rPr>
      </w:pPr>
      <w:r>
        <w:rPr>
          <w:rFonts w:ascii="Times New Roman" w:hAnsi="Times New Roman"/>
          <w:b/>
          <w:bCs/>
          <w:snapToGrid w:val="0"/>
          <w:sz w:val="30"/>
          <w:szCs w:val="30"/>
        </w:rPr>
        <w:drawing>
          <wp:inline distT="0" distB="0" distL="114300" distR="114300">
            <wp:extent cx="5363210" cy="7601585"/>
            <wp:effectExtent l="0" t="0" r="1270" b="3175"/>
            <wp:docPr id="7" name="图片 7" descr="公示稿- 登丰体育(常州)有限公司年产1000万平方米人造草坪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公示稿- 登丰体育(常州)有限公司年产1000万平方米人造草坪项目_01"/>
                    <pic:cNvPicPr>
                      <a:picLocks noChangeAspect="1"/>
                    </pic:cNvPicPr>
                  </pic:nvPicPr>
                  <pic:blipFill>
                    <a:blip r:embed="rId7"/>
                    <a:stretch>
                      <a:fillRect/>
                    </a:stretch>
                  </pic:blipFill>
                  <pic:spPr>
                    <a:xfrm>
                      <a:off x="0" y="0"/>
                      <a:ext cx="5363210" cy="7601585"/>
                    </a:xfrm>
                    <a:prstGeom prst="rect">
                      <a:avLst/>
                    </a:prstGeom>
                  </pic:spPr>
                </pic:pic>
              </a:graphicData>
            </a:graphic>
          </wp:inline>
        </w:drawing>
      </w:r>
      <w:r>
        <w:rPr>
          <w:rFonts w:ascii="Times New Roman" w:hAnsi="Times New Roman"/>
          <w:b/>
          <w:bCs/>
          <w:snapToGrid w:val="0"/>
          <w:sz w:val="30"/>
          <w:szCs w:val="30"/>
        </w:rPr>
        <w:drawing>
          <wp:inline distT="0" distB="0" distL="114300" distR="114300">
            <wp:extent cx="5272405" cy="7455535"/>
            <wp:effectExtent l="0" t="0" r="635" b="12065"/>
            <wp:docPr id="6" name="图片 6" descr="公示稿- 登丰体育(常州)有限公司年产1000万平方米人造草坪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公示稿- 登丰体育(常州)有限公司年产1000万平方米人造草坪项目_02"/>
                    <pic:cNvPicPr>
                      <a:picLocks noChangeAspect="1"/>
                    </pic:cNvPicPr>
                  </pic:nvPicPr>
                  <pic:blipFill>
                    <a:blip r:embed="rId8"/>
                    <a:stretch>
                      <a:fillRect/>
                    </a:stretch>
                  </pic:blipFill>
                  <pic:spPr>
                    <a:xfrm>
                      <a:off x="0" y="0"/>
                      <a:ext cx="5272405" cy="7455535"/>
                    </a:xfrm>
                    <a:prstGeom prst="rect">
                      <a:avLst/>
                    </a:prstGeom>
                  </pic:spPr>
                </pic:pic>
              </a:graphicData>
            </a:graphic>
          </wp:inline>
        </w:drawing>
      </w:r>
    </w:p>
    <w:p w14:paraId="7BA4A1A4">
      <w:pPr>
        <w:rPr>
          <w:rFonts w:ascii="Times New Roman" w:hAnsi="Times New Roman"/>
          <w:b/>
          <w:bCs/>
          <w:snapToGrid w:val="0"/>
          <w:sz w:val="30"/>
          <w:szCs w:val="30"/>
        </w:rPr>
      </w:pPr>
      <w:r>
        <w:rPr>
          <w:rFonts w:ascii="Times New Roman" w:hAnsi="Times New Roman"/>
          <w:b/>
          <w:bCs/>
          <w:snapToGrid w:val="0"/>
          <w:sz w:val="30"/>
          <w:szCs w:val="30"/>
        </w:rPr>
        <w:br w:type="page"/>
      </w:r>
    </w:p>
    <w:p w14:paraId="4067E6D8">
      <w:pPr>
        <w:pStyle w:val="23"/>
        <w:spacing w:before="0" w:beforeAutospacing="0" w:after="0" w:afterAutospacing="0"/>
        <w:jc w:val="center"/>
        <w:outlineLvl w:val="0"/>
        <w:rPr>
          <w:rFonts w:ascii="Times New Roman" w:hAnsi="Times New Roman"/>
          <w:b/>
          <w:bCs/>
          <w:snapToGrid w:val="0"/>
          <w:sz w:val="30"/>
          <w:szCs w:val="30"/>
        </w:rPr>
      </w:pPr>
      <w:r>
        <w:rPr>
          <w:rFonts w:ascii="Times New Roman" w:hAnsi="Times New Roman"/>
          <w:b/>
          <w:bCs/>
          <w:snapToGrid w:val="0"/>
          <w:sz w:val="30"/>
          <w:szCs w:val="30"/>
        </w:rPr>
        <w:t>一、建设项目基本情况</w:t>
      </w:r>
      <w:r>
        <w:rPr>
          <w:rFonts w:hint="eastAsia" w:ascii="Times New Roman" w:hAnsi="Times New Roman"/>
          <w:b/>
          <w:bCs/>
          <w:snapToGrid w:val="0"/>
          <w:sz w:val="30"/>
          <w:szCs w:val="30"/>
        </w:rPr>
        <w:t xml:space="preserve">   </w:t>
      </w:r>
    </w:p>
    <w:tbl>
      <w:tblPr>
        <w:tblStyle w:val="27"/>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67"/>
        <w:gridCol w:w="2435"/>
        <w:gridCol w:w="2248"/>
        <w:gridCol w:w="3588"/>
      </w:tblGrid>
      <w:tr w14:paraId="63199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7" w:type="dxa"/>
            <w:tcBorders>
              <w:tl2br w:val="nil"/>
              <w:tr2bl w:val="nil"/>
            </w:tcBorders>
            <w:tcMar>
              <w:top w:w="16" w:type="dxa"/>
              <w:left w:w="16" w:type="dxa"/>
              <w:right w:w="16" w:type="dxa"/>
            </w:tcMar>
            <w:vAlign w:val="center"/>
          </w:tcPr>
          <w:p w14:paraId="6D0FD49E">
            <w:pPr>
              <w:adjustRightInd w:val="0"/>
              <w:snapToGrid w:val="0"/>
              <w:jc w:val="center"/>
              <w:rPr>
                <w:b/>
                <w:bCs/>
                <w:sz w:val="24"/>
              </w:rPr>
            </w:pPr>
            <w:r>
              <w:rPr>
                <w:b/>
                <w:bCs/>
                <w:sz w:val="24"/>
              </w:rPr>
              <w:t>建设项目名称</w:t>
            </w:r>
          </w:p>
        </w:tc>
        <w:tc>
          <w:tcPr>
            <w:tcW w:w="8271" w:type="dxa"/>
            <w:gridSpan w:val="3"/>
            <w:tcBorders>
              <w:tl2br w:val="nil"/>
              <w:tr2bl w:val="nil"/>
            </w:tcBorders>
            <w:vAlign w:val="center"/>
          </w:tcPr>
          <w:p w14:paraId="135C9DAC">
            <w:pPr>
              <w:adjustRightInd w:val="0"/>
              <w:snapToGrid w:val="0"/>
              <w:jc w:val="center"/>
              <w:rPr>
                <w:sz w:val="24"/>
              </w:rPr>
            </w:pPr>
            <w:r>
              <w:rPr>
                <w:rFonts w:hint="eastAsia"/>
                <w:sz w:val="24"/>
              </w:rPr>
              <w:t>年产1000万平方米人造草坪项目</w:t>
            </w:r>
          </w:p>
        </w:tc>
      </w:tr>
      <w:tr w14:paraId="4AE2C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7" w:type="dxa"/>
            <w:tcBorders>
              <w:tl2br w:val="nil"/>
              <w:tr2bl w:val="nil"/>
            </w:tcBorders>
            <w:tcMar>
              <w:top w:w="16" w:type="dxa"/>
              <w:left w:w="16" w:type="dxa"/>
              <w:right w:w="16" w:type="dxa"/>
            </w:tcMar>
            <w:vAlign w:val="center"/>
          </w:tcPr>
          <w:p w14:paraId="677989BD">
            <w:pPr>
              <w:adjustRightInd w:val="0"/>
              <w:snapToGrid w:val="0"/>
              <w:jc w:val="center"/>
              <w:rPr>
                <w:b/>
                <w:bCs/>
                <w:color w:val="000000"/>
                <w:sz w:val="24"/>
              </w:rPr>
            </w:pPr>
            <w:r>
              <w:rPr>
                <w:b/>
                <w:bCs/>
                <w:color w:val="000000"/>
                <w:sz w:val="24"/>
              </w:rPr>
              <w:t>项目代码</w:t>
            </w:r>
          </w:p>
        </w:tc>
        <w:tc>
          <w:tcPr>
            <w:tcW w:w="8271" w:type="dxa"/>
            <w:gridSpan w:val="3"/>
            <w:tcBorders>
              <w:tl2br w:val="nil"/>
              <w:tr2bl w:val="nil"/>
            </w:tcBorders>
            <w:vAlign w:val="center"/>
          </w:tcPr>
          <w:p w14:paraId="3CA61790">
            <w:pPr>
              <w:adjustRightInd w:val="0"/>
              <w:snapToGrid w:val="0"/>
              <w:jc w:val="center"/>
              <w:rPr>
                <w:color w:val="000000"/>
                <w:sz w:val="24"/>
              </w:rPr>
            </w:pPr>
            <w:r>
              <w:rPr>
                <w:rFonts w:hint="eastAsia"/>
                <w:color w:val="000000"/>
                <w:sz w:val="24"/>
              </w:rPr>
              <w:t>2502-320413-04-01-615281</w:t>
            </w:r>
          </w:p>
        </w:tc>
      </w:tr>
      <w:tr w14:paraId="20ECE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7" w:type="dxa"/>
            <w:tcBorders>
              <w:tl2br w:val="nil"/>
              <w:tr2bl w:val="nil"/>
            </w:tcBorders>
            <w:tcMar>
              <w:top w:w="16" w:type="dxa"/>
              <w:left w:w="16" w:type="dxa"/>
              <w:right w:w="16" w:type="dxa"/>
            </w:tcMar>
            <w:vAlign w:val="center"/>
          </w:tcPr>
          <w:p w14:paraId="79A4CAD4">
            <w:pPr>
              <w:adjustRightInd w:val="0"/>
              <w:snapToGrid w:val="0"/>
              <w:jc w:val="center"/>
              <w:rPr>
                <w:b/>
                <w:bCs/>
                <w:color w:val="000000"/>
                <w:sz w:val="24"/>
              </w:rPr>
            </w:pPr>
            <w:r>
              <w:rPr>
                <w:b/>
                <w:bCs/>
                <w:color w:val="000000"/>
                <w:sz w:val="24"/>
              </w:rPr>
              <w:t>建设单位联系人</w:t>
            </w:r>
          </w:p>
        </w:tc>
        <w:tc>
          <w:tcPr>
            <w:tcW w:w="2435" w:type="dxa"/>
            <w:tcBorders>
              <w:tl2br w:val="nil"/>
              <w:tr2bl w:val="nil"/>
            </w:tcBorders>
            <w:vAlign w:val="center"/>
          </w:tcPr>
          <w:p w14:paraId="42061A1B">
            <w:pPr>
              <w:adjustRightInd w:val="0"/>
              <w:snapToGrid w:val="0"/>
              <w:jc w:val="center"/>
              <w:rPr>
                <w:color w:val="000000"/>
                <w:sz w:val="24"/>
              </w:rPr>
            </w:pPr>
            <w:r>
              <w:rPr>
                <w:rFonts w:hint="eastAsia"/>
                <w:color w:val="000000"/>
                <w:sz w:val="24"/>
              </w:rPr>
              <w:t>韩瑞婷</w:t>
            </w:r>
          </w:p>
        </w:tc>
        <w:tc>
          <w:tcPr>
            <w:tcW w:w="2248" w:type="dxa"/>
            <w:tcBorders>
              <w:tl2br w:val="nil"/>
              <w:tr2bl w:val="nil"/>
            </w:tcBorders>
            <w:vAlign w:val="center"/>
          </w:tcPr>
          <w:p w14:paraId="7F2457A5">
            <w:pPr>
              <w:adjustRightInd w:val="0"/>
              <w:snapToGrid w:val="0"/>
              <w:jc w:val="center"/>
              <w:rPr>
                <w:color w:val="000000"/>
                <w:sz w:val="24"/>
              </w:rPr>
            </w:pPr>
            <w:r>
              <w:rPr>
                <w:b/>
                <w:bCs/>
                <w:color w:val="000000"/>
                <w:sz w:val="24"/>
              </w:rPr>
              <w:t>联系方式</w:t>
            </w:r>
          </w:p>
        </w:tc>
        <w:tc>
          <w:tcPr>
            <w:tcW w:w="3588" w:type="dxa"/>
            <w:tcBorders>
              <w:tl2br w:val="nil"/>
              <w:tr2bl w:val="nil"/>
            </w:tcBorders>
            <w:vAlign w:val="center"/>
          </w:tcPr>
          <w:p w14:paraId="30434CFA">
            <w:pPr>
              <w:adjustRightInd w:val="0"/>
              <w:snapToGrid w:val="0"/>
              <w:jc w:val="center"/>
              <w:rPr>
                <w:color w:val="000000"/>
                <w:sz w:val="24"/>
              </w:rPr>
            </w:pPr>
            <w:r>
              <w:rPr>
                <w:rFonts w:hint="eastAsia"/>
                <w:color w:val="000000"/>
                <w:sz w:val="24"/>
              </w:rPr>
              <w:t>15251675398</w:t>
            </w:r>
          </w:p>
        </w:tc>
      </w:tr>
      <w:tr w14:paraId="01CBA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7" w:type="dxa"/>
            <w:tcBorders>
              <w:tl2br w:val="nil"/>
              <w:tr2bl w:val="nil"/>
            </w:tcBorders>
            <w:tcMar>
              <w:top w:w="16" w:type="dxa"/>
              <w:left w:w="16" w:type="dxa"/>
              <w:right w:w="16" w:type="dxa"/>
            </w:tcMar>
            <w:vAlign w:val="center"/>
          </w:tcPr>
          <w:p w14:paraId="3C346196">
            <w:pPr>
              <w:adjustRightInd w:val="0"/>
              <w:snapToGrid w:val="0"/>
              <w:jc w:val="center"/>
              <w:rPr>
                <w:b/>
                <w:bCs/>
                <w:color w:val="000000"/>
                <w:sz w:val="24"/>
              </w:rPr>
            </w:pPr>
            <w:r>
              <w:rPr>
                <w:b/>
                <w:bCs/>
                <w:color w:val="000000"/>
                <w:sz w:val="24"/>
              </w:rPr>
              <w:t>建设地点</w:t>
            </w:r>
          </w:p>
        </w:tc>
        <w:tc>
          <w:tcPr>
            <w:tcW w:w="8271" w:type="dxa"/>
            <w:gridSpan w:val="3"/>
            <w:tcBorders>
              <w:tl2br w:val="nil"/>
              <w:tr2bl w:val="nil"/>
            </w:tcBorders>
            <w:vAlign w:val="center"/>
          </w:tcPr>
          <w:p w14:paraId="40907B01">
            <w:pPr>
              <w:adjustRightInd w:val="0"/>
              <w:snapToGrid w:val="0"/>
              <w:jc w:val="center"/>
              <w:rPr>
                <w:color w:val="000000"/>
                <w:sz w:val="24"/>
              </w:rPr>
            </w:pPr>
            <w:r>
              <w:rPr>
                <w:rFonts w:hint="eastAsia"/>
                <w:color w:val="000000"/>
                <w:sz w:val="24"/>
                <w:u w:val="single"/>
              </w:rPr>
              <w:t>江苏</w:t>
            </w:r>
            <w:r>
              <w:rPr>
                <w:rFonts w:hint="eastAsia"/>
                <w:color w:val="000000"/>
                <w:sz w:val="24"/>
              </w:rPr>
              <w:t>省</w:t>
            </w:r>
            <w:r>
              <w:rPr>
                <w:rFonts w:hint="eastAsia"/>
                <w:color w:val="000000"/>
                <w:sz w:val="24"/>
                <w:u w:val="single"/>
              </w:rPr>
              <w:t>常州</w:t>
            </w:r>
            <w:r>
              <w:rPr>
                <w:rFonts w:hint="eastAsia"/>
                <w:color w:val="000000"/>
                <w:sz w:val="24"/>
              </w:rPr>
              <w:t>市</w:t>
            </w:r>
            <w:r>
              <w:rPr>
                <w:rFonts w:hint="eastAsia"/>
                <w:color w:val="000000"/>
                <w:sz w:val="24"/>
                <w:u w:val="single"/>
              </w:rPr>
              <w:t>金坛</w:t>
            </w:r>
            <w:r>
              <w:rPr>
                <w:rFonts w:hint="eastAsia"/>
                <w:color w:val="000000"/>
                <w:sz w:val="24"/>
              </w:rPr>
              <w:t>区</w:t>
            </w:r>
            <w:r>
              <w:rPr>
                <w:rFonts w:hint="eastAsia"/>
                <w:color w:val="000000"/>
                <w:sz w:val="24"/>
                <w:u w:val="single"/>
              </w:rPr>
              <w:t>朱林</w:t>
            </w:r>
            <w:r>
              <w:rPr>
                <w:rFonts w:hint="eastAsia"/>
                <w:color w:val="000000"/>
                <w:sz w:val="24"/>
              </w:rPr>
              <w:t>镇</w:t>
            </w:r>
            <w:r>
              <w:rPr>
                <w:rFonts w:hint="eastAsia"/>
                <w:color w:val="000000"/>
                <w:sz w:val="24"/>
                <w:u w:val="single"/>
              </w:rPr>
              <w:t>永顺路2号</w:t>
            </w:r>
          </w:p>
        </w:tc>
      </w:tr>
      <w:tr w14:paraId="16B98B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7" w:type="dxa"/>
            <w:tcBorders>
              <w:tl2br w:val="nil"/>
              <w:tr2bl w:val="nil"/>
            </w:tcBorders>
            <w:tcMar>
              <w:top w:w="16" w:type="dxa"/>
              <w:left w:w="16" w:type="dxa"/>
              <w:right w:w="16" w:type="dxa"/>
            </w:tcMar>
            <w:vAlign w:val="center"/>
          </w:tcPr>
          <w:p w14:paraId="7C162631">
            <w:pPr>
              <w:adjustRightInd w:val="0"/>
              <w:snapToGrid w:val="0"/>
              <w:jc w:val="center"/>
              <w:rPr>
                <w:b/>
                <w:bCs/>
                <w:sz w:val="24"/>
              </w:rPr>
            </w:pPr>
            <w:r>
              <w:rPr>
                <w:b/>
                <w:bCs/>
                <w:sz w:val="24"/>
              </w:rPr>
              <w:t>地理坐标</w:t>
            </w:r>
          </w:p>
        </w:tc>
        <w:tc>
          <w:tcPr>
            <w:tcW w:w="8271" w:type="dxa"/>
            <w:gridSpan w:val="3"/>
            <w:tcBorders>
              <w:tl2br w:val="nil"/>
              <w:tr2bl w:val="nil"/>
            </w:tcBorders>
            <w:vAlign w:val="center"/>
          </w:tcPr>
          <w:p w14:paraId="78C41DD6">
            <w:pPr>
              <w:jc w:val="center"/>
              <w:rPr>
                <w:sz w:val="24"/>
              </w:rPr>
            </w:pPr>
            <w:r>
              <w:rPr>
                <w:sz w:val="24"/>
              </w:rPr>
              <w:t>（</w:t>
            </w:r>
            <w:r>
              <w:rPr>
                <w:sz w:val="24"/>
                <w:u w:val="single"/>
              </w:rPr>
              <w:t>119</w:t>
            </w:r>
            <w:r>
              <w:rPr>
                <w:sz w:val="24"/>
              </w:rPr>
              <w:t>度</w:t>
            </w:r>
            <w:r>
              <w:rPr>
                <w:rFonts w:hint="eastAsia"/>
                <w:sz w:val="24"/>
                <w:u w:val="single"/>
              </w:rPr>
              <w:t>25</w:t>
            </w:r>
            <w:r>
              <w:rPr>
                <w:sz w:val="24"/>
              </w:rPr>
              <w:t>分</w:t>
            </w:r>
            <w:r>
              <w:rPr>
                <w:rFonts w:hint="eastAsia"/>
                <w:sz w:val="24"/>
                <w:u w:val="single"/>
              </w:rPr>
              <w:t>50.657</w:t>
            </w:r>
            <w:r>
              <w:rPr>
                <w:sz w:val="24"/>
              </w:rPr>
              <w:t>秒，</w:t>
            </w:r>
            <w:r>
              <w:rPr>
                <w:sz w:val="24"/>
                <w:u w:val="single"/>
              </w:rPr>
              <w:t>31</w:t>
            </w:r>
            <w:r>
              <w:rPr>
                <w:sz w:val="24"/>
              </w:rPr>
              <w:t>度</w:t>
            </w:r>
            <w:r>
              <w:rPr>
                <w:rFonts w:hint="eastAsia"/>
                <w:sz w:val="24"/>
                <w:u w:val="single"/>
              </w:rPr>
              <w:t>44</w:t>
            </w:r>
            <w:r>
              <w:rPr>
                <w:sz w:val="24"/>
              </w:rPr>
              <w:t>分</w:t>
            </w:r>
            <w:r>
              <w:rPr>
                <w:rFonts w:hint="eastAsia"/>
                <w:sz w:val="24"/>
                <w:u w:val="single"/>
              </w:rPr>
              <w:t>22.308</w:t>
            </w:r>
            <w:r>
              <w:rPr>
                <w:sz w:val="24"/>
              </w:rPr>
              <w:t>秒）</w:t>
            </w:r>
          </w:p>
        </w:tc>
      </w:tr>
      <w:tr w14:paraId="21365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7" w:type="dxa"/>
            <w:tcBorders>
              <w:tl2br w:val="nil"/>
              <w:tr2bl w:val="nil"/>
            </w:tcBorders>
            <w:tcMar>
              <w:top w:w="16" w:type="dxa"/>
              <w:left w:w="16" w:type="dxa"/>
              <w:right w:w="16" w:type="dxa"/>
            </w:tcMar>
            <w:vAlign w:val="center"/>
          </w:tcPr>
          <w:p w14:paraId="671E62D1">
            <w:pPr>
              <w:adjustRightInd w:val="0"/>
              <w:snapToGrid w:val="0"/>
              <w:jc w:val="center"/>
              <w:rPr>
                <w:b/>
                <w:bCs/>
                <w:sz w:val="24"/>
              </w:rPr>
            </w:pPr>
            <w:r>
              <w:rPr>
                <w:b/>
                <w:bCs/>
                <w:sz w:val="24"/>
              </w:rPr>
              <w:t>国民经济</w:t>
            </w:r>
          </w:p>
          <w:p w14:paraId="13C1E1B7">
            <w:pPr>
              <w:adjustRightInd w:val="0"/>
              <w:snapToGrid w:val="0"/>
              <w:jc w:val="center"/>
              <w:rPr>
                <w:b/>
                <w:bCs/>
                <w:sz w:val="24"/>
              </w:rPr>
            </w:pPr>
            <w:r>
              <w:rPr>
                <w:b/>
                <w:bCs/>
                <w:sz w:val="24"/>
              </w:rPr>
              <w:t>行业类别</w:t>
            </w:r>
          </w:p>
        </w:tc>
        <w:tc>
          <w:tcPr>
            <w:tcW w:w="2435" w:type="dxa"/>
            <w:tcBorders>
              <w:tl2br w:val="nil"/>
              <w:tr2bl w:val="nil"/>
            </w:tcBorders>
            <w:vAlign w:val="center"/>
          </w:tcPr>
          <w:p w14:paraId="0FFCF1A4">
            <w:pPr>
              <w:adjustRightInd w:val="0"/>
              <w:snapToGrid w:val="0"/>
              <w:jc w:val="center"/>
              <w:rPr>
                <w:sz w:val="24"/>
              </w:rPr>
            </w:pPr>
            <w:r>
              <w:rPr>
                <w:rFonts w:hint="eastAsia"/>
                <w:sz w:val="24"/>
              </w:rPr>
              <w:t>C2928人造草坪制造</w:t>
            </w:r>
          </w:p>
        </w:tc>
        <w:tc>
          <w:tcPr>
            <w:tcW w:w="2248" w:type="dxa"/>
            <w:tcBorders>
              <w:tl2br w:val="nil"/>
              <w:tr2bl w:val="nil"/>
            </w:tcBorders>
            <w:vAlign w:val="center"/>
          </w:tcPr>
          <w:p w14:paraId="75CED0FB">
            <w:pPr>
              <w:adjustRightInd w:val="0"/>
              <w:snapToGrid w:val="0"/>
              <w:jc w:val="center"/>
              <w:rPr>
                <w:b/>
                <w:bCs/>
                <w:sz w:val="24"/>
              </w:rPr>
            </w:pPr>
            <w:bookmarkStart w:id="0" w:name="_Hlk49843745"/>
            <w:r>
              <w:rPr>
                <w:b/>
                <w:bCs/>
                <w:sz w:val="24"/>
              </w:rPr>
              <w:t>建设项目</w:t>
            </w:r>
          </w:p>
          <w:p w14:paraId="1A341410">
            <w:pPr>
              <w:adjustRightInd w:val="0"/>
              <w:snapToGrid w:val="0"/>
              <w:jc w:val="center"/>
              <w:rPr>
                <w:b/>
                <w:bCs/>
                <w:sz w:val="24"/>
              </w:rPr>
            </w:pPr>
            <w:r>
              <w:rPr>
                <w:b/>
                <w:bCs/>
                <w:sz w:val="24"/>
              </w:rPr>
              <w:t>行业类别</w:t>
            </w:r>
            <w:bookmarkEnd w:id="0"/>
          </w:p>
        </w:tc>
        <w:tc>
          <w:tcPr>
            <w:tcW w:w="3588" w:type="dxa"/>
            <w:tcBorders>
              <w:tl2br w:val="nil"/>
              <w:tr2bl w:val="nil"/>
            </w:tcBorders>
            <w:vAlign w:val="center"/>
          </w:tcPr>
          <w:p w14:paraId="5AF26C6C">
            <w:pPr>
              <w:adjustRightInd w:val="0"/>
              <w:snapToGrid w:val="0"/>
              <w:rPr>
                <w:sz w:val="24"/>
              </w:rPr>
            </w:pPr>
            <w:r>
              <w:rPr>
                <w:rFonts w:hint="eastAsia"/>
                <w:sz w:val="24"/>
              </w:rPr>
              <w:t>二十六</w:t>
            </w:r>
            <w:r>
              <w:rPr>
                <w:sz w:val="24"/>
              </w:rPr>
              <w:t>、</w:t>
            </w:r>
            <w:r>
              <w:rPr>
                <w:rFonts w:hint="eastAsia"/>
                <w:sz w:val="24"/>
              </w:rPr>
              <w:t>橡胶和塑料制品业29</w:t>
            </w:r>
            <w:r>
              <w:rPr>
                <w:sz w:val="24"/>
              </w:rPr>
              <w:t>－</w:t>
            </w:r>
            <w:r>
              <w:rPr>
                <w:rFonts w:hint="eastAsia"/>
                <w:sz w:val="24"/>
              </w:rPr>
              <w:t>53塑料制品业292</w:t>
            </w:r>
          </w:p>
        </w:tc>
      </w:tr>
      <w:tr w14:paraId="7BC2F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7" w:type="dxa"/>
            <w:tcBorders>
              <w:tl2br w:val="nil"/>
              <w:tr2bl w:val="nil"/>
            </w:tcBorders>
            <w:tcMar>
              <w:top w:w="16" w:type="dxa"/>
              <w:left w:w="16" w:type="dxa"/>
              <w:right w:w="16" w:type="dxa"/>
            </w:tcMar>
            <w:vAlign w:val="center"/>
          </w:tcPr>
          <w:p w14:paraId="3CC4FBE4">
            <w:pPr>
              <w:adjustRightInd w:val="0"/>
              <w:snapToGrid w:val="0"/>
              <w:jc w:val="center"/>
              <w:rPr>
                <w:b/>
                <w:bCs/>
                <w:sz w:val="24"/>
              </w:rPr>
            </w:pPr>
            <w:r>
              <w:rPr>
                <w:b/>
                <w:bCs/>
                <w:sz w:val="24"/>
              </w:rPr>
              <w:t>建设性质</w:t>
            </w:r>
          </w:p>
        </w:tc>
        <w:tc>
          <w:tcPr>
            <w:tcW w:w="2435" w:type="dxa"/>
            <w:tcBorders>
              <w:tl2br w:val="nil"/>
              <w:tr2bl w:val="nil"/>
            </w:tcBorders>
            <w:vAlign w:val="center"/>
          </w:tcPr>
          <w:p w14:paraId="6C002700">
            <w:pPr>
              <w:jc w:val="left"/>
              <w:rPr>
                <w:sz w:val="24"/>
              </w:rPr>
            </w:pPr>
            <w:r>
              <w:rPr>
                <w:rFonts w:hint="eastAsia"/>
                <w:sz w:val="24"/>
              </w:rPr>
              <w:t>☑</w:t>
            </w:r>
            <w:r>
              <w:rPr>
                <w:sz w:val="24"/>
              </w:rPr>
              <w:t>新建（迁建）</w:t>
            </w:r>
          </w:p>
          <w:p w14:paraId="5CE52EA6">
            <w:pPr>
              <w:jc w:val="left"/>
              <w:rPr>
                <w:sz w:val="24"/>
              </w:rPr>
            </w:pPr>
            <w:r>
              <w:rPr>
                <w:rFonts w:hint="eastAsia"/>
                <w:sz w:val="24"/>
              </w:rPr>
              <w:t>□</w:t>
            </w:r>
            <w:r>
              <w:rPr>
                <w:sz w:val="24"/>
              </w:rPr>
              <w:t>改建</w:t>
            </w:r>
          </w:p>
          <w:p w14:paraId="5F3B75B0">
            <w:pPr>
              <w:jc w:val="left"/>
              <w:rPr>
                <w:sz w:val="24"/>
              </w:rPr>
            </w:pPr>
            <w:r>
              <w:rPr>
                <w:rFonts w:hint="eastAsia"/>
                <w:sz w:val="24"/>
              </w:rPr>
              <w:t>□</w:t>
            </w:r>
            <w:r>
              <w:rPr>
                <w:sz w:val="24"/>
              </w:rPr>
              <w:t>扩建</w:t>
            </w:r>
          </w:p>
          <w:p w14:paraId="071EC38C">
            <w:pPr>
              <w:jc w:val="left"/>
              <w:rPr>
                <w:sz w:val="24"/>
              </w:rPr>
            </w:pPr>
            <w:r>
              <w:rPr>
                <w:rFonts w:hint="eastAsia"/>
                <w:sz w:val="24"/>
              </w:rPr>
              <w:t>□</w:t>
            </w:r>
            <w:r>
              <w:rPr>
                <w:sz w:val="24"/>
              </w:rPr>
              <w:t>技术改造</w:t>
            </w:r>
          </w:p>
        </w:tc>
        <w:tc>
          <w:tcPr>
            <w:tcW w:w="2248" w:type="dxa"/>
            <w:tcBorders>
              <w:tl2br w:val="nil"/>
              <w:tr2bl w:val="nil"/>
            </w:tcBorders>
            <w:vAlign w:val="center"/>
          </w:tcPr>
          <w:p w14:paraId="424086D5">
            <w:pPr>
              <w:adjustRightInd w:val="0"/>
              <w:snapToGrid w:val="0"/>
              <w:jc w:val="center"/>
              <w:rPr>
                <w:b/>
                <w:bCs/>
                <w:sz w:val="24"/>
              </w:rPr>
            </w:pPr>
            <w:r>
              <w:rPr>
                <w:b/>
                <w:bCs/>
                <w:sz w:val="24"/>
              </w:rPr>
              <w:t>建设项目</w:t>
            </w:r>
          </w:p>
          <w:p w14:paraId="40818354">
            <w:pPr>
              <w:adjustRightInd w:val="0"/>
              <w:snapToGrid w:val="0"/>
              <w:jc w:val="center"/>
              <w:rPr>
                <w:b/>
                <w:bCs/>
                <w:sz w:val="24"/>
              </w:rPr>
            </w:pPr>
            <w:r>
              <w:rPr>
                <w:b/>
                <w:bCs/>
                <w:sz w:val="24"/>
              </w:rPr>
              <w:t>申报情形</w:t>
            </w:r>
          </w:p>
        </w:tc>
        <w:tc>
          <w:tcPr>
            <w:tcW w:w="3588" w:type="dxa"/>
            <w:tcBorders>
              <w:tl2br w:val="nil"/>
              <w:tr2bl w:val="nil"/>
            </w:tcBorders>
            <w:vAlign w:val="center"/>
          </w:tcPr>
          <w:p w14:paraId="43980136">
            <w:pPr>
              <w:jc w:val="left"/>
              <w:rPr>
                <w:sz w:val="24"/>
              </w:rPr>
            </w:pPr>
            <w:r>
              <w:rPr>
                <w:sz w:val="24"/>
              </w:rPr>
              <w:t>☑首次申报项目</w:t>
            </w:r>
          </w:p>
          <w:p w14:paraId="39734A56">
            <w:pPr>
              <w:jc w:val="left"/>
              <w:rPr>
                <w:sz w:val="24"/>
              </w:rPr>
            </w:pPr>
            <w:r>
              <w:rPr>
                <w:rFonts w:hint="eastAsia"/>
                <w:sz w:val="24"/>
              </w:rPr>
              <w:t>□</w:t>
            </w:r>
            <w:r>
              <w:rPr>
                <w:sz w:val="24"/>
              </w:rPr>
              <w:t>不予批准后再次申报项目</w:t>
            </w:r>
          </w:p>
          <w:p w14:paraId="16F7974B">
            <w:pPr>
              <w:jc w:val="left"/>
              <w:rPr>
                <w:sz w:val="24"/>
              </w:rPr>
            </w:pPr>
            <w:r>
              <w:rPr>
                <w:rFonts w:hint="eastAsia"/>
                <w:sz w:val="24"/>
              </w:rPr>
              <w:t>□</w:t>
            </w:r>
            <w:r>
              <w:rPr>
                <w:sz w:val="24"/>
              </w:rPr>
              <w:t>超五年重新审核项目</w:t>
            </w:r>
          </w:p>
          <w:p w14:paraId="3373C7C0">
            <w:pPr>
              <w:jc w:val="left"/>
              <w:rPr>
                <w:sz w:val="24"/>
              </w:rPr>
            </w:pPr>
            <w:r>
              <w:rPr>
                <w:rFonts w:hint="eastAsia"/>
                <w:sz w:val="24"/>
              </w:rPr>
              <w:t>□</w:t>
            </w:r>
            <w:r>
              <w:rPr>
                <w:sz w:val="24"/>
              </w:rPr>
              <w:t>重大变动重新报批项目</w:t>
            </w:r>
          </w:p>
        </w:tc>
      </w:tr>
      <w:tr w14:paraId="1132B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7" w:type="dxa"/>
            <w:tcBorders>
              <w:tl2br w:val="nil"/>
              <w:tr2bl w:val="nil"/>
            </w:tcBorders>
            <w:tcMar>
              <w:top w:w="16" w:type="dxa"/>
              <w:left w:w="16" w:type="dxa"/>
              <w:right w:w="16" w:type="dxa"/>
            </w:tcMar>
            <w:vAlign w:val="center"/>
          </w:tcPr>
          <w:p w14:paraId="009A29ED">
            <w:pPr>
              <w:adjustRightInd w:val="0"/>
              <w:snapToGrid w:val="0"/>
              <w:jc w:val="center"/>
              <w:rPr>
                <w:b/>
                <w:bCs/>
                <w:color w:val="000000"/>
                <w:sz w:val="24"/>
              </w:rPr>
            </w:pPr>
            <w:r>
              <w:rPr>
                <w:b/>
                <w:bCs/>
                <w:color w:val="000000"/>
                <w:sz w:val="24"/>
              </w:rPr>
              <w:t>项目审批（核准/备案）部门（选填）</w:t>
            </w:r>
          </w:p>
        </w:tc>
        <w:tc>
          <w:tcPr>
            <w:tcW w:w="2435" w:type="dxa"/>
            <w:tcBorders>
              <w:tl2br w:val="nil"/>
              <w:tr2bl w:val="nil"/>
            </w:tcBorders>
            <w:vAlign w:val="center"/>
          </w:tcPr>
          <w:p w14:paraId="35472378">
            <w:pPr>
              <w:adjustRightInd w:val="0"/>
              <w:snapToGrid w:val="0"/>
              <w:jc w:val="center"/>
              <w:rPr>
                <w:color w:val="000000"/>
                <w:sz w:val="24"/>
              </w:rPr>
            </w:pPr>
            <w:r>
              <w:rPr>
                <w:rFonts w:hint="eastAsia"/>
                <w:color w:val="000000"/>
                <w:sz w:val="24"/>
              </w:rPr>
              <w:t>常州市金坛区发展和改革局</w:t>
            </w:r>
          </w:p>
        </w:tc>
        <w:tc>
          <w:tcPr>
            <w:tcW w:w="2248" w:type="dxa"/>
            <w:tcBorders>
              <w:tl2br w:val="nil"/>
              <w:tr2bl w:val="nil"/>
            </w:tcBorders>
            <w:vAlign w:val="center"/>
          </w:tcPr>
          <w:p w14:paraId="0528792E">
            <w:pPr>
              <w:adjustRightInd w:val="0"/>
              <w:snapToGrid w:val="0"/>
              <w:jc w:val="center"/>
              <w:rPr>
                <w:b/>
                <w:bCs/>
                <w:color w:val="000000"/>
                <w:sz w:val="24"/>
              </w:rPr>
            </w:pPr>
            <w:r>
              <w:rPr>
                <w:b/>
                <w:bCs/>
                <w:color w:val="000000"/>
                <w:sz w:val="24"/>
              </w:rPr>
              <w:t>项目审批（核准/备案）文号（选填）</w:t>
            </w:r>
          </w:p>
        </w:tc>
        <w:tc>
          <w:tcPr>
            <w:tcW w:w="3588" w:type="dxa"/>
            <w:tcBorders>
              <w:tl2br w:val="nil"/>
              <w:tr2bl w:val="nil"/>
            </w:tcBorders>
            <w:vAlign w:val="center"/>
          </w:tcPr>
          <w:p w14:paraId="7CBD9CBB">
            <w:pPr>
              <w:adjustRightInd w:val="0"/>
              <w:snapToGrid w:val="0"/>
              <w:jc w:val="center"/>
              <w:rPr>
                <w:color w:val="000000"/>
                <w:sz w:val="24"/>
              </w:rPr>
            </w:pPr>
            <w:r>
              <w:rPr>
                <w:rFonts w:hint="eastAsia"/>
                <w:bCs/>
                <w:color w:val="000000"/>
                <w:sz w:val="24"/>
              </w:rPr>
              <w:t>坛发改备(2025)84号</w:t>
            </w:r>
          </w:p>
        </w:tc>
      </w:tr>
      <w:tr w14:paraId="3D9EFD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7" w:type="dxa"/>
            <w:tcBorders>
              <w:tl2br w:val="nil"/>
              <w:tr2bl w:val="nil"/>
            </w:tcBorders>
            <w:tcMar>
              <w:top w:w="16" w:type="dxa"/>
              <w:left w:w="16" w:type="dxa"/>
              <w:right w:w="16" w:type="dxa"/>
            </w:tcMar>
            <w:vAlign w:val="center"/>
          </w:tcPr>
          <w:p w14:paraId="60C7ABE9">
            <w:pPr>
              <w:adjustRightInd w:val="0"/>
              <w:snapToGrid w:val="0"/>
              <w:jc w:val="center"/>
              <w:rPr>
                <w:b/>
                <w:bCs/>
                <w:sz w:val="24"/>
              </w:rPr>
            </w:pPr>
            <w:r>
              <w:rPr>
                <w:b/>
                <w:bCs/>
                <w:sz w:val="24"/>
              </w:rPr>
              <w:t>总投资（万元）</w:t>
            </w:r>
          </w:p>
        </w:tc>
        <w:tc>
          <w:tcPr>
            <w:tcW w:w="2435" w:type="dxa"/>
            <w:tcBorders>
              <w:tl2br w:val="nil"/>
              <w:tr2bl w:val="nil"/>
            </w:tcBorders>
            <w:vAlign w:val="center"/>
          </w:tcPr>
          <w:p w14:paraId="671AEF8C">
            <w:pPr>
              <w:adjustRightInd w:val="0"/>
              <w:snapToGrid w:val="0"/>
              <w:jc w:val="center"/>
              <w:rPr>
                <w:sz w:val="24"/>
              </w:rPr>
            </w:pPr>
            <w:r>
              <w:rPr>
                <w:rFonts w:hint="eastAsia"/>
                <w:sz w:val="24"/>
              </w:rPr>
              <w:t>3500</w:t>
            </w:r>
          </w:p>
        </w:tc>
        <w:tc>
          <w:tcPr>
            <w:tcW w:w="2248" w:type="dxa"/>
            <w:tcBorders>
              <w:tl2br w:val="nil"/>
              <w:tr2bl w:val="nil"/>
            </w:tcBorders>
            <w:tcMar>
              <w:top w:w="16" w:type="dxa"/>
              <w:left w:w="16" w:type="dxa"/>
              <w:right w:w="16" w:type="dxa"/>
            </w:tcMar>
            <w:vAlign w:val="center"/>
          </w:tcPr>
          <w:p w14:paraId="0F64A8E7">
            <w:pPr>
              <w:adjustRightInd w:val="0"/>
              <w:snapToGrid w:val="0"/>
              <w:jc w:val="center"/>
              <w:rPr>
                <w:b/>
                <w:bCs/>
                <w:sz w:val="24"/>
              </w:rPr>
            </w:pPr>
            <w:r>
              <w:rPr>
                <w:b/>
                <w:bCs/>
                <w:sz w:val="24"/>
              </w:rPr>
              <w:t>环保投资（万元）</w:t>
            </w:r>
          </w:p>
        </w:tc>
        <w:tc>
          <w:tcPr>
            <w:tcW w:w="3588" w:type="dxa"/>
            <w:tcBorders>
              <w:tl2br w:val="nil"/>
              <w:tr2bl w:val="nil"/>
            </w:tcBorders>
            <w:vAlign w:val="center"/>
          </w:tcPr>
          <w:p w14:paraId="23B04DA2">
            <w:pPr>
              <w:adjustRightInd w:val="0"/>
              <w:snapToGrid w:val="0"/>
              <w:jc w:val="center"/>
              <w:rPr>
                <w:sz w:val="24"/>
              </w:rPr>
            </w:pPr>
            <w:r>
              <w:rPr>
                <w:rFonts w:hint="eastAsia"/>
                <w:sz w:val="24"/>
              </w:rPr>
              <w:t>60</w:t>
            </w:r>
          </w:p>
        </w:tc>
      </w:tr>
      <w:tr w14:paraId="626CFA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7" w:type="dxa"/>
            <w:tcBorders>
              <w:tl2br w:val="nil"/>
              <w:tr2bl w:val="nil"/>
            </w:tcBorders>
            <w:tcMar>
              <w:top w:w="16" w:type="dxa"/>
              <w:left w:w="16" w:type="dxa"/>
              <w:right w:w="16" w:type="dxa"/>
            </w:tcMar>
            <w:vAlign w:val="center"/>
          </w:tcPr>
          <w:p w14:paraId="17765D58">
            <w:pPr>
              <w:adjustRightInd w:val="0"/>
              <w:snapToGrid w:val="0"/>
              <w:jc w:val="center"/>
              <w:rPr>
                <w:b/>
                <w:bCs/>
                <w:sz w:val="24"/>
              </w:rPr>
            </w:pPr>
            <w:r>
              <w:rPr>
                <w:b/>
                <w:bCs/>
                <w:sz w:val="24"/>
              </w:rPr>
              <w:t>环保投资占比（%）</w:t>
            </w:r>
          </w:p>
        </w:tc>
        <w:tc>
          <w:tcPr>
            <w:tcW w:w="2435" w:type="dxa"/>
            <w:tcBorders>
              <w:tl2br w:val="nil"/>
              <w:tr2bl w:val="nil"/>
            </w:tcBorders>
            <w:vAlign w:val="center"/>
          </w:tcPr>
          <w:p w14:paraId="32E7B2BD">
            <w:pPr>
              <w:adjustRightInd w:val="0"/>
              <w:snapToGrid w:val="0"/>
              <w:jc w:val="center"/>
              <w:rPr>
                <w:sz w:val="24"/>
              </w:rPr>
            </w:pPr>
            <w:r>
              <w:rPr>
                <w:rFonts w:hint="eastAsia"/>
                <w:sz w:val="24"/>
              </w:rPr>
              <w:t>6</w:t>
            </w:r>
          </w:p>
        </w:tc>
        <w:tc>
          <w:tcPr>
            <w:tcW w:w="2248" w:type="dxa"/>
            <w:tcBorders>
              <w:tl2br w:val="nil"/>
              <w:tr2bl w:val="nil"/>
            </w:tcBorders>
            <w:tcMar>
              <w:top w:w="16" w:type="dxa"/>
              <w:left w:w="16" w:type="dxa"/>
              <w:right w:w="16" w:type="dxa"/>
            </w:tcMar>
            <w:vAlign w:val="center"/>
          </w:tcPr>
          <w:p w14:paraId="7DC0D838">
            <w:pPr>
              <w:adjustRightInd w:val="0"/>
              <w:snapToGrid w:val="0"/>
              <w:jc w:val="center"/>
              <w:rPr>
                <w:b/>
                <w:bCs/>
                <w:sz w:val="24"/>
              </w:rPr>
            </w:pPr>
            <w:r>
              <w:rPr>
                <w:b/>
                <w:bCs/>
                <w:sz w:val="24"/>
              </w:rPr>
              <w:t>施工工期</w:t>
            </w:r>
          </w:p>
        </w:tc>
        <w:tc>
          <w:tcPr>
            <w:tcW w:w="3588" w:type="dxa"/>
            <w:tcBorders>
              <w:tl2br w:val="nil"/>
              <w:tr2bl w:val="nil"/>
            </w:tcBorders>
            <w:vAlign w:val="center"/>
          </w:tcPr>
          <w:p w14:paraId="6A33DB32">
            <w:pPr>
              <w:adjustRightInd w:val="0"/>
              <w:snapToGrid w:val="0"/>
              <w:jc w:val="center"/>
              <w:rPr>
                <w:sz w:val="24"/>
              </w:rPr>
            </w:pPr>
            <w:r>
              <w:rPr>
                <w:sz w:val="24"/>
              </w:rPr>
              <w:t>3个月</w:t>
            </w:r>
          </w:p>
        </w:tc>
      </w:tr>
      <w:tr w14:paraId="368AB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7" w:type="dxa"/>
            <w:tcBorders>
              <w:tl2br w:val="nil"/>
              <w:tr2bl w:val="nil"/>
            </w:tcBorders>
            <w:tcMar>
              <w:top w:w="16" w:type="dxa"/>
              <w:left w:w="16" w:type="dxa"/>
              <w:right w:w="16" w:type="dxa"/>
            </w:tcMar>
            <w:vAlign w:val="center"/>
          </w:tcPr>
          <w:p w14:paraId="09E380A3">
            <w:pPr>
              <w:adjustRightInd w:val="0"/>
              <w:snapToGrid w:val="0"/>
              <w:jc w:val="center"/>
              <w:rPr>
                <w:b/>
                <w:bCs/>
                <w:color w:val="000000"/>
                <w:sz w:val="24"/>
              </w:rPr>
            </w:pPr>
            <w:r>
              <w:rPr>
                <w:b/>
                <w:bCs/>
                <w:color w:val="000000"/>
                <w:sz w:val="24"/>
              </w:rPr>
              <w:t>是否开工建设</w:t>
            </w:r>
          </w:p>
        </w:tc>
        <w:tc>
          <w:tcPr>
            <w:tcW w:w="2435" w:type="dxa"/>
            <w:tcBorders>
              <w:tl2br w:val="nil"/>
              <w:tr2bl w:val="nil"/>
            </w:tcBorders>
            <w:vAlign w:val="center"/>
          </w:tcPr>
          <w:p w14:paraId="77CAB093">
            <w:pPr>
              <w:adjustRightInd w:val="0"/>
              <w:snapToGrid w:val="0"/>
              <w:rPr>
                <w:sz w:val="24"/>
              </w:rPr>
            </w:pPr>
            <w:r>
              <w:rPr>
                <w:sz w:val="24"/>
              </w:rPr>
              <w:t>☑否</w:t>
            </w:r>
          </w:p>
          <w:p w14:paraId="35E4DC8E">
            <w:pPr>
              <w:adjustRightInd w:val="0"/>
              <w:snapToGrid w:val="0"/>
              <w:rPr>
                <w:sz w:val="24"/>
              </w:rPr>
            </w:pPr>
            <w:r>
              <w:rPr>
                <w:rFonts w:hint="eastAsia"/>
                <w:sz w:val="24"/>
              </w:rPr>
              <w:t>□</w:t>
            </w:r>
            <w:r>
              <w:rPr>
                <w:sz w:val="24"/>
              </w:rPr>
              <w:t>是：</w:t>
            </w:r>
          </w:p>
        </w:tc>
        <w:tc>
          <w:tcPr>
            <w:tcW w:w="2248" w:type="dxa"/>
            <w:tcBorders>
              <w:tl2br w:val="nil"/>
              <w:tr2bl w:val="nil"/>
            </w:tcBorders>
            <w:tcMar>
              <w:top w:w="16" w:type="dxa"/>
              <w:left w:w="16" w:type="dxa"/>
              <w:right w:w="16" w:type="dxa"/>
            </w:tcMar>
            <w:vAlign w:val="center"/>
          </w:tcPr>
          <w:p w14:paraId="27EE15D2">
            <w:pPr>
              <w:adjustRightInd w:val="0"/>
              <w:snapToGrid w:val="0"/>
              <w:jc w:val="center"/>
              <w:rPr>
                <w:b/>
                <w:bCs/>
                <w:sz w:val="24"/>
              </w:rPr>
            </w:pPr>
            <w:r>
              <w:rPr>
                <w:b/>
                <w:bCs/>
                <w:sz w:val="24"/>
              </w:rPr>
              <w:t>用地（用海）</w:t>
            </w:r>
          </w:p>
          <w:p w14:paraId="73C7D1C8">
            <w:pPr>
              <w:adjustRightInd w:val="0"/>
              <w:snapToGrid w:val="0"/>
              <w:jc w:val="center"/>
              <w:rPr>
                <w:b/>
                <w:bCs/>
                <w:sz w:val="24"/>
              </w:rPr>
            </w:pPr>
            <w:r>
              <w:rPr>
                <w:b/>
                <w:bCs/>
                <w:sz w:val="24"/>
              </w:rPr>
              <w:t>面积（m</w:t>
            </w:r>
            <w:r>
              <w:rPr>
                <w:b/>
                <w:bCs/>
                <w:sz w:val="24"/>
                <w:vertAlign w:val="superscript"/>
              </w:rPr>
              <w:t>2</w:t>
            </w:r>
            <w:r>
              <w:rPr>
                <w:b/>
                <w:bCs/>
                <w:sz w:val="24"/>
              </w:rPr>
              <w:t>）</w:t>
            </w:r>
          </w:p>
        </w:tc>
        <w:tc>
          <w:tcPr>
            <w:tcW w:w="3588" w:type="dxa"/>
            <w:tcBorders>
              <w:tl2br w:val="nil"/>
              <w:tr2bl w:val="nil"/>
            </w:tcBorders>
            <w:vAlign w:val="center"/>
          </w:tcPr>
          <w:p w14:paraId="53C7E436">
            <w:pPr>
              <w:adjustRightInd w:val="0"/>
              <w:snapToGrid w:val="0"/>
              <w:jc w:val="center"/>
              <w:rPr>
                <w:sz w:val="24"/>
              </w:rPr>
            </w:pPr>
            <w:r>
              <w:rPr>
                <w:rFonts w:hint="eastAsia"/>
                <w:sz w:val="24"/>
              </w:rPr>
              <w:t>2000（租赁）</w:t>
            </w:r>
          </w:p>
        </w:tc>
      </w:tr>
      <w:tr w14:paraId="06941E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6" w:hRule="atLeast"/>
          <w:jc w:val="center"/>
        </w:trPr>
        <w:tc>
          <w:tcPr>
            <w:tcW w:w="1367" w:type="dxa"/>
            <w:tcBorders>
              <w:tl2br w:val="nil"/>
              <w:tr2bl w:val="nil"/>
            </w:tcBorders>
            <w:vAlign w:val="center"/>
          </w:tcPr>
          <w:p w14:paraId="039538E3">
            <w:pPr>
              <w:autoSpaceDE w:val="0"/>
              <w:autoSpaceDN w:val="0"/>
              <w:adjustRightInd w:val="0"/>
              <w:snapToGrid w:val="0"/>
              <w:jc w:val="center"/>
              <w:rPr>
                <w:b/>
                <w:bCs/>
                <w:kern w:val="0"/>
                <w:sz w:val="24"/>
              </w:rPr>
            </w:pPr>
            <w:r>
              <w:rPr>
                <w:b/>
                <w:bCs/>
                <w:kern w:val="0"/>
                <w:sz w:val="24"/>
              </w:rPr>
              <w:t>专项评价</w:t>
            </w:r>
          </w:p>
          <w:p w14:paraId="0EB41E55">
            <w:pPr>
              <w:autoSpaceDE w:val="0"/>
              <w:autoSpaceDN w:val="0"/>
              <w:adjustRightInd w:val="0"/>
              <w:snapToGrid w:val="0"/>
              <w:jc w:val="center"/>
              <w:rPr>
                <w:b/>
                <w:bCs/>
                <w:kern w:val="0"/>
                <w:szCs w:val="21"/>
              </w:rPr>
            </w:pPr>
            <w:r>
              <w:rPr>
                <w:b/>
                <w:bCs/>
                <w:kern w:val="0"/>
                <w:sz w:val="24"/>
              </w:rPr>
              <w:t>设置情况</w:t>
            </w:r>
          </w:p>
        </w:tc>
        <w:tc>
          <w:tcPr>
            <w:tcW w:w="8271" w:type="dxa"/>
            <w:gridSpan w:val="3"/>
            <w:tcBorders>
              <w:tl2br w:val="nil"/>
              <w:tr2bl w:val="nil"/>
            </w:tcBorders>
            <w:vAlign w:val="center"/>
          </w:tcPr>
          <w:p w14:paraId="2EFC4965">
            <w:pPr>
              <w:adjustRightInd w:val="0"/>
              <w:snapToGrid w:val="0"/>
              <w:spacing w:line="480" w:lineRule="exact"/>
              <w:jc w:val="center"/>
              <w:rPr>
                <w:b/>
                <w:bCs/>
                <w:sz w:val="24"/>
              </w:rPr>
            </w:pPr>
            <w:r>
              <w:rPr>
                <w:b/>
                <w:bCs/>
                <w:sz w:val="24"/>
              </w:rPr>
              <w:t>表1-1  专项评价设置对照表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41"/>
              <w:gridCol w:w="4261"/>
              <w:gridCol w:w="2069"/>
              <w:gridCol w:w="884"/>
            </w:tblGrid>
            <w:tr w14:paraId="0C218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2" w:type="pct"/>
                  <w:vAlign w:val="center"/>
                </w:tcPr>
                <w:p w14:paraId="1F98691B">
                  <w:pPr>
                    <w:autoSpaceDE w:val="0"/>
                    <w:autoSpaceDN w:val="0"/>
                    <w:adjustRightInd w:val="0"/>
                    <w:snapToGrid w:val="0"/>
                    <w:spacing w:before="24" w:after="24"/>
                    <w:jc w:val="center"/>
                    <w:rPr>
                      <w:b/>
                      <w:bCs/>
                      <w:szCs w:val="21"/>
                    </w:rPr>
                  </w:pPr>
                  <w:r>
                    <w:rPr>
                      <w:b/>
                      <w:bCs/>
                      <w:szCs w:val="21"/>
                    </w:rPr>
                    <w:t>类别</w:t>
                  </w:r>
                </w:p>
              </w:tc>
              <w:tc>
                <w:tcPr>
                  <w:tcW w:w="2644" w:type="pct"/>
                  <w:vAlign w:val="center"/>
                </w:tcPr>
                <w:p w14:paraId="3504FA3D">
                  <w:pPr>
                    <w:autoSpaceDE w:val="0"/>
                    <w:autoSpaceDN w:val="0"/>
                    <w:adjustRightInd w:val="0"/>
                    <w:snapToGrid w:val="0"/>
                    <w:spacing w:before="24" w:after="24"/>
                    <w:jc w:val="center"/>
                    <w:rPr>
                      <w:b/>
                      <w:bCs/>
                      <w:szCs w:val="21"/>
                    </w:rPr>
                  </w:pPr>
                  <w:r>
                    <w:rPr>
                      <w:b/>
                      <w:bCs/>
                      <w:szCs w:val="21"/>
                    </w:rPr>
                    <w:t>设置原则</w:t>
                  </w:r>
                </w:p>
              </w:tc>
              <w:tc>
                <w:tcPr>
                  <w:tcW w:w="1284" w:type="pct"/>
                  <w:vAlign w:val="center"/>
                </w:tcPr>
                <w:p w14:paraId="1B00D04D">
                  <w:pPr>
                    <w:autoSpaceDE w:val="0"/>
                    <w:autoSpaceDN w:val="0"/>
                    <w:adjustRightInd w:val="0"/>
                    <w:snapToGrid w:val="0"/>
                    <w:spacing w:before="24" w:after="24"/>
                    <w:jc w:val="center"/>
                    <w:rPr>
                      <w:b/>
                      <w:bCs/>
                      <w:szCs w:val="21"/>
                    </w:rPr>
                  </w:pPr>
                  <w:r>
                    <w:rPr>
                      <w:b/>
                      <w:bCs/>
                      <w:szCs w:val="21"/>
                    </w:rPr>
                    <w:t>本项目对照情况</w:t>
                  </w:r>
                </w:p>
              </w:tc>
              <w:tc>
                <w:tcPr>
                  <w:tcW w:w="548" w:type="pct"/>
                  <w:vAlign w:val="center"/>
                </w:tcPr>
                <w:p w14:paraId="0943E128">
                  <w:pPr>
                    <w:autoSpaceDE w:val="0"/>
                    <w:autoSpaceDN w:val="0"/>
                    <w:adjustRightInd w:val="0"/>
                    <w:snapToGrid w:val="0"/>
                    <w:spacing w:before="24" w:after="24"/>
                    <w:jc w:val="center"/>
                    <w:rPr>
                      <w:b/>
                      <w:bCs/>
                      <w:szCs w:val="21"/>
                    </w:rPr>
                  </w:pPr>
                  <w:r>
                    <w:rPr>
                      <w:b/>
                      <w:bCs/>
                      <w:szCs w:val="21"/>
                    </w:rPr>
                    <w:t>是否设置</w:t>
                  </w:r>
                </w:p>
              </w:tc>
            </w:tr>
            <w:tr w14:paraId="6BB65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2" w:type="pct"/>
                  <w:vAlign w:val="center"/>
                </w:tcPr>
                <w:p w14:paraId="7CE28C68">
                  <w:pPr>
                    <w:autoSpaceDE w:val="0"/>
                    <w:autoSpaceDN w:val="0"/>
                    <w:adjustRightInd w:val="0"/>
                    <w:snapToGrid w:val="0"/>
                    <w:spacing w:before="24" w:after="24"/>
                    <w:jc w:val="center"/>
                    <w:rPr>
                      <w:szCs w:val="21"/>
                    </w:rPr>
                  </w:pPr>
                  <w:r>
                    <w:rPr>
                      <w:szCs w:val="21"/>
                    </w:rPr>
                    <w:t>大气</w:t>
                  </w:r>
                </w:p>
              </w:tc>
              <w:tc>
                <w:tcPr>
                  <w:tcW w:w="2644" w:type="pct"/>
                  <w:vAlign w:val="center"/>
                </w:tcPr>
                <w:p w14:paraId="1A317C2D">
                  <w:pPr>
                    <w:autoSpaceDE w:val="0"/>
                    <w:autoSpaceDN w:val="0"/>
                    <w:adjustRightInd w:val="0"/>
                    <w:snapToGrid w:val="0"/>
                    <w:spacing w:before="24" w:after="24"/>
                    <w:jc w:val="center"/>
                    <w:rPr>
                      <w:szCs w:val="21"/>
                    </w:rPr>
                  </w:pPr>
                  <w:r>
                    <w:rPr>
                      <w:szCs w:val="21"/>
                    </w:rPr>
                    <w:t>排放废气含有毒有害污染物、二噁英、苯并[a]芘、氰化物、氯气且厂界外500米范围内有环境空气保护目标的建设项目</w:t>
                  </w:r>
                </w:p>
              </w:tc>
              <w:tc>
                <w:tcPr>
                  <w:tcW w:w="1284" w:type="pct"/>
                  <w:vAlign w:val="center"/>
                </w:tcPr>
                <w:p w14:paraId="777590B4">
                  <w:pPr>
                    <w:autoSpaceDE w:val="0"/>
                    <w:autoSpaceDN w:val="0"/>
                    <w:adjustRightInd w:val="0"/>
                    <w:snapToGrid w:val="0"/>
                    <w:spacing w:before="24" w:after="24"/>
                    <w:jc w:val="center"/>
                    <w:rPr>
                      <w:szCs w:val="21"/>
                    </w:rPr>
                  </w:pPr>
                  <w:r>
                    <w:rPr>
                      <w:szCs w:val="21"/>
                    </w:rPr>
                    <w:t>本项目不排放有毒有害污染物、二噁英、苯并[a]芘、氰化物、氯气</w:t>
                  </w:r>
                </w:p>
              </w:tc>
              <w:tc>
                <w:tcPr>
                  <w:tcW w:w="548" w:type="pct"/>
                  <w:vAlign w:val="center"/>
                </w:tcPr>
                <w:p w14:paraId="743D38BB">
                  <w:pPr>
                    <w:autoSpaceDE w:val="0"/>
                    <w:autoSpaceDN w:val="0"/>
                    <w:adjustRightInd w:val="0"/>
                    <w:snapToGrid w:val="0"/>
                    <w:spacing w:before="24" w:after="24"/>
                    <w:jc w:val="center"/>
                    <w:rPr>
                      <w:szCs w:val="21"/>
                    </w:rPr>
                  </w:pPr>
                  <w:r>
                    <w:rPr>
                      <w:szCs w:val="21"/>
                    </w:rPr>
                    <w:t>否</w:t>
                  </w:r>
                </w:p>
              </w:tc>
            </w:tr>
            <w:tr w14:paraId="1B0F8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2" w:type="pct"/>
                  <w:vAlign w:val="center"/>
                </w:tcPr>
                <w:p w14:paraId="4DD33BA2">
                  <w:pPr>
                    <w:autoSpaceDE w:val="0"/>
                    <w:autoSpaceDN w:val="0"/>
                    <w:adjustRightInd w:val="0"/>
                    <w:snapToGrid w:val="0"/>
                    <w:spacing w:before="24" w:after="24"/>
                    <w:jc w:val="center"/>
                    <w:rPr>
                      <w:szCs w:val="21"/>
                    </w:rPr>
                  </w:pPr>
                  <w:r>
                    <w:rPr>
                      <w:szCs w:val="21"/>
                    </w:rPr>
                    <w:t>地表水</w:t>
                  </w:r>
                </w:p>
              </w:tc>
              <w:tc>
                <w:tcPr>
                  <w:tcW w:w="2644" w:type="pct"/>
                  <w:vAlign w:val="center"/>
                </w:tcPr>
                <w:p w14:paraId="3BA3A1AD">
                  <w:pPr>
                    <w:autoSpaceDE w:val="0"/>
                    <w:autoSpaceDN w:val="0"/>
                    <w:adjustRightInd w:val="0"/>
                    <w:snapToGrid w:val="0"/>
                    <w:spacing w:before="24" w:after="24"/>
                    <w:jc w:val="center"/>
                    <w:rPr>
                      <w:szCs w:val="21"/>
                    </w:rPr>
                  </w:pPr>
                  <w:r>
                    <w:rPr>
                      <w:szCs w:val="21"/>
                    </w:rPr>
                    <w:t>新增工业废水直排建设项目（槽罐车外送污水处理厂的除外）；新增废水直排的污水集中处理厂</w:t>
                  </w:r>
                </w:p>
              </w:tc>
              <w:tc>
                <w:tcPr>
                  <w:tcW w:w="1284" w:type="pct"/>
                  <w:vAlign w:val="center"/>
                </w:tcPr>
                <w:p w14:paraId="0F7E2BF0">
                  <w:pPr>
                    <w:autoSpaceDE w:val="0"/>
                    <w:autoSpaceDN w:val="0"/>
                    <w:adjustRightInd w:val="0"/>
                    <w:snapToGrid w:val="0"/>
                    <w:spacing w:before="24" w:after="24"/>
                    <w:jc w:val="center"/>
                    <w:rPr>
                      <w:szCs w:val="21"/>
                    </w:rPr>
                  </w:pPr>
                  <w:r>
                    <w:rPr>
                      <w:szCs w:val="21"/>
                    </w:rPr>
                    <w:t>本项目无工业废水直接排放</w:t>
                  </w:r>
                </w:p>
              </w:tc>
              <w:tc>
                <w:tcPr>
                  <w:tcW w:w="548" w:type="pct"/>
                  <w:vAlign w:val="center"/>
                </w:tcPr>
                <w:p w14:paraId="7668519A">
                  <w:pPr>
                    <w:autoSpaceDE w:val="0"/>
                    <w:autoSpaceDN w:val="0"/>
                    <w:adjustRightInd w:val="0"/>
                    <w:snapToGrid w:val="0"/>
                    <w:spacing w:before="24" w:after="24"/>
                    <w:jc w:val="center"/>
                    <w:rPr>
                      <w:szCs w:val="21"/>
                    </w:rPr>
                  </w:pPr>
                  <w:r>
                    <w:rPr>
                      <w:szCs w:val="21"/>
                    </w:rPr>
                    <w:t>否</w:t>
                  </w:r>
                </w:p>
              </w:tc>
            </w:tr>
            <w:tr w14:paraId="2BC5E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2" w:type="pct"/>
                  <w:vAlign w:val="center"/>
                </w:tcPr>
                <w:p w14:paraId="3D16BDC3">
                  <w:pPr>
                    <w:autoSpaceDE w:val="0"/>
                    <w:autoSpaceDN w:val="0"/>
                    <w:adjustRightInd w:val="0"/>
                    <w:snapToGrid w:val="0"/>
                    <w:spacing w:before="24" w:after="24"/>
                    <w:jc w:val="center"/>
                    <w:rPr>
                      <w:szCs w:val="21"/>
                    </w:rPr>
                  </w:pPr>
                  <w:r>
                    <w:rPr>
                      <w:szCs w:val="21"/>
                    </w:rPr>
                    <w:t>环境风险</w:t>
                  </w:r>
                </w:p>
              </w:tc>
              <w:tc>
                <w:tcPr>
                  <w:tcW w:w="2644" w:type="pct"/>
                  <w:vAlign w:val="center"/>
                </w:tcPr>
                <w:p w14:paraId="2C7AB16A">
                  <w:pPr>
                    <w:autoSpaceDE w:val="0"/>
                    <w:autoSpaceDN w:val="0"/>
                    <w:adjustRightInd w:val="0"/>
                    <w:snapToGrid w:val="0"/>
                    <w:spacing w:before="24" w:after="24"/>
                    <w:jc w:val="center"/>
                    <w:rPr>
                      <w:szCs w:val="21"/>
                    </w:rPr>
                  </w:pPr>
                  <w:r>
                    <w:rPr>
                      <w:szCs w:val="21"/>
                    </w:rPr>
                    <w:t>有毒有害和易燃易爆危险物质存储量超过临界量的建设项目</w:t>
                  </w:r>
                </w:p>
              </w:tc>
              <w:tc>
                <w:tcPr>
                  <w:tcW w:w="1284" w:type="pct"/>
                  <w:vAlign w:val="center"/>
                </w:tcPr>
                <w:p w14:paraId="79F50599">
                  <w:pPr>
                    <w:autoSpaceDE w:val="0"/>
                    <w:autoSpaceDN w:val="0"/>
                    <w:adjustRightInd w:val="0"/>
                    <w:snapToGrid w:val="0"/>
                    <w:spacing w:before="24" w:after="24"/>
                    <w:jc w:val="center"/>
                    <w:rPr>
                      <w:szCs w:val="21"/>
                    </w:rPr>
                  </w:pPr>
                  <w:r>
                    <w:rPr>
                      <w:szCs w:val="21"/>
                    </w:rPr>
                    <w:t>本项目存储的有毒有害和易燃易爆危险物质未超过临界量</w:t>
                  </w:r>
                </w:p>
              </w:tc>
              <w:tc>
                <w:tcPr>
                  <w:tcW w:w="548" w:type="pct"/>
                  <w:vAlign w:val="center"/>
                </w:tcPr>
                <w:p w14:paraId="47E4B378">
                  <w:pPr>
                    <w:autoSpaceDE w:val="0"/>
                    <w:autoSpaceDN w:val="0"/>
                    <w:adjustRightInd w:val="0"/>
                    <w:snapToGrid w:val="0"/>
                    <w:spacing w:before="24" w:after="24"/>
                    <w:jc w:val="center"/>
                    <w:rPr>
                      <w:szCs w:val="21"/>
                    </w:rPr>
                  </w:pPr>
                  <w:r>
                    <w:rPr>
                      <w:szCs w:val="21"/>
                    </w:rPr>
                    <w:t>否</w:t>
                  </w:r>
                </w:p>
              </w:tc>
            </w:tr>
            <w:tr w14:paraId="3D5CA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2" w:type="pct"/>
                  <w:vAlign w:val="center"/>
                </w:tcPr>
                <w:p w14:paraId="62B74833">
                  <w:pPr>
                    <w:autoSpaceDE w:val="0"/>
                    <w:autoSpaceDN w:val="0"/>
                    <w:adjustRightInd w:val="0"/>
                    <w:snapToGrid w:val="0"/>
                    <w:spacing w:before="24" w:after="24"/>
                    <w:jc w:val="center"/>
                    <w:rPr>
                      <w:szCs w:val="21"/>
                    </w:rPr>
                  </w:pPr>
                  <w:r>
                    <w:rPr>
                      <w:szCs w:val="21"/>
                    </w:rPr>
                    <w:t>生态</w:t>
                  </w:r>
                </w:p>
              </w:tc>
              <w:tc>
                <w:tcPr>
                  <w:tcW w:w="2644" w:type="pct"/>
                  <w:vAlign w:val="center"/>
                </w:tcPr>
                <w:p w14:paraId="2C59AEE9">
                  <w:pPr>
                    <w:autoSpaceDE w:val="0"/>
                    <w:autoSpaceDN w:val="0"/>
                    <w:adjustRightInd w:val="0"/>
                    <w:snapToGrid w:val="0"/>
                    <w:spacing w:before="24" w:after="24"/>
                    <w:jc w:val="center"/>
                    <w:rPr>
                      <w:szCs w:val="21"/>
                    </w:rPr>
                  </w:pPr>
                  <w:r>
                    <w:rPr>
                      <w:szCs w:val="21"/>
                    </w:rPr>
                    <w:t>取水口下游500米范围内有重要水生生物的自然产卵场、索饵场、越冬场和洄游通道的新增河道取水的污染类建设项目</w:t>
                  </w:r>
                </w:p>
              </w:tc>
              <w:tc>
                <w:tcPr>
                  <w:tcW w:w="1284" w:type="pct"/>
                  <w:vAlign w:val="center"/>
                </w:tcPr>
                <w:p w14:paraId="0797E715">
                  <w:pPr>
                    <w:autoSpaceDE w:val="0"/>
                    <w:autoSpaceDN w:val="0"/>
                    <w:adjustRightInd w:val="0"/>
                    <w:snapToGrid w:val="0"/>
                    <w:spacing w:before="24" w:after="24"/>
                    <w:jc w:val="center"/>
                    <w:rPr>
                      <w:szCs w:val="21"/>
                    </w:rPr>
                  </w:pPr>
                  <w:r>
                    <w:rPr>
                      <w:szCs w:val="21"/>
                    </w:rPr>
                    <w:t>不涉及</w:t>
                  </w:r>
                </w:p>
              </w:tc>
              <w:tc>
                <w:tcPr>
                  <w:tcW w:w="548" w:type="pct"/>
                  <w:vAlign w:val="center"/>
                </w:tcPr>
                <w:p w14:paraId="6988BA36">
                  <w:pPr>
                    <w:autoSpaceDE w:val="0"/>
                    <w:autoSpaceDN w:val="0"/>
                    <w:adjustRightInd w:val="0"/>
                    <w:snapToGrid w:val="0"/>
                    <w:spacing w:before="24" w:after="24"/>
                    <w:jc w:val="center"/>
                    <w:rPr>
                      <w:szCs w:val="21"/>
                    </w:rPr>
                  </w:pPr>
                  <w:r>
                    <w:rPr>
                      <w:szCs w:val="21"/>
                    </w:rPr>
                    <w:t>否</w:t>
                  </w:r>
                </w:p>
              </w:tc>
            </w:tr>
            <w:tr w14:paraId="08DAE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2" w:type="pct"/>
                  <w:vAlign w:val="center"/>
                </w:tcPr>
                <w:p w14:paraId="25D4DB82">
                  <w:pPr>
                    <w:autoSpaceDE w:val="0"/>
                    <w:autoSpaceDN w:val="0"/>
                    <w:adjustRightInd w:val="0"/>
                    <w:snapToGrid w:val="0"/>
                    <w:spacing w:before="24" w:after="24"/>
                    <w:jc w:val="center"/>
                    <w:rPr>
                      <w:szCs w:val="21"/>
                    </w:rPr>
                  </w:pPr>
                  <w:r>
                    <w:rPr>
                      <w:szCs w:val="21"/>
                    </w:rPr>
                    <w:t>海洋</w:t>
                  </w:r>
                </w:p>
              </w:tc>
              <w:tc>
                <w:tcPr>
                  <w:tcW w:w="2644" w:type="pct"/>
                  <w:vAlign w:val="center"/>
                </w:tcPr>
                <w:p w14:paraId="71F5CD5C">
                  <w:pPr>
                    <w:autoSpaceDE w:val="0"/>
                    <w:autoSpaceDN w:val="0"/>
                    <w:adjustRightInd w:val="0"/>
                    <w:snapToGrid w:val="0"/>
                    <w:spacing w:before="24" w:after="24"/>
                    <w:jc w:val="center"/>
                    <w:rPr>
                      <w:szCs w:val="21"/>
                    </w:rPr>
                  </w:pPr>
                  <w:r>
                    <w:rPr>
                      <w:szCs w:val="21"/>
                    </w:rPr>
                    <w:t>直接向海排放污染物的海洋工程建设项目</w:t>
                  </w:r>
                </w:p>
              </w:tc>
              <w:tc>
                <w:tcPr>
                  <w:tcW w:w="1284" w:type="pct"/>
                  <w:vAlign w:val="center"/>
                </w:tcPr>
                <w:p w14:paraId="7DD43908">
                  <w:pPr>
                    <w:autoSpaceDE w:val="0"/>
                    <w:autoSpaceDN w:val="0"/>
                    <w:adjustRightInd w:val="0"/>
                    <w:snapToGrid w:val="0"/>
                    <w:spacing w:before="24" w:after="24"/>
                    <w:jc w:val="center"/>
                    <w:rPr>
                      <w:szCs w:val="21"/>
                    </w:rPr>
                  </w:pPr>
                  <w:r>
                    <w:rPr>
                      <w:szCs w:val="21"/>
                    </w:rPr>
                    <w:t>不涉及</w:t>
                  </w:r>
                </w:p>
              </w:tc>
              <w:tc>
                <w:tcPr>
                  <w:tcW w:w="548" w:type="pct"/>
                  <w:vAlign w:val="center"/>
                </w:tcPr>
                <w:p w14:paraId="519CD66D">
                  <w:pPr>
                    <w:autoSpaceDE w:val="0"/>
                    <w:autoSpaceDN w:val="0"/>
                    <w:adjustRightInd w:val="0"/>
                    <w:snapToGrid w:val="0"/>
                    <w:spacing w:before="24" w:after="24"/>
                    <w:jc w:val="center"/>
                    <w:rPr>
                      <w:szCs w:val="21"/>
                    </w:rPr>
                  </w:pPr>
                  <w:r>
                    <w:rPr>
                      <w:szCs w:val="21"/>
                    </w:rPr>
                    <w:t>否</w:t>
                  </w:r>
                </w:p>
              </w:tc>
            </w:tr>
          </w:tbl>
          <w:p w14:paraId="5160B888">
            <w:pPr>
              <w:autoSpaceDE w:val="0"/>
              <w:autoSpaceDN w:val="0"/>
              <w:adjustRightInd w:val="0"/>
              <w:snapToGrid w:val="0"/>
              <w:rPr>
                <w:kern w:val="0"/>
                <w:szCs w:val="21"/>
              </w:rPr>
            </w:pPr>
          </w:p>
        </w:tc>
      </w:tr>
      <w:tr w14:paraId="7EFE9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367" w:type="dxa"/>
            <w:tcBorders>
              <w:tl2br w:val="nil"/>
              <w:tr2bl w:val="nil"/>
            </w:tcBorders>
            <w:vAlign w:val="center"/>
          </w:tcPr>
          <w:p w14:paraId="7B56D6AC">
            <w:pPr>
              <w:autoSpaceDE w:val="0"/>
              <w:autoSpaceDN w:val="0"/>
              <w:adjustRightInd w:val="0"/>
              <w:snapToGrid w:val="0"/>
              <w:jc w:val="center"/>
              <w:rPr>
                <w:b/>
                <w:bCs/>
                <w:kern w:val="0"/>
                <w:sz w:val="24"/>
              </w:rPr>
            </w:pPr>
            <w:r>
              <w:rPr>
                <w:b/>
                <w:bCs/>
                <w:sz w:val="24"/>
              </w:rPr>
              <w:t>规划情况</w:t>
            </w:r>
          </w:p>
        </w:tc>
        <w:tc>
          <w:tcPr>
            <w:tcW w:w="8271" w:type="dxa"/>
            <w:gridSpan w:val="3"/>
            <w:tcBorders>
              <w:tl2br w:val="nil"/>
              <w:tr2bl w:val="nil"/>
            </w:tcBorders>
            <w:vAlign w:val="center"/>
          </w:tcPr>
          <w:p w14:paraId="4D769060">
            <w:pPr>
              <w:pStyle w:val="136"/>
              <w:ind w:firstLine="480"/>
              <w:rPr>
                <w:rFonts w:eastAsia="宋体"/>
                <w:highlight w:val="none"/>
              </w:rPr>
            </w:pPr>
            <w:r>
              <w:rPr>
                <w:rFonts w:eastAsia="宋体"/>
                <w:highlight w:val="none"/>
              </w:rPr>
              <w:t>规划名称：《江苏省金坛经济开发区朱林现代产业园/常州市金坛区朱林产业新镇总体规划（2016-2030）》</w:t>
            </w:r>
          </w:p>
          <w:p w14:paraId="588D9182">
            <w:pPr>
              <w:pStyle w:val="136"/>
              <w:ind w:firstLine="480"/>
              <w:rPr>
                <w:rFonts w:eastAsia="宋体"/>
                <w:highlight w:val="none"/>
              </w:rPr>
            </w:pPr>
            <w:r>
              <w:rPr>
                <w:rFonts w:eastAsia="宋体"/>
                <w:highlight w:val="none"/>
              </w:rPr>
              <w:t>规划审批机关：常州市金坛区人民政府</w:t>
            </w:r>
          </w:p>
          <w:p w14:paraId="4A1411E0">
            <w:pPr>
              <w:pStyle w:val="136"/>
              <w:ind w:firstLine="480"/>
              <w:rPr>
                <w:color w:val="FF0000"/>
                <w:highlight w:val="none"/>
              </w:rPr>
            </w:pPr>
            <w:r>
              <w:rPr>
                <w:rFonts w:eastAsia="宋体"/>
                <w:highlight w:val="none"/>
              </w:rPr>
              <w:t>规划审批文号：《常州市金坛区人民政府关于同意江苏省金坛经济开发区朱林现代产业园/常州市金坛区朱林产业新镇总体规划（2016-2030）的批复》（坛政复〔2017〕39号）</w:t>
            </w:r>
          </w:p>
        </w:tc>
      </w:tr>
      <w:tr w14:paraId="3A646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367" w:type="dxa"/>
            <w:tcBorders>
              <w:tl2br w:val="nil"/>
              <w:tr2bl w:val="nil"/>
            </w:tcBorders>
            <w:vAlign w:val="center"/>
          </w:tcPr>
          <w:p w14:paraId="08C90028">
            <w:pPr>
              <w:adjustRightInd w:val="0"/>
              <w:snapToGrid w:val="0"/>
              <w:jc w:val="center"/>
              <w:rPr>
                <w:b/>
                <w:bCs/>
                <w:sz w:val="24"/>
              </w:rPr>
            </w:pPr>
            <w:r>
              <w:rPr>
                <w:b/>
                <w:bCs/>
                <w:sz w:val="24"/>
              </w:rPr>
              <w:t>规划环境影响</w:t>
            </w:r>
          </w:p>
          <w:p w14:paraId="2217A8B8">
            <w:pPr>
              <w:adjustRightInd w:val="0"/>
              <w:snapToGrid w:val="0"/>
              <w:jc w:val="center"/>
              <w:rPr>
                <w:b/>
                <w:bCs/>
                <w:kern w:val="0"/>
                <w:sz w:val="24"/>
              </w:rPr>
            </w:pPr>
            <w:r>
              <w:rPr>
                <w:b/>
                <w:bCs/>
                <w:sz w:val="24"/>
              </w:rPr>
              <w:t>评价情况</w:t>
            </w:r>
          </w:p>
        </w:tc>
        <w:tc>
          <w:tcPr>
            <w:tcW w:w="8271" w:type="dxa"/>
            <w:gridSpan w:val="3"/>
            <w:tcBorders>
              <w:tl2br w:val="nil"/>
              <w:tr2bl w:val="nil"/>
            </w:tcBorders>
            <w:vAlign w:val="center"/>
          </w:tcPr>
          <w:p w14:paraId="00B05870">
            <w:pPr>
              <w:pStyle w:val="136"/>
              <w:ind w:firstLine="480"/>
              <w:rPr>
                <w:rFonts w:eastAsia="宋体"/>
                <w:highlight w:val="none"/>
              </w:rPr>
            </w:pPr>
            <w:r>
              <w:rPr>
                <w:rFonts w:eastAsia="宋体"/>
                <w:highlight w:val="none"/>
              </w:rPr>
              <w:t>规划环境影响评价文件名称：江苏省金坛经济开发区朱林现代产业园规划环境影响评价</w:t>
            </w:r>
            <w:r>
              <w:rPr>
                <w:rFonts w:hint="eastAsia" w:eastAsia="宋体"/>
                <w:highlight w:val="none"/>
              </w:rPr>
              <w:t>报告书</w:t>
            </w:r>
            <w:r>
              <w:rPr>
                <w:rFonts w:eastAsia="宋体"/>
                <w:highlight w:val="none"/>
              </w:rPr>
              <w:br w:type="textWrapping"/>
            </w:r>
            <w:r>
              <w:rPr>
                <w:rFonts w:eastAsia="宋体"/>
                <w:highlight w:val="none"/>
              </w:rPr>
              <w:t xml:space="preserve">    召集审查机关：常州市生态环境局</w:t>
            </w:r>
          </w:p>
          <w:p w14:paraId="083D8001">
            <w:pPr>
              <w:pStyle w:val="3"/>
              <w:numPr>
                <w:ilvl w:val="0"/>
                <w:numId w:val="0"/>
              </w:numPr>
              <w:spacing w:line="480" w:lineRule="exact"/>
              <w:ind w:firstLine="480" w:firstLineChars="200"/>
              <w:rPr>
                <w:bCs/>
                <w:color w:val="FF0000"/>
                <w:sz w:val="24"/>
                <w:highlight w:val="none"/>
              </w:rPr>
            </w:pPr>
            <w:r>
              <w:rPr>
                <w:sz w:val="24"/>
                <w:highlight w:val="none"/>
              </w:rPr>
              <w:t>审查文件名称及文号：常金环审〔2020〕127号</w:t>
            </w:r>
          </w:p>
        </w:tc>
      </w:tr>
      <w:tr w14:paraId="1B52A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67" w:type="dxa"/>
            <w:tcBorders>
              <w:tl2br w:val="nil"/>
              <w:tr2bl w:val="nil"/>
            </w:tcBorders>
            <w:vAlign w:val="center"/>
          </w:tcPr>
          <w:p w14:paraId="39A32A14">
            <w:pPr>
              <w:autoSpaceDE w:val="0"/>
              <w:autoSpaceDN w:val="0"/>
              <w:adjustRightInd w:val="0"/>
              <w:snapToGrid w:val="0"/>
              <w:jc w:val="center"/>
              <w:rPr>
                <w:b/>
                <w:bCs/>
                <w:color w:val="FF0000"/>
                <w:kern w:val="0"/>
                <w:sz w:val="24"/>
              </w:rPr>
            </w:pPr>
            <w:r>
              <w:rPr>
                <w:b/>
                <w:bCs/>
                <w:kern w:val="0"/>
                <w:sz w:val="24"/>
              </w:rPr>
              <w:t>规划及规划环境影响评价符合性分析</w:t>
            </w:r>
          </w:p>
        </w:tc>
        <w:tc>
          <w:tcPr>
            <w:tcW w:w="8271" w:type="dxa"/>
            <w:gridSpan w:val="3"/>
            <w:tcBorders>
              <w:tl2br w:val="nil"/>
              <w:tr2bl w:val="nil"/>
            </w:tcBorders>
            <w:vAlign w:val="center"/>
          </w:tcPr>
          <w:p w14:paraId="43920CA5">
            <w:pPr>
              <w:spacing w:line="500" w:lineRule="exact"/>
              <w:ind w:firstLine="482" w:firstLineChars="200"/>
              <w:rPr>
                <w:b/>
                <w:bCs/>
                <w:sz w:val="24"/>
              </w:rPr>
            </w:pPr>
            <w:r>
              <w:rPr>
                <w:rFonts w:hint="eastAsia"/>
                <w:b/>
                <w:bCs/>
                <w:sz w:val="24"/>
              </w:rPr>
              <w:t>1、规划相符性分析</w:t>
            </w:r>
          </w:p>
          <w:p w14:paraId="54FBE570">
            <w:pPr>
              <w:pStyle w:val="138"/>
              <w:spacing w:line="500" w:lineRule="exact"/>
              <w:ind w:firstLine="480" w:firstLineChars="200"/>
              <w:jc w:val="left"/>
              <w:rPr>
                <w:rFonts w:eastAsia="宋体"/>
                <w:kern w:val="2"/>
                <w:szCs w:val="24"/>
                <w:highlight w:val="none"/>
              </w:rPr>
            </w:pPr>
            <w:r>
              <w:rPr>
                <w:rFonts w:hint="eastAsia" w:eastAsia="宋体"/>
                <w:kern w:val="2"/>
                <w:szCs w:val="24"/>
              </w:rPr>
              <w:t>（1）本项目位于江苏省金坛经济开发区朱林现代产业园，朱林现代产业园产业定位为：以一类、二类工业为主导，限制三类工业。重点发展电子、缝纫/服饰加工、金属制品制造、非金属制品制造、轻机械制造、食品加工、新能源汽车及核心零部件、新一代移动通信及光伏新能源产业，形成金坛西部重要的工业</w:t>
            </w:r>
            <w:r>
              <w:rPr>
                <w:rFonts w:hint="eastAsia" w:eastAsia="宋体"/>
                <w:kern w:val="2"/>
                <w:szCs w:val="24"/>
                <w:highlight w:val="none"/>
              </w:rPr>
              <w:t>板块和综合服务节点。本项目产品为人造草坪，</w:t>
            </w:r>
            <w:r>
              <w:rPr>
                <w:rFonts w:hint="eastAsia" w:eastAsia="宋体"/>
                <w:kern w:val="2"/>
                <w:szCs w:val="24"/>
                <w:highlight w:val="none"/>
                <w:lang w:val="en-US" w:eastAsia="zh-CN"/>
              </w:rPr>
              <w:t>行业代码</w:t>
            </w:r>
            <w:r>
              <w:rPr>
                <w:rFonts w:hint="eastAsia" w:eastAsia="宋体"/>
                <w:kern w:val="2"/>
                <w:szCs w:val="24"/>
                <w:highlight w:val="none"/>
              </w:rPr>
              <w:t>C2928人造草坪制造</w:t>
            </w:r>
            <w:r>
              <w:rPr>
                <w:rFonts w:hint="eastAsia" w:eastAsia="宋体"/>
                <w:color w:val="auto"/>
                <w:kern w:val="2"/>
                <w:szCs w:val="24"/>
                <w:highlight w:val="none"/>
              </w:rPr>
              <w:t>属于</w:t>
            </w:r>
            <w:r>
              <w:rPr>
                <w:rFonts w:hint="eastAsia" w:eastAsia="宋体"/>
                <w:color w:val="auto"/>
                <w:kern w:val="2"/>
                <w:szCs w:val="24"/>
                <w:highlight w:val="none"/>
                <w:lang w:val="en-US" w:eastAsia="zh-CN"/>
              </w:rPr>
              <w:t>塑料</w:t>
            </w:r>
            <w:r>
              <w:rPr>
                <w:rFonts w:hint="eastAsia" w:eastAsia="宋体"/>
                <w:color w:val="auto"/>
                <w:kern w:val="2"/>
                <w:szCs w:val="24"/>
                <w:highlight w:val="none"/>
              </w:rPr>
              <w:t>制品</w:t>
            </w:r>
            <w:r>
              <w:rPr>
                <w:rFonts w:hint="eastAsia" w:eastAsia="宋体"/>
                <w:color w:val="auto"/>
                <w:kern w:val="2"/>
                <w:szCs w:val="24"/>
                <w:highlight w:val="none"/>
                <w:lang w:val="en-US" w:eastAsia="zh-CN"/>
              </w:rPr>
              <w:t>业，是二类工业</w:t>
            </w:r>
            <w:r>
              <w:rPr>
                <w:rFonts w:hint="eastAsia" w:eastAsia="宋体"/>
                <w:color w:val="auto"/>
                <w:kern w:val="2"/>
                <w:szCs w:val="24"/>
                <w:highlight w:val="none"/>
              </w:rPr>
              <w:t>，</w:t>
            </w:r>
            <w:r>
              <w:rPr>
                <w:rFonts w:hint="eastAsia" w:eastAsia="宋体"/>
                <w:kern w:val="2"/>
                <w:szCs w:val="24"/>
                <w:highlight w:val="none"/>
              </w:rPr>
              <w:t>符合园区产业定位。</w:t>
            </w:r>
          </w:p>
          <w:p w14:paraId="5E9DEF2C">
            <w:pPr>
              <w:tabs>
                <w:tab w:val="center" w:pos="4690"/>
              </w:tabs>
              <w:spacing w:line="500" w:lineRule="exact"/>
              <w:ind w:firstLine="480" w:firstLineChars="200"/>
              <w:rPr>
                <w:sz w:val="24"/>
              </w:rPr>
            </w:pPr>
            <w:r>
              <w:rPr>
                <w:sz w:val="24"/>
                <w:highlight w:val="none"/>
              </w:rPr>
              <w:t>（2）</w:t>
            </w:r>
            <w:r>
              <w:rPr>
                <w:rFonts w:hint="eastAsia"/>
                <w:sz w:val="24"/>
                <w:highlight w:val="none"/>
              </w:rPr>
              <w:t>根据园区土地利用规划，项目所在地为工</w:t>
            </w:r>
            <w:r>
              <w:rPr>
                <w:rFonts w:hint="eastAsia"/>
                <w:sz w:val="24"/>
              </w:rPr>
              <w:t>业用地，本项目所租厂房已取得</w:t>
            </w:r>
            <w:r>
              <w:rPr>
                <w:rFonts w:hint="eastAsia"/>
                <w:sz w:val="24"/>
                <w:lang w:val="en-US" w:eastAsia="zh-CN"/>
              </w:rPr>
              <w:t>不动产权</w:t>
            </w:r>
            <w:r>
              <w:rPr>
                <w:rFonts w:hint="eastAsia"/>
                <w:sz w:val="24"/>
              </w:rPr>
              <w:t>证</w:t>
            </w:r>
            <w:r>
              <w:rPr>
                <w:rFonts w:hint="eastAsia"/>
                <w:sz w:val="24"/>
                <w:lang w:eastAsia="zh-CN"/>
              </w:rPr>
              <w:t>（（</w:t>
            </w:r>
            <w:r>
              <w:rPr>
                <w:rFonts w:hint="eastAsia"/>
                <w:sz w:val="24"/>
                <w:lang w:val="en-US" w:eastAsia="zh-CN"/>
              </w:rPr>
              <w:t>苏2020</w:t>
            </w:r>
            <w:r>
              <w:rPr>
                <w:rFonts w:hint="eastAsia"/>
                <w:sz w:val="24"/>
                <w:lang w:eastAsia="zh-CN"/>
              </w:rPr>
              <w:t>）</w:t>
            </w:r>
            <w:r>
              <w:rPr>
                <w:rFonts w:hint="eastAsia"/>
                <w:sz w:val="24"/>
                <w:lang w:val="en-US" w:eastAsia="zh-CN"/>
              </w:rPr>
              <w:t>金坛区不动产权第0058286号</w:t>
            </w:r>
            <w:r>
              <w:rPr>
                <w:rFonts w:hint="eastAsia"/>
                <w:sz w:val="24"/>
                <w:lang w:eastAsia="zh-CN"/>
              </w:rPr>
              <w:t>）</w:t>
            </w:r>
            <w:r>
              <w:rPr>
                <w:rFonts w:hint="eastAsia"/>
                <w:sz w:val="24"/>
              </w:rPr>
              <w:t>，性质为工业用地。因此本项目符合区域用地规划要求。</w:t>
            </w:r>
          </w:p>
          <w:p w14:paraId="6BED63FE">
            <w:pPr>
              <w:spacing w:line="500" w:lineRule="exact"/>
              <w:ind w:firstLine="482" w:firstLineChars="200"/>
              <w:rPr>
                <w:b/>
                <w:bCs/>
                <w:sz w:val="24"/>
              </w:rPr>
            </w:pPr>
            <w:r>
              <w:rPr>
                <w:b/>
                <w:bCs/>
                <w:sz w:val="24"/>
              </w:rPr>
              <w:t>2</w:t>
            </w:r>
            <w:r>
              <w:rPr>
                <w:rFonts w:hint="eastAsia"/>
                <w:b/>
                <w:bCs/>
                <w:sz w:val="24"/>
              </w:rPr>
              <w:t>、</w:t>
            </w:r>
            <w:r>
              <w:rPr>
                <w:b/>
                <w:bCs/>
                <w:sz w:val="24"/>
              </w:rPr>
              <w:t>与规划环境影响评价符合性分析</w:t>
            </w:r>
          </w:p>
          <w:p w14:paraId="0D21EE87">
            <w:pPr>
              <w:spacing w:line="500" w:lineRule="exact"/>
              <w:ind w:firstLine="480" w:firstLineChars="200"/>
              <w:rPr>
                <w:b/>
                <w:bCs/>
                <w:szCs w:val="21"/>
              </w:rPr>
            </w:pPr>
            <w:r>
              <w:rPr>
                <w:sz w:val="24"/>
              </w:rPr>
              <w:t>本项目位于</w:t>
            </w:r>
            <w:r>
              <w:rPr>
                <w:rFonts w:hint="eastAsia"/>
                <w:sz w:val="24"/>
              </w:rPr>
              <w:t>常州市金坛区朱林镇永顺路2号，</w:t>
            </w:r>
            <w:r>
              <w:rPr>
                <w:sz w:val="24"/>
              </w:rPr>
              <w:t>所在用地为工业用地，符合区域用地规划</w:t>
            </w:r>
            <w:r>
              <w:rPr>
                <w:rFonts w:hint="eastAsia"/>
                <w:sz w:val="24"/>
              </w:rPr>
              <w:t>，</w:t>
            </w:r>
            <w:r>
              <w:rPr>
                <w:sz w:val="24"/>
              </w:rPr>
              <w:t>与</w:t>
            </w:r>
            <w:r>
              <w:rPr>
                <w:rFonts w:hint="eastAsia" w:ascii="宋体" w:hAnsi="宋体" w:cs="宋体"/>
                <w:kern w:val="0"/>
                <w:sz w:val="24"/>
              </w:rPr>
              <w:t>《</w:t>
            </w:r>
            <w:r>
              <w:rPr>
                <w:rFonts w:ascii="宋体" w:hAnsi="宋体" w:cs="宋体"/>
                <w:kern w:val="0"/>
                <w:sz w:val="24"/>
              </w:rPr>
              <w:t>江苏省金坛经济开发区朱林现代产业园规划环境影响评价</w:t>
            </w:r>
            <w:r>
              <w:rPr>
                <w:rFonts w:hint="eastAsia" w:ascii="宋体" w:hAnsi="宋体" w:cs="宋体"/>
                <w:kern w:val="0"/>
                <w:sz w:val="24"/>
              </w:rPr>
              <w:t>报告书》</w:t>
            </w:r>
            <w:r>
              <w:rPr>
                <w:sz w:val="24"/>
              </w:rPr>
              <w:t>及</w:t>
            </w:r>
            <w:r>
              <w:rPr>
                <w:rFonts w:hint="eastAsia"/>
                <w:sz w:val="24"/>
              </w:rPr>
              <w:t>《市生态环境局关于江苏省金坛经济开发区朱林现代产业园发展规划环境影响报告书的审查意见》〔常金环审〔2020〕127号〕</w:t>
            </w:r>
            <w:r>
              <w:rPr>
                <w:sz w:val="24"/>
              </w:rPr>
              <w:t>相符性分析</w:t>
            </w:r>
            <w:r>
              <w:rPr>
                <w:kern w:val="0"/>
                <w:sz w:val="24"/>
              </w:rPr>
              <w:t>见下表：</w:t>
            </w:r>
          </w:p>
          <w:p w14:paraId="69C87035">
            <w:pPr>
              <w:adjustRightInd w:val="0"/>
              <w:snapToGrid w:val="0"/>
              <w:spacing w:line="500" w:lineRule="exact"/>
              <w:jc w:val="center"/>
              <w:rPr>
                <w:b/>
                <w:bCs/>
                <w:szCs w:val="21"/>
              </w:rPr>
            </w:pPr>
            <w:r>
              <w:rPr>
                <w:b/>
                <w:bCs/>
                <w:szCs w:val="21"/>
              </w:rPr>
              <w:t>表1-</w:t>
            </w:r>
            <w:r>
              <w:rPr>
                <w:rFonts w:hint="eastAsia"/>
                <w:b/>
                <w:bCs/>
                <w:szCs w:val="21"/>
              </w:rPr>
              <w:t>2</w:t>
            </w:r>
            <w:r>
              <w:rPr>
                <w:b/>
                <w:bCs/>
                <w:szCs w:val="21"/>
              </w:rPr>
              <w:t xml:space="preserve"> 与</w:t>
            </w:r>
            <w:r>
              <w:rPr>
                <w:rFonts w:hint="eastAsia"/>
                <w:b/>
                <w:bCs/>
                <w:szCs w:val="21"/>
              </w:rPr>
              <w:t>朱林现代产业园发展规划环境影响报告书</w:t>
            </w:r>
            <w:r>
              <w:rPr>
                <w:b/>
                <w:bCs/>
                <w:szCs w:val="21"/>
              </w:rPr>
              <w:t>及审查意见相符性分析</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28" w:type="dxa"/>
                <w:left w:w="57" w:type="dxa"/>
                <w:bottom w:w="28" w:type="dxa"/>
                <w:right w:w="57" w:type="dxa"/>
              </w:tblCellMar>
            </w:tblPr>
            <w:tblGrid>
              <w:gridCol w:w="5229"/>
              <w:gridCol w:w="2006"/>
              <w:gridCol w:w="817"/>
            </w:tblGrid>
            <w:tr w14:paraId="72831FD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246" w:type="pct"/>
                  <w:vAlign w:val="center"/>
                </w:tcPr>
                <w:p w14:paraId="49857FD0">
                  <w:pPr>
                    <w:pStyle w:val="87"/>
                    <w:rPr>
                      <w:b/>
                      <w:bCs/>
                      <w:szCs w:val="21"/>
                    </w:rPr>
                  </w:pPr>
                  <w:r>
                    <w:rPr>
                      <w:b/>
                      <w:bCs/>
                      <w:szCs w:val="21"/>
                    </w:rPr>
                    <w:t>区域环评审查意见</w:t>
                  </w:r>
                </w:p>
              </w:tc>
              <w:tc>
                <w:tcPr>
                  <w:tcW w:w="1245" w:type="pct"/>
                  <w:vAlign w:val="center"/>
                </w:tcPr>
                <w:p w14:paraId="2185313F">
                  <w:pPr>
                    <w:pStyle w:val="87"/>
                    <w:rPr>
                      <w:b/>
                      <w:bCs/>
                      <w:szCs w:val="21"/>
                    </w:rPr>
                  </w:pPr>
                  <w:r>
                    <w:rPr>
                      <w:b/>
                      <w:bCs/>
                      <w:szCs w:val="21"/>
                    </w:rPr>
                    <w:t>本项目</w:t>
                  </w:r>
                </w:p>
              </w:tc>
              <w:tc>
                <w:tcPr>
                  <w:tcW w:w="507" w:type="pct"/>
                  <w:vAlign w:val="center"/>
                </w:tcPr>
                <w:p w14:paraId="0DBEF9D5">
                  <w:pPr>
                    <w:pStyle w:val="87"/>
                    <w:rPr>
                      <w:b/>
                      <w:bCs/>
                      <w:szCs w:val="21"/>
                    </w:rPr>
                  </w:pPr>
                  <w:r>
                    <w:rPr>
                      <w:b/>
                      <w:bCs/>
                      <w:szCs w:val="21"/>
                    </w:rPr>
                    <w:t>相符性</w:t>
                  </w:r>
                </w:p>
              </w:tc>
            </w:tr>
            <w:tr w14:paraId="4C48105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246" w:type="pct"/>
                  <w:vAlign w:val="center"/>
                </w:tcPr>
                <w:p w14:paraId="2B69758A">
                  <w:pPr>
                    <w:widowControl/>
                    <w:jc w:val="left"/>
                    <w:rPr>
                      <w:szCs w:val="21"/>
                    </w:rPr>
                  </w:pPr>
                  <w:r>
                    <w:rPr>
                      <w:szCs w:val="21"/>
                    </w:rPr>
                    <w:t>朱林现代产业园</w:t>
                  </w:r>
                  <w:r>
                    <w:rPr>
                      <w:rFonts w:hint="eastAsia"/>
                      <w:kern w:val="0"/>
                      <w:szCs w:val="21"/>
                    </w:rPr>
                    <w:t>具体范围：东至河口河-华林路，北至省道340，西至扬溧高速公路，南至茅山旅游大道，总面积7.8km</w:t>
                  </w:r>
                  <w:r>
                    <w:rPr>
                      <w:rFonts w:hint="eastAsia"/>
                      <w:kern w:val="0"/>
                      <w:szCs w:val="21"/>
                      <w:vertAlign w:val="superscript"/>
                    </w:rPr>
                    <w:t>2</w:t>
                  </w:r>
                  <w:r>
                    <w:rPr>
                      <w:bCs/>
                      <w:szCs w:val="21"/>
                    </w:rPr>
                    <w:t>。</w:t>
                  </w:r>
                </w:p>
              </w:tc>
              <w:tc>
                <w:tcPr>
                  <w:tcW w:w="1245" w:type="pct"/>
                  <w:vAlign w:val="center"/>
                </w:tcPr>
                <w:p w14:paraId="07CF017C">
                  <w:pPr>
                    <w:contextualSpacing/>
                    <w:jc w:val="center"/>
                    <w:rPr>
                      <w:szCs w:val="21"/>
                    </w:rPr>
                  </w:pPr>
                  <w:r>
                    <w:rPr>
                      <w:szCs w:val="21"/>
                    </w:rPr>
                    <w:t>位于</w:t>
                  </w:r>
                  <w:r>
                    <w:rPr>
                      <w:rFonts w:hint="eastAsia"/>
                      <w:bCs/>
                      <w:szCs w:val="21"/>
                    </w:rPr>
                    <w:t>常州市金坛区朱林镇永顺路2号</w:t>
                  </w:r>
                  <w:r>
                    <w:rPr>
                      <w:szCs w:val="21"/>
                    </w:rPr>
                    <w:t>，位于朱林现代产业园内</w:t>
                  </w:r>
                </w:p>
              </w:tc>
              <w:tc>
                <w:tcPr>
                  <w:tcW w:w="507" w:type="pct"/>
                  <w:vAlign w:val="center"/>
                </w:tcPr>
                <w:p w14:paraId="2B789710">
                  <w:pPr>
                    <w:contextualSpacing/>
                    <w:jc w:val="center"/>
                    <w:rPr>
                      <w:szCs w:val="21"/>
                    </w:rPr>
                  </w:pPr>
                  <w:r>
                    <w:rPr>
                      <w:szCs w:val="21"/>
                    </w:rPr>
                    <w:t>相符</w:t>
                  </w:r>
                </w:p>
              </w:tc>
            </w:tr>
            <w:tr w14:paraId="2797291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246" w:type="pct"/>
                  <w:vAlign w:val="center"/>
                </w:tcPr>
                <w:p w14:paraId="03A69C31">
                  <w:pPr>
                    <w:contextualSpacing/>
                    <w:jc w:val="center"/>
                    <w:rPr>
                      <w:szCs w:val="21"/>
                    </w:rPr>
                  </w:pPr>
                  <w:r>
                    <w:rPr>
                      <w:szCs w:val="21"/>
                    </w:rPr>
                    <w:t>产业定位：以一类、二类工业为主导，限制三类工业。重点发展电子、缝纫/服饰加工、 金属制品制造、非金属制品制造、轻机械制造、食品加工、新能源汽车及核心零部件、新一代移动通信及光伏新能源产业，形成金坛西部重要的工业板块和综合服务节点</w:t>
                  </w:r>
                </w:p>
              </w:tc>
              <w:tc>
                <w:tcPr>
                  <w:tcW w:w="1245" w:type="pct"/>
                  <w:vAlign w:val="center"/>
                </w:tcPr>
                <w:p w14:paraId="29C2B016">
                  <w:pPr>
                    <w:contextualSpacing/>
                    <w:jc w:val="center"/>
                    <w:rPr>
                      <w:szCs w:val="21"/>
                    </w:rPr>
                  </w:pPr>
                  <w:r>
                    <w:rPr>
                      <w:rFonts w:hint="eastAsia"/>
                      <w:szCs w:val="21"/>
                    </w:rPr>
                    <w:t>本项目产品为人造草坪，属于园区发展产业。</w:t>
                  </w:r>
                </w:p>
              </w:tc>
              <w:tc>
                <w:tcPr>
                  <w:tcW w:w="507" w:type="pct"/>
                  <w:vAlign w:val="center"/>
                </w:tcPr>
                <w:p w14:paraId="2CE9FCE2">
                  <w:pPr>
                    <w:contextualSpacing/>
                    <w:jc w:val="center"/>
                    <w:rPr>
                      <w:szCs w:val="21"/>
                    </w:rPr>
                  </w:pPr>
                  <w:r>
                    <w:rPr>
                      <w:szCs w:val="21"/>
                    </w:rPr>
                    <w:t>相符</w:t>
                  </w:r>
                </w:p>
              </w:tc>
            </w:tr>
            <w:tr w14:paraId="18DE6F3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246" w:type="pct"/>
                  <w:vAlign w:val="center"/>
                </w:tcPr>
                <w:p w14:paraId="6D113485">
                  <w:pPr>
                    <w:contextualSpacing/>
                    <w:jc w:val="left"/>
                    <w:rPr>
                      <w:szCs w:val="21"/>
                    </w:rPr>
                  </w:pPr>
                  <w:r>
                    <w:rPr>
                      <w:rFonts w:hint="eastAsia"/>
                      <w:bCs/>
                      <w:szCs w:val="21"/>
                    </w:rPr>
                    <w:t>环保基础设施:朱林镇纳入金坛区域供水系统，由金坛长荡湖水厂供水，区域供水沿常溧公路、建西路敷设DN800、DN600输水管，向朱林镇供水。园区范围内生活污水、生产废水近期均接入直溪鑫鑫污水厂处理，远期根据规划，直溪将新建污水厂以满足两镇污水处理需求，朱林镇人民政府应当与直溪镇人民政府积极沟通协调，促进推动直溪新建污水处理厂的开工，以满足园区未来污水处理需求。园区不实行集中供热，由各企业使用清洁能源自行供热，区内已无燃煤锅炉;园区产生的一般工业固体废物全部综合利用，危险废物委托有资质单位进行安全处置，生活垃圾由环卫部门统一清运。</w:t>
                  </w:r>
                </w:p>
              </w:tc>
              <w:tc>
                <w:tcPr>
                  <w:tcW w:w="1245" w:type="pct"/>
                  <w:vAlign w:val="center"/>
                </w:tcPr>
                <w:p w14:paraId="4818BD3D">
                  <w:pPr>
                    <w:contextualSpacing/>
                    <w:jc w:val="center"/>
                    <w:rPr>
                      <w:szCs w:val="21"/>
                    </w:rPr>
                  </w:pPr>
                  <w:r>
                    <w:rPr>
                      <w:bCs/>
                      <w:szCs w:val="21"/>
                    </w:rPr>
                    <w:t>项目生活污水接管至</w:t>
                  </w:r>
                  <w:r>
                    <w:rPr>
                      <w:rFonts w:hint="eastAsia"/>
                      <w:szCs w:val="21"/>
                      <w:lang w:bidi="ar"/>
                    </w:rPr>
                    <w:t>金坛区溪城污水处理有限公司</w:t>
                  </w:r>
                  <w:r>
                    <w:rPr>
                      <w:bCs/>
                      <w:szCs w:val="21"/>
                    </w:rPr>
                    <w:t>处理</w:t>
                  </w:r>
                  <w:r>
                    <w:rPr>
                      <w:rFonts w:hint="eastAsia"/>
                      <w:bCs/>
                      <w:szCs w:val="21"/>
                    </w:rPr>
                    <w:t>。</w:t>
                  </w:r>
                  <w:r>
                    <w:rPr>
                      <w:bCs/>
                      <w:szCs w:val="21"/>
                    </w:rPr>
                    <w:t>项目一般固废收集后外售综合利用；废活性炭</w:t>
                  </w:r>
                  <w:r>
                    <w:rPr>
                      <w:rFonts w:hint="eastAsia"/>
                      <w:bCs/>
                      <w:szCs w:val="21"/>
                    </w:rPr>
                    <w:t>、废包装桶</w:t>
                  </w:r>
                  <w:r>
                    <w:rPr>
                      <w:bCs/>
                      <w:szCs w:val="21"/>
                    </w:rPr>
                    <w:t>等危废收集后暂存于危废暂存间，定期委托资质单位处理</w:t>
                  </w:r>
                  <w:r>
                    <w:rPr>
                      <w:rFonts w:hint="eastAsia"/>
                      <w:bCs/>
                      <w:szCs w:val="21"/>
                    </w:rPr>
                    <w:t>。</w:t>
                  </w:r>
                </w:p>
              </w:tc>
              <w:tc>
                <w:tcPr>
                  <w:tcW w:w="507" w:type="pct"/>
                  <w:vAlign w:val="center"/>
                </w:tcPr>
                <w:p w14:paraId="7820AECA">
                  <w:pPr>
                    <w:contextualSpacing/>
                    <w:jc w:val="center"/>
                    <w:rPr>
                      <w:szCs w:val="21"/>
                    </w:rPr>
                  </w:pPr>
                  <w:r>
                    <w:rPr>
                      <w:szCs w:val="21"/>
                    </w:rPr>
                    <w:t>相符</w:t>
                  </w:r>
                </w:p>
              </w:tc>
            </w:tr>
            <w:tr w14:paraId="005E5EA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246" w:type="pct"/>
                  <w:vAlign w:val="center"/>
                </w:tcPr>
                <w:p w14:paraId="285DB0A8">
                  <w:pPr>
                    <w:contextualSpacing/>
                    <w:jc w:val="center"/>
                    <w:rPr>
                      <w:szCs w:val="21"/>
                    </w:rPr>
                  </w:pPr>
                  <w:r>
                    <w:rPr>
                      <w:rFonts w:hint="eastAsia"/>
                      <w:bCs/>
                      <w:szCs w:val="21"/>
                    </w:rPr>
                    <w:t>环境管理:园区由朱林镇环保办和园区管理办公室负责园区日常环境管理工作;金坛生态环境主管部门负责园区环境执法，并开展监督性监测。入区企业须配备环保专职或兼职人员，区内企业严格执行环保“三同时”制度，现有环保手续不完善的企业应在2020年底前完善环保手续。</w:t>
                  </w:r>
                </w:p>
              </w:tc>
              <w:tc>
                <w:tcPr>
                  <w:tcW w:w="1245" w:type="pct"/>
                  <w:vAlign w:val="center"/>
                </w:tcPr>
                <w:p w14:paraId="2D4ED36E">
                  <w:pPr>
                    <w:contextualSpacing/>
                    <w:jc w:val="center"/>
                    <w:rPr>
                      <w:szCs w:val="21"/>
                    </w:rPr>
                  </w:pPr>
                  <w:r>
                    <w:rPr>
                      <w:bCs/>
                      <w:szCs w:val="21"/>
                    </w:rPr>
                    <w:t>项目</w:t>
                  </w:r>
                  <w:r>
                    <w:rPr>
                      <w:rFonts w:hint="eastAsia"/>
                      <w:bCs/>
                      <w:szCs w:val="21"/>
                    </w:rPr>
                    <w:t>将配备环保兼职人员，项目建成后将履行“三同时”制度。</w:t>
                  </w:r>
                </w:p>
              </w:tc>
              <w:tc>
                <w:tcPr>
                  <w:tcW w:w="507" w:type="pct"/>
                  <w:vAlign w:val="center"/>
                </w:tcPr>
                <w:p w14:paraId="4411F7DB">
                  <w:pPr>
                    <w:contextualSpacing/>
                    <w:jc w:val="center"/>
                    <w:rPr>
                      <w:szCs w:val="21"/>
                    </w:rPr>
                  </w:pPr>
                  <w:r>
                    <w:rPr>
                      <w:szCs w:val="21"/>
                    </w:rPr>
                    <w:t>相符</w:t>
                  </w:r>
                </w:p>
              </w:tc>
            </w:tr>
            <w:tr w14:paraId="1AF2291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246" w:type="pct"/>
                  <w:vAlign w:val="center"/>
                </w:tcPr>
                <w:p w14:paraId="3F63160C">
                  <w:pPr>
                    <w:contextualSpacing/>
                    <w:rPr>
                      <w:szCs w:val="21"/>
                    </w:rPr>
                  </w:pPr>
                  <w:r>
                    <w:rPr>
                      <w:szCs w:val="21"/>
                    </w:rPr>
                    <w:t>园区禁止审批列入国家、省产业政策淘汰、限制类项目；不符合规划环评结论及审查意见的项目；属于《建设项目环境保护管理条例》第十一条 5 种不予批准的情形的项目；无法落实危险废物合理利用、处置途径的项目。严禁引进排放“三致”（致癌、致畸、致突变）且严重影响人身健康和环境质量的项目。禁止安全风险大、工艺设施落后、安全水平低的企业或项目进入。禁止新建、扩建技术装备、污染排放、能耗达不到相关行业准入条件的项目。禁止引入不符合现行《江苏省太湖水污染防治条例》要求的项目。工业园应严格限制氮氧化物、颗粒物排放量大的企业入区，并实行总量控制</w:t>
                  </w:r>
                  <w:r>
                    <w:rPr>
                      <w:rFonts w:hint="eastAsia"/>
                      <w:szCs w:val="21"/>
                    </w:rPr>
                    <w:t>。</w:t>
                  </w:r>
                </w:p>
              </w:tc>
              <w:tc>
                <w:tcPr>
                  <w:tcW w:w="1245" w:type="pct"/>
                  <w:vAlign w:val="center"/>
                </w:tcPr>
                <w:p w14:paraId="5751A639">
                  <w:pPr>
                    <w:contextualSpacing/>
                    <w:jc w:val="center"/>
                    <w:rPr>
                      <w:szCs w:val="21"/>
                    </w:rPr>
                  </w:pPr>
                  <w:r>
                    <w:rPr>
                      <w:szCs w:val="21"/>
                    </w:rPr>
                    <w:t>本项目</w:t>
                  </w:r>
                  <w:r>
                    <w:rPr>
                      <w:rFonts w:hint="eastAsia"/>
                      <w:szCs w:val="21"/>
                    </w:rPr>
                    <w:t>不属于</w:t>
                  </w:r>
                  <w:r>
                    <w:rPr>
                      <w:szCs w:val="21"/>
                    </w:rPr>
                    <w:t>国家、</w:t>
                  </w:r>
                  <w:r>
                    <w:rPr>
                      <w:rFonts w:hint="eastAsia"/>
                      <w:szCs w:val="21"/>
                    </w:rPr>
                    <w:t>江苏</w:t>
                  </w:r>
                  <w:r>
                    <w:rPr>
                      <w:szCs w:val="21"/>
                    </w:rPr>
                    <w:t>省产业政策淘汰、限制类项目</w:t>
                  </w:r>
                  <w:r>
                    <w:rPr>
                      <w:rFonts w:hint="eastAsia"/>
                      <w:szCs w:val="21"/>
                    </w:rPr>
                    <w:t>；项目的建设</w:t>
                  </w:r>
                  <w:r>
                    <w:rPr>
                      <w:szCs w:val="21"/>
                    </w:rPr>
                    <w:t>符合规划环评结论及审查意见</w:t>
                  </w:r>
                  <w:r>
                    <w:rPr>
                      <w:rFonts w:hint="eastAsia"/>
                      <w:szCs w:val="21"/>
                    </w:rPr>
                    <w:t>；项目不</w:t>
                  </w:r>
                  <w:r>
                    <w:rPr>
                      <w:szCs w:val="21"/>
                    </w:rPr>
                    <w:t>属于《建设项目环境保护管理条例》第十一条 5 种不予批准的情形的项目</w:t>
                  </w:r>
                  <w:r>
                    <w:rPr>
                      <w:rFonts w:hint="eastAsia"/>
                      <w:szCs w:val="21"/>
                    </w:rPr>
                    <w:t>；项目</w:t>
                  </w:r>
                  <w:r>
                    <w:rPr>
                      <w:szCs w:val="21"/>
                    </w:rPr>
                    <w:t>危险废物</w:t>
                  </w:r>
                  <w:r>
                    <w:rPr>
                      <w:rFonts w:hint="eastAsia"/>
                      <w:szCs w:val="21"/>
                    </w:rPr>
                    <w:t>委托资质单位处理；</w:t>
                  </w:r>
                </w:p>
                <w:p w14:paraId="7262B517">
                  <w:pPr>
                    <w:contextualSpacing/>
                    <w:jc w:val="center"/>
                    <w:rPr>
                      <w:szCs w:val="21"/>
                    </w:rPr>
                  </w:pPr>
                  <w:r>
                    <w:rPr>
                      <w:rFonts w:hint="eastAsia"/>
                      <w:szCs w:val="21"/>
                    </w:rPr>
                    <w:t>项目不</w:t>
                  </w:r>
                  <w:r>
                    <w:rPr>
                      <w:szCs w:val="21"/>
                    </w:rPr>
                    <w:t>排放“三致”（致癌、致畸、致突变）</w:t>
                  </w:r>
                  <w:r>
                    <w:rPr>
                      <w:rFonts w:hint="eastAsia"/>
                      <w:szCs w:val="21"/>
                    </w:rPr>
                    <w:t>污染物；项目生产工艺安全风险低、工艺设施先进；项目的建设</w:t>
                  </w:r>
                  <w:r>
                    <w:rPr>
                      <w:szCs w:val="21"/>
                    </w:rPr>
                    <w:t>符合现行《江苏省太湖水污染防治条例》要求</w:t>
                  </w:r>
                  <w:r>
                    <w:rPr>
                      <w:rFonts w:hint="eastAsia"/>
                      <w:szCs w:val="21"/>
                      <w:lang w:eastAsia="zh-CN"/>
                    </w:rPr>
                    <w:t>。</w:t>
                  </w:r>
                </w:p>
              </w:tc>
              <w:tc>
                <w:tcPr>
                  <w:tcW w:w="507" w:type="pct"/>
                  <w:vAlign w:val="center"/>
                </w:tcPr>
                <w:p w14:paraId="4FCA3222">
                  <w:pPr>
                    <w:contextualSpacing/>
                    <w:jc w:val="center"/>
                    <w:rPr>
                      <w:szCs w:val="21"/>
                    </w:rPr>
                  </w:pPr>
                  <w:r>
                    <w:rPr>
                      <w:szCs w:val="21"/>
                    </w:rPr>
                    <w:t>相符</w:t>
                  </w:r>
                </w:p>
              </w:tc>
            </w:tr>
          </w:tbl>
          <w:p w14:paraId="571EBF3A">
            <w:pPr>
              <w:pStyle w:val="2"/>
              <w:adjustRightInd w:val="0"/>
              <w:spacing w:before="0" w:after="0" w:line="500" w:lineRule="exact"/>
              <w:ind w:right="0"/>
              <w:jc w:val="center"/>
              <w:rPr>
                <w:b/>
                <w:sz w:val="21"/>
                <w:szCs w:val="21"/>
              </w:rPr>
            </w:pPr>
            <w:r>
              <w:rPr>
                <w:b/>
                <w:sz w:val="21"/>
                <w:szCs w:val="21"/>
              </w:rPr>
              <w:t>表1-</w:t>
            </w:r>
            <w:r>
              <w:rPr>
                <w:rFonts w:hint="eastAsia"/>
                <w:b/>
                <w:sz w:val="21"/>
                <w:szCs w:val="21"/>
              </w:rPr>
              <w:t>3</w:t>
            </w:r>
            <w:r>
              <w:rPr>
                <w:b/>
                <w:sz w:val="21"/>
                <w:szCs w:val="21"/>
              </w:rPr>
              <w:t>项目与朱林现代产业园产业发展负面清单相符性分析</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905"/>
              <w:gridCol w:w="4262"/>
              <w:gridCol w:w="1886"/>
              <w:gridCol w:w="999"/>
            </w:tblGrid>
            <w:tr w14:paraId="67C5B398">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562" w:type="pct"/>
                  <w:tcBorders>
                    <w:tl2br w:val="nil"/>
                    <w:tr2bl w:val="nil"/>
                  </w:tcBorders>
                  <w:vAlign w:val="center"/>
                </w:tcPr>
                <w:p w14:paraId="519B018A">
                  <w:pPr>
                    <w:pStyle w:val="87"/>
                    <w:rPr>
                      <w:b/>
                      <w:bCs/>
                      <w:szCs w:val="21"/>
                    </w:rPr>
                  </w:pPr>
                  <w:r>
                    <w:rPr>
                      <w:b/>
                      <w:bCs/>
                      <w:szCs w:val="21"/>
                    </w:rPr>
                    <w:t>清单类别</w:t>
                  </w:r>
                </w:p>
              </w:tc>
              <w:tc>
                <w:tcPr>
                  <w:tcW w:w="2646" w:type="pct"/>
                  <w:tcBorders>
                    <w:tl2br w:val="nil"/>
                    <w:tr2bl w:val="nil"/>
                  </w:tcBorders>
                  <w:vAlign w:val="center"/>
                </w:tcPr>
                <w:p w14:paraId="4296F36F">
                  <w:pPr>
                    <w:pStyle w:val="87"/>
                    <w:rPr>
                      <w:b/>
                      <w:bCs/>
                      <w:szCs w:val="21"/>
                    </w:rPr>
                  </w:pPr>
                  <w:r>
                    <w:rPr>
                      <w:b/>
                      <w:bCs/>
                      <w:szCs w:val="21"/>
                    </w:rPr>
                    <w:t>准入内容</w:t>
                  </w:r>
                </w:p>
              </w:tc>
              <w:tc>
                <w:tcPr>
                  <w:tcW w:w="1171" w:type="pct"/>
                  <w:tcBorders>
                    <w:tl2br w:val="nil"/>
                    <w:tr2bl w:val="nil"/>
                  </w:tcBorders>
                  <w:vAlign w:val="center"/>
                </w:tcPr>
                <w:p w14:paraId="3405BD2C">
                  <w:pPr>
                    <w:pStyle w:val="87"/>
                    <w:rPr>
                      <w:b/>
                      <w:bCs/>
                      <w:szCs w:val="21"/>
                    </w:rPr>
                  </w:pPr>
                  <w:r>
                    <w:rPr>
                      <w:b/>
                      <w:bCs/>
                      <w:szCs w:val="21"/>
                    </w:rPr>
                    <w:t>对照分析</w:t>
                  </w:r>
                </w:p>
              </w:tc>
              <w:tc>
                <w:tcPr>
                  <w:tcW w:w="620" w:type="pct"/>
                  <w:tcBorders>
                    <w:tl2br w:val="nil"/>
                    <w:tr2bl w:val="nil"/>
                  </w:tcBorders>
                  <w:vAlign w:val="center"/>
                </w:tcPr>
                <w:p w14:paraId="5B36FE46">
                  <w:pPr>
                    <w:pStyle w:val="87"/>
                    <w:rPr>
                      <w:szCs w:val="21"/>
                    </w:rPr>
                  </w:pPr>
                  <w:r>
                    <w:rPr>
                      <w:b/>
                      <w:bCs/>
                      <w:szCs w:val="21"/>
                    </w:rPr>
                    <w:t>相符性</w:t>
                  </w:r>
                </w:p>
              </w:tc>
            </w:tr>
            <w:tr w14:paraId="0630F46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562" w:type="pct"/>
                  <w:tcBorders>
                    <w:tl2br w:val="nil"/>
                    <w:tr2bl w:val="nil"/>
                  </w:tcBorders>
                  <w:vAlign w:val="center"/>
                </w:tcPr>
                <w:p w14:paraId="2687CB33">
                  <w:pPr>
                    <w:pStyle w:val="87"/>
                    <w:rPr>
                      <w:szCs w:val="21"/>
                    </w:rPr>
                  </w:pPr>
                  <w:r>
                    <w:rPr>
                      <w:szCs w:val="21"/>
                    </w:rPr>
                    <w:t>禁止引入</w:t>
                  </w:r>
                </w:p>
              </w:tc>
              <w:tc>
                <w:tcPr>
                  <w:tcW w:w="2646" w:type="pct"/>
                  <w:tcBorders>
                    <w:tl2br w:val="nil"/>
                    <w:tr2bl w:val="nil"/>
                  </w:tcBorders>
                  <w:vAlign w:val="center"/>
                </w:tcPr>
                <w:p w14:paraId="428B3C78">
                  <w:pPr>
                    <w:pStyle w:val="87"/>
                    <w:jc w:val="left"/>
                    <w:rPr>
                      <w:szCs w:val="21"/>
                    </w:rPr>
                  </w:pPr>
                  <w:r>
                    <w:rPr>
                      <w:szCs w:val="21"/>
                    </w:rPr>
                    <w:t>①禁止审批列入国家、省产业政策淘汰、限制类项目；不符合规划环评结论及审查意见的项目；属于《建设项目环境保护管理条例》第十一条5种不予批准的情形的项目；无法落实危险废物合理利用、处置途径的项目。</w:t>
                  </w:r>
                </w:p>
                <w:p w14:paraId="729B925F">
                  <w:pPr>
                    <w:pStyle w:val="87"/>
                    <w:jc w:val="left"/>
                    <w:rPr>
                      <w:szCs w:val="21"/>
                    </w:rPr>
                  </w:pPr>
                  <w:r>
                    <w:rPr>
                      <w:szCs w:val="21"/>
                    </w:rPr>
                    <w:t>②严禁引进排放“三致”（致癌、致畸、致突变）且严重影响人身体健康和环境质量的项目。</w:t>
                  </w:r>
                </w:p>
                <w:p w14:paraId="554B2AFD">
                  <w:pPr>
                    <w:pStyle w:val="87"/>
                    <w:jc w:val="left"/>
                    <w:rPr>
                      <w:szCs w:val="21"/>
                    </w:rPr>
                  </w:pPr>
                  <w:r>
                    <w:rPr>
                      <w:szCs w:val="21"/>
                    </w:rPr>
                    <w:t>③禁止安全风险大、工艺设施落后、安全水平低的企业或项目进入。</w:t>
                  </w:r>
                </w:p>
                <w:p w14:paraId="3FBD1C14">
                  <w:pPr>
                    <w:pStyle w:val="87"/>
                    <w:jc w:val="left"/>
                    <w:rPr>
                      <w:szCs w:val="21"/>
                    </w:rPr>
                  </w:pPr>
                  <w:r>
                    <w:rPr>
                      <w:szCs w:val="21"/>
                    </w:rPr>
                    <w:t>④禁止新建、扩建技术装备、污染排放、能耗达不到相关行业准入条件的项目。</w:t>
                  </w:r>
                </w:p>
                <w:p w14:paraId="54EB01E2">
                  <w:pPr>
                    <w:pStyle w:val="87"/>
                    <w:jc w:val="left"/>
                    <w:rPr>
                      <w:szCs w:val="21"/>
                    </w:rPr>
                  </w:pPr>
                  <w:r>
                    <w:rPr>
                      <w:szCs w:val="21"/>
                    </w:rPr>
                    <w:t>⑤禁止引入不符合现行《江苏省太湖水污染防治条例》要求的项目</w:t>
                  </w:r>
                </w:p>
              </w:tc>
              <w:tc>
                <w:tcPr>
                  <w:tcW w:w="1171" w:type="pct"/>
                  <w:tcBorders>
                    <w:tl2br w:val="nil"/>
                    <w:tr2bl w:val="nil"/>
                  </w:tcBorders>
                  <w:vAlign w:val="center"/>
                </w:tcPr>
                <w:p w14:paraId="56B4140A">
                  <w:pPr>
                    <w:pStyle w:val="87"/>
                    <w:jc w:val="center"/>
                    <w:rPr>
                      <w:szCs w:val="21"/>
                    </w:rPr>
                  </w:pPr>
                  <w:r>
                    <w:rPr>
                      <w:szCs w:val="21"/>
                    </w:rPr>
                    <w:t>项目行业类别为C2928人造草坪制造，符合国家、江苏省、常州市规定的产业政策、技术政策和环保政策要求；不属于高物耗、高能耗和高水耗的项目；</w:t>
                  </w:r>
                  <w:r>
                    <w:rPr>
                      <w:rFonts w:hint="eastAsia"/>
                      <w:bCs/>
                      <w:szCs w:val="21"/>
                    </w:rPr>
                    <w:t>项目</w:t>
                  </w:r>
                  <w:r>
                    <w:rPr>
                      <w:bCs/>
                      <w:szCs w:val="21"/>
                    </w:rPr>
                    <w:t>生活污水接管至</w:t>
                  </w:r>
                  <w:r>
                    <w:rPr>
                      <w:rFonts w:hint="eastAsia"/>
                      <w:szCs w:val="21"/>
                      <w:lang w:bidi="ar"/>
                    </w:rPr>
                    <w:t>金坛区溪城污水处理有限公司</w:t>
                  </w:r>
                  <w:r>
                    <w:rPr>
                      <w:bCs/>
                      <w:szCs w:val="21"/>
                    </w:rPr>
                    <w:t>处理</w:t>
                  </w:r>
                  <w:r>
                    <w:rPr>
                      <w:szCs w:val="21"/>
                    </w:rPr>
                    <w:t>。因此，不属于园区禁止引进项目</w:t>
                  </w:r>
                </w:p>
              </w:tc>
              <w:tc>
                <w:tcPr>
                  <w:tcW w:w="620" w:type="pct"/>
                  <w:tcBorders>
                    <w:tl2br w:val="nil"/>
                    <w:tr2bl w:val="nil"/>
                  </w:tcBorders>
                  <w:vAlign w:val="center"/>
                </w:tcPr>
                <w:p w14:paraId="5571B4C6">
                  <w:pPr>
                    <w:pStyle w:val="87"/>
                    <w:jc w:val="left"/>
                    <w:rPr>
                      <w:szCs w:val="21"/>
                    </w:rPr>
                  </w:pPr>
                  <w:r>
                    <w:rPr>
                      <w:szCs w:val="21"/>
                    </w:rPr>
                    <w:t>相符</w:t>
                  </w:r>
                </w:p>
              </w:tc>
            </w:tr>
            <w:tr w14:paraId="064910A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562" w:type="pct"/>
                  <w:tcBorders>
                    <w:tl2br w:val="nil"/>
                    <w:tr2bl w:val="nil"/>
                  </w:tcBorders>
                  <w:vAlign w:val="center"/>
                </w:tcPr>
                <w:p w14:paraId="1F1D29E0">
                  <w:pPr>
                    <w:pStyle w:val="87"/>
                    <w:jc w:val="left"/>
                    <w:rPr>
                      <w:szCs w:val="21"/>
                    </w:rPr>
                  </w:pPr>
                  <w:r>
                    <w:rPr>
                      <w:szCs w:val="21"/>
                    </w:rPr>
                    <w:t>限制引入类项目</w:t>
                  </w:r>
                </w:p>
                <w:p w14:paraId="3CDC4606">
                  <w:pPr>
                    <w:pStyle w:val="87"/>
                    <w:rPr>
                      <w:szCs w:val="21"/>
                    </w:rPr>
                  </w:pPr>
                </w:p>
              </w:tc>
              <w:tc>
                <w:tcPr>
                  <w:tcW w:w="2646" w:type="pct"/>
                  <w:tcBorders>
                    <w:tl2br w:val="nil"/>
                    <w:tr2bl w:val="nil"/>
                  </w:tcBorders>
                  <w:vAlign w:val="center"/>
                </w:tcPr>
                <w:p w14:paraId="6977313D">
                  <w:pPr>
                    <w:pStyle w:val="87"/>
                    <w:jc w:val="left"/>
                    <w:rPr>
                      <w:color w:val="auto"/>
                      <w:szCs w:val="21"/>
                    </w:rPr>
                  </w:pPr>
                  <w:r>
                    <w:rPr>
                      <w:color w:val="auto"/>
                      <w:szCs w:val="21"/>
                    </w:rPr>
                    <w:t>工业园应严格限制氮氧化物、颗粒物排放量大的企业入区，并实行总量控制。</w:t>
                  </w:r>
                </w:p>
                <w:p w14:paraId="1CA8E1EE">
                  <w:pPr>
                    <w:pStyle w:val="87"/>
                    <w:jc w:val="left"/>
                    <w:rPr>
                      <w:color w:val="auto"/>
                      <w:szCs w:val="21"/>
                    </w:rPr>
                  </w:pPr>
                </w:p>
              </w:tc>
              <w:tc>
                <w:tcPr>
                  <w:tcW w:w="1896" w:type="dxa"/>
                  <w:tcBorders>
                    <w:tl2br w:val="nil"/>
                    <w:tr2bl w:val="nil"/>
                  </w:tcBorders>
                  <w:vAlign w:val="center"/>
                </w:tcPr>
                <w:p w14:paraId="15F0291A">
                  <w:pPr>
                    <w:pStyle w:val="87"/>
                    <w:rPr>
                      <w:color w:val="auto"/>
                      <w:szCs w:val="21"/>
                    </w:rPr>
                  </w:pPr>
                  <w:r>
                    <w:rPr>
                      <w:rFonts w:hint="eastAsia"/>
                      <w:color w:val="auto"/>
                      <w:szCs w:val="21"/>
                    </w:rPr>
                    <w:t>本项目</w:t>
                  </w:r>
                  <w:r>
                    <w:rPr>
                      <w:color w:val="auto"/>
                      <w:szCs w:val="21"/>
                    </w:rPr>
                    <w:t>废气颗粒物排放量较低，可在朱林现代产业园内平衡</w:t>
                  </w:r>
                </w:p>
              </w:tc>
              <w:tc>
                <w:tcPr>
                  <w:tcW w:w="1005" w:type="dxa"/>
                  <w:tcBorders>
                    <w:tl2br w:val="nil"/>
                    <w:tr2bl w:val="nil"/>
                  </w:tcBorders>
                  <w:vAlign w:val="center"/>
                </w:tcPr>
                <w:p w14:paraId="3965826B">
                  <w:pPr>
                    <w:pStyle w:val="87"/>
                    <w:rPr>
                      <w:szCs w:val="21"/>
                    </w:rPr>
                  </w:pPr>
                  <w:r>
                    <w:rPr>
                      <w:szCs w:val="21"/>
                    </w:rPr>
                    <w:t>相符</w:t>
                  </w:r>
                </w:p>
              </w:tc>
            </w:tr>
            <w:tr w14:paraId="11851D90">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562" w:type="pct"/>
                  <w:tcBorders>
                    <w:tl2br w:val="nil"/>
                    <w:tr2bl w:val="nil"/>
                  </w:tcBorders>
                  <w:vAlign w:val="center"/>
                </w:tcPr>
                <w:p w14:paraId="3C10789C">
                  <w:pPr>
                    <w:pStyle w:val="87"/>
                    <w:jc w:val="left"/>
                    <w:rPr>
                      <w:szCs w:val="21"/>
                    </w:rPr>
                  </w:pPr>
                  <w:r>
                    <w:rPr>
                      <w:szCs w:val="21"/>
                    </w:rPr>
                    <w:t>空间管制要求</w:t>
                  </w:r>
                </w:p>
              </w:tc>
              <w:tc>
                <w:tcPr>
                  <w:tcW w:w="2646" w:type="pct"/>
                  <w:tcBorders>
                    <w:tl2br w:val="nil"/>
                    <w:tr2bl w:val="nil"/>
                  </w:tcBorders>
                  <w:vAlign w:val="center"/>
                </w:tcPr>
                <w:p w14:paraId="5EEFDD60">
                  <w:pPr>
                    <w:pStyle w:val="87"/>
                    <w:jc w:val="left"/>
                    <w:rPr>
                      <w:szCs w:val="21"/>
                    </w:rPr>
                  </w:pPr>
                  <w:r>
                    <w:rPr>
                      <w:szCs w:val="21"/>
                    </w:rPr>
                    <w:t>不能满足环评测算出的环境防护距离，或环评事故风险防范和应急措施难以落实到位的项目。</w:t>
                  </w:r>
                </w:p>
              </w:tc>
              <w:tc>
                <w:tcPr>
                  <w:tcW w:w="1171" w:type="pct"/>
                  <w:tcBorders>
                    <w:tl2br w:val="nil"/>
                    <w:tr2bl w:val="nil"/>
                  </w:tcBorders>
                  <w:vAlign w:val="center"/>
                </w:tcPr>
                <w:p w14:paraId="330C8A83">
                  <w:pPr>
                    <w:pStyle w:val="87"/>
                    <w:rPr>
                      <w:szCs w:val="21"/>
                    </w:rPr>
                  </w:pPr>
                  <w:r>
                    <w:rPr>
                      <w:szCs w:val="21"/>
                    </w:rPr>
                    <w:t>项目的建设满足环评提出的卫生防护距离要求，项目建成后将严格落实事故风险防范和应急措施</w:t>
                  </w:r>
                </w:p>
              </w:tc>
              <w:tc>
                <w:tcPr>
                  <w:tcW w:w="620" w:type="pct"/>
                  <w:tcBorders>
                    <w:tl2br w:val="nil"/>
                    <w:tr2bl w:val="nil"/>
                  </w:tcBorders>
                  <w:vAlign w:val="center"/>
                </w:tcPr>
                <w:p w14:paraId="032A86E1">
                  <w:pPr>
                    <w:pStyle w:val="87"/>
                    <w:rPr>
                      <w:szCs w:val="21"/>
                    </w:rPr>
                  </w:pPr>
                  <w:r>
                    <w:rPr>
                      <w:szCs w:val="21"/>
                    </w:rPr>
                    <w:t>相符</w:t>
                  </w:r>
                </w:p>
              </w:tc>
            </w:tr>
            <w:tr w14:paraId="4A2A07B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562" w:type="pct"/>
                  <w:tcBorders>
                    <w:tl2br w:val="nil"/>
                    <w:tr2bl w:val="nil"/>
                  </w:tcBorders>
                  <w:vAlign w:val="center"/>
                </w:tcPr>
                <w:p w14:paraId="3ACBDD28">
                  <w:pPr>
                    <w:pStyle w:val="87"/>
                    <w:rPr>
                      <w:szCs w:val="21"/>
                    </w:rPr>
                  </w:pPr>
                  <w:r>
                    <w:rPr>
                      <w:szCs w:val="21"/>
                    </w:rPr>
                    <w:t>污染物排放总量控制</w:t>
                  </w:r>
                </w:p>
              </w:tc>
              <w:tc>
                <w:tcPr>
                  <w:tcW w:w="2646" w:type="pct"/>
                  <w:tcBorders>
                    <w:tl2br w:val="nil"/>
                    <w:tr2bl w:val="nil"/>
                  </w:tcBorders>
                  <w:vAlign w:val="center"/>
                </w:tcPr>
                <w:p w14:paraId="39F008B8">
                  <w:pPr>
                    <w:pStyle w:val="87"/>
                    <w:jc w:val="left"/>
                    <w:rPr>
                      <w:szCs w:val="21"/>
                    </w:rPr>
                  </w:pPr>
                  <w:r>
                    <w:rPr>
                      <w:szCs w:val="21"/>
                    </w:rPr>
                    <w:t>大气污染物:二氧化硫53.1吨/年、烟(粉)尘36.494吨/年、氮氧化物43.38吨/年、挥发性有机物27.885吨/年。废水污染物(排入外环境量):废水排放量417.38万立方米/年COD208.69吨/年、氨氮16.7吨/年、总磷2.09吨/年。</w:t>
                  </w:r>
                </w:p>
              </w:tc>
              <w:tc>
                <w:tcPr>
                  <w:tcW w:w="1171" w:type="pct"/>
                  <w:tcBorders>
                    <w:tl2br w:val="nil"/>
                    <w:tr2bl w:val="nil"/>
                  </w:tcBorders>
                  <w:vAlign w:val="center"/>
                </w:tcPr>
                <w:p w14:paraId="488B55BB">
                  <w:pPr>
                    <w:pStyle w:val="87"/>
                    <w:rPr>
                      <w:szCs w:val="21"/>
                    </w:rPr>
                  </w:pPr>
                  <w:r>
                    <w:rPr>
                      <w:rFonts w:hint="eastAsia"/>
                      <w:szCs w:val="21"/>
                    </w:rPr>
                    <w:t>本</w:t>
                  </w:r>
                  <w:r>
                    <w:rPr>
                      <w:szCs w:val="21"/>
                    </w:rPr>
                    <w:t>项目废气颗粒物、挥发性有机物排放量较低，排放总量不会突破园区环评报告及批复的总量</w:t>
                  </w:r>
                </w:p>
              </w:tc>
              <w:tc>
                <w:tcPr>
                  <w:tcW w:w="620" w:type="pct"/>
                  <w:tcBorders>
                    <w:tl2br w:val="nil"/>
                    <w:tr2bl w:val="nil"/>
                  </w:tcBorders>
                  <w:vAlign w:val="center"/>
                </w:tcPr>
                <w:p w14:paraId="2464CD70">
                  <w:pPr>
                    <w:pStyle w:val="87"/>
                    <w:rPr>
                      <w:szCs w:val="21"/>
                    </w:rPr>
                  </w:pPr>
                  <w:r>
                    <w:rPr>
                      <w:szCs w:val="21"/>
                    </w:rPr>
                    <w:t>相符</w:t>
                  </w:r>
                </w:p>
              </w:tc>
            </w:tr>
          </w:tbl>
          <w:p w14:paraId="4977FDDB">
            <w:pPr>
              <w:tabs>
                <w:tab w:val="left" w:pos="4552"/>
              </w:tabs>
              <w:spacing w:line="480" w:lineRule="exact"/>
              <w:jc w:val="left"/>
              <w:rPr>
                <w:color w:val="FF0000"/>
              </w:rPr>
            </w:pPr>
            <w:r>
              <w:rPr>
                <w:sz w:val="24"/>
              </w:rPr>
              <w:t>综上所述，本项目各污染物经处理后均可达标排放，对周围环境影响较小，满足区域规划环评要求。</w:t>
            </w:r>
          </w:p>
        </w:tc>
      </w:tr>
      <w:tr w14:paraId="1063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Align w:val="center"/>
          </w:tcPr>
          <w:p w14:paraId="4C1387B5">
            <w:pPr>
              <w:autoSpaceDE w:val="0"/>
              <w:autoSpaceDN w:val="0"/>
              <w:adjustRightInd w:val="0"/>
              <w:snapToGrid w:val="0"/>
              <w:jc w:val="center"/>
              <w:rPr>
                <w:color w:val="FF0000"/>
                <w:kern w:val="0"/>
                <w:szCs w:val="21"/>
              </w:rPr>
            </w:pPr>
            <w:r>
              <w:rPr>
                <w:kern w:val="0"/>
                <w:sz w:val="24"/>
              </w:rPr>
              <w:t>其他符合性分析</w:t>
            </w:r>
          </w:p>
        </w:tc>
        <w:tc>
          <w:tcPr>
            <w:tcW w:w="8271" w:type="dxa"/>
            <w:gridSpan w:val="3"/>
            <w:vAlign w:val="center"/>
          </w:tcPr>
          <w:p w14:paraId="2449FF80">
            <w:pPr>
              <w:snapToGrid w:val="0"/>
              <w:spacing w:line="500" w:lineRule="exact"/>
              <w:ind w:firstLine="482" w:firstLineChars="200"/>
              <w:rPr>
                <w:b/>
                <w:sz w:val="24"/>
              </w:rPr>
            </w:pPr>
            <w:r>
              <w:rPr>
                <w:rFonts w:hint="eastAsia"/>
                <w:b/>
                <w:sz w:val="24"/>
              </w:rPr>
              <w:t>1</w:t>
            </w:r>
            <w:r>
              <w:rPr>
                <w:b/>
                <w:sz w:val="24"/>
              </w:rPr>
              <w:t>、</w:t>
            </w:r>
            <w:r>
              <w:rPr>
                <w:rFonts w:hint="eastAsia"/>
                <w:b/>
                <w:sz w:val="24"/>
              </w:rPr>
              <w:t>与金坛区“</w:t>
            </w:r>
            <w:r>
              <w:rPr>
                <w:b/>
                <w:sz w:val="24"/>
              </w:rPr>
              <w:t>三区三线</w:t>
            </w:r>
            <w:r>
              <w:rPr>
                <w:rFonts w:hint="eastAsia"/>
                <w:b/>
                <w:sz w:val="24"/>
              </w:rPr>
              <w:t>”相符性分析。</w:t>
            </w:r>
          </w:p>
          <w:p w14:paraId="45DB95AF">
            <w:pPr>
              <w:autoSpaceDE w:val="0"/>
              <w:autoSpaceDN w:val="0"/>
              <w:adjustRightInd w:val="0"/>
              <w:snapToGrid w:val="0"/>
              <w:spacing w:line="500" w:lineRule="exact"/>
              <w:ind w:firstLine="480" w:firstLineChars="200"/>
              <w:rPr>
                <w:b/>
                <w:color w:val="FF0000"/>
                <w:sz w:val="24"/>
              </w:rPr>
            </w:pPr>
            <w:r>
              <w:rPr>
                <w:rFonts w:hint="eastAsia"/>
                <w:sz w:val="24"/>
              </w:rPr>
              <w:t>金坛区“</w:t>
            </w:r>
            <w:r>
              <w:rPr>
                <w:sz w:val="24"/>
              </w:rPr>
              <w:t>三区三线</w:t>
            </w:r>
            <w:r>
              <w:rPr>
                <w:rFonts w:hint="eastAsia"/>
                <w:sz w:val="24"/>
              </w:rPr>
              <w:t>”划定成果已正式启用，</w:t>
            </w:r>
            <w:r>
              <w:rPr>
                <w:sz w:val="24"/>
              </w:rPr>
              <w:t>共划定耕地保护目标图斑31.3788万亩，永久基本农田28.264万亩，生态保护红线98.67平方公里，城镇开发边界115.67平方公</w:t>
            </w:r>
            <w:r>
              <w:rPr>
                <w:color w:val="auto"/>
                <w:sz w:val="24"/>
              </w:rPr>
              <w:t>里。</w:t>
            </w:r>
            <w:r>
              <w:rPr>
                <w:rFonts w:hint="eastAsia"/>
                <w:color w:val="auto"/>
                <w:sz w:val="24"/>
              </w:rPr>
              <w:t>本项目位于常州市金坛区朱林镇永顺路2号，属于</w:t>
            </w:r>
            <w:r>
              <w:rPr>
                <w:color w:val="auto"/>
                <w:sz w:val="24"/>
              </w:rPr>
              <w:t>城镇开发边界</w:t>
            </w:r>
            <w:r>
              <w:rPr>
                <w:rFonts w:hint="eastAsia"/>
                <w:color w:val="auto"/>
                <w:sz w:val="24"/>
              </w:rPr>
              <w:t>范围。</w:t>
            </w:r>
          </w:p>
          <w:p w14:paraId="140A3FA8">
            <w:pPr>
              <w:autoSpaceDE w:val="0"/>
              <w:autoSpaceDN w:val="0"/>
              <w:adjustRightInd w:val="0"/>
              <w:snapToGrid w:val="0"/>
              <w:spacing w:line="500" w:lineRule="exact"/>
              <w:ind w:firstLine="482" w:firstLineChars="200"/>
              <w:jc w:val="left"/>
              <w:rPr>
                <w:b/>
                <w:sz w:val="24"/>
              </w:rPr>
            </w:pPr>
            <w:r>
              <w:rPr>
                <w:rFonts w:hint="eastAsia"/>
                <w:b/>
                <w:sz w:val="24"/>
              </w:rPr>
              <w:t>2、</w:t>
            </w:r>
            <w:r>
              <w:rPr>
                <w:b/>
                <w:sz w:val="24"/>
              </w:rPr>
              <w:t>“三线一单”控制要求相符性分析</w:t>
            </w:r>
          </w:p>
          <w:p w14:paraId="6838C4C7">
            <w:pPr>
              <w:autoSpaceDE w:val="0"/>
              <w:autoSpaceDN w:val="0"/>
              <w:adjustRightInd w:val="0"/>
              <w:snapToGrid w:val="0"/>
              <w:spacing w:line="500" w:lineRule="exact"/>
              <w:ind w:firstLine="482" w:firstLineChars="200"/>
              <w:rPr>
                <w:b/>
                <w:bCs/>
                <w:sz w:val="24"/>
              </w:rPr>
            </w:pPr>
            <w:r>
              <w:rPr>
                <w:b/>
                <w:bCs/>
                <w:sz w:val="24"/>
              </w:rPr>
              <w:t>（1）根据《关于以改善环境质量为核心加强环境影响评价管理的通知》（环环评[2016]150号文），本项目与“三线一单”相符性分析主要体现在以下四个方面：</w:t>
            </w:r>
          </w:p>
          <w:p w14:paraId="64E201B3">
            <w:pPr>
              <w:adjustRightInd w:val="0"/>
              <w:snapToGrid w:val="0"/>
              <w:spacing w:line="500" w:lineRule="exact"/>
              <w:jc w:val="center"/>
              <w:rPr>
                <w:b/>
                <w:bCs/>
                <w:szCs w:val="21"/>
              </w:rPr>
            </w:pPr>
            <w:r>
              <w:rPr>
                <w:b/>
                <w:bCs/>
                <w:szCs w:val="21"/>
              </w:rPr>
              <w:t>表1-</w:t>
            </w:r>
            <w:r>
              <w:rPr>
                <w:rFonts w:hint="eastAsia"/>
                <w:b/>
                <w:bCs/>
                <w:szCs w:val="21"/>
              </w:rPr>
              <w:t xml:space="preserve">4  </w:t>
            </w:r>
            <w:r>
              <w:rPr>
                <w:b/>
                <w:bCs/>
                <w:szCs w:val="21"/>
              </w:rPr>
              <w:t>“三线一单”符合性分析情况一览表</w:t>
            </w:r>
          </w:p>
          <w:tbl>
            <w:tblPr>
              <w:tblStyle w:val="27"/>
              <w:tblW w:w="493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455"/>
              <w:gridCol w:w="687"/>
              <w:gridCol w:w="6052"/>
              <w:gridCol w:w="756"/>
            </w:tblGrid>
            <w:tr w14:paraId="4F2282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4D681016">
                  <w:pPr>
                    <w:autoSpaceDE w:val="0"/>
                    <w:autoSpaceDN w:val="0"/>
                    <w:snapToGrid w:val="0"/>
                    <w:jc w:val="center"/>
                    <w:rPr>
                      <w:b/>
                      <w:bCs/>
                      <w:szCs w:val="21"/>
                    </w:rPr>
                  </w:pPr>
                  <w:r>
                    <w:rPr>
                      <w:b/>
                      <w:bCs/>
                      <w:szCs w:val="21"/>
                    </w:rPr>
                    <w:t>序号</w:t>
                  </w:r>
                </w:p>
              </w:tc>
              <w:tc>
                <w:tcPr>
                  <w:tcW w:w="432" w:type="pct"/>
                  <w:vAlign w:val="center"/>
                </w:tcPr>
                <w:p w14:paraId="2C3DF096">
                  <w:pPr>
                    <w:autoSpaceDE w:val="0"/>
                    <w:autoSpaceDN w:val="0"/>
                    <w:snapToGrid w:val="0"/>
                    <w:jc w:val="center"/>
                    <w:rPr>
                      <w:b/>
                      <w:bCs/>
                      <w:szCs w:val="21"/>
                    </w:rPr>
                  </w:pPr>
                  <w:r>
                    <w:rPr>
                      <w:b/>
                      <w:bCs/>
                      <w:szCs w:val="21"/>
                    </w:rPr>
                    <w:t>判断类型</w:t>
                  </w:r>
                </w:p>
              </w:tc>
              <w:tc>
                <w:tcPr>
                  <w:tcW w:w="3805" w:type="pct"/>
                  <w:vAlign w:val="center"/>
                </w:tcPr>
                <w:p w14:paraId="5F43871A">
                  <w:pPr>
                    <w:autoSpaceDE w:val="0"/>
                    <w:autoSpaceDN w:val="0"/>
                    <w:snapToGrid w:val="0"/>
                    <w:jc w:val="center"/>
                    <w:rPr>
                      <w:b/>
                      <w:bCs/>
                      <w:szCs w:val="21"/>
                    </w:rPr>
                  </w:pPr>
                  <w:r>
                    <w:rPr>
                      <w:b/>
                      <w:bCs/>
                      <w:szCs w:val="21"/>
                    </w:rPr>
                    <w:t>对照分析</w:t>
                  </w:r>
                </w:p>
              </w:tc>
              <w:tc>
                <w:tcPr>
                  <w:tcW w:w="475" w:type="pct"/>
                  <w:vAlign w:val="center"/>
                </w:tcPr>
                <w:p w14:paraId="3CA2DDC4">
                  <w:pPr>
                    <w:autoSpaceDE w:val="0"/>
                    <w:autoSpaceDN w:val="0"/>
                    <w:snapToGrid w:val="0"/>
                    <w:jc w:val="center"/>
                    <w:rPr>
                      <w:b/>
                      <w:bCs/>
                      <w:szCs w:val="21"/>
                    </w:rPr>
                  </w:pPr>
                  <w:r>
                    <w:rPr>
                      <w:b/>
                      <w:bCs/>
                      <w:szCs w:val="21"/>
                    </w:rPr>
                    <w:t>是否相符</w:t>
                  </w:r>
                </w:p>
              </w:tc>
            </w:tr>
            <w:tr w14:paraId="211441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286" w:type="pct"/>
                  <w:vAlign w:val="center"/>
                </w:tcPr>
                <w:p w14:paraId="79F7D0C2">
                  <w:pPr>
                    <w:autoSpaceDE w:val="0"/>
                    <w:autoSpaceDN w:val="0"/>
                    <w:snapToGrid w:val="0"/>
                    <w:jc w:val="center"/>
                    <w:rPr>
                      <w:szCs w:val="21"/>
                    </w:rPr>
                  </w:pPr>
                  <w:r>
                    <w:rPr>
                      <w:szCs w:val="21"/>
                    </w:rPr>
                    <w:t>1</w:t>
                  </w:r>
                </w:p>
              </w:tc>
              <w:tc>
                <w:tcPr>
                  <w:tcW w:w="432" w:type="pct"/>
                  <w:vAlign w:val="center"/>
                </w:tcPr>
                <w:p w14:paraId="3310ABBF">
                  <w:pPr>
                    <w:autoSpaceDE w:val="0"/>
                    <w:autoSpaceDN w:val="0"/>
                    <w:snapToGrid w:val="0"/>
                    <w:jc w:val="center"/>
                    <w:rPr>
                      <w:szCs w:val="21"/>
                    </w:rPr>
                  </w:pPr>
                  <w:r>
                    <w:rPr>
                      <w:szCs w:val="21"/>
                    </w:rPr>
                    <w:t>生态红线</w:t>
                  </w:r>
                </w:p>
              </w:tc>
              <w:tc>
                <w:tcPr>
                  <w:tcW w:w="3805" w:type="pct"/>
                  <w:vAlign w:val="center"/>
                </w:tcPr>
                <w:p w14:paraId="21998F3D">
                  <w:pPr>
                    <w:autoSpaceDE w:val="0"/>
                    <w:autoSpaceDN w:val="0"/>
                    <w:snapToGrid w:val="0"/>
                    <w:ind w:firstLine="420" w:firstLineChars="200"/>
                    <w:jc w:val="left"/>
                    <w:rPr>
                      <w:szCs w:val="21"/>
                    </w:rPr>
                  </w:pPr>
                  <w:r>
                    <w:rPr>
                      <w:szCs w:val="21"/>
                    </w:rPr>
                    <w:t>根据《省政府关于印发江苏省生态空间管控区域规划的通知》（苏政发[2020]1号）、《省政府关于印发江苏省国家级生态保护红线规划的通知》（苏政发[2018]74号）文件，本项目距离最近的生态空间管控区方山（金坛区）森林公园自然与人文景观保护区</w:t>
                  </w:r>
                  <w:r>
                    <w:rPr>
                      <w:rFonts w:hint="eastAsia"/>
                      <w:szCs w:val="21"/>
                    </w:rPr>
                    <w:t>5.8</w:t>
                  </w:r>
                  <w:r>
                    <w:rPr>
                      <w:szCs w:val="21"/>
                    </w:rPr>
                    <w:t>km，不在国家级生态保护红线范围和生态空间管控区范围内。</w:t>
                  </w:r>
                </w:p>
              </w:tc>
              <w:tc>
                <w:tcPr>
                  <w:tcW w:w="475" w:type="pct"/>
                  <w:vAlign w:val="center"/>
                </w:tcPr>
                <w:p w14:paraId="1B18CA44">
                  <w:pPr>
                    <w:autoSpaceDE w:val="0"/>
                    <w:autoSpaceDN w:val="0"/>
                    <w:snapToGrid w:val="0"/>
                    <w:jc w:val="center"/>
                    <w:rPr>
                      <w:szCs w:val="21"/>
                    </w:rPr>
                  </w:pPr>
                  <w:r>
                    <w:rPr>
                      <w:szCs w:val="21"/>
                    </w:rPr>
                    <w:t>是</w:t>
                  </w:r>
                </w:p>
              </w:tc>
            </w:tr>
            <w:tr w14:paraId="392A81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2122EC67">
                  <w:pPr>
                    <w:autoSpaceDE w:val="0"/>
                    <w:autoSpaceDN w:val="0"/>
                    <w:snapToGrid w:val="0"/>
                    <w:jc w:val="center"/>
                    <w:rPr>
                      <w:szCs w:val="21"/>
                    </w:rPr>
                  </w:pPr>
                  <w:r>
                    <w:rPr>
                      <w:szCs w:val="21"/>
                    </w:rPr>
                    <w:t>2</w:t>
                  </w:r>
                </w:p>
              </w:tc>
              <w:tc>
                <w:tcPr>
                  <w:tcW w:w="432" w:type="pct"/>
                  <w:vAlign w:val="center"/>
                </w:tcPr>
                <w:p w14:paraId="53D3F7C5">
                  <w:pPr>
                    <w:autoSpaceDE w:val="0"/>
                    <w:autoSpaceDN w:val="0"/>
                    <w:snapToGrid w:val="0"/>
                    <w:jc w:val="center"/>
                    <w:rPr>
                      <w:szCs w:val="21"/>
                    </w:rPr>
                  </w:pPr>
                  <w:r>
                    <w:rPr>
                      <w:szCs w:val="21"/>
                    </w:rPr>
                    <w:t>环境质量底线</w:t>
                  </w:r>
                </w:p>
              </w:tc>
              <w:tc>
                <w:tcPr>
                  <w:tcW w:w="6063" w:type="dxa"/>
                  <w:vAlign w:val="center"/>
                </w:tcPr>
                <w:p w14:paraId="05D51DEE">
                  <w:pPr>
                    <w:autoSpaceDE w:val="0"/>
                    <w:autoSpaceDN w:val="0"/>
                    <w:snapToGrid w:val="0"/>
                    <w:ind w:firstLine="420" w:firstLineChars="200"/>
                    <w:jc w:val="left"/>
                    <w:rPr>
                      <w:szCs w:val="21"/>
                    </w:rPr>
                  </w:pPr>
                  <w:r>
                    <w:rPr>
                      <w:szCs w:val="21"/>
                    </w:rPr>
                    <w:t>根据《202</w:t>
                  </w:r>
                  <w:r>
                    <w:rPr>
                      <w:rFonts w:hint="eastAsia"/>
                      <w:szCs w:val="21"/>
                    </w:rPr>
                    <w:t>3</w:t>
                  </w:r>
                  <w:r>
                    <w:rPr>
                      <w:szCs w:val="21"/>
                    </w:rPr>
                    <w:t>常州市生态环境状况公报》，项目所在区域大气环境质量属于不达标区，为改善常州市环境空气质量情况，常州市政府制定了相应的大气整治方案和计划，区域大气环境质量将会得到一定的改善。根据环境质量现状监测数据，项目所在地</w:t>
                  </w:r>
                  <w:r>
                    <w:rPr>
                      <w:rFonts w:hint="eastAsia"/>
                      <w:szCs w:val="21"/>
                    </w:rPr>
                    <w:t>大气、</w:t>
                  </w:r>
                  <w:r>
                    <w:rPr>
                      <w:szCs w:val="21"/>
                    </w:rPr>
                    <w:t>地表水、声环境质量监测结果均满足相应标准要求。项目建成后采取严格的污染防治措施，</w:t>
                  </w:r>
                  <w:r>
                    <w:rPr>
                      <w:rFonts w:hint="eastAsia"/>
                      <w:szCs w:val="21"/>
                    </w:rPr>
                    <w:t>废气、</w:t>
                  </w:r>
                  <w:r>
                    <w:rPr>
                      <w:szCs w:val="21"/>
                    </w:rPr>
                    <w:t>废水、厂界噪声均可达标排放，固废合理处置，不会突破项目所在地环境质量底线。</w:t>
                  </w:r>
                </w:p>
              </w:tc>
              <w:tc>
                <w:tcPr>
                  <w:tcW w:w="757" w:type="dxa"/>
                  <w:vAlign w:val="center"/>
                </w:tcPr>
                <w:p w14:paraId="5BE9F360">
                  <w:pPr>
                    <w:autoSpaceDE w:val="0"/>
                    <w:autoSpaceDN w:val="0"/>
                    <w:snapToGrid w:val="0"/>
                    <w:jc w:val="center"/>
                    <w:rPr>
                      <w:szCs w:val="21"/>
                    </w:rPr>
                  </w:pPr>
                  <w:r>
                    <w:rPr>
                      <w:szCs w:val="21"/>
                    </w:rPr>
                    <w:t>是</w:t>
                  </w:r>
                </w:p>
              </w:tc>
            </w:tr>
            <w:tr w14:paraId="3B722F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2EB2B92A">
                  <w:pPr>
                    <w:autoSpaceDE w:val="0"/>
                    <w:autoSpaceDN w:val="0"/>
                    <w:snapToGrid w:val="0"/>
                    <w:jc w:val="center"/>
                    <w:rPr>
                      <w:szCs w:val="21"/>
                    </w:rPr>
                  </w:pPr>
                  <w:r>
                    <w:rPr>
                      <w:szCs w:val="21"/>
                    </w:rPr>
                    <w:t>3</w:t>
                  </w:r>
                </w:p>
              </w:tc>
              <w:tc>
                <w:tcPr>
                  <w:tcW w:w="432" w:type="pct"/>
                  <w:vAlign w:val="center"/>
                </w:tcPr>
                <w:p w14:paraId="19763FF3">
                  <w:pPr>
                    <w:autoSpaceDE w:val="0"/>
                    <w:autoSpaceDN w:val="0"/>
                    <w:snapToGrid w:val="0"/>
                    <w:jc w:val="center"/>
                    <w:rPr>
                      <w:szCs w:val="21"/>
                    </w:rPr>
                  </w:pPr>
                  <w:r>
                    <w:rPr>
                      <w:szCs w:val="21"/>
                    </w:rPr>
                    <w:t>资源利用上线</w:t>
                  </w:r>
                </w:p>
              </w:tc>
              <w:tc>
                <w:tcPr>
                  <w:tcW w:w="3805" w:type="pct"/>
                  <w:vAlign w:val="center"/>
                </w:tcPr>
                <w:p w14:paraId="68800FE3">
                  <w:pPr>
                    <w:autoSpaceDE w:val="0"/>
                    <w:autoSpaceDN w:val="0"/>
                    <w:snapToGrid w:val="0"/>
                    <w:ind w:firstLine="420" w:firstLineChars="200"/>
                    <w:jc w:val="left"/>
                    <w:rPr>
                      <w:szCs w:val="21"/>
                    </w:rPr>
                  </w:pPr>
                  <w:r>
                    <w:rPr>
                      <w:szCs w:val="21"/>
                    </w:rPr>
                    <w:t>本项目不属于</w:t>
                  </w:r>
                  <w:r>
                    <w:rPr>
                      <w:rFonts w:hint="eastAsia"/>
                      <w:szCs w:val="21"/>
                    </w:rPr>
                    <w:t>“</w:t>
                  </w:r>
                  <w:r>
                    <w:rPr>
                      <w:szCs w:val="21"/>
                    </w:rPr>
                    <w:t>两高一资</w:t>
                  </w:r>
                  <w:r>
                    <w:rPr>
                      <w:rFonts w:hint="eastAsia"/>
                      <w:szCs w:val="21"/>
                    </w:rPr>
                    <w:t>”</w:t>
                  </w:r>
                  <w:r>
                    <w:rPr>
                      <w:szCs w:val="21"/>
                    </w:rPr>
                    <w:t>类别，所使用的能源主要为水、电能；本项目所在地水资源丰富，电力资源由当地电网公司输送，企业将采取有效的节水、节电措施，切实提高投入产出比，降低能耗，不会突破资源利用上线。符合资源利用上线相关要求。</w:t>
                  </w:r>
                </w:p>
              </w:tc>
              <w:tc>
                <w:tcPr>
                  <w:tcW w:w="475" w:type="pct"/>
                  <w:vAlign w:val="center"/>
                </w:tcPr>
                <w:p w14:paraId="13EE63AA">
                  <w:pPr>
                    <w:autoSpaceDE w:val="0"/>
                    <w:autoSpaceDN w:val="0"/>
                    <w:snapToGrid w:val="0"/>
                    <w:jc w:val="center"/>
                    <w:rPr>
                      <w:szCs w:val="21"/>
                    </w:rPr>
                  </w:pPr>
                  <w:r>
                    <w:rPr>
                      <w:szCs w:val="21"/>
                    </w:rPr>
                    <w:t>是</w:t>
                  </w:r>
                </w:p>
              </w:tc>
            </w:tr>
            <w:tr w14:paraId="708A3E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268E5055">
                  <w:pPr>
                    <w:autoSpaceDE w:val="0"/>
                    <w:autoSpaceDN w:val="0"/>
                    <w:snapToGrid w:val="0"/>
                    <w:jc w:val="center"/>
                    <w:rPr>
                      <w:szCs w:val="21"/>
                    </w:rPr>
                  </w:pPr>
                  <w:r>
                    <w:rPr>
                      <w:szCs w:val="21"/>
                    </w:rPr>
                    <w:t>4</w:t>
                  </w:r>
                </w:p>
              </w:tc>
              <w:tc>
                <w:tcPr>
                  <w:tcW w:w="432" w:type="pct"/>
                  <w:vAlign w:val="center"/>
                </w:tcPr>
                <w:p w14:paraId="3CAC83CD">
                  <w:pPr>
                    <w:autoSpaceDE w:val="0"/>
                    <w:autoSpaceDN w:val="0"/>
                    <w:snapToGrid w:val="0"/>
                    <w:jc w:val="center"/>
                    <w:rPr>
                      <w:szCs w:val="21"/>
                    </w:rPr>
                  </w:pPr>
                  <w:r>
                    <w:rPr>
                      <w:szCs w:val="21"/>
                    </w:rPr>
                    <w:t>环境准入负面清单</w:t>
                  </w:r>
                </w:p>
              </w:tc>
              <w:tc>
                <w:tcPr>
                  <w:tcW w:w="3805" w:type="pct"/>
                  <w:vAlign w:val="center"/>
                </w:tcPr>
                <w:p w14:paraId="41492EC8">
                  <w:pPr>
                    <w:autoSpaceDE w:val="0"/>
                    <w:autoSpaceDN w:val="0"/>
                    <w:snapToGrid w:val="0"/>
                    <w:ind w:firstLine="420" w:firstLineChars="200"/>
                    <w:jc w:val="left"/>
                    <w:rPr>
                      <w:szCs w:val="21"/>
                    </w:rPr>
                  </w:pPr>
                  <w:r>
                    <w:rPr>
                      <w:szCs w:val="21"/>
                    </w:rPr>
                    <w:t>经对照，</w:t>
                  </w:r>
                  <w:r>
                    <w:rPr>
                      <w:rFonts w:hint="eastAsia"/>
                      <w:szCs w:val="21"/>
                    </w:rPr>
                    <w:t>本项目位于江苏省金坛经济开发区朱林现代产业园，符合园区产业定位；项目</w:t>
                  </w:r>
                  <w:r>
                    <w:rPr>
                      <w:szCs w:val="21"/>
                    </w:rPr>
                    <w:t>不属于《市场准入负面清单（202</w:t>
                  </w:r>
                  <w:r>
                    <w:rPr>
                      <w:rFonts w:hint="eastAsia"/>
                      <w:szCs w:val="21"/>
                      <w:lang w:val="en-US" w:eastAsia="zh-CN"/>
                    </w:rPr>
                    <w:t>5</w:t>
                  </w:r>
                  <w:r>
                    <w:rPr>
                      <w:szCs w:val="21"/>
                    </w:rPr>
                    <w:t>年版）》中禁止事项；不属于《长江经济带发展负面清单指南（试行，2022年版）》中禁止建设类项目；不属于</w:t>
                  </w:r>
                  <w:r>
                    <w:rPr>
                      <w:rFonts w:hint="eastAsia"/>
                      <w:szCs w:val="21"/>
                    </w:rPr>
                    <w:t>《江苏省“两高”项目管理目录(202</w:t>
                  </w:r>
                  <w:r>
                    <w:rPr>
                      <w:rFonts w:hint="eastAsia"/>
                      <w:szCs w:val="21"/>
                      <w:lang w:val="en-US" w:eastAsia="zh-CN"/>
                    </w:rPr>
                    <w:t>5</w:t>
                  </w:r>
                  <w:r>
                    <w:rPr>
                      <w:rFonts w:hint="eastAsia"/>
                      <w:szCs w:val="21"/>
                    </w:rPr>
                    <w:t>年版)》（苏发改规发【202</w:t>
                  </w:r>
                  <w:r>
                    <w:rPr>
                      <w:rFonts w:hint="eastAsia"/>
                      <w:szCs w:val="21"/>
                      <w:lang w:val="en-US" w:eastAsia="zh-CN"/>
                    </w:rPr>
                    <w:t>5</w:t>
                  </w:r>
                  <w:r>
                    <w:rPr>
                      <w:rFonts w:hint="eastAsia"/>
                      <w:szCs w:val="21"/>
                    </w:rPr>
                    <w:t>】4号）</w:t>
                  </w:r>
                  <w:r>
                    <w:rPr>
                      <w:szCs w:val="21"/>
                    </w:rPr>
                    <w:t>中</w:t>
                  </w:r>
                  <w:r>
                    <w:rPr>
                      <w:rFonts w:hint="eastAsia"/>
                      <w:szCs w:val="21"/>
                    </w:rPr>
                    <w:t>“</w:t>
                  </w:r>
                  <w:r>
                    <w:rPr>
                      <w:szCs w:val="21"/>
                    </w:rPr>
                    <w:t>两高</w:t>
                  </w:r>
                  <w:r>
                    <w:rPr>
                      <w:rFonts w:hint="eastAsia"/>
                      <w:szCs w:val="21"/>
                    </w:rPr>
                    <w:t>”</w:t>
                  </w:r>
                  <w:r>
                    <w:rPr>
                      <w:szCs w:val="21"/>
                    </w:rPr>
                    <w:t>项目。因此本项目符合环境准入负面清单相关要求。</w:t>
                  </w:r>
                </w:p>
              </w:tc>
              <w:tc>
                <w:tcPr>
                  <w:tcW w:w="475" w:type="pct"/>
                  <w:vAlign w:val="center"/>
                </w:tcPr>
                <w:p w14:paraId="2F948A4B">
                  <w:pPr>
                    <w:autoSpaceDE w:val="0"/>
                    <w:autoSpaceDN w:val="0"/>
                    <w:snapToGrid w:val="0"/>
                    <w:jc w:val="center"/>
                    <w:rPr>
                      <w:szCs w:val="21"/>
                    </w:rPr>
                  </w:pPr>
                  <w:r>
                    <w:rPr>
                      <w:szCs w:val="21"/>
                    </w:rPr>
                    <w:t>是</w:t>
                  </w:r>
                </w:p>
              </w:tc>
            </w:tr>
          </w:tbl>
          <w:p w14:paraId="029468F8">
            <w:pPr>
              <w:autoSpaceDE w:val="0"/>
              <w:autoSpaceDN w:val="0"/>
              <w:adjustRightInd w:val="0"/>
              <w:snapToGrid w:val="0"/>
              <w:spacing w:line="500" w:lineRule="exact"/>
              <w:ind w:firstLine="482" w:firstLineChars="200"/>
              <w:rPr>
                <w:b/>
                <w:sz w:val="24"/>
              </w:rPr>
            </w:pPr>
            <w:r>
              <w:rPr>
                <w:b/>
                <w:sz w:val="24"/>
              </w:rPr>
              <w:t>（2）与《江苏省政府关于印发江苏省</w:t>
            </w:r>
            <w:r>
              <w:rPr>
                <w:rFonts w:hint="eastAsia"/>
                <w:b/>
                <w:sz w:val="24"/>
              </w:rPr>
              <w:t>“</w:t>
            </w:r>
            <w:r>
              <w:rPr>
                <w:b/>
                <w:sz w:val="24"/>
              </w:rPr>
              <w:t>三线一单</w:t>
            </w:r>
            <w:r>
              <w:rPr>
                <w:rFonts w:hint="eastAsia"/>
                <w:b/>
                <w:sz w:val="24"/>
              </w:rPr>
              <w:t>”</w:t>
            </w:r>
            <w:r>
              <w:rPr>
                <w:b/>
                <w:sz w:val="24"/>
              </w:rPr>
              <w:t>生态环境分区管控方案的通知》（苏政发[2020]49号）相符性分析</w:t>
            </w:r>
          </w:p>
          <w:p w14:paraId="128BA306">
            <w:pPr>
              <w:autoSpaceDE w:val="0"/>
              <w:autoSpaceDN w:val="0"/>
              <w:adjustRightInd w:val="0"/>
              <w:snapToGrid w:val="0"/>
              <w:spacing w:line="500" w:lineRule="exact"/>
              <w:ind w:firstLine="480" w:firstLineChars="200"/>
              <w:rPr>
                <w:bCs/>
                <w:sz w:val="24"/>
              </w:rPr>
            </w:pPr>
            <w:r>
              <w:rPr>
                <w:bCs/>
                <w:sz w:val="24"/>
              </w:rPr>
              <w:t>本项目位于</w:t>
            </w:r>
            <w:r>
              <w:rPr>
                <w:rFonts w:hint="eastAsia"/>
                <w:sz w:val="24"/>
              </w:rPr>
              <w:t>常州市金坛区朱林镇永顺路2号</w:t>
            </w:r>
            <w:r>
              <w:rPr>
                <w:bCs/>
                <w:sz w:val="24"/>
              </w:rPr>
              <w:t>，对照《江苏省政府关于印发江苏省</w:t>
            </w:r>
            <w:r>
              <w:rPr>
                <w:rFonts w:hint="eastAsia"/>
                <w:bCs/>
                <w:sz w:val="24"/>
              </w:rPr>
              <w:t>“</w:t>
            </w:r>
            <w:r>
              <w:rPr>
                <w:bCs/>
                <w:sz w:val="24"/>
              </w:rPr>
              <w:t>三线一单</w:t>
            </w:r>
            <w:r>
              <w:rPr>
                <w:rFonts w:hint="eastAsia"/>
                <w:bCs/>
                <w:sz w:val="24"/>
              </w:rPr>
              <w:t>”</w:t>
            </w:r>
            <w:r>
              <w:rPr>
                <w:bCs/>
                <w:sz w:val="24"/>
              </w:rPr>
              <w:t>生态环境分区管控方案的通知》（苏政发[2020]49号）可知，项目位于重点管控单元，其重点管控要求与本项目的相符性分析见下表。</w:t>
            </w:r>
          </w:p>
          <w:p w14:paraId="11F9E81D">
            <w:pPr>
              <w:adjustRightInd w:val="0"/>
              <w:snapToGrid w:val="0"/>
              <w:spacing w:line="500" w:lineRule="exact"/>
              <w:jc w:val="center"/>
              <w:rPr>
                <w:b/>
                <w:bCs/>
                <w:szCs w:val="21"/>
              </w:rPr>
            </w:pPr>
            <w:r>
              <w:rPr>
                <w:b/>
                <w:bCs/>
                <w:szCs w:val="21"/>
              </w:rPr>
              <w:t>表1-</w:t>
            </w:r>
            <w:r>
              <w:rPr>
                <w:rFonts w:hint="eastAsia"/>
                <w:b/>
                <w:bCs/>
                <w:szCs w:val="21"/>
              </w:rPr>
              <w:t xml:space="preserve">5 </w:t>
            </w:r>
            <w:r>
              <w:rPr>
                <w:b/>
                <w:bCs/>
                <w:szCs w:val="21"/>
              </w:rPr>
              <w:t xml:space="preserve"> 项目与苏政发[2020]49号相符性分析</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702"/>
              <w:gridCol w:w="5842"/>
              <w:gridCol w:w="1509"/>
            </w:tblGrid>
            <w:tr w14:paraId="0866C0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3B4A5D3A">
                  <w:pPr>
                    <w:jc w:val="center"/>
                    <w:rPr>
                      <w:b/>
                    </w:rPr>
                  </w:pPr>
                  <w:r>
                    <w:rPr>
                      <w:b/>
                    </w:rPr>
                    <w:t>管控类别</w:t>
                  </w:r>
                </w:p>
              </w:tc>
              <w:tc>
                <w:tcPr>
                  <w:tcW w:w="3627" w:type="pct"/>
                  <w:vAlign w:val="center"/>
                </w:tcPr>
                <w:p w14:paraId="2EE758DB">
                  <w:pPr>
                    <w:jc w:val="center"/>
                    <w:rPr>
                      <w:b/>
                    </w:rPr>
                  </w:pPr>
                  <w:r>
                    <w:rPr>
                      <w:b/>
                    </w:rPr>
                    <w:t>重点管控要求</w:t>
                  </w:r>
                </w:p>
              </w:tc>
              <w:tc>
                <w:tcPr>
                  <w:tcW w:w="935" w:type="pct"/>
                  <w:vAlign w:val="center"/>
                </w:tcPr>
                <w:p w14:paraId="7C489AC7">
                  <w:pPr>
                    <w:jc w:val="center"/>
                    <w:rPr>
                      <w:b/>
                    </w:rPr>
                  </w:pPr>
                  <w:r>
                    <w:rPr>
                      <w:b/>
                    </w:rPr>
                    <w:t>相符性分析</w:t>
                  </w:r>
                </w:p>
              </w:tc>
            </w:tr>
            <w:tr w14:paraId="7D0CF5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3"/>
                  <w:vAlign w:val="center"/>
                </w:tcPr>
                <w:p w14:paraId="68F7949B">
                  <w:pPr>
                    <w:jc w:val="center"/>
                    <w:rPr>
                      <w:b/>
                    </w:rPr>
                  </w:pPr>
                  <w:r>
                    <w:rPr>
                      <w:b/>
                    </w:rPr>
                    <w:t>长江流域</w:t>
                  </w:r>
                </w:p>
              </w:tc>
            </w:tr>
            <w:tr w14:paraId="2EE59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7525696D">
                  <w:pPr>
                    <w:jc w:val="center"/>
                  </w:pPr>
                  <w:r>
                    <w:t>空间布局约束</w:t>
                  </w:r>
                </w:p>
              </w:tc>
              <w:tc>
                <w:tcPr>
                  <w:tcW w:w="3627" w:type="pct"/>
                  <w:tcBorders>
                    <w:bottom w:val="single" w:color="auto" w:sz="2" w:space="0"/>
                  </w:tcBorders>
                  <w:vAlign w:val="center"/>
                </w:tcPr>
                <w:p w14:paraId="374A6479">
                  <w:pPr>
                    <w:ind w:firstLine="420" w:firstLineChars="200"/>
                  </w:pPr>
                  <w:r>
                    <w:t>1、始终把长江生态修复放在首位，坚持共抓大保护、不搞大开发，引导长江流域产业转型升级和布局优化调整，实现科学发展、有序发展、高质量发展。</w:t>
                  </w:r>
                </w:p>
                <w:p w14:paraId="3BFD42C2">
                  <w:pPr>
                    <w:ind w:firstLine="420" w:firstLineChars="200"/>
                  </w:pPr>
                  <w: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7DF6ED48">
                  <w:pPr>
                    <w:ind w:firstLine="420" w:firstLineChars="200"/>
                  </w:pPr>
                  <w: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04F9D713">
                  <w:pPr>
                    <w:ind w:firstLine="420" w:firstLineChars="200"/>
                  </w:pPr>
                  <w:r>
                    <w:t>4、强化港口布局优化，禁止建设不符合国家港口布局规划和《江苏省沿江沿海港口布局规划（2015-2030年）》《江苏省内河港口布局规划（2017-2035年）》的码头项</w:t>
                  </w:r>
                  <w:r>
                    <w:rPr>
                      <w:rFonts w:hint="eastAsia"/>
                    </w:rPr>
                    <w:t>目,禁止建设未纳入《长江干线过江通道布局规划》的过江干线通道项目</w:t>
                  </w:r>
                  <w:r>
                    <w:t>。</w:t>
                  </w:r>
                </w:p>
                <w:p w14:paraId="7FBCA760">
                  <w:pPr>
                    <w:ind w:firstLine="420" w:firstLineChars="200"/>
                  </w:pPr>
                  <w:r>
                    <w:t>5、禁止新建独立焦化项目。</w:t>
                  </w:r>
                </w:p>
              </w:tc>
              <w:tc>
                <w:tcPr>
                  <w:tcW w:w="935" w:type="pct"/>
                  <w:tcBorders>
                    <w:bottom w:val="single" w:color="auto" w:sz="2" w:space="0"/>
                  </w:tcBorders>
                  <w:vAlign w:val="center"/>
                </w:tcPr>
                <w:p w14:paraId="036E05EA">
                  <w:pPr>
                    <w:ind w:firstLine="420" w:firstLineChars="200"/>
                  </w:pPr>
                  <w:r>
                    <w:t>本项目位于</w:t>
                  </w:r>
                  <w:r>
                    <w:rPr>
                      <w:rFonts w:hint="eastAsia"/>
                      <w:szCs w:val="21"/>
                    </w:rPr>
                    <w:t>常州市金坛区朱林镇永顺路2号</w:t>
                  </w:r>
                  <w:r>
                    <w:t>，</w:t>
                  </w:r>
                  <w:r>
                    <w:rPr>
                      <w:szCs w:val="21"/>
                    </w:rPr>
                    <w:t>属于长江流域内，选址</w:t>
                  </w:r>
                  <w:r>
                    <w:t>不在国家确定的生态保护红线和永久基本农田范围内；本项目属于</w:t>
                  </w:r>
                  <w:r>
                    <w:rPr>
                      <w:rFonts w:hint="eastAsia"/>
                      <w:szCs w:val="21"/>
                    </w:rPr>
                    <w:t>C2928人造草坪制造</w:t>
                  </w:r>
                  <w:r>
                    <w:t>，不属于上述禁止建设的项目。</w:t>
                  </w:r>
                </w:p>
              </w:tc>
            </w:tr>
            <w:tr w14:paraId="565D5D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3899083D">
                  <w:pPr>
                    <w:jc w:val="center"/>
                  </w:pPr>
                  <w:r>
                    <w:t>污染物排放管控</w:t>
                  </w:r>
                </w:p>
              </w:tc>
              <w:tc>
                <w:tcPr>
                  <w:tcW w:w="3627" w:type="pct"/>
                  <w:vAlign w:val="center"/>
                </w:tcPr>
                <w:p w14:paraId="61DDCFAB">
                  <w:pPr>
                    <w:ind w:firstLine="420" w:firstLineChars="200"/>
                  </w:pPr>
                  <w:r>
                    <w:t>1、根据《江苏省长江水污染防治条例》实施污染物总量控制制度。</w:t>
                  </w:r>
                </w:p>
                <w:p w14:paraId="1574C637">
                  <w:pPr>
                    <w:ind w:firstLine="420" w:firstLineChars="200"/>
                  </w:pPr>
                  <w:r>
                    <w:t>2、全面加强和规范长江入河排污口管理，有效管控入河污染物排放，形成权责清晰、监控到位、管理规范的长江入河排污口监管体系，加快改善长江水环境质量。</w:t>
                  </w:r>
                </w:p>
              </w:tc>
              <w:tc>
                <w:tcPr>
                  <w:tcW w:w="935" w:type="pct"/>
                  <w:vAlign w:val="center"/>
                </w:tcPr>
                <w:p w14:paraId="3BE4DF75">
                  <w:pPr>
                    <w:adjustRightInd w:val="0"/>
                    <w:snapToGrid w:val="0"/>
                    <w:ind w:firstLine="420" w:firstLineChars="200"/>
                    <w:rPr>
                      <w:szCs w:val="21"/>
                    </w:rPr>
                  </w:pPr>
                  <w:r>
                    <w:rPr>
                      <w:szCs w:val="21"/>
                    </w:rPr>
                    <w:t>本项目实施总量控制，不涉及长江入河排污口。</w:t>
                  </w:r>
                </w:p>
              </w:tc>
            </w:tr>
            <w:tr w14:paraId="4E87CA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56CC60BC">
                  <w:pPr>
                    <w:jc w:val="center"/>
                  </w:pPr>
                  <w:r>
                    <w:t>环境风险防控</w:t>
                  </w:r>
                </w:p>
              </w:tc>
              <w:tc>
                <w:tcPr>
                  <w:tcW w:w="3627" w:type="pct"/>
                  <w:vAlign w:val="center"/>
                </w:tcPr>
                <w:p w14:paraId="79A800E2">
                  <w:pPr>
                    <w:ind w:firstLine="420" w:firstLineChars="200"/>
                  </w:pPr>
                  <w:r>
                    <w:t>1、防范沿江环境风险。深化沿江石化、化工、医药、纺织、印染、化纤、危化品和石油类仓储、涉重金属和危险废物处置等重点企业环境风险防控。</w:t>
                  </w:r>
                </w:p>
                <w:p w14:paraId="3D36D038">
                  <w:pPr>
                    <w:ind w:firstLine="420" w:firstLineChars="200"/>
                  </w:pPr>
                  <w:r>
                    <w:t>2、加强饮用水水源保护。优化水源保护区划定，推动饮用水水源地规范化建设。</w:t>
                  </w:r>
                </w:p>
              </w:tc>
              <w:tc>
                <w:tcPr>
                  <w:tcW w:w="935" w:type="pct"/>
                  <w:vAlign w:val="center"/>
                </w:tcPr>
                <w:p w14:paraId="7ADEC065">
                  <w:pPr>
                    <w:adjustRightInd w:val="0"/>
                    <w:snapToGrid w:val="0"/>
                    <w:ind w:firstLine="420" w:firstLineChars="200"/>
                    <w:rPr>
                      <w:szCs w:val="21"/>
                    </w:rPr>
                  </w:pPr>
                  <w:r>
                    <w:rPr>
                      <w:szCs w:val="21"/>
                    </w:rPr>
                    <w:t>本项目建设单位不属于环境风险防控重点企业。</w:t>
                  </w:r>
                </w:p>
              </w:tc>
            </w:tr>
            <w:tr w14:paraId="138514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3"/>
                  <w:vAlign w:val="center"/>
                </w:tcPr>
                <w:p w14:paraId="4A72070B">
                  <w:pPr>
                    <w:jc w:val="center"/>
                    <w:rPr>
                      <w:b/>
                    </w:rPr>
                  </w:pPr>
                  <w:r>
                    <w:rPr>
                      <w:b/>
                    </w:rPr>
                    <w:t>太湖流域</w:t>
                  </w:r>
                </w:p>
              </w:tc>
            </w:tr>
            <w:tr w14:paraId="3DBE4C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738193F4">
                  <w:pPr>
                    <w:jc w:val="center"/>
                  </w:pPr>
                  <w:r>
                    <w:t>空间布局约束</w:t>
                  </w:r>
                </w:p>
              </w:tc>
              <w:tc>
                <w:tcPr>
                  <w:tcW w:w="3627" w:type="pct"/>
                  <w:vAlign w:val="center"/>
                </w:tcPr>
                <w:p w14:paraId="4D15E423">
                  <w:pPr>
                    <w:ind w:firstLine="420" w:firstLineChars="200"/>
                  </w:pPr>
                  <w: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5BDDED27">
                  <w:pPr>
                    <w:ind w:firstLine="420" w:firstLineChars="200"/>
                  </w:pPr>
                  <w:r>
                    <w:t>2、在太湖流域一级保护区，禁止新建、扩建向水体排放污染物的建设项目，禁止新建、扩建畜禽养殖场，禁止新建、扩建高尔夫球场、水上游乐等开发项目以及设置水上餐饮经营设施。</w:t>
                  </w:r>
                </w:p>
                <w:p w14:paraId="6BDFD439">
                  <w:pPr>
                    <w:ind w:firstLine="420" w:firstLineChars="200"/>
                  </w:pPr>
                  <w:r>
                    <w:t>3、在太湖流域二级保护区，禁止新建、扩建化工、医药生产项目，禁止新建、扩建污水集中处理设施排污口以外的排污口。</w:t>
                  </w:r>
                </w:p>
              </w:tc>
              <w:tc>
                <w:tcPr>
                  <w:tcW w:w="935" w:type="pct"/>
                  <w:vAlign w:val="center"/>
                </w:tcPr>
                <w:p w14:paraId="04DD6D7F">
                  <w:pPr>
                    <w:ind w:firstLine="420" w:firstLineChars="200"/>
                  </w:pPr>
                  <w:r>
                    <w:t>本项目位于</w:t>
                  </w:r>
                  <w:r>
                    <w:rPr>
                      <w:rFonts w:hint="eastAsia"/>
                      <w:szCs w:val="21"/>
                    </w:rPr>
                    <w:t>常州市金坛区朱林镇永顺路2号</w:t>
                  </w:r>
                  <w:r>
                    <w:rPr>
                      <w:szCs w:val="21"/>
                    </w:rPr>
                    <w:t>，属于太湖流域三级保护区；本项目不属于禁止新建的行业，无含磷、氮生产废水排放。</w:t>
                  </w:r>
                </w:p>
              </w:tc>
            </w:tr>
            <w:tr w14:paraId="4342A5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48792B73">
                  <w:pPr>
                    <w:jc w:val="center"/>
                  </w:pPr>
                  <w:r>
                    <w:t>污染物排放管控</w:t>
                  </w:r>
                </w:p>
              </w:tc>
              <w:tc>
                <w:tcPr>
                  <w:tcW w:w="3627" w:type="pct"/>
                  <w:vAlign w:val="center"/>
                </w:tcPr>
                <w:p w14:paraId="6B84BD9B">
                  <w:pPr>
                    <w:ind w:firstLine="420" w:firstLineChars="200"/>
                  </w:pPr>
                  <w:r>
                    <w:t>城镇污水处理厂、纺织工业、化学工业、造纸工业、钢铁工业、电镀工业和食品工业的污水处理设施执行《太湖地区城镇污水处理厂及重点工业行业主要水污染物排放限值》。</w:t>
                  </w:r>
                </w:p>
              </w:tc>
              <w:tc>
                <w:tcPr>
                  <w:tcW w:w="935" w:type="pct"/>
                  <w:vAlign w:val="center"/>
                </w:tcPr>
                <w:p w14:paraId="5E6AD38D">
                  <w:pPr>
                    <w:ind w:firstLine="420" w:firstLineChars="200"/>
                  </w:pPr>
                  <w:r>
                    <w:rPr>
                      <w:szCs w:val="21"/>
                    </w:rPr>
                    <w:t>本项目不属于上述行业。</w:t>
                  </w:r>
                </w:p>
              </w:tc>
            </w:tr>
            <w:tr w14:paraId="451B9D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36" w:type="pct"/>
                  <w:vAlign w:val="center"/>
                </w:tcPr>
                <w:p w14:paraId="6EE58AC2">
                  <w:pPr>
                    <w:jc w:val="center"/>
                  </w:pPr>
                  <w:r>
                    <w:t>环境风险防控</w:t>
                  </w:r>
                </w:p>
              </w:tc>
              <w:tc>
                <w:tcPr>
                  <w:tcW w:w="3627" w:type="pct"/>
                  <w:vAlign w:val="center"/>
                </w:tcPr>
                <w:p w14:paraId="77091DBF">
                  <w:pPr>
                    <w:ind w:firstLine="420" w:firstLineChars="200"/>
                  </w:pPr>
                  <w:r>
                    <w:t>1、运输剧毒物质、危险化学品的船舶不得进入太湖。</w:t>
                  </w:r>
                </w:p>
                <w:p w14:paraId="33C73088">
                  <w:pPr>
                    <w:ind w:firstLine="420" w:firstLineChars="200"/>
                  </w:pPr>
                  <w:r>
                    <w:t>2、禁止向太湖流域水体排放或者倾倒油类、酸液、碱液、剧毒废渣废液、含放射性废渣废液、含病原体污水、工业废渣以及其他废弃物。</w:t>
                  </w:r>
                </w:p>
                <w:p w14:paraId="7B9DACE4">
                  <w:pPr>
                    <w:ind w:firstLine="420" w:firstLineChars="200"/>
                  </w:pPr>
                  <w:r>
                    <w:t>3、加强太湖流域生态环境风险应急管控，着力提高防控太湖蓝藻水华风险预警和应急处置能力。</w:t>
                  </w:r>
                </w:p>
              </w:tc>
              <w:tc>
                <w:tcPr>
                  <w:tcW w:w="935" w:type="pct"/>
                  <w:vAlign w:val="center"/>
                </w:tcPr>
                <w:p w14:paraId="6AFE9EB6">
                  <w:pPr>
                    <w:ind w:firstLine="420" w:firstLineChars="200"/>
                  </w:pPr>
                  <w:r>
                    <w:rPr>
                      <w:szCs w:val="21"/>
                    </w:rPr>
                    <w:t>本项目不涉及文件中相关行为</w:t>
                  </w:r>
                  <w:r>
                    <w:t>。</w:t>
                  </w:r>
                </w:p>
              </w:tc>
            </w:tr>
          </w:tbl>
          <w:p w14:paraId="4F86B05E">
            <w:pPr>
              <w:autoSpaceDE w:val="0"/>
              <w:autoSpaceDN w:val="0"/>
              <w:adjustRightInd w:val="0"/>
              <w:snapToGrid w:val="0"/>
              <w:spacing w:line="500" w:lineRule="exact"/>
              <w:ind w:firstLine="480" w:firstLineChars="200"/>
              <w:rPr>
                <w:bCs/>
                <w:color w:val="auto"/>
                <w:sz w:val="24"/>
              </w:rPr>
            </w:pPr>
            <w:r>
              <w:rPr>
                <w:bCs/>
                <w:color w:val="auto"/>
                <w:sz w:val="24"/>
              </w:rPr>
              <w:t>综上，本项目与《江苏省政府关于印发江苏省“三线一单”生态环境分区管控方案的通知》（苏政发[2020]49号）的要求相符。</w:t>
            </w:r>
          </w:p>
          <w:p w14:paraId="7D28D81E">
            <w:pPr>
              <w:autoSpaceDE w:val="0"/>
              <w:autoSpaceDN w:val="0"/>
              <w:snapToGrid w:val="0"/>
              <w:spacing w:line="500" w:lineRule="exact"/>
              <w:ind w:firstLine="482" w:firstLineChars="200"/>
              <w:rPr>
                <w:b/>
                <w:sz w:val="24"/>
              </w:rPr>
            </w:pPr>
            <w:r>
              <w:rPr>
                <w:b/>
                <w:sz w:val="24"/>
              </w:rPr>
              <w:t>（3）与《关于印发常州市</w:t>
            </w:r>
            <w:r>
              <w:rPr>
                <w:rFonts w:hint="eastAsia"/>
                <w:b/>
                <w:sz w:val="24"/>
              </w:rPr>
              <w:t>“</w:t>
            </w:r>
            <w:r>
              <w:rPr>
                <w:b/>
                <w:sz w:val="24"/>
              </w:rPr>
              <w:t>三线一单</w:t>
            </w:r>
            <w:r>
              <w:rPr>
                <w:rFonts w:hint="eastAsia"/>
                <w:b/>
                <w:sz w:val="24"/>
              </w:rPr>
              <w:t>”</w:t>
            </w:r>
            <w:r>
              <w:rPr>
                <w:b/>
                <w:sz w:val="24"/>
              </w:rPr>
              <w:t>生态环境分区管控实施方案的通知》（常环〔2020〕95号）相符性分析</w:t>
            </w:r>
          </w:p>
          <w:p w14:paraId="22F7EC2A">
            <w:pPr>
              <w:autoSpaceDE w:val="0"/>
              <w:autoSpaceDN w:val="0"/>
              <w:adjustRightInd w:val="0"/>
              <w:snapToGrid w:val="0"/>
              <w:spacing w:line="500" w:lineRule="exact"/>
              <w:ind w:firstLine="480" w:firstLineChars="200"/>
              <w:jc w:val="left"/>
              <w:rPr>
                <w:b/>
                <w:sz w:val="24"/>
              </w:rPr>
            </w:pPr>
            <w:r>
              <w:rPr>
                <w:bCs/>
                <w:sz w:val="24"/>
              </w:rPr>
              <w:t>本项目位于</w:t>
            </w:r>
            <w:r>
              <w:rPr>
                <w:rFonts w:hint="eastAsia"/>
                <w:bCs/>
                <w:sz w:val="24"/>
              </w:rPr>
              <w:t>常州市金坛区朱林镇永顺路2号</w:t>
            </w:r>
            <w:r>
              <w:rPr>
                <w:bCs/>
                <w:sz w:val="24"/>
              </w:rPr>
              <w:t>，</w:t>
            </w:r>
            <w:r>
              <w:rPr>
                <w:sz w:val="24"/>
              </w:rPr>
              <w:t>根据《关于印发常州市</w:t>
            </w:r>
            <w:r>
              <w:rPr>
                <w:rFonts w:hint="eastAsia"/>
                <w:sz w:val="24"/>
              </w:rPr>
              <w:t>“</w:t>
            </w:r>
            <w:r>
              <w:rPr>
                <w:sz w:val="24"/>
              </w:rPr>
              <w:t>三线一单</w:t>
            </w:r>
            <w:r>
              <w:rPr>
                <w:rFonts w:hint="eastAsia"/>
                <w:sz w:val="24"/>
              </w:rPr>
              <w:t>”</w:t>
            </w:r>
            <w:r>
              <w:rPr>
                <w:sz w:val="24"/>
              </w:rPr>
              <w:t>生态环境分区管控实施方案的通知》（常环〔2020〕95号）可知</w:t>
            </w:r>
            <w:r>
              <w:rPr>
                <w:bCs/>
                <w:sz w:val="24"/>
              </w:rPr>
              <w:t>，项目位于重点管控单元，其重点管控要求与本项目的相符性分析见下表。</w:t>
            </w:r>
          </w:p>
          <w:p w14:paraId="56343E1F">
            <w:pPr>
              <w:adjustRightInd w:val="0"/>
              <w:snapToGrid w:val="0"/>
              <w:spacing w:line="500" w:lineRule="exact"/>
              <w:jc w:val="center"/>
              <w:rPr>
                <w:b/>
                <w:bCs/>
                <w:szCs w:val="21"/>
              </w:rPr>
            </w:pPr>
            <w:r>
              <w:rPr>
                <w:b/>
                <w:bCs/>
                <w:szCs w:val="21"/>
              </w:rPr>
              <w:t>表1-</w:t>
            </w:r>
            <w:r>
              <w:rPr>
                <w:rFonts w:hint="eastAsia"/>
                <w:b/>
                <w:bCs/>
                <w:szCs w:val="21"/>
              </w:rPr>
              <w:t xml:space="preserve">6  </w:t>
            </w:r>
            <w:r>
              <w:rPr>
                <w:b/>
                <w:bCs/>
                <w:szCs w:val="21"/>
              </w:rPr>
              <w:t>与常环〔2020〕95号相符性分析</w:t>
            </w:r>
          </w:p>
          <w:tbl>
            <w:tblPr>
              <w:tblStyle w:val="27"/>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3371"/>
              <w:gridCol w:w="2778"/>
              <w:gridCol w:w="825"/>
            </w:tblGrid>
            <w:tr w14:paraId="20AC9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Align w:val="center"/>
                </w:tcPr>
                <w:p w14:paraId="2D400B65">
                  <w:pPr>
                    <w:pStyle w:val="91"/>
                    <w:rPr>
                      <w:b/>
                      <w:bCs/>
                      <w:sz w:val="21"/>
                      <w:szCs w:val="21"/>
                    </w:rPr>
                  </w:pPr>
                  <w:r>
                    <w:rPr>
                      <w:b/>
                      <w:bCs/>
                      <w:sz w:val="21"/>
                      <w:szCs w:val="21"/>
                    </w:rPr>
                    <w:t>管控类别</w:t>
                  </w:r>
                </w:p>
              </w:tc>
              <w:tc>
                <w:tcPr>
                  <w:tcW w:w="2093" w:type="pct"/>
                  <w:vAlign w:val="center"/>
                </w:tcPr>
                <w:p w14:paraId="0D01FD42">
                  <w:pPr>
                    <w:pStyle w:val="91"/>
                    <w:rPr>
                      <w:b/>
                      <w:bCs/>
                      <w:sz w:val="21"/>
                      <w:szCs w:val="21"/>
                    </w:rPr>
                  </w:pPr>
                  <w:r>
                    <w:rPr>
                      <w:b/>
                      <w:bCs/>
                      <w:sz w:val="21"/>
                      <w:szCs w:val="21"/>
                    </w:rPr>
                    <w:t>重点管控要求（</w:t>
                  </w:r>
                  <w:r>
                    <w:rPr>
                      <w:rFonts w:hint="eastAsia"/>
                      <w:b/>
                      <w:bCs/>
                      <w:sz w:val="21"/>
                      <w:szCs w:val="21"/>
                    </w:rPr>
                    <w:t>朱林现代产业园</w:t>
                  </w:r>
                  <w:r>
                    <w:rPr>
                      <w:b/>
                      <w:bCs/>
                      <w:sz w:val="21"/>
                      <w:szCs w:val="21"/>
                    </w:rPr>
                    <w:t>）</w:t>
                  </w:r>
                </w:p>
              </w:tc>
              <w:tc>
                <w:tcPr>
                  <w:tcW w:w="1725" w:type="pct"/>
                  <w:vAlign w:val="center"/>
                </w:tcPr>
                <w:p w14:paraId="205D7F1B">
                  <w:pPr>
                    <w:pStyle w:val="91"/>
                    <w:rPr>
                      <w:b/>
                      <w:bCs/>
                      <w:sz w:val="21"/>
                      <w:szCs w:val="21"/>
                    </w:rPr>
                  </w:pPr>
                  <w:r>
                    <w:rPr>
                      <w:b/>
                      <w:bCs/>
                      <w:sz w:val="21"/>
                      <w:szCs w:val="21"/>
                    </w:rPr>
                    <w:t>本项目</w:t>
                  </w:r>
                </w:p>
              </w:tc>
              <w:tc>
                <w:tcPr>
                  <w:tcW w:w="512" w:type="pct"/>
                  <w:vAlign w:val="center"/>
                </w:tcPr>
                <w:p w14:paraId="3DE1F624">
                  <w:pPr>
                    <w:pStyle w:val="91"/>
                    <w:rPr>
                      <w:b/>
                      <w:bCs/>
                      <w:sz w:val="21"/>
                      <w:szCs w:val="21"/>
                    </w:rPr>
                  </w:pPr>
                  <w:r>
                    <w:rPr>
                      <w:b/>
                      <w:bCs/>
                      <w:sz w:val="21"/>
                      <w:szCs w:val="21"/>
                    </w:rPr>
                    <w:t>相符性分析</w:t>
                  </w:r>
                </w:p>
              </w:tc>
            </w:tr>
            <w:tr w14:paraId="63255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668" w:type="pct"/>
                  <w:vMerge w:val="restart"/>
                  <w:vAlign w:val="center"/>
                </w:tcPr>
                <w:p w14:paraId="1899BA38">
                  <w:pPr>
                    <w:pStyle w:val="91"/>
                    <w:rPr>
                      <w:sz w:val="21"/>
                      <w:szCs w:val="21"/>
                    </w:rPr>
                  </w:pPr>
                  <w:r>
                    <w:rPr>
                      <w:sz w:val="21"/>
                      <w:szCs w:val="21"/>
                    </w:rPr>
                    <w:t>空间布局约束</w:t>
                  </w:r>
                </w:p>
              </w:tc>
              <w:tc>
                <w:tcPr>
                  <w:tcW w:w="2093" w:type="pct"/>
                  <w:vAlign w:val="center"/>
                </w:tcPr>
                <w:p w14:paraId="5C89B4C2">
                  <w:pPr>
                    <w:pStyle w:val="73"/>
                    <w:tabs>
                      <w:tab w:val="left" w:pos="608"/>
                    </w:tabs>
                    <w:spacing w:before="176" w:line="292" w:lineRule="auto"/>
                    <w:ind w:right="9"/>
                    <w:rPr>
                      <w:rFonts w:ascii="Times New Roman" w:hAnsi="Times New Roman"/>
                      <w:spacing w:val="-9"/>
                      <w:szCs w:val="21"/>
                    </w:rPr>
                  </w:pPr>
                  <w:r>
                    <w:rPr>
                      <w:rFonts w:ascii="Times New Roman" w:hAnsi="Times New Roman"/>
                      <w:spacing w:val="-9"/>
                      <w:szCs w:val="21"/>
                    </w:rPr>
                    <w:t>1.禁止审批列入国家、省产业政策淘汰、限制类项目；不符合规划环评结论及审查意见的项目；属于《建设项目环境保护管理条例》第十一条 5 种不予批准的情形的项目；无法落实危险废物合理利用、处置途径的项目。</w:t>
                  </w:r>
                </w:p>
              </w:tc>
              <w:tc>
                <w:tcPr>
                  <w:tcW w:w="1725" w:type="pct"/>
                  <w:vMerge w:val="restart"/>
                  <w:vAlign w:val="center"/>
                </w:tcPr>
                <w:p w14:paraId="29E85C15">
                  <w:pPr>
                    <w:pStyle w:val="91"/>
                    <w:rPr>
                      <w:b/>
                      <w:bCs/>
                      <w:sz w:val="21"/>
                      <w:szCs w:val="21"/>
                    </w:rPr>
                  </w:pPr>
                  <w:r>
                    <w:rPr>
                      <w:sz w:val="21"/>
                      <w:szCs w:val="21"/>
                    </w:rPr>
                    <w:t>本项目位于</w:t>
                  </w:r>
                  <w:r>
                    <w:rPr>
                      <w:rFonts w:hint="eastAsia" w:ascii="宋体" w:hAnsi="宋体" w:cs="宋体"/>
                      <w:sz w:val="21"/>
                      <w:szCs w:val="21"/>
                    </w:rPr>
                    <w:t>朱林现代产业园</w:t>
                  </w:r>
                  <w:r>
                    <w:rPr>
                      <w:sz w:val="21"/>
                      <w:szCs w:val="21"/>
                    </w:rPr>
                    <w:t>，项目不属于禁止</w:t>
                  </w:r>
                  <w:r>
                    <w:rPr>
                      <w:spacing w:val="-1"/>
                      <w:sz w:val="21"/>
                      <w:szCs w:val="21"/>
                    </w:rPr>
                    <w:t>引入</w:t>
                  </w:r>
                  <w:r>
                    <w:rPr>
                      <w:sz w:val="21"/>
                      <w:szCs w:val="21"/>
                    </w:rPr>
                    <w:t>项目。</w:t>
                  </w:r>
                </w:p>
              </w:tc>
              <w:tc>
                <w:tcPr>
                  <w:tcW w:w="512" w:type="pct"/>
                  <w:vMerge w:val="restart"/>
                  <w:vAlign w:val="center"/>
                </w:tcPr>
                <w:p w14:paraId="522150CB">
                  <w:pPr>
                    <w:pStyle w:val="91"/>
                    <w:rPr>
                      <w:b/>
                      <w:bCs/>
                      <w:sz w:val="21"/>
                      <w:szCs w:val="21"/>
                    </w:rPr>
                  </w:pPr>
                  <w:r>
                    <w:rPr>
                      <w:sz w:val="21"/>
                      <w:szCs w:val="21"/>
                    </w:rPr>
                    <w:t>符合</w:t>
                  </w:r>
                </w:p>
              </w:tc>
            </w:tr>
            <w:tr w14:paraId="24E4C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8" w:type="pct"/>
                  <w:vMerge w:val="continue"/>
                  <w:vAlign w:val="center"/>
                </w:tcPr>
                <w:p w14:paraId="2B064505">
                  <w:pPr>
                    <w:pStyle w:val="91"/>
                    <w:rPr>
                      <w:sz w:val="21"/>
                      <w:szCs w:val="21"/>
                    </w:rPr>
                  </w:pPr>
                </w:p>
              </w:tc>
              <w:tc>
                <w:tcPr>
                  <w:tcW w:w="2093" w:type="pct"/>
                  <w:vAlign w:val="center"/>
                </w:tcPr>
                <w:p w14:paraId="2A928CC3">
                  <w:pPr>
                    <w:pStyle w:val="91"/>
                    <w:rPr>
                      <w:spacing w:val="-9"/>
                      <w:kern w:val="0"/>
                      <w:sz w:val="21"/>
                      <w:szCs w:val="21"/>
                    </w:rPr>
                  </w:pPr>
                  <w:r>
                    <w:rPr>
                      <w:spacing w:val="-9"/>
                      <w:kern w:val="0"/>
                      <w:sz w:val="21"/>
                      <w:szCs w:val="21"/>
                    </w:rPr>
                    <w:t>2.禁止安全风险大、工艺设施落后、安全水平低的企业或项目进入。</w:t>
                  </w:r>
                </w:p>
              </w:tc>
              <w:tc>
                <w:tcPr>
                  <w:tcW w:w="1725" w:type="pct"/>
                  <w:vMerge w:val="continue"/>
                  <w:vAlign w:val="center"/>
                </w:tcPr>
                <w:p w14:paraId="532ED44E">
                  <w:pPr>
                    <w:pStyle w:val="91"/>
                    <w:rPr>
                      <w:b/>
                      <w:bCs/>
                      <w:sz w:val="21"/>
                      <w:szCs w:val="21"/>
                    </w:rPr>
                  </w:pPr>
                </w:p>
              </w:tc>
              <w:tc>
                <w:tcPr>
                  <w:tcW w:w="512" w:type="pct"/>
                  <w:vMerge w:val="continue"/>
                  <w:vAlign w:val="center"/>
                </w:tcPr>
                <w:p w14:paraId="46938868">
                  <w:pPr>
                    <w:pStyle w:val="91"/>
                    <w:rPr>
                      <w:b/>
                      <w:bCs/>
                      <w:sz w:val="21"/>
                      <w:szCs w:val="21"/>
                    </w:rPr>
                  </w:pPr>
                </w:p>
              </w:tc>
            </w:tr>
            <w:tr w14:paraId="162A1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vAlign w:val="center"/>
                </w:tcPr>
                <w:p w14:paraId="790B8D9F">
                  <w:pPr>
                    <w:pStyle w:val="91"/>
                    <w:rPr>
                      <w:sz w:val="21"/>
                      <w:szCs w:val="21"/>
                    </w:rPr>
                  </w:pPr>
                </w:p>
              </w:tc>
              <w:tc>
                <w:tcPr>
                  <w:tcW w:w="2093" w:type="pct"/>
                  <w:vAlign w:val="center"/>
                </w:tcPr>
                <w:p w14:paraId="4B450ADE">
                  <w:pPr>
                    <w:pStyle w:val="91"/>
                    <w:rPr>
                      <w:spacing w:val="-9"/>
                      <w:kern w:val="0"/>
                      <w:sz w:val="21"/>
                      <w:szCs w:val="21"/>
                    </w:rPr>
                  </w:pPr>
                  <w:r>
                    <w:rPr>
                      <w:spacing w:val="-9"/>
                      <w:kern w:val="0"/>
                      <w:sz w:val="21"/>
                      <w:szCs w:val="21"/>
                    </w:rPr>
                    <w:t>3.禁止新建、扩建技术装备、污染排放、能耗达不到相关行业准入条件的项目。</w:t>
                  </w:r>
                </w:p>
              </w:tc>
              <w:tc>
                <w:tcPr>
                  <w:tcW w:w="1725" w:type="pct"/>
                  <w:vMerge w:val="continue"/>
                  <w:vAlign w:val="center"/>
                </w:tcPr>
                <w:p w14:paraId="32BEB519">
                  <w:pPr>
                    <w:pStyle w:val="91"/>
                    <w:rPr>
                      <w:b/>
                      <w:bCs/>
                      <w:sz w:val="21"/>
                      <w:szCs w:val="21"/>
                    </w:rPr>
                  </w:pPr>
                </w:p>
              </w:tc>
              <w:tc>
                <w:tcPr>
                  <w:tcW w:w="512" w:type="pct"/>
                  <w:vMerge w:val="continue"/>
                  <w:vAlign w:val="center"/>
                </w:tcPr>
                <w:p w14:paraId="593660BD">
                  <w:pPr>
                    <w:pStyle w:val="91"/>
                    <w:rPr>
                      <w:b/>
                      <w:bCs/>
                      <w:sz w:val="21"/>
                      <w:szCs w:val="21"/>
                    </w:rPr>
                  </w:pPr>
                </w:p>
              </w:tc>
            </w:tr>
            <w:tr w14:paraId="132DD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vAlign w:val="center"/>
                </w:tcPr>
                <w:p w14:paraId="68000738">
                  <w:pPr>
                    <w:pStyle w:val="91"/>
                    <w:rPr>
                      <w:sz w:val="21"/>
                      <w:szCs w:val="21"/>
                    </w:rPr>
                  </w:pPr>
                </w:p>
              </w:tc>
              <w:tc>
                <w:tcPr>
                  <w:tcW w:w="2093" w:type="pct"/>
                  <w:vAlign w:val="center"/>
                </w:tcPr>
                <w:p w14:paraId="6421DFA9">
                  <w:pPr>
                    <w:pStyle w:val="91"/>
                    <w:rPr>
                      <w:spacing w:val="-9"/>
                      <w:kern w:val="0"/>
                      <w:sz w:val="21"/>
                      <w:szCs w:val="21"/>
                    </w:rPr>
                  </w:pPr>
                  <w:r>
                    <w:rPr>
                      <w:spacing w:val="-9"/>
                      <w:kern w:val="0"/>
                      <w:sz w:val="21"/>
                      <w:szCs w:val="21"/>
                    </w:rPr>
                    <w:t>4.禁止引入不符合现行《江苏省太湖水污染防治条例》要求的项目。</w:t>
                  </w:r>
                </w:p>
              </w:tc>
              <w:tc>
                <w:tcPr>
                  <w:tcW w:w="1725" w:type="pct"/>
                  <w:vMerge w:val="continue"/>
                  <w:vAlign w:val="center"/>
                </w:tcPr>
                <w:p w14:paraId="028E3AF4">
                  <w:pPr>
                    <w:pStyle w:val="91"/>
                    <w:rPr>
                      <w:b/>
                      <w:bCs/>
                      <w:sz w:val="21"/>
                      <w:szCs w:val="21"/>
                    </w:rPr>
                  </w:pPr>
                </w:p>
              </w:tc>
              <w:tc>
                <w:tcPr>
                  <w:tcW w:w="512" w:type="pct"/>
                  <w:vMerge w:val="continue"/>
                  <w:vAlign w:val="center"/>
                </w:tcPr>
                <w:p w14:paraId="25784CFA">
                  <w:pPr>
                    <w:pStyle w:val="91"/>
                    <w:rPr>
                      <w:b/>
                      <w:bCs/>
                      <w:sz w:val="21"/>
                      <w:szCs w:val="21"/>
                    </w:rPr>
                  </w:pPr>
                </w:p>
              </w:tc>
            </w:tr>
            <w:tr w14:paraId="0B208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668" w:type="pct"/>
                  <w:vMerge w:val="restart"/>
                  <w:vAlign w:val="center"/>
                </w:tcPr>
                <w:p w14:paraId="61B7F0C5">
                  <w:pPr>
                    <w:pStyle w:val="91"/>
                    <w:rPr>
                      <w:sz w:val="21"/>
                      <w:szCs w:val="21"/>
                    </w:rPr>
                  </w:pPr>
                  <w:r>
                    <w:rPr>
                      <w:sz w:val="21"/>
                      <w:szCs w:val="21"/>
                    </w:rPr>
                    <w:t>污染物排放管控</w:t>
                  </w:r>
                </w:p>
              </w:tc>
              <w:tc>
                <w:tcPr>
                  <w:tcW w:w="2093" w:type="pct"/>
                  <w:vAlign w:val="center"/>
                </w:tcPr>
                <w:p w14:paraId="689C99BE">
                  <w:pPr>
                    <w:pStyle w:val="91"/>
                    <w:rPr>
                      <w:sz w:val="21"/>
                      <w:szCs w:val="21"/>
                    </w:rPr>
                  </w:pPr>
                  <w:r>
                    <w:rPr>
                      <w:sz w:val="21"/>
                      <w:szCs w:val="21"/>
                    </w:rPr>
                    <w:t>1.严格实施污染物总量</w:t>
                  </w:r>
                  <w:r>
                    <w:rPr>
                      <w:spacing w:val="2"/>
                      <w:sz w:val="21"/>
                      <w:szCs w:val="21"/>
                    </w:rPr>
                    <w:t>控制制度，根据区域环境质</w:t>
                  </w:r>
                  <w:r>
                    <w:rPr>
                      <w:spacing w:val="3"/>
                      <w:sz w:val="21"/>
                      <w:szCs w:val="21"/>
                    </w:rPr>
                    <w:t xml:space="preserve">量改善目标，采取有效措施减少主要污染物排放总量， </w:t>
                  </w:r>
                  <w:r>
                    <w:rPr>
                      <w:sz w:val="21"/>
                      <w:szCs w:val="21"/>
                    </w:rPr>
                    <w:t>确保区域环境质量持续改善。</w:t>
                  </w:r>
                </w:p>
              </w:tc>
              <w:tc>
                <w:tcPr>
                  <w:tcW w:w="1725" w:type="pct"/>
                  <w:vMerge w:val="restart"/>
                  <w:vAlign w:val="center"/>
                </w:tcPr>
                <w:p w14:paraId="5AC3089B">
                  <w:pPr>
                    <w:pStyle w:val="91"/>
                    <w:rPr>
                      <w:sz w:val="21"/>
                      <w:szCs w:val="21"/>
                    </w:rPr>
                  </w:pPr>
                  <w:r>
                    <w:rPr>
                      <w:sz w:val="21"/>
                      <w:szCs w:val="21"/>
                    </w:rPr>
                    <w:t>本项目</w:t>
                  </w:r>
                  <w:r>
                    <w:rPr>
                      <w:rFonts w:hint="eastAsia"/>
                      <w:sz w:val="21"/>
                      <w:szCs w:val="21"/>
                    </w:rPr>
                    <w:t>生活污水接管至金坛区溪城污水处理有限公司处理</w:t>
                  </w:r>
                  <w:r>
                    <w:rPr>
                      <w:sz w:val="21"/>
                      <w:szCs w:val="21"/>
                    </w:rPr>
                    <w:t>；项目废气经处理后达标排放，废气排放总量不会突破园区环评报告及批复的总量。</w:t>
                  </w:r>
                </w:p>
              </w:tc>
              <w:tc>
                <w:tcPr>
                  <w:tcW w:w="512" w:type="pct"/>
                  <w:vMerge w:val="restart"/>
                  <w:vAlign w:val="center"/>
                </w:tcPr>
                <w:p w14:paraId="072E0272">
                  <w:pPr>
                    <w:pStyle w:val="91"/>
                    <w:rPr>
                      <w:b/>
                      <w:bCs/>
                      <w:sz w:val="21"/>
                      <w:szCs w:val="21"/>
                    </w:rPr>
                  </w:pPr>
                  <w:r>
                    <w:rPr>
                      <w:sz w:val="21"/>
                      <w:szCs w:val="21"/>
                    </w:rPr>
                    <w:t>符合</w:t>
                  </w:r>
                </w:p>
              </w:tc>
            </w:tr>
            <w:tr w14:paraId="66BC9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8" w:type="pct"/>
                  <w:vMerge w:val="continue"/>
                  <w:vAlign w:val="center"/>
                </w:tcPr>
                <w:p w14:paraId="798C5386">
                  <w:pPr>
                    <w:pStyle w:val="91"/>
                    <w:rPr>
                      <w:sz w:val="21"/>
                      <w:szCs w:val="21"/>
                    </w:rPr>
                  </w:pPr>
                </w:p>
              </w:tc>
              <w:tc>
                <w:tcPr>
                  <w:tcW w:w="2093" w:type="pct"/>
                  <w:vAlign w:val="center"/>
                </w:tcPr>
                <w:p w14:paraId="176D2961">
                  <w:pPr>
                    <w:pStyle w:val="91"/>
                    <w:rPr>
                      <w:sz w:val="21"/>
                      <w:szCs w:val="21"/>
                    </w:rPr>
                  </w:pPr>
                  <w:r>
                    <w:rPr>
                      <w:sz w:val="21"/>
                      <w:szCs w:val="21"/>
                    </w:rPr>
                    <w:t>2.园区污染物排放总量不得突破环评报告及批复的总量。</w:t>
                  </w:r>
                </w:p>
              </w:tc>
              <w:tc>
                <w:tcPr>
                  <w:tcW w:w="1725" w:type="pct"/>
                  <w:vMerge w:val="continue"/>
                  <w:vAlign w:val="center"/>
                </w:tcPr>
                <w:p w14:paraId="51D91EB7">
                  <w:pPr>
                    <w:pStyle w:val="91"/>
                    <w:rPr>
                      <w:sz w:val="21"/>
                      <w:szCs w:val="21"/>
                    </w:rPr>
                  </w:pPr>
                </w:p>
              </w:tc>
              <w:tc>
                <w:tcPr>
                  <w:tcW w:w="512" w:type="pct"/>
                  <w:vMerge w:val="continue"/>
                  <w:vAlign w:val="center"/>
                </w:tcPr>
                <w:p w14:paraId="117C4054">
                  <w:pPr>
                    <w:pStyle w:val="91"/>
                    <w:rPr>
                      <w:b/>
                      <w:bCs/>
                      <w:sz w:val="21"/>
                      <w:szCs w:val="21"/>
                    </w:rPr>
                  </w:pPr>
                </w:p>
              </w:tc>
            </w:tr>
            <w:tr w14:paraId="707AD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restart"/>
                  <w:vAlign w:val="center"/>
                </w:tcPr>
                <w:p w14:paraId="6BAA5410">
                  <w:pPr>
                    <w:pStyle w:val="91"/>
                    <w:rPr>
                      <w:sz w:val="21"/>
                      <w:szCs w:val="21"/>
                    </w:rPr>
                  </w:pPr>
                  <w:r>
                    <w:rPr>
                      <w:sz w:val="21"/>
                      <w:szCs w:val="21"/>
                    </w:rPr>
                    <w:t>环境风险防控</w:t>
                  </w:r>
                </w:p>
              </w:tc>
              <w:tc>
                <w:tcPr>
                  <w:tcW w:w="2093" w:type="pct"/>
                  <w:vAlign w:val="center"/>
                </w:tcPr>
                <w:p w14:paraId="0067CF58">
                  <w:pPr>
                    <w:pStyle w:val="91"/>
                    <w:rPr>
                      <w:sz w:val="21"/>
                      <w:szCs w:val="21"/>
                    </w:rPr>
                  </w:pPr>
                  <w:r>
                    <w:rPr>
                      <w:sz w:val="21"/>
                      <w:szCs w:val="21"/>
                    </w:rPr>
                    <w:t>1.园区建立环境应急体系，完善事故应急救援体系，加强应急物资装备储备，编制突发环境事件应急预案，定期开展演练。</w:t>
                  </w:r>
                </w:p>
              </w:tc>
              <w:tc>
                <w:tcPr>
                  <w:tcW w:w="1725" w:type="pct"/>
                  <w:vMerge w:val="restart"/>
                  <w:vAlign w:val="center"/>
                </w:tcPr>
                <w:p w14:paraId="298A1B3E">
                  <w:pPr>
                    <w:pStyle w:val="91"/>
                    <w:rPr>
                      <w:sz w:val="21"/>
                      <w:szCs w:val="21"/>
                    </w:rPr>
                  </w:pPr>
                  <w:r>
                    <w:rPr>
                      <w:sz w:val="21"/>
                      <w:szCs w:val="21"/>
                    </w:rPr>
                    <w:t>本项目所在园区已建立环境应急体系，已加强应急物资装备储备，已编制突发环境事件应急预案并定期开展演练；项目</w:t>
                  </w:r>
                  <w:r>
                    <w:rPr>
                      <w:rFonts w:hint="eastAsia"/>
                      <w:sz w:val="21"/>
                      <w:szCs w:val="21"/>
                    </w:rPr>
                    <w:t>建成后</w:t>
                  </w:r>
                  <w:r>
                    <w:rPr>
                      <w:sz w:val="21"/>
                      <w:szCs w:val="21"/>
                    </w:rPr>
                    <w:t>建设单位</w:t>
                  </w:r>
                  <w:r>
                    <w:rPr>
                      <w:rFonts w:hint="eastAsia"/>
                      <w:sz w:val="21"/>
                      <w:szCs w:val="21"/>
                    </w:rPr>
                    <w:t>将</w:t>
                  </w:r>
                  <w:r>
                    <w:rPr>
                      <w:sz w:val="21"/>
                      <w:szCs w:val="21"/>
                    </w:rPr>
                    <w:t>委托专业单位编制突发环境事件应急预案并在金坛生态环境局备案；项目建成后将加强环境影响跟踪监测，建立健全各环境要素监控体系，完善并落实园区日常环境监测与污染源监控计划。</w:t>
                  </w:r>
                </w:p>
              </w:tc>
              <w:tc>
                <w:tcPr>
                  <w:tcW w:w="512" w:type="pct"/>
                  <w:vMerge w:val="restart"/>
                  <w:vAlign w:val="center"/>
                </w:tcPr>
                <w:p w14:paraId="3243DCD0">
                  <w:pPr>
                    <w:pStyle w:val="91"/>
                    <w:rPr>
                      <w:b/>
                      <w:bCs/>
                      <w:sz w:val="21"/>
                      <w:szCs w:val="21"/>
                    </w:rPr>
                  </w:pPr>
                  <w:r>
                    <w:rPr>
                      <w:sz w:val="21"/>
                      <w:szCs w:val="21"/>
                    </w:rPr>
                    <w:t>符合</w:t>
                  </w:r>
                </w:p>
              </w:tc>
            </w:tr>
            <w:tr w14:paraId="6ACE9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668" w:type="pct"/>
                  <w:vMerge w:val="continue"/>
                  <w:vAlign w:val="center"/>
                </w:tcPr>
                <w:p w14:paraId="349AAFF9">
                  <w:pPr>
                    <w:pStyle w:val="91"/>
                    <w:rPr>
                      <w:sz w:val="21"/>
                      <w:szCs w:val="21"/>
                    </w:rPr>
                  </w:pPr>
                </w:p>
              </w:tc>
              <w:tc>
                <w:tcPr>
                  <w:tcW w:w="2093" w:type="pct"/>
                  <w:vAlign w:val="center"/>
                </w:tcPr>
                <w:p w14:paraId="2D5DC265">
                  <w:pPr>
                    <w:pStyle w:val="91"/>
                    <w:rPr>
                      <w:sz w:val="21"/>
                      <w:szCs w:val="21"/>
                    </w:rPr>
                  </w:pPr>
                  <w:r>
                    <w:rPr>
                      <w:sz w:val="21"/>
                      <w:szCs w:val="21"/>
                    </w:rPr>
                    <w:t>2.生产、使用、储存危险化学品或其他存在环境风险的企事业单位，应当制定风险防范措施，编制完善突发环境事件应急预案，防止发生环境污染事故。</w:t>
                  </w:r>
                </w:p>
              </w:tc>
              <w:tc>
                <w:tcPr>
                  <w:tcW w:w="1725" w:type="pct"/>
                  <w:vMerge w:val="continue"/>
                  <w:vAlign w:val="center"/>
                </w:tcPr>
                <w:p w14:paraId="00F7557E">
                  <w:pPr>
                    <w:pStyle w:val="91"/>
                    <w:rPr>
                      <w:b/>
                      <w:bCs/>
                      <w:sz w:val="21"/>
                      <w:szCs w:val="21"/>
                    </w:rPr>
                  </w:pPr>
                </w:p>
              </w:tc>
              <w:tc>
                <w:tcPr>
                  <w:tcW w:w="512" w:type="pct"/>
                  <w:vMerge w:val="continue"/>
                  <w:vAlign w:val="center"/>
                </w:tcPr>
                <w:p w14:paraId="2B976A1D">
                  <w:pPr>
                    <w:pStyle w:val="91"/>
                    <w:rPr>
                      <w:b/>
                      <w:bCs/>
                      <w:sz w:val="21"/>
                      <w:szCs w:val="21"/>
                    </w:rPr>
                  </w:pPr>
                </w:p>
              </w:tc>
            </w:tr>
            <w:tr w14:paraId="48339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continue"/>
                  <w:vAlign w:val="center"/>
                </w:tcPr>
                <w:p w14:paraId="133EAE57">
                  <w:pPr>
                    <w:pStyle w:val="91"/>
                    <w:rPr>
                      <w:sz w:val="21"/>
                      <w:szCs w:val="21"/>
                    </w:rPr>
                  </w:pPr>
                </w:p>
              </w:tc>
              <w:tc>
                <w:tcPr>
                  <w:tcW w:w="2093" w:type="pct"/>
                  <w:vAlign w:val="center"/>
                </w:tcPr>
                <w:p w14:paraId="66B30643">
                  <w:pPr>
                    <w:pStyle w:val="91"/>
                    <w:rPr>
                      <w:sz w:val="21"/>
                      <w:szCs w:val="21"/>
                    </w:rPr>
                  </w:pPr>
                  <w:r>
                    <w:rPr>
                      <w:sz w:val="21"/>
                      <w:szCs w:val="21"/>
                    </w:rPr>
                    <w:t>3.加强环境影响跟踪监测，建立健全各环境要素监控体系，完善并落实园区日常环境监测与污染源监控计划。</w:t>
                  </w:r>
                </w:p>
              </w:tc>
              <w:tc>
                <w:tcPr>
                  <w:tcW w:w="1725" w:type="pct"/>
                  <w:vMerge w:val="continue"/>
                  <w:vAlign w:val="center"/>
                </w:tcPr>
                <w:p w14:paraId="7D041D31">
                  <w:pPr>
                    <w:pStyle w:val="91"/>
                    <w:rPr>
                      <w:b/>
                      <w:bCs/>
                      <w:sz w:val="21"/>
                      <w:szCs w:val="21"/>
                    </w:rPr>
                  </w:pPr>
                </w:p>
              </w:tc>
              <w:tc>
                <w:tcPr>
                  <w:tcW w:w="512" w:type="pct"/>
                  <w:vMerge w:val="continue"/>
                  <w:vAlign w:val="center"/>
                </w:tcPr>
                <w:p w14:paraId="21E0CD60">
                  <w:pPr>
                    <w:pStyle w:val="91"/>
                    <w:rPr>
                      <w:b/>
                      <w:bCs/>
                      <w:sz w:val="21"/>
                      <w:szCs w:val="21"/>
                    </w:rPr>
                  </w:pPr>
                </w:p>
              </w:tc>
            </w:tr>
            <w:tr w14:paraId="228ED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Merge w:val="restart"/>
                  <w:vAlign w:val="center"/>
                </w:tcPr>
                <w:p w14:paraId="7E34742C">
                  <w:pPr>
                    <w:pStyle w:val="91"/>
                    <w:rPr>
                      <w:sz w:val="21"/>
                      <w:szCs w:val="21"/>
                    </w:rPr>
                  </w:pPr>
                  <w:r>
                    <w:rPr>
                      <w:sz w:val="21"/>
                      <w:szCs w:val="21"/>
                    </w:rPr>
                    <w:t>资源开发效率要求</w:t>
                  </w:r>
                </w:p>
              </w:tc>
              <w:tc>
                <w:tcPr>
                  <w:tcW w:w="2093" w:type="pct"/>
                  <w:vAlign w:val="center"/>
                </w:tcPr>
                <w:p w14:paraId="3D59BD63">
                  <w:pPr>
                    <w:pStyle w:val="91"/>
                    <w:rPr>
                      <w:sz w:val="21"/>
                      <w:szCs w:val="21"/>
                    </w:rPr>
                  </w:pPr>
                  <w:r>
                    <w:rPr>
                      <w:sz w:val="21"/>
                      <w:szCs w:val="21"/>
                    </w:rPr>
                    <w:t>1.大力倡导使用清洁能源。</w:t>
                  </w:r>
                </w:p>
              </w:tc>
              <w:tc>
                <w:tcPr>
                  <w:tcW w:w="1725" w:type="pct"/>
                  <w:vMerge w:val="restart"/>
                  <w:vAlign w:val="center"/>
                </w:tcPr>
                <w:p w14:paraId="36C34D1E">
                  <w:pPr>
                    <w:pStyle w:val="91"/>
                    <w:rPr>
                      <w:sz w:val="21"/>
                      <w:szCs w:val="21"/>
                    </w:rPr>
                  </w:pPr>
                  <w:r>
                    <w:rPr>
                      <w:sz w:val="21"/>
                      <w:szCs w:val="21"/>
                    </w:rPr>
                    <w:t>本项目使用清洁能源电力；</w:t>
                  </w:r>
                  <w:r>
                    <w:rPr>
                      <w:rFonts w:hint="eastAsia"/>
                      <w:sz w:val="21"/>
                      <w:szCs w:val="21"/>
                    </w:rPr>
                    <w:t>本项目冷却水循环使用不外排；</w:t>
                  </w:r>
                  <w:r>
                    <w:rPr>
                      <w:sz w:val="21"/>
                      <w:szCs w:val="21"/>
                    </w:rPr>
                    <w:t>项目无燃煤设施。</w:t>
                  </w:r>
                </w:p>
              </w:tc>
              <w:tc>
                <w:tcPr>
                  <w:tcW w:w="512" w:type="pct"/>
                  <w:vMerge w:val="restart"/>
                  <w:vAlign w:val="center"/>
                </w:tcPr>
                <w:p w14:paraId="7D723CAE">
                  <w:pPr>
                    <w:pStyle w:val="91"/>
                    <w:rPr>
                      <w:sz w:val="21"/>
                      <w:szCs w:val="21"/>
                    </w:rPr>
                  </w:pPr>
                  <w:r>
                    <w:rPr>
                      <w:sz w:val="21"/>
                      <w:szCs w:val="21"/>
                    </w:rPr>
                    <w:t>符合</w:t>
                  </w:r>
                </w:p>
              </w:tc>
            </w:tr>
            <w:tr w14:paraId="4E717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pct"/>
                  <w:vMerge w:val="continue"/>
                  <w:vAlign w:val="center"/>
                </w:tcPr>
                <w:p w14:paraId="5CA80811">
                  <w:pPr>
                    <w:pStyle w:val="91"/>
                    <w:rPr>
                      <w:sz w:val="21"/>
                      <w:szCs w:val="21"/>
                    </w:rPr>
                  </w:pPr>
                </w:p>
              </w:tc>
              <w:tc>
                <w:tcPr>
                  <w:tcW w:w="2093" w:type="pct"/>
                  <w:vAlign w:val="center"/>
                </w:tcPr>
                <w:p w14:paraId="354A5330">
                  <w:pPr>
                    <w:pStyle w:val="91"/>
                    <w:rPr>
                      <w:sz w:val="21"/>
                      <w:szCs w:val="21"/>
                    </w:rPr>
                  </w:pPr>
                  <w:r>
                    <w:rPr>
                      <w:sz w:val="21"/>
                      <w:szCs w:val="21"/>
                    </w:rPr>
                    <w:t>2.提升废水资源化技术，提高水资源回用率。</w:t>
                  </w:r>
                </w:p>
              </w:tc>
              <w:tc>
                <w:tcPr>
                  <w:tcW w:w="1725" w:type="pct"/>
                  <w:vMerge w:val="continue"/>
                  <w:vAlign w:val="center"/>
                </w:tcPr>
                <w:p w14:paraId="7F661833">
                  <w:pPr>
                    <w:pStyle w:val="91"/>
                    <w:rPr>
                      <w:sz w:val="21"/>
                      <w:szCs w:val="21"/>
                    </w:rPr>
                  </w:pPr>
                </w:p>
              </w:tc>
              <w:tc>
                <w:tcPr>
                  <w:tcW w:w="512" w:type="pct"/>
                  <w:vMerge w:val="continue"/>
                  <w:vAlign w:val="center"/>
                </w:tcPr>
                <w:p w14:paraId="0ABB4C79">
                  <w:pPr>
                    <w:pStyle w:val="91"/>
                    <w:rPr>
                      <w:sz w:val="21"/>
                      <w:szCs w:val="21"/>
                    </w:rPr>
                  </w:pPr>
                </w:p>
              </w:tc>
            </w:tr>
            <w:tr w14:paraId="4F1A1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68" w:type="pct"/>
                  <w:vMerge w:val="continue"/>
                  <w:vAlign w:val="center"/>
                </w:tcPr>
                <w:p w14:paraId="7341682A">
                  <w:pPr>
                    <w:pStyle w:val="91"/>
                    <w:rPr>
                      <w:sz w:val="21"/>
                      <w:szCs w:val="21"/>
                    </w:rPr>
                  </w:pPr>
                </w:p>
              </w:tc>
              <w:tc>
                <w:tcPr>
                  <w:tcW w:w="2093" w:type="pct"/>
                  <w:vAlign w:val="center"/>
                </w:tcPr>
                <w:p w14:paraId="2F45FB09">
                  <w:pPr>
                    <w:pStyle w:val="91"/>
                    <w:rPr>
                      <w:sz w:val="21"/>
                      <w:szCs w:val="21"/>
                    </w:rPr>
                  </w:pPr>
                  <w:r>
                    <w:rPr>
                      <w:sz w:val="21"/>
                      <w:szCs w:val="21"/>
                    </w:rPr>
                    <w:t>3.严禁自建燃煤设施。</w:t>
                  </w:r>
                </w:p>
              </w:tc>
              <w:tc>
                <w:tcPr>
                  <w:tcW w:w="1725" w:type="pct"/>
                  <w:vMerge w:val="continue"/>
                  <w:vAlign w:val="center"/>
                </w:tcPr>
                <w:p w14:paraId="2ABC51C7">
                  <w:pPr>
                    <w:pStyle w:val="91"/>
                    <w:rPr>
                      <w:sz w:val="21"/>
                      <w:szCs w:val="21"/>
                    </w:rPr>
                  </w:pPr>
                </w:p>
              </w:tc>
              <w:tc>
                <w:tcPr>
                  <w:tcW w:w="512" w:type="pct"/>
                  <w:vMerge w:val="continue"/>
                  <w:vAlign w:val="center"/>
                </w:tcPr>
                <w:p w14:paraId="1599FA0A">
                  <w:pPr>
                    <w:pStyle w:val="91"/>
                    <w:rPr>
                      <w:sz w:val="21"/>
                      <w:szCs w:val="21"/>
                    </w:rPr>
                  </w:pPr>
                </w:p>
              </w:tc>
            </w:tr>
          </w:tbl>
          <w:p w14:paraId="3698B9F2">
            <w:pPr>
              <w:autoSpaceDE w:val="0"/>
              <w:autoSpaceDN w:val="0"/>
              <w:adjustRightInd w:val="0"/>
              <w:snapToGrid w:val="0"/>
              <w:spacing w:line="500" w:lineRule="exact"/>
              <w:ind w:firstLine="480" w:firstLineChars="200"/>
              <w:rPr>
                <w:bCs/>
                <w:sz w:val="24"/>
              </w:rPr>
            </w:pPr>
            <w:r>
              <w:rPr>
                <w:bCs/>
                <w:sz w:val="24"/>
              </w:rPr>
              <w:t>综上，本项目与《关于印发常州市</w:t>
            </w:r>
            <w:r>
              <w:rPr>
                <w:rFonts w:hint="eastAsia"/>
                <w:bCs/>
                <w:sz w:val="24"/>
              </w:rPr>
              <w:t>“</w:t>
            </w:r>
            <w:r>
              <w:rPr>
                <w:bCs/>
                <w:sz w:val="24"/>
              </w:rPr>
              <w:t>三线一单</w:t>
            </w:r>
            <w:r>
              <w:rPr>
                <w:rFonts w:hint="eastAsia"/>
                <w:bCs/>
                <w:sz w:val="24"/>
              </w:rPr>
              <w:t>”</w:t>
            </w:r>
            <w:r>
              <w:rPr>
                <w:bCs/>
                <w:sz w:val="24"/>
              </w:rPr>
              <w:t>生态环境分区管控实施方案的通知》（常环〔2020〕95号）的要求相符。</w:t>
            </w:r>
          </w:p>
          <w:p w14:paraId="1C22451E">
            <w:pPr>
              <w:autoSpaceDE w:val="0"/>
              <w:autoSpaceDN w:val="0"/>
              <w:adjustRightInd w:val="0"/>
              <w:snapToGrid w:val="0"/>
              <w:spacing w:line="500" w:lineRule="exact"/>
              <w:rPr>
                <w:b/>
                <w:bCs/>
                <w:sz w:val="24"/>
              </w:rPr>
            </w:pPr>
            <w:r>
              <w:rPr>
                <w:rFonts w:hint="eastAsia"/>
                <w:b/>
                <w:bCs/>
                <w:sz w:val="24"/>
              </w:rPr>
              <w:t>3</w:t>
            </w:r>
            <w:r>
              <w:rPr>
                <w:b/>
                <w:bCs/>
                <w:sz w:val="24"/>
              </w:rPr>
              <w:t>、产业政策相符性分析</w:t>
            </w:r>
          </w:p>
          <w:p w14:paraId="69C25F52">
            <w:pPr>
              <w:adjustRightInd w:val="0"/>
              <w:snapToGrid w:val="0"/>
              <w:spacing w:line="500" w:lineRule="exact"/>
              <w:jc w:val="center"/>
              <w:rPr>
                <w:b/>
                <w:bCs/>
                <w:szCs w:val="21"/>
              </w:rPr>
            </w:pPr>
            <w:r>
              <w:rPr>
                <w:b/>
                <w:bCs/>
                <w:szCs w:val="21"/>
              </w:rPr>
              <w:t>表1-</w:t>
            </w:r>
            <w:r>
              <w:rPr>
                <w:rFonts w:hint="eastAsia"/>
                <w:b/>
                <w:bCs/>
                <w:szCs w:val="21"/>
              </w:rPr>
              <w:t xml:space="preserve">7  </w:t>
            </w:r>
            <w:r>
              <w:rPr>
                <w:b/>
                <w:bCs/>
                <w:szCs w:val="21"/>
              </w:rPr>
              <w:t>产业政策相符性分析</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58"/>
              <w:gridCol w:w="6022"/>
              <w:gridCol w:w="845"/>
            </w:tblGrid>
            <w:tr w14:paraId="17EE50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Align w:val="center"/>
                </w:tcPr>
                <w:p w14:paraId="60CFBB4E">
                  <w:pPr>
                    <w:adjustRightInd w:val="0"/>
                    <w:snapToGrid w:val="0"/>
                    <w:jc w:val="center"/>
                    <w:rPr>
                      <w:b/>
                      <w:bCs/>
                      <w:szCs w:val="21"/>
                    </w:rPr>
                  </w:pPr>
                  <w:r>
                    <w:rPr>
                      <w:b/>
                      <w:bCs/>
                      <w:szCs w:val="21"/>
                    </w:rPr>
                    <w:t>序号</w:t>
                  </w:r>
                </w:p>
              </w:tc>
              <w:tc>
                <w:tcPr>
                  <w:tcW w:w="471" w:type="pct"/>
                  <w:vAlign w:val="center"/>
                </w:tcPr>
                <w:p w14:paraId="1C519C78">
                  <w:pPr>
                    <w:adjustRightInd w:val="0"/>
                    <w:snapToGrid w:val="0"/>
                    <w:jc w:val="center"/>
                    <w:rPr>
                      <w:b/>
                      <w:bCs/>
                      <w:szCs w:val="21"/>
                    </w:rPr>
                  </w:pPr>
                  <w:r>
                    <w:rPr>
                      <w:b/>
                      <w:bCs/>
                      <w:szCs w:val="21"/>
                    </w:rPr>
                    <w:t>判断类型</w:t>
                  </w:r>
                </w:p>
              </w:tc>
              <w:tc>
                <w:tcPr>
                  <w:tcW w:w="3739" w:type="pct"/>
                  <w:vAlign w:val="center"/>
                </w:tcPr>
                <w:p w14:paraId="01EC681C">
                  <w:pPr>
                    <w:adjustRightInd w:val="0"/>
                    <w:snapToGrid w:val="0"/>
                    <w:jc w:val="center"/>
                    <w:rPr>
                      <w:b/>
                      <w:bCs/>
                      <w:szCs w:val="21"/>
                    </w:rPr>
                  </w:pPr>
                  <w:r>
                    <w:rPr>
                      <w:b/>
                      <w:bCs/>
                      <w:szCs w:val="21"/>
                    </w:rPr>
                    <w:t>对照简析</w:t>
                  </w:r>
                </w:p>
              </w:tc>
              <w:tc>
                <w:tcPr>
                  <w:tcW w:w="525" w:type="pct"/>
                  <w:vAlign w:val="center"/>
                </w:tcPr>
                <w:p w14:paraId="6562BCB5">
                  <w:pPr>
                    <w:jc w:val="center"/>
                    <w:rPr>
                      <w:b/>
                      <w:szCs w:val="21"/>
                    </w:rPr>
                  </w:pPr>
                  <w:r>
                    <w:rPr>
                      <w:b/>
                      <w:szCs w:val="21"/>
                    </w:rPr>
                    <w:t>是否满足要求</w:t>
                  </w:r>
                </w:p>
              </w:tc>
            </w:tr>
            <w:tr w14:paraId="54FAE2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bottom w:val="single" w:color="auto" w:sz="2" w:space="0"/>
                  </w:tcBorders>
                  <w:vAlign w:val="center"/>
                </w:tcPr>
                <w:p w14:paraId="2CA5AD3D">
                  <w:pPr>
                    <w:adjustRightInd w:val="0"/>
                    <w:snapToGrid w:val="0"/>
                    <w:jc w:val="center"/>
                    <w:rPr>
                      <w:szCs w:val="21"/>
                    </w:rPr>
                  </w:pPr>
                  <w:r>
                    <w:rPr>
                      <w:szCs w:val="21"/>
                    </w:rPr>
                    <w:t>1</w:t>
                  </w:r>
                </w:p>
              </w:tc>
              <w:tc>
                <w:tcPr>
                  <w:tcW w:w="471" w:type="pct"/>
                  <w:vMerge w:val="restart"/>
                  <w:vAlign w:val="center"/>
                </w:tcPr>
                <w:p w14:paraId="6AF3C0E5">
                  <w:pPr>
                    <w:adjustRightInd w:val="0"/>
                    <w:snapToGrid w:val="0"/>
                    <w:jc w:val="center"/>
                    <w:rPr>
                      <w:szCs w:val="21"/>
                    </w:rPr>
                  </w:pPr>
                  <w:r>
                    <w:rPr>
                      <w:szCs w:val="21"/>
                    </w:rPr>
                    <w:t>产业政策</w:t>
                  </w:r>
                </w:p>
              </w:tc>
              <w:tc>
                <w:tcPr>
                  <w:tcW w:w="3739" w:type="pct"/>
                  <w:tcBorders>
                    <w:bottom w:val="single" w:color="auto" w:sz="2" w:space="0"/>
                  </w:tcBorders>
                  <w:vAlign w:val="center"/>
                </w:tcPr>
                <w:p w14:paraId="243BF2D3">
                  <w:pPr>
                    <w:ind w:firstLine="420" w:firstLineChars="200"/>
                    <w:rPr>
                      <w:szCs w:val="21"/>
                    </w:rPr>
                  </w:pPr>
                  <w:r>
                    <w:rPr>
                      <w:szCs w:val="21"/>
                    </w:rPr>
                    <w:t>本项目属于“</w:t>
                  </w:r>
                  <w:r>
                    <w:rPr>
                      <w:rFonts w:hint="eastAsia"/>
                      <w:szCs w:val="21"/>
                    </w:rPr>
                    <w:t>C2928人造草坪制造</w:t>
                  </w:r>
                  <w:r>
                    <w:rPr>
                      <w:szCs w:val="21"/>
                    </w:rPr>
                    <w:t>”，采用的生产工艺、设备等均不属于</w:t>
                  </w:r>
                  <w:r>
                    <w:rPr>
                      <w:rFonts w:hint="eastAsia"/>
                      <w:szCs w:val="21"/>
                    </w:rPr>
                    <w:t>国家发展改革委</w:t>
                  </w:r>
                  <w:r>
                    <w:rPr>
                      <w:szCs w:val="21"/>
                    </w:rPr>
                    <w:t>《产业结构调整指导目录（2024年本）》中限制类和淘汰类项目</w:t>
                  </w:r>
                </w:p>
              </w:tc>
              <w:tc>
                <w:tcPr>
                  <w:tcW w:w="525" w:type="pct"/>
                  <w:tcBorders>
                    <w:bottom w:val="single" w:color="auto" w:sz="2" w:space="0"/>
                  </w:tcBorders>
                  <w:vAlign w:val="center"/>
                </w:tcPr>
                <w:p w14:paraId="2ADF5634">
                  <w:pPr>
                    <w:adjustRightInd w:val="0"/>
                    <w:snapToGrid w:val="0"/>
                    <w:jc w:val="center"/>
                    <w:rPr>
                      <w:szCs w:val="21"/>
                    </w:rPr>
                  </w:pPr>
                  <w:r>
                    <w:rPr>
                      <w:szCs w:val="21"/>
                    </w:rPr>
                    <w:t>是</w:t>
                  </w:r>
                </w:p>
              </w:tc>
            </w:tr>
            <w:tr w14:paraId="15D4ED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37D611BC">
                  <w:pPr>
                    <w:adjustRightInd w:val="0"/>
                    <w:snapToGrid w:val="0"/>
                    <w:jc w:val="center"/>
                    <w:rPr>
                      <w:szCs w:val="21"/>
                    </w:rPr>
                  </w:pPr>
                  <w:r>
                    <w:rPr>
                      <w:szCs w:val="21"/>
                    </w:rPr>
                    <w:t>2</w:t>
                  </w:r>
                </w:p>
              </w:tc>
              <w:tc>
                <w:tcPr>
                  <w:tcW w:w="471" w:type="pct"/>
                  <w:vMerge w:val="continue"/>
                  <w:vAlign w:val="center"/>
                </w:tcPr>
                <w:p w14:paraId="2A7336CF">
                  <w:pPr>
                    <w:adjustRightInd w:val="0"/>
                    <w:snapToGrid w:val="0"/>
                    <w:jc w:val="center"/>
                    <w:rPr>
                      <w:szCs w:val="21"/>
                    </w:rPr>
                  </w:pPr>
                </w:p>
              </w:tc>
              <w:tc>
                <w:tcPr>
                  <w:tcW w:w="3739" w:type="pct"/>
                  <w:tcBorders>
                    <w:top w:val="single" w:color="auto" w:sz="2" w:space="0"/>
                    <w:bottom w:val="single" w:color="auto" w:sz="2" w:space="0"/>
                  </w:tcBorders>
                  <w:vAlign w:val="center"/>
                </w:tcPr>
                <w:p w14:paraId="210A710D">
                  <w:pPr>
                    <w:ind w:firstLine="420" w:firstLineChars="200"/>
                    <w:rPr>
                      <w:szCs w:val="21"/>
                    </w:rPr>
                  </w:pPr>
                  <w:r>
                    <w:rPr>
                      <w:szCs w:val="21"/>
                    </w:rPr>
                    <w:t>本项目属于“</w:t>
                  </w:r>
                  <w:r>
                    <w:rPr>
                      <w:rFonts w:hint="eastAsia"/>
                      <w:szCs w:val="21"/>
                    </w:rPr>
                    <w:t>C2928人造草坪制造</w:t>
                  </w:r>
                  <w:r>
                    <w:rPr>
                      <w:szCs w:val="21"/>
                    </w:rPr>
                    <w:t>”，经对照不属于《江苏省产业结构调整限制、淘汰和禁止目录（2018年本）》中限制、淘汰和禁止类有关条款。</w:t>
                  </w:r>
                </w:p>
              </w:tc>
              <w:tc>
                <w:tcPr>
                  <w:tcW w:w="525" w:type="pct"/>
                  <w:tcBorders>
                    <w:top w:val="single" w:color="auto" w:sz="2" w:space="0"/>
                    <w:bottom w:val="single" w:color="auto" w:sz="2" w:space="0"/>
                  </w:tcBorders>
                  <w:vAlign w:val="center"/>
                </w:tcPr>
                <w:p w14:paraId="289FCF00">
                  <w:pPr>
                    <w:adjustRightInd w:val="0"/>
                    <w:snapToGrid w:val="0"/>
                    <w:jc w:val="center"/>
                    <w:rPr>
                      <w:szCs w:val="21"/>
                    </w:rPr>
                  </w:pPr>
                  <w:r>
                    <w:rPr>
                      <w:szCs w:val="21"/>
                    </w:rPr>
                    <w:t>是</w:t>
                  </w:r>
                </w:p>
              </w:tc>
            </w:tr>
            <w:tr w14:paraId="019671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249D5C5B">
                  <w:pPr>
                    <w:adjustRightInd w:val="0"/>
                    <w:snapToGrid w:val="0"/>
                    <w:jc w:val="center"/>
                    <w:rPr>
                      <w:szCs w:val="21"/>
                    </w:rPr>
                  </w:pPr>
                  <w:r>
                    <w:rPr>
                      <w:szCs w:val="21"/>
                    </w:rPr>
                    <w:t>3</w:t>
                  </w:r>
                </w:p>
              </w:tc>
              <w:tc>
                <w:tcPr>
                  <w:tcW w:w="471" w:type="pct"/>
                  <w:vMerge w:val="continue"/>
                  <w:vAlign w:val="center"/>
                </w:tcPr>
                <w:p w14:paraId="43ECCED3">
                  <w:pPr>
                    <w:adjustRightInd w:val="0"/>
                    <w:snapToGrid w:val="0"/>
                    <w:jc w:val="center"/>
                    <w:rPr>
                      <w:szCs w:val="21"/>
                    </w:rPr>
                  </w:pPr>
                </w:p>
              </w:tc>
              <w:tc>
                <w:tcPr>
                  <w:tcW w:w="3739" w:type="pct"/>
                  <w:tcBorders>
                    <w:top w:val="single" w:color="auto" w:sz="2" w:space="0"/>
                    <w:bottom w:val="single" w:color="auto" w:sz="2" w:space="0"/>
                  </w:tcBorders>
                  <w:vAlign w:val="center"/>
                </w:tcPr>
                <w:p w14:paraId="6EC73E3B">
                  <w:pPr>
                    <w:ind w:firstLine="420" w:firstLineChars="200"/>
                    <w:rPr>
                      <w:szCs w:val="21"/>
                    </w:rPr>
                  </w:pPr>
                  <w:r>
                    <w:rPr>
                      <w:szCs w:val="21"/>
                    </w:rPr>
                    <w:t>本项目属于“</w:t>
                  </w:r>
                  <w:r>
                    <w:rPr>
                      <w:rFonts w:hint="eastAsia"/>
                      <w:szCs w:val="21"/>
                    </w:rPr>
                    <w:t>C2928人造草坪制造</w:t>
                  </w:r>
                  <w:r>
                    <w:rPr>
                      <w:szCs w:val="21"/>
                    </w:rPr>
                    <w:t>”，不属于《长江经济带发展负面清单指南（试行，2022年版）》未列入长江经济带发展负面清单，也不属于《市场准入负面清单（202</w:t>
                  </w:r>
                  <w:r>
                    <w:rPr>
                      <w:rFonts w:hint="eastAsia"/>
                      <w:szCs w:val="21"/>
                      <w:lang w:val="en-US" w:eastAsia="zh-CN"/>
                    </w:rPr>
                    <w:t>5</w:t>
                  </w:r>
                  <w:r>
                    <w:rPr>
                      <w:szCs w:val="21"/>
                    </w:rPr>
                    <w:t>年版）》中禁止准入类</w:t>
                  </w:r>
                </w:p>
              </w:tc>
              <w:tc>
                <w:tcPr>
                  <w:tcW w:w="525" w:type="pct"/>
                  <w:tcBorders>
                    <w:top w:val="single" w:color="auto" w:sz="2" w:space="0"/>
                    <w:bottom w:val="single" w:color="auto" w:sz="2" w:space="0"/>
                  </w:tcBorders>
                  <w:vAlign w:val="center"/>
                </w:tcPr>
                <w:p w14:paraId="6CAB4582">
                  <w:pPr>
                    <w:adjustRightInd w:val="0"/>
                    <w:snapToGrid w:val="0"/>
                    <w:jc w:val="center"/>
                    <w:rPr>
                      <w:szCs w:val="21"/>
                    </w:rPr>
                  </w:pPr>
                  <w:r>
                    <w:rPr>
                      <w:szCs w:val="21"/>
                    </w:rPr>
                    <w:t>是</w:t>
                  </w:r>
                </w:p>
              </w:tc>
            </w:tr>
            <w:tr w14:paraId="2597E3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4" w:type="pct"/>
                  <w:tcBorders>
                    <w:top w:val="single" w:color="auto" w:sz="2" w:space="0"/>
                    <w:bottom w:val="single" w:color="auto" w:sz="2" w:space="0"/>
                  </w:tcBorders>
                  <w:vAlign w:val="center"/>
                </w:tcPr>
                <w:p w14:paraId="03911803">
                  <w:pPr>
                    <w:adjustRightInd w:val="0"/>
                    <w:snapToGrid w:val="0"/>
                    <w:jc w:val="center"/>
                    <w:rPr>
                      <w:szCs w:val="21"/>
                    </w:rPr>
                  </w:pPr>
                  <w:r>
                    <w:rPr>
                      <w:szCs w:val="21"/>
                    </w:rPr>
                    <w:t>4</w:t>
                  </w:r>
                </w:p>
              </w:tc>
              <w:tc>
                <w:tcPr>
                  <w:tcW w:w="471" w:type="pct"/>
                  <w:vMerge w:val="continue"/>
                  <w:vAlign w:val="center"/>
                </w:tcPr>
                <w:p w14:paraId="7052D041">
                  <w:pPr>
                    <w:adjustRightInd w:val="0"/>
                    <w:snapToGrid w:val="0"/>
                    <w:jc w:val="center"/>
                    <w:rPr>
                      <w:szCs w:val="21"/>
                    </w:rPr>
                  </w:pPr>
                </w:p>
              </w:tc>
              <w:tc>
                <w:tcPr>
                  <w:tcW w:w="3739" w:type="pct"/>
                  <w:tcBorders>
                    <w:top w:val="single" w:color="auto" w:sz="2" w:space="0"/>
                    <w:bottom w:val="single" w:color="auto" w:sz="2" w:space="0"/>
                  </w:tcBorders>
                  <w:vAlign w:val="center"/>
                </w:tcPr>
                <w:p w14:paraId="340C368C">
                  <w:pPr>
                    <w:ind w:firstLine="420" w:firstLineChars="200"/>
                    <w:rPr>
                      <w:szCs w:val="21"/>
                    </w:rPr>
                  </w:pPr>
                  <w:r>
                    <w:rPr>
                      <w:szCs w:val="21"/>
                    </w:rPr>
                    <w:t>本项目产品不在《江苏省太湖流域禁止和限制的产品目录（2024年本）》（苏发改规发〔2024〕3号）中禁止和限制的产业产品目录范围</w:t>
                  </w:r>
                  <w:r>
                    <w:rPr>
                      <w:szCs w:val="21"/>
                    </w:rPr>
                    <w:tab/>
                  </w:r>
                </w:p>
              </w:tc>
              <w:tc>
                <w:tcPr>
                  <w:tcW w:w="525" w:type="pct"/>
                  <w:tcBorders>
                    <w:top w:val="single" w:color="auto" w:sz="2" w:space="0"/>
                    <w:bottom w:val="single" w:color="auto" w:sz="2" w:space="0"/>
                  </w:tcBorders>
                  <w:vAlign w:val="center"/>
                </w:tcPr>
                <w:p w14:paraId="539566DC">
                  <w:pPr>
                    <w:adjustRightInd w:val="0"/>
                    <w:snapToGrid w:val="0"/>
                    <w:jc w:val="center"/>
                    <w:rPr>
                      <w:szCs w:val="21"/>
                    </w:rPr>
                  </w:pPr>
                  <w:r>
                    <w:rPr>
                      <w:szCs w:val="21"/>
                    </w:rPr>
                    <w:t>是</w:t>
                  </w:r>
                </w:p>
              </w:tc>
            </w:tr>
            <w:tr w14:paraId="06CD13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4EF167B1">
                  <w:pPr>
                    <w:adjustRightInd w:val="0"/>
                    <w:snapToGrid w:val="0"/>
                    <w:jc w:val="center"/>
                    <w:rPr>
                      <w:szCs w:val="21"/>
                    </w:rPr>
                  </w:pPr>
                  <w:r>
                    <w:rPr>
                      <w:szCs w:val="21"/>
                    </w:rPr>
                    <w:t>5</w:t>
                  </w:r>
                </w:p>
              </w:tc>
              <w:tc>
                <w:tcPr>
                  <w:tcW w:w="471" w:type="pct"/>
                  <w:vMerge w:val="continue"/>
                  <w:vAlign w:val="center"/>
                </w:tcPr>
                <w:p w14:paraId="1E23D110">
                  <w:pPr>
                    <w:adjustRightInd w:val="0"/>
                    <w:snapToGrid w:val="0"/>
                    <w:jc w:val="center"/>
                    <w:rPr>
                      <w:szCs w:val="21"/>
                    </w:rPr>
                  </w:pPr>
                </w:p>
              </w:tc>
              <w:tc>
                <w:tcPr>
                  <w:tcW w:w="3739" w:type="pct"/>
                  <w:tcBorders>
                    <w:top w:val="single" w:color="auto" w:sz="2" w:space="0"/>
                    <w:bottom w:val="single" w:color="auto" w:sz="2" w:space="0"/>
                  </w:tcBorders>
                  <w:vAlign w:val="center"/>
                </w:tcPr>
                <w:p w14:paraId="5F180B88">
                  <w:pPr>
                    <w:ind w:firstLine="420" w:firstLineChars="200"/>
                    <w:rPr>
                      <w:szCs w:val="21"/>
                    </w:rPr>
                  </w:pPr>
                  <w:r>
                    <w:rPr>
                      <w:szCs w:val="21"/>
                    </w:rPr>
                    <w:t>本项目产品不属于《环境保护综合名录》（2021年版）中“高污染、高环境风险”产品名录范围</w:t>
                  </w:r>
                  <w:r>
                    <w:rPr>
                      <w:szCs w:val="21"/>
                    </w:rPr>
                    <w:tab/>
                  </w:r>
                </w:p>
              </w:tc>
              <w:tc>
                <w:tcPr>
                  <w:tcW w:w="525" w:type="pct"/>
                  <w:tcBorders>
                    <w:top w:val="single" w:color="auto" w:sz="2" w:space="0"/>
                    <w:bottom w:val="single" w:color="auto" w:sz="2" w:space="0"/>
                  </w:tcBorders>
                  <w:vAlign w:val="center"/>
                </w:tcPr>
                <w:p w14:paraId="387F4D81">
                  <w:pPr>
                    <w:adjustRightInd w:val="0"/>
                    <w:snapToGrid w:val="0"/>
                    <w:jc w:val="center"/>
                    <w:rPr>
                      <w:szCs w:val="21"/>
                    </w:rPr>
                  </w:pPr>
                  <w:r>
                    <w:rPr>
                      <w:szCs w:val="21"/>
                    </w:rPr>
                    <w:t>是</w:t>
                  </w:r>
                </w:p>
              </w:tc>
            </w:tr>
            <w:tr w14:paraId="342D72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6C656120">
                  <w:pPr>
                    <w:adjustRightInd w:val="0"/>
                    <w:snapToGrid w:val="0"/>
                    <w:jc w:val="center"/>
                    <w:rPr>
                      <w:rFonts w:hint="eastAsia" w:eastAsia="宋体"/>
                      <w:szCs w:val="21"/>
                      <w:lang w:val="en-US" w:eastAsia="zh-CN"/>
                    </w:rPr>
                  </w:pPr>
                  <w:r>
                    <w:rPr>
                      <w:rFonts w:hint="eastAsia"/>
                      <w:szCs w:val="21"/>
                      <w:lang w:val="en-US" w:eastAsia="zh-CN"/>
                    </w:rPr>
                    <w:t>6</w:t>
                  </w:r>
                </w:p>
              </w:tc>
              <w:tc>
                <w:tcPr>
                  <w:tcW w:w="471" w:type="pct"/>
                  <w:vMerge w:val="continue"/>
                  <w:vAlign w:val="center"/>
                </w:tcPr>
                <w:p w14:paraId="67880B51">
                  <w:pPr>
                    <w:adjustRightInd w:val="0"/>
                    <w:snapToGrid w:val="0"/>
                    <w:jc w:val="center"/>
                    <w:rPr>
                      <w:szCs w:val="21"/>
                    </w:rPr>
                  </w:pPr>
                </w:p>
              </w:tc>
              <w:tc>
                <w:tcPr>
                  <w:tcW w:w="3739" w:type="pct"/>
                  <w:tcBorders>
                    <w:top w:val="single" w:color="auto" w:sz="2" w:space="0"/>
                    <w:bottom w:val="single" w:color="auto" w:sz="2" w:space="0"/>
                  </w:tcBorders>
                  <w:vAlign w:val="center"/>
                </w:tcPr>
                <w:p w14:paraId="3B18484F">
                  <w:pPr>
                    <w:ind w:firstLine="420" w:firstLineChars="200"/>
                    <w:rPr>
                      <w:rFonts w:hint="default" w:eastAsia="宋体"/>
                      <w:szCs w:val="21"/>
                      <w:lang w:val="en-US" w:eastAsia="zh-CN"/>
                    </w:rPr>
                  </w:pPr>
                  <w:r>
                    <w:rPr>
                      <w:szCs w:val="21"/>
                    </w:rPr>
                    <w:t>本项目属于“</w:t>
                  </w:r>
                  <w:r>
                    <w:rPr>
                      <w:rFonts w:hint="eastAsia"/>
                      <w:szCs w:val="21"/>
                    </w:rPr>
                    <w:t>C2928人造草坪制造</w:t>
                  </w:r>
                  <w:r>
                    <w:rPr>
                      <w:szCs w:val="21"/>
                    </w:rPr>
                    <w:t>”，</w:t>
                  </w:r>
                  <w:r>
                    <w:rPr>
                      <w:szCs w:val="21"/>
                      <w:highlight w:val="none"/>
                    </w:rPr>
                    <w:t>经对照不属于</w:t>
                  </w:r>
                  <w:r>
                    <w:rPr>
                      <w:bCs/>
                      <w:szCs w:val="21"/>
                      <w:highlight w:val="none"/>
                    </w:rPr>
                    <w:t>《江苏省“两高”项目管理目录（2025年版）》</w:t>
                  </w:r>
                  <w:r>
                    <w:rPr>
                      <w:rFonts w:hint="eastAsia"/>
                      <w:bCs/>
                      <w:szCs w:val="21"/>
                      <w:highlight w:val="none"/>
                      <w:lang w:val="en-US" w:eastAsia="zh-CN"/>
                    </w:rPr>
                    <w:t>中的</w:t>
                  </w:r>
                  <w:r>
                    <w:rPr>
                      <w:bCs/>
                      <w:szCs w:val="21"/>
                      <w:highlight w:val="none"/>
                    </w:rPr>
                    <w:t>“</w:t>
                  </w:r>
                  <w:r>
                    <w:rPr>
                      <w:bCs/>
                      <w:szCs w:val="21"/>
                    </w:rPr>
                    <w:t>两高”项目</w:t>
                  </w:r>
                  <w:r>
                    <w:rPr>
                      <w:rFonts w:hint="eastAsia"/>
                      <w:bCs/>
                      <w:szCs w:val="21"/>
                      <w:lang w:eastAsia="zh-CN"/>
                    </w:rPr>
                    <w:t>。</w:t>
                  </w:r>
                </w:p>
              </w:tc>
              <w:tc>
                <w:tcPr>
                  <w:tcW w:w="525" w:type="pct"/>
                  <w:tcBorders>
                    <w:top w:val="single" w:color="auto" w:sz="2" w:space="0"/>
                    <w:bottom w:val="single" w:color="auto" w:sz="2" w:space="0"/>
                  </w:tcBorders>
                  <w:vAlign w:val="center"/>
                </w:tcPr>
                <w:p w14:paraId="042C882E">
                  <w:pPr>
                    <w:adjustRightInd w:val="0"/>
                    <w:snapToGrid w:val="0"/>
                    <w:jc w:val="center"/>
                    <w:rPr>
                      <w:rFonts w:hint="eastAsia" w:eastAsia="宋体"/>
                      <w:szCs w:val="21"/>
                      <w:lang w:val="en-US" w:eastAsia="zh-CN"/>
                    </w:rPr>
                  </w:pPr>
                  <w:r>
                    <w:rPr>
                      <w:rFonts w:hint="eastAsia"/>
                      <w:szCs w:val="21"/>
                      <w:lang w:val="en-US" w:eastAsia="zh-CN"/>
                    </w:rPr>
                    <w:t>是</w:t>
                  </w:r>
                </w:p>
              </w:tc>
            </w:tr>
            <w:tr w14:paraId="1622D0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tcBorders>
                    <w:top w:val="single" w:color="auto" w:sz="2" w:space="0"/>
                    <w:bottom w:val="single" w:color="auto" w:sz="2" w:space="0"/>
                  </w:tcBorders>
                  <w:vAlign w:val="center"/>
                </w:tcPr>
                <w:p w14:paraId="046B193E">
                  <w:pPr>
                    <w:adjustRightInd w:val="0"/>
                    <w:snapToGrid w:val="0"/>
                    <w:jc w:val="center"/>
                    <w:rPr>
                      <w:rFonts w:hint="eastAsia" w:eastAsia="宋体"/>
                      <w:szCs w:val="21"/>
                      <w:lang w:eastAsia="zh-CN"/>
                    </w:rPr>
                  </w:pPr>
                  <w:r>
                    <w:rPr>
                      <w:rFonts w:hint="eastAsia"/>
                      <w:szCs w:val="21"/>
                      <w:lang w:val="en-US" w:eastAsia="zh-CN"/>
                    </w:rPr>
                    <w:t>7</w:t>
                  </w:r>
                </w:p>
              </w:tc>
              <w:tc>
                <w:tcPr>
                  <w:tcW w:w="471" w:type="pct"/>
                  <w:vMerge w:val="continue"/>
                  <w:tcBorders>
                    <w:bottom w:val="single" w:color="auto" w:sz="2" w:space="0"/>
                  </w:tcBorders>
                  <w:vAlign w:val="center"/>
                </w:tcPr>
                <w:p w14:paraId="1BB41AF2">
                  <w:pPr>
                    <w:adjustRightInd w:val="0"/>
                    <w:snapToGrid w:val="0"/>
                    <w:jc w:val="center"/>
                    <w:rPr>
                      <w:szCs w:val="21"/>
                    </w:rPr>
                  </w:pPr>
                </w:p>
              </w:tc>
              <w:tc>
                <w:tcPr>
                  <w:tcW w:w="3739" w:type="pct"/>
                  <w:tcBorders>
                    <w:top w:val="single" w:color="auto" w:sz="2" w:space="0"/>
                    <w:bottom w:val="single" w:color="auto" w:sz="2" w:space="0"/>
                  </w:tcBorders>
                  <w:vAlign w:val="center"/>
                </w:tcPr>
                <w:p w14:paraId="677A6AF6">
                  <w:pPr>
                    <w:ind w:firstLine="420" w:firstLineChars="200"/>
                    <w:rPr>
                      <w:szCs w:val="21"/>
                    </w:rPr>
                  </w:pPr>
                  <w:r>
                    <w:rPr>
                      <w:szCs w:val="21"/>
                    </w:rPr>
                    <w:t>本项目已</w:t>
                  </w:r>
                  <w:r>
                    <w:rPr>
                      <w:bCs/>
                      <w:szCs w:val="21"/>
                    </w:rPr>
                    <w:t>于2024年11月16日</w:t>
                  </w:r>
                  <w:r>
                    <w:rPr>
                      <w:szCs w:val="21"/>
                    </w:rPr>
                    <w:t>在常州市金坛区工业和信息化局进行了备案（</w:t>
                  </w:r>
                  <w:r>
                    <w:rPr>
                      <w:rFonts w:hint="eastAsia"/>
                      <w:szCs w:val="21"/>
                    </w:rPr>
                    <w:t>坛发改备〔2025〕84号</w:t>
                  </w:r>
                  <w:r>
                    <w:rPr>
                      <w:szCs w:val="21"/>
                    </w:rPr>
                    <w:t>），符合区域产业政策</w:t>
                  </w:r>
                  <w:r>
                    <w:rPr>
                      <w:szCs w:val="21"/>
                    </w:rPr>
                    <w:tab/>
                  </w:r>
                </w:p>
              </w:tc>
              <w:tc>
                <w:tcPr>
                  <w:tcW w:w="525" w:type="pct"/>
                  <w:tcBorders>
                    <w:top w:val="single" w:color="auto" w:sz="2" w:space="0"/>
                    <w:bottom w:val="single" w:color="auto" w:sz="2" w:space="0"/>
                  </w:tcBorders>
                  <w:vAlign w:val="center"/>
                </w:tcPr>
                <w:p w14:paraId="5E665048">
                  <w:pPr>
                    <w:adjustRightInd w:val="0"/>
                    <w:snapToGrid w:val="0"/>
                    <w:jc w:val="center"/>
                    <w:rPr>
                      <w:szCs w:val="21"/>
                    </w:rPr>
                  </w:pPr>
                  <w:r>
                    <w:rPr>
                      <w:szCs w:val="21"/>
                    </w:rPr>
                    <w:t>是</w:t>
                  </w:r>
                </w:p>
              </w:tc>
            </w:tr>
          </w:tbl>
          <w:p w14:paraId="5095FED0">
            <w:pPr>
              <w:autoSpaceDE w:val="0"/>
              <w:autoSpaceDN w:val="0"/>
              <w:adjustRightInd w:val="0"/>
              <w:snapToGrid w:val="0"/>
              <w:spacing w:line="500" w:lineRule="exact"/>
              <w:rPr>
                <w:b/>
                <w:bCs/>
                <w:sz w:val="24"/>
              </w:rPr>
            </w:pPr>
            <w:r>
              <w:rPr>
                <w:rFonts w:hint="eastAsia"/>
                <w:b/>
                <w:bCs/>
                <w:sz w:val="24"/>
              </w:rPr>
              <w:t>4</w:t>
            </w:r>
            <w:r>
              <w:rPr>
                <w:b/>
                <w:bCs/>
                <w:sz w:val="24"/>
              </w:rPr>
              <w:t>、与太湖流域环境政策相符性分析</w:t>
            </w:r>
          </w:p>
          <w:p w14:paraId="255D4017">
            <w:pPr>
              <w:autoSpaceDE w:val="0"/>
              <w:autoSpaceDN w:val="0"/>
              <w:adjustRightInd w:val="0"/>
              <w:snapToGrid w:val="0"/>
              <w:spacing w:line="500" w:lineRule="exact"/>
              <w:ind w:firstLine="482" w:firstLineChars="200"/>
              <w:rPr>
                <w:b/>
                <w:sz w:val="24"/>
              </w:rPr>
            </w:pPr>
            <w:r>
              <w:rPr>
                <w:b/>
                <w:sz w:val="24"/>
              </w:rPr>
              <w:t>（1）对照《江苏省太湖流域三级保护区范围》（苏政办发〔2012〕221号），本项目位于太湖流域三级保护区内。</w:t>
            </w:r>
          </w:p>
          <w:p w14:paraId="0570739F">
            <w:pPr>
              <w:autoSpaceDE w:val="0"/>
              <w:autoSpaceDN w:val="0"/>
              <w:adjustRightInd w:val="0"/>
              <w:snapToGrid w:val="0"/>
              <w:spacing w:line="500" w:lineRule="exact"/>
              <w:ind w:firstLine="482" w:firstLineChars="200"/>
              <w:rPr>
                <w:b/>
                <w:sz w:val="24"/>
              </w:rPr>
            </w:pPr>
            <w:r>
              <w:rPr>
                <w:b/>
                <w:sz w:val="24"/>
              </w:rPr>
              <w:t>（2）与《太湖流域管理条例》（国务院令第604号）相符性分析</w:t>
            </w:r>
          </w:p>
          <w:p w14:paraId="46105641">
            <w:pPr>
              <w:adjustRightInd w:val="0"/>
              <w:snapToGrid w:val="0"/>
              <w:spacing w:line="500" w:lineRule="exact"/>
              <w:jc w:val="center"/>
              <w:rPr>
                <w:b/>
                <w:bCs/>
                <w:szCs w:val="21"/>
              </w:rPr>
            </w:pPr>
            <w:r>
              <w:rPr>
                <w:b/>
                <w:bCs/>
                <w:szCs w:val="21"/>
              </w:rPr>
              <w:t>表1-</w:t>
            </w:r>
            <w:r>
              <w:rPr>
                <w:rFonts w:hint="eastAsia"/>
                <w:b/>
                <w:bCs/>
                <w:szCs w:val="21"/>
              </w:rPr>
              <w:t xml:space="preserve">8 </w:t>
            </w:r>
            <w:r>
              <w:rPr>
                <w:b/>
                <w:bCs/>
                <w:szCs w:val="21"/>
              </w:rPr>
              <w:t xml:space="preserve"> 与国务院令第604号的相符性分析</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6189"/>
              <w:gridCol w:w="1149"/>
            </w:tblGrid>
            <w:tr w14:paraId="4678BD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Align w:val="center"/>
                </w:tcPr>
                <w:p w14:paraId="7BC9DDFE">
                  <w:pPr>
                    <w:adjustRightInd w:val="0"/>
                    <w:snapToGrid w:val="0"/>
                    <w:jc w:val="center"/>
                    <w:rPr>
                      <w:b/>
                      <w:bCs/>
                      <w:szCs w:val="21"/>
                    </w:rPr>
                  </w:pPr>
                  <w:r>
                    <w:rPr>
                      <w:b/>
                      <w:bCs/>
                      <w:szCs w:val="21"/>
                    </w:rPr>
                    <w:t>条款</w:t>
                  </w:r>
                </w:p>
              </w:tc>
              <w:tc>
                <w:tcPr>
                  <w:tcW w:w="3842" w:type="pct"/>
                  <w:vAlign w:val="center"/>
                </w:tcPr>
                <w:p w14:paraId="0A564613">
                  <w:pPr>
                    <w:adjustRightInd w:val="0"/>
                    <w:snapToGrid w:val="0"/>
                    <w:jc w:val="center"/>
                    <w:rPr>
                      <w:b/>
                      <w:bCs/>
                      <w:szCs w:val="21"/>
                    </w:rPr>
                  </w:pPr>
                  <w:r>
                    <w:rPr>
                      <w:b/>
                      <w:bCs/>
                      <w:szCs w:val="21"/>
                    </w:rPr>
                    <w:t>内容</w:t>
                  </w:r>
                </w:p>
              </w:tc>
              <w:tc>
                <w:tcPr>
                  <w:tcW w:w="713" w:type="pct"/>
                  <w:vAlign w:val="center"/>
                </w:tcPr>
                <w:p w14:paraId="2ACAF07D">
                  <w:pPr>
                    <w:jc w:val="center"/>
                    <w:rPr>
                      <w:b/>
                      <w:szCs w:val="21"/>
                    </w:rPr>
                  </w:pPr>
                  <w:r>
                    <w:rPr>
                      <w:b/>
                      <w:szCs w:val="21"/>
                    </w:rPr>
                    <w:t>相符性分析</w:t>
                  </w:r>
                </w:p>
              </w:tc>
            </w:tr>
            <w:tr w14:paraId="738BE6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44" w:type="pct"/>
                  <w:tcBorders>
                    <w:bottom w:val="single" w:color="auto" w:sz="2" w:space="0"/>
                  </w:tcBorders>
                  <w:vAlign w:val="center"/>
                </w:tcPr>
                <w:p w14:paraId="211D2678">
                  <w:pPr>
                    <w:adjustRightInd w:val="0"/>
                    <w:snapToGrid w:val="0"/>
                    <w:jc w:val="center"/>
                    <w:rPr>
                      <w:szCs w:val="21"/>
                    </w:rPr>
                  </w:pPr>
                  <w:r>
                    <w:rPr>
                      <w:szCs w:val="21"/>
                    </w:rPr>
                    <w:t>第二十八条</w:t>
                  </w:r>
                </w:p>
              </w:tc>
              <w:tc>
                <w:tcPr>
                  <w:tcW w:w="3842" w:type="pct"/>
                  <w:tcBorders>
                    <w:bottom w:val="single" w:color="auto" w:sz="2" w:space="0"/>
                  </w:tcBorders>
                  <w:vAlign w:val="center"/>
                </w:tcPr>
                <w:p w14:paraId="76598CBA">
                  <w:pPr>
                    <w:adjustRightInd w:val="0"/>
                    <w:snapToGrid w:val="0"/>
                    <w:ind w:firstLine="420" w:firstLineChars="200"/>
                    <w:jc w:val="left"/>
                    <w:rPr>
                      <w:szCs w:val="21"/>
                    </w:rPr>
                  </w:pPr>
                  <w:r>
                    <w:rPr>
                      <w:szCs w:val="21"/>
                    </w:rPr>
                    <w:t>排污单位排放水污染物，不得超过经核定的水污染物排放总量，并应当按照规定设置便于检查、采样的规范化排污口，悬挂标志牌；不得私设暗管或者采取其他规避监管的方式排放水污染物。</w:t>
                  </w:r>
                </w:p>
                <w:p w14:paraId="6478B22E">
                  <w:pPr>
                    <w:adjustRightInd w:val="0"/>
                    <w:snapToGrid w:val="0"/>
                    <w:ind w:firstLine="420" w:firstLineChars="200"/>
                    <w:jc w:val="left"/>
                    <w:rPr>
                      <w:szCs w:val="21"/>
                    </w:rPr>
                  </w:pPr>
                  <w:r>
                    <w:rPr>
                      <w:szCs w:val="21"/>
                    </w:rPr>
                    <w:t>禁止在太湖流域设置不符合国家产业政策和水环境综合治理要求的造纸、制革、酒精、淀粉、冶金、酿造、印染、电镀等排放水污染物的生产项目，现有的生产项目不能实现达标排放的，应当依法关闭。</w:t>
                  </w:r>
                </w:p>
                <w:p w14:paraId="05587D3C">
                  <w:pPr>
                    <w:ind w:firstLine="420" w:firstLineChars="200"/>
                    <w:rPr>
                      <w:szCs w:val="21"/>
                    </w:rPr>
                  </w:pPr>
                  <w:r>
                    <w:rPr>
                      <w:szCs w:val="21"/>
                    </w:rPr>
                    <w:t>在太湖流域新设企业应当符合国家规定的清洁生产要求，现有的企业尚未达到清洁生产要求的，应当按照清洁生产规划要求进行技术改造，两省一市人民政府应当加强监督检查。</w:t>
                  </w:r>
                </w:p>
              </w:tc>
              <w:tc>
                <w:tcPr>
                  <w:tcW w:w="713" w:type="pct"/>
                  <w:tcBorders>
                    <w:bottom w:val="single" w:color="auto" w:sz="2" w:space="0"/>
                  </w:tcBorders>
                  <w:vAlign w:val="center"/>
                </w:tcPr>
                <w:p w14:paraId="2EC91734">
                  <w:pPr>
                    <w:jc w:val="center"/>
                    <w:rPr>
                      <w:szCs w:val="21"/>
                    </w:rPr>
                  </w:pPr>
                  <w:r>
                    <w:rPr>
                      <w:szCs w:val="21"/>
                    </w:rPr>
                    <w:t>本项目属于</w:t>
                  </w:r>
                  <w:r>
                    <w:rPr>
                      <w:rFonts w:hint="eastAsia"/>
                      <w:szCs w:val="21"/>
                    </w:rPr>
                    <w:t>C2928人造草坪制造</w:t>
                  </w:r>
                  <w:r>
                    <w:rPr>
                      <w:szCs w:val="21"/>
                    </w:rPr>
                    <w:t>，不属于禁止类项目。</w:t>
                  </w:r>
                </w:p>
              </w:tc>
            </w:tr>
            <w:tr w14:paraId="3E248C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444" w:type="pct"/>
                  <w:tcBorders>
                    <w:top w:val="single" w:color="auto" w:sz="2" w:space="0"/>
                    <w:bottom w:val="single" w:color="auto" w:sz="2" w:space="0"/>
                  </w:tcBorders>
                  <w:vAlign w:val="center"/>
                </w:tcPr>
                <w:p w14:paraId="5912E651">
                  <w:pPr>
                    <w:adjustRightInd w:val="0"/>
                    <w:snapToGrid w:val="0"/>
                    <w:jc w:val="center"/>
                    <w:rPr>
                      <w:szCs w:val="21"/>
                    </w:rPr>
                  </w:pPr>
                  <w:r>
                    <w:rPr>
                      <w:szCs w:val="21"/>
                    </w:rPr>
                    <w:t>第二十九条</w:t>
                  </w:r>
                </w:p>
              </w:tc>
              <w:tc>
                <w:tcPr>
                  <w:tcW w:w="3842" w:type="pct"/>
                  <w:tcBorders>
                    <w:top w:val="single" w:color="auto" w:sz="2" w:space="0"/>
                    <w:bottom w:val="single" w:color="auto" w:sz="2" w:space="0"/>
                  </w:tcBorders>
                  <w:vAlign w:val="center"/>
                </w:tcPr>
                <w:p w14:paraId="451A96A7">
                  <w:pPr>
                    <w:ind w:firstLine="420" w:firstLineChars="200"/>
                    <w:rPr>
                      <w:szCs w:val="21"/>
                    </w:rPr>
                  </w:pPr>
                  <w:r>
                    <w:rPr>
                      <w:szCs w:val="21"/>
                    </w:rPr>
                    <w:t>新孟河、望虞河以外的其他主要入太湖河道，自河口1万米上溯至5万米河道岸线内及其岸线两侧各1000米范围内，禁止下列行为：</w:t>
                  </w:r>
                </w:p>
                <w:p w14:paraId="28126DB8">
                  <w:pPr>
                    <w:ind w:firstLine="420" w:firstLineChars="200"/>
                    <w:rPr>
                      <w:szCs w:val="21"/>
                    </w:rPr>
                  </w:pPr>
                  <w:r>
                    <w:rPr>
                      <w:szCs w:val="21"/>
                    </w:rPr>
                    <w:t>（一）新建、扩建化工、医药生产项目；</w:t>
                  </w:r>
                </w:p>
                <w:p w14:paraId="6607F8A5">
                  <w:pPr>
                    <w:ind w:firstLine="420" w:firstLineChars="200"/>
                    <w:rPr>
                      <w:szCs w:val="21"/>
                    </w:rPr>
                  </w:pPr>
                  <w:r>
                    <w:rPr>
                      <w:szCs w:val="21"/>
                    </w:rPr>
                    <w:t>（二）新建、扩建污水集中处理设施排污口以外的排污口；</w:t>
                  </w:r>
                </w:p>
                <w:p w14:paraId="5ADAB2BF">
                  <w:pPr>
                    <w:ind w:firstLine="420" w:firstLineChars="200"/>
                    <w:rPr>
                      <w:szCs w:val="21"/>
                    </w:rPr>
                  </w:pPr>
                  <w:r>
                    <w:rPr>
                      <w:szCs w:val="21"/>
                    </w:rPr>
                    <w:t>（三）扩大水产养殖规模。</w:t>
                  </w:r>
                </w:p>
              </w:tc>
              <w:tc>
                <w:tcPr>
                  <w:tcW w:w="713" w:type="pct"/>
                  <w:tcBorders>
                    <w:top w:val="single" w:color="auto" w:sz="2" w:space="0"/>
                    <w:bottom w:val="single" w:color="auto" w:sz="2" w:space="0"/>
                  </w:tcBorders>
                  <w:vAlign w:val="center"/>
                </w:tcPr>
                <w:p w14:paraId="13083D4E">
                  <w:pPr>
                    <w:jc w:val="center"/>
                    <w:rPr>
                      <w:szCs w:val="21"/>
                    </w:rPr>
                  </w:pPr>
                  <w:r>
                    <w:rPr>
                      <w:szCs w:val="21"/>
                    </w:rPr>
                    <w:t>本项目周边不涉及入太湖河道。</w:t>
                  </w:r>
                </w:p>
              </w:tc>
            </w:tr>
            <w:tr w14:paraId="0C321D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444" w:type="pct"/>
                  <w:tcBorders>
                    <w:top w:val="single" w:color="auto" w:sz="2" w:space="0"/>
                  </w:tcBorders>
                  <w:vAlign w:val="center"/>
                </w:tcPr>
                <w:p w14:paraId="1B37F95E">
                  <w:pPr>
                    <w:adjustRightInd w:val="0"/>
                    <w:snapToGrid w:val="0"/>
                    <w:jc w:val="center"/>
                    <w:rPr>
                      <w:szCs w:val="21"/>
                    </w:rPr>
                  </w:pPr>
                  <w:r>
                    <w:rPr>
                      <w:szCs w:val="21"/>
                    </w:rPr>
                    <w:t>第三十条</w:t>
                  </w:r>
                </w:p>
              </w:tc>
              <w:tc>
                <w:tcPr>
                  <w:tcW w:w="3842" w:type="pct"/>
                  <w:tcBorders>
                    <w:top w:val="single" w:color="auto" w:sz="2" w:space="0"/>
                  </w:tcBorders>
                  <w:vAlign w:val="center"/>
                </w:tcPr>
                <w:p w14:paraId="4D66424C">
                  <w:pPr>
                    <w:ind w:firstLine="420" w:firstLineChars="200"/>
                    <w:rPr>
                      <w:szCs w:val="21"/>
                    </w:rPr>
                  </w:pPr>
                  <w:r>
                    <w:rPr>
                      <w:szCs w:val="21"/>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已经设置前款第一项、第二项规定设施的，当地县级人民政府应当责令拆除或者关闭的项目。</w:t>
                  </w:r>
                </w:p>
              </w:tc>
              <w:tc>
                <w:tcPr>
                  <w:tcW w:w="713" w:type="pct"/>
                  <w:tcBorders>
                    <w:top w:val="single" w:color="auto" w:sz="2" w:space="0"/>
                  </w:tcBorders>
                  <w:vAlign w:val="center"/>
                </w:tcPr>
                <w:p w14:paraId="670A2B75">
                  <w:pPr>
                    <w:jc w:val="center"/>
                    <w:rPr>
                      <w:szCs w:val="21"/>
                    </w:rPr>
                  </w:pPr>
                  <w:r>
                    <w:rPr>
                      <w:szCs w:val="21"/>
                    </w:rPr>
                    <w:t>本项目不属于上述区域内。</w:t>
                  </w:r>
                </w:p>
              </w:tc>
            </w:tr>
          </w:tbl>
          <w:p w14:paraId="7994CEA8">
            <w:pPr>
              <w:autoSpaceDE w:val="0"/>
              <w:autoSpaceDN w:val="0"/>
              <w:adjustRightInd w:val="0"/>
              <w:snapToGrid w:val="0"/>
              <w:spacing w:line="500" w:lineRule="exact"/>
              <w:ind w:firstLine="480" w:firstLineChars="200"/>
              <w:jc w:val="left"/>
              <w:rPr>
                <w:sz w:val="24"/>
              </w:rPr>
            </w:pPr>
            <w:r>
              <w:rPr>
                <w:sz w:val="24"/>
              </w:rPr>
              <w:t>综上，本项目与《太湖流域管理条例》（国务院令第604号）的要求相符。</w:t>
            </w:r>
          </w:p>
          <w:p w14:paraId="5CC90867">
            <w:pPr>
              <w:autoSpaceDE w:val="0"/>
              <w:autoSpaceDN w:val="0"/>
              <w:adjustRightInd w:val="0"/>
              <w:snapToGrid w:val="0"/>
              <w:spacing w:line="500" w:lineRule="exact"/>
              <w:ind w:firstLine="482" w:firstLineChars="200"/>
              <w:jc w:val="left"/>
              <w:rPr>
                <w:b/>
                <w:sz w:val="24"/>
              </w:rPr>
            </w:pPr>
            <w:r>
              <w:rPr>
                <w:b/>
                <w:sz w:val="24"/>
              </w:rPr>
              <w:t>（3）与《江苏省太湖水污染防治条例》（2021年修订）相符性分析</w:t>
            </w:r>
          </w:p>
          <w:p w14:paraId="27543D8C">
            <w:pPr>
              <w:adjustRightInd w:val="0"/>
              <w:snapToGrid w:val="0"/>
              <w:spacing w:line="500" w:lineRule="exact"/>
              <w:jc w:val="center"/>
              <w:rPr>
                <w:b/>
                <w:bCs/>
                <w:szCs w:val="21"/>
              </w:rPr>
            </w:pPr>
            <w:r>
              <w:rPr>
                <w:b/>
                <w:bCs/>
                <w:szCs w:val="21"/>
              </w:rPr>
              <w:t>表1-</w:t>
            </w:r>
            <w:r>
              <w:rPr>
                <w:rFonts w:hint="eastAsia"/>
                <w:b/>
                <w:bCs/>
                <w:szCs w:val="21"/>
              </w:rPr>
              <w:t xml:space="preserve">9 </w:t>
            </w:r>
            <w:r>
              <w:rPr>
                <w:b/>
                <w:bCs/>
                <w:szCs w:val="21"/>
              </w:rPr>
              <w:t xml:space="preserve"> 《江苏省太湖水污染防治条例》分析对照表</w:t>
            </w:r>
          </w:p>
          <w:tbl>
            <w:tblPr>
              <w:tblStyle w:val="27"/>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5966"/>
              <w:gridCol w:w="1358"/>
            </w:tblGrid>
            <w:tr w14:paraId="542C0C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Align w:val="center"/>
                </w:tcPr>
                <w:p w14:paraId="65C9ED70">
                  <w:pPr>
                    <w:adjustRightInd w:val="0"/>
                    <w:snapToGrid w:val="0"/>
                    <w:jc w:val="center"/>
                    <w:rPr>
                      <w:b/>
                      <w:bCs/>
                      <w:szCs w:val="21"/>
                    </w:rPr>
                  </w:pPr>
                  <w:r>
                    <w:rPr>
                      <w:b/>
                      <w:bCs/>
                      <w:szCs w:val="21"/>
                    </w:rPr>
                    <w:t>条款</w:t>
                  </w:r>
                </w:p>
              </w:tc>
              <w:tc>
                <w:tcPr>
                  <w:tcW w:w="3703" w:type="pct"/>
                  <w:vAlign w:val="center"/>
                </w:tcPr>
                <w:p w14:paraId="0EA6C9C4">
                  <w:pPr>
                    <w:adjustRightInd w:val="0"/>
                    <w:snapToGrid w:val="0"/>
                    <w:jc w:val="center"/>
                    <w:rPr>
                      <w:b/>
                      <w:bCs/>
                      <w:szCs w:val="21"/>
                    </w:rPr>
                  </w:pPr>
                  <w:r>
                    <w:rPr>
                      <w:b/>
                      <w:bCs/>
                      <w:szCs w:val="21"/>
                    </w:rPr>
                    <w:t>内容</w:t>
                  </w:r>
                </w:p>
              </w:tc>
              <w:tc>
                <w:tcPr>
                  <w:tcW w:w="843" w:type="pct"/>
                  <w:vAlign w:val="center"/>
                </w:tcPr>
                <w:p w14:paraId="2F972325">
                  <w:pPr>
                    <w:adjustRightInd w:val="0"/>
                    <w:snapToGrid w:val="0"/>
                    <w:jc w:val="center"/>
                    <w:rPr>
                      <w:b/>
                      <w:bCs/>
                      <w:szCs w:val="21"/>
                    </w:rPr>
                  </w:pPr>
                  <w:r>
                    <w:rPr>
                      <w:b/>
                      <w:bCs/>
                      <w:szCs w:val="21"/>
                    </w:rPr>
                    <w:t>相符性分析</w:t>
                  </w:r>
                </w:p>
              </w:tc>
            </w:tr>
            <w:tr w14:paraId="737BE4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53" w:type="pct"/>
                  <w:vAlign w:val="center"/>
                </w:tcPr>
                <w:p w14:paraId="38D8E3C3">
                  <w:pPr>
                    <w:adjustRightInd w:val="0"/>
                    <w:snapToGrid w:val="0"/>
                    <w:jc w:val="center"/>
                    <w:rPr>
                      <w:szCs w:val="21"/>
                    </w:rPr>
                  </w:pPr>
                  <w:r>
                    <w:rPr>
                      <w:szCs w:val="21"/>
                    </w:rPr>
                    <w:t>第四十三条</w:t>
                  </w:r>
                </w:p>
              </w:tc>
              <w:tc>
                <w:tcPr>
                  <w:tcW w:w="3703" w:type="pct"/>
                  <w:vAlign w:val="center"/>
                </w:tcPr>
                <w:p w14:paraId="73A69105">
                  <w:pPr>
                    <w:ind w:firstLine="420" w:firstLineChars="200"/>
                    <w:rPr>
                      <w:szCs w:val="21"/>
                    </w:rPr>
                  </w:pPr>
                  <w:r>
                    <w:rPr>
                      <w:szCs w:val="21"/>
                    </w:rPr>
                    <w:t>太湖流域一、二、三级保护区禁止下列行为：</w:t>
                  </w:r>
                </w:p>
                <w:p w14:paraId="58165D35">
                  <w:pPr>
                    <w:ind w:firstLine="420" w:firstLineChars="200"/>
                    <w:rPr>
                      <w:kern w:val="0"/>
                      <w:szCs w:val="21"/>
                      <w:lang w:bidi="ar"/>
                    </w:rPr>
                  </w:pPr>
                  <w:r>
                    <w:rPr>
                      <w:szCs w:val="21"/>
                    </w:rPr>
                    <w:t>（一）</w:t>
                  </w:r>
                  <w:r>
                    <w:rPr>
                      <w:kern w:val="0"/>
                      <w:szCs w:val="21"/>
                      <w:lang w:bidi="ar"/>
                    </w:rPr>
                    <w:t>新建、改建、扩建化学制浆造纸、制革、酿造、染料、印染、电镀以及其他排放含磷、氮等污染物的企业和项目，城镇污水集中处理等环境基础设施项目和第四十六条规定的情形除外；</w:t>
                  </w:r>
                </w:p>
                <w:p w14:paraId="6D02A5C6">
                  <w:pPr>
                    <w:ind w:firstLine="420" w:firstLineChars="200"/>
                    <w:rPr>
                      <w:kern w:val="0"/>
                      <w:szCs w:val="21"/>
                      <w:lang w:bidi="ar"/>
                    </w:rPr>
                  </w:pPr>
                  <w:r>
                    <w:rPr>
                      <w:kern w:val="0"/>
                      <w:szCs w:val="21"/>
                      <w:lang w:bidi="ar"/>
                    </w:rPr>
                    <w:t>（二）销售、使用含磷洗涤用品；</w:t>
                  </w:r>
                </w:p>
                <w:p w14:paraId="199E8FDF">
                  <w:pPr>
                    <w:ind w:firstLine="420" w:firstLineChars="200"/>
                    <w:rPr>
                      <w:kern w:val="0"/>
                      <w:szCs w:val="21"/>
                      <w:lang w:bidi="ar"/>
                    </w:rPr>
                  </w:pPr>
                  <w:r>
                    <w:rPr>
                      <w:kern w:val="0"/>
                      <w:szCs w:val="21"/>
                      <w:lang w:bidi="ar"/>
                    </w:rPr>
                    <w:t>（三）向水体排放或者倾倒油类、酸液、碱液、剧毒废渣废液、含放射性废渣废液、含病原体污水、工业废渣以及其他废弃物；</w:t>
                  </w:r>
                </w:p>
                <w:p w14:paraId="73022A10">
                  <w:pPr>
                    <w:ind w:firstLine="420" w:firstLineChars="200"/>
                    <w:rPr>
                      <w:szCs w:val="21"/>
                    </w:rPr>
                  </w:pPr>
                  <w:r>
                    <w:rPr>
                      <w:kern w:val="0"/>
                      <w:szCs w:val="21"/>
                      <w:lang w:bidi="ar"/>
                    </w:rPr>
                    <w:t>（四）在水体清洗装贮过油类或者有毒有害污染物的车辆、船舶和容器等</w:t>
                  </w:r>
                  <w:r>
                    <w:rPr>
                      <w:szCs w:val="21"/>
                    </w:rPr>
                    <w:t>；</w:t>
                  </w:r>
                </w:p>
                <w:p w14:paraId="35148FAA">
                  <w:pPr>
                    <w:ind w:firstLine="420" w:firstLineChars="200"/>
                    <w:rPr>
                      <w:szCs w:val="21"/>
                    </w:rPr>
                  </w:pPr>
                  <w:r>
                    <w:rPr>
                      <w:szCs w:val="21"/>
                    </w:rPr>
                    <w:t>（五）使用农药等有毒物毒杀水生生物；</w:t>
                  </w:r>
                </w:p>
                <w:p w14:paraId="70D83D4E">
                  <w:pPr>
                    <w:ind w:firstLine="420" w:firstLineChars="200"/>
                    <w:rPr>
                      <w:szCs w:val="21"/>
                    </w:rPr>
                  </w:pPr>
                  <w:r>
                    <w:rPr>
                      <w:szCs w:val="21"/>
                    </w:rPr>
                    <w:t>（六）向水体直接排放人畜粪便、倾倒垃圾；</w:t>
                  </w:r>
                </w:p>
                <w:p w14:paraId="32B4BD4B">
                  <w:pPr>
                    <w:ind w:firstLine="420" w:firstLineChars="200"/>
                    <w:rPr>
                      <w:szCs w:val="21"/>
                    </w:rPr>
                  </w:pPr>
                  <w:r>
                    <w:rPr>
                      <w:szCs w:val="21"/>
                    </w:rPr>
                    <w:t>（七）围湖造地；</w:t>
                  </w:r>
                </w:p>
                <w:p w14:paraId="5ACEA5B6">
                  <w:pPr>
                    <w:ind w:firstLine="420" w:firstLineChars="200"/>
                    <w:rPr>
                      <w:szCs w:val="21"/>
                    </w:rPr>
                  </w:pPr>
                  <w:r>
                    <w:rPr>
                      <w:szCs w:val="21"/>
                    </w:rPr>
                    <w:t>（八）违法开山采石，或者进行破坏林木、植被、水生生物的活动；</w:t>
                  </w:r>
                </w:p>
                <w:p w14:paraId="44B80B30">
                  <w:pPr>
                    <w:adjustRightInd w:val="0"/>
                    <w:snapToGrid w:val="0"/>
                    <w:ind w:firstLine="420" w:firstLineChars="200"/>
                    <w:jc w:val="left"/>
                    <w:rPr>
                      <w:szCs w:val="21"/>
                    </w:rPr>
                  </w:pPr>
                  <w:r>
                    <w:rPr>
                      <w:szCs w:val="21"/>
                    </w:rPr>
                    <w:t>（九）法律、法规禁止的其他行为。</w:t>
                  </w:r>
                </w:p>
              </w:tc>
              <w:tc>
                <w:tcPr>
                  <w:tcW w:w="843" w:type="pct"/>
                  <w:vAlign w:val="center"/>
                </w:tcPr>
                <w:p w14:paraId="639202A2">
                  <w:pPr>
                    <w:adjustRightInd w:val="0"/>
                    <w:snapToGrid w:val="0"/>
                    <w:ind w:firstLine="420" w:firstLineChars="200"/>
                    <w:rPr>
                      <w:szCs w:val="21"/>
                    </w:rPr>
                  </w:pPr>
                  <w:r>
                    <w:rPr>
                      <w:szCs w:val="21"/>
                    </w:rPr>
                    <w:t>本项目</w:t>
                  </w:r>
                  <w:r>
                    <w:t>属于</w:t>
                  </w:r>
                  <w:r>
                    <w:rPr>
                      <w:rFonts w:hint="eastAsia"/>
                      <w:szCs w:val="21"/>
                    </w:rPr>
                    <w:t>C2928人造草坪制造</w:t>
                  </w:r>
                  <w:r>
                    <w:t>，</w:t>
                  </w:r>
                  <w:r>
                    <w:rPr>
                      <w:szCs w:val="21"/>
                    </w:rPr>
                    <w:t>位于太湖流域三级保护区内，生产过程中无含磷、氮生产废水排放，不属于禁止类。</w:t>
                  </w:r>
                </w:p>
              </w:tc>
            </w:tr>
          </w:tbl>
          <w:p w14:paraId="72FFD8C5">
            <w:pPr>
              <w:autoSpaceDE w:val="0"/>
              <w:autoSpaceDN w:val="0"/>
              <w:adjustRightInd w:val="0"/>
              <w:snapToGrid w:val="0"/>
              <w:spacing w:line="500" w:lineRule="exact"/>
              <w:jc w:val="left"/>
              <w:rPr>
                <w:b/>
                <w:bCs/>
                <w:sz w:val="24"/>
              </w:rPr>
            </w:pPr>
            <w:r>
              <w:rPr>
                <w:rFonts w:hint="eastAsia"/>
                <w:b/>
                <w:sz w:val="24"/>
              </w:rPr>
              <w:t>5</w:t>
            </w:r>
            <w:r>
              <w:rPr>
                <w:b/>
                <w:sz w:val="24"/>
              </w:rPr>
              <w:t>、</w:t>
            </w:r>
            <w:r>
              <w:rPr>
                <w:b/>
                <w:bCs/>
                <w:sz w:val="24"/>
              </w:rPr>
              <w:t>与其他环境保护管理要求的相符性分析</w:t>
            </w:r>
          </w:p>
          <w:p w14:paraId="5C2BF261">
            <w:pPr>
              <w:widowControl/>
              <w:adjustRightInd w:val="0"/>
              <w:spacing w:line="500" w:lineRule="exact"/>
              <w:ind w:firstLine="482" w:firstLineChars="200"/>
              <w:rPr>
                <w:b/>
                <w:sz w:val="24"/>
              </w:rPr>
            </w:pPr>
            <w:r>
              <w:rPr>
                <w:b/>
                <w:sz w:val="24"/>
              </w:rPr>
              <w:t>（1）与《江苏省大气污染防治条例》（2018年修正）相符性分析</w:t>
            </w:r>
          </w:p>
          <w:p w14:paraId="1CFE53F9">
            <w:pPr>
              <w:adjustRightInd w:val="0"/>
              <w:snapToGrid w:val="0"/>
              <w:spacing w:line="500" w:lineRule="exact"/>
              <w:jc w:val="center"/>
              <w:rPr>
                <w:b/>
                <w:bCs/>
                <w:szCs w:val="21"/>
              </w:rPr>
            </w:pPr>
            <w:r>
              <w:rPr>
                <w:b/>
                <w:bCs/>
                <w:szCs w:val="21"/>
              </w:rPr>
              <w:t>表1-</w:t>
            </w:r>
            <w:r>
              <w:rPr>
                <w:rFonts w:hint="eastAsia"/>
                <w:b/>
                <w:bCs/>
                <w:szCs w:val="21"/>
              </w:rPr>
              <w:t>10</w:t>
            </w:r>
            <w:r>
              <w:rPr>
                <w:b/>
                <w:bCs/>
                <w:szCs w:val="21"/>
              </w:rPr>
              <w:t xml:space="preserve"> 与《江苏省大气污染防治条例》（2018年修正）相符性分析</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18"/>
              <w:gridCol w:w="3135"/>
            </w:tblGrid>
            <w:tr w14:paraId="3A452F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vAlign w:val="center"/>
                </w:tcPr>
                <w:p w14:paraId="63E83E0A">
                  <w:pPr>
                    <w:jc w:val="center"/>
                    <w:rPr>
                      <w:b/>
                      <w:szCs w:val="21"/>
                    </w:rPr>
                  </w:pPr>
                  <w:r>
                    <w:rPr>
                      <w:b/>
                      <w:szCs w:val="21"/>
                    </w:rPr>
                    <w:t>要求</w:t>
                  </w:r>
                </w:p>
              </w:tc>
              <w:tc>
                <w:tcPr>
                  <w:tcW w:w="1946" w:type="pct"/>
                  <w:vAlign w:val="center"/>
                </w:tcPr>
                <w:p w14:paraId="5FA0E384">
                  <w:pPr>
                    <w:jc w:val="center"/>
                    <w:rPr>
                      <w:b/>
                      <w:szCs w:val="21"/>
                    </w:rPr>
                  </w:pPr>
                  <w:r>
                    <w:rPr>
                      <w:b/>
                      <w:szCs w:val="21"/>
                    </w:rPr>
                    <w:t>相符性分析</w:t>
                  </w:r>
                </w:p>
              </w:tc>
            </w:tr>
            <w:tr w14:paraId="5621DD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vAlign w:val="center"/>
                </w:tcPr>
                <w:p w14:paraId="0B41ADFA">
                  <w:pPr>
                    <w:autoSpaceDE w:val="0"/>
                    <w:autoSpaceDN w:val="0"/>
                    <w:snapToGrid w:val="0"/>
                    <w:ind w:firstLine="420" w:firstLineChars="200"/>
                    <w:rPr>
                      <w:kern w:val="0"/>
                      <w:szCs w:val="21"/>
                    </w:rPr>
                  </w:pPr>
                  <w:r>
                    <w:rPr>
                      <w:kern w:val="0"/>
                      <w:szCs w:val="21"/>
                    </w:rPr>
                    <w:t>第三十九条  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1946" w:type="pct"/>
                  <w:vAlign w:val="center"/>
                </w:tcPr>
                <w:p w14:paraId="71BC0BE9">
                  <w:pPr>
                    <w:autoSpaceDE w:val="0"/>
                    <w:autoSpaceDN w:val="0"/>
                    <w:snapToGrid w:val="0"/>
                    <w:ind w:firstLine="420" w:firstLineChars="200"/>
                    <w:rPr>
                      <w:kern w:val="0"/>
                      <w:szCs w:val="21"/>
                    </w:rPr>
                  </w:pPr>
                  <w:r>
                    <w:rPr>
                      <w:kern w:val="0"/>
                      <w:szCs w:val="21"/>
                    </w:rPr>
                    <w:t>本项目</w:t>
                  </w:r>
                  <w:r>
                    <w:rPr>
                      <w:rFonts w:hint="eastAsia"/>
                      <w:kern w:val="0"/>
                      <w:szCs w:val="21"/>
                    </w:rPr>
                    <w:t>调配废气经TA001布袋除尘器处理后，与背胶、烘干、天然气燃烧和危废废气一起经TA002除水器+二级活性炭吸附装置处理通过一根15m高DA001排气筒排放。</w:t>
                  </w:r>
                  <w:r>
                    <w:rPr>
                      <w:kern w:val="0"/>
                      <w:szCs w:val="21"/>
                    </w:rPr>
                    <w:t>可有效减少挥发性</w:t>
                  </w:r>
                  <w:r>
                    <w:rPr>
                      <w:szCs w:val="21"/>
                    </w:rPr>
                    <w:t>有机物</w:t>
                  </w:r>
                  <w:r>
                    <w:rPr>
                      <w:kern w:val="0"/>
                      <w:szCs w:val="21"/>
                    </w:rPr>
                    <w:t>排放量。</w:t>
                  </w:r>
                </w:p>
              </w:tc>
            </w:tr>
          </w:tbl>
          <w:p w14:paraId="6C37D10B">
            <w:pPr>
              <w:spacing w:line="500" w:lineRule="exact"/>
              <w:ind w:firstLine="480" w:firstLineChars="200"/>
              <w:rPr>
                <w:sz w:val="24"/>
              </w:rPr>
            </w:pPr>
            <w:r>
              <w:rPr>
                <w:sz w:val="24"/>
              </w:rPr>
              <w:t>综上，本项目建设与《江苏省大气污染防治条例》（2018年修正）相符。</w:t>
            </w:r>
          </w:p>
          <w:p w14:paraId="345B9346">
            <w:pPr>
              <w:widowControl/>
              <w:adjustRightInd w:val="0"/>
              <w:spacing w:line="500" w:lineRule="exact"/>
              <w:ind w:firstLine="482" w:firstLineChars="200"/>
              <w:rPr>
                <w:b/>
                <w:sz w:val="24"/>
              </w:rPr>
            </w:pPr>
            <w:r>
              <w:rPr>
                <w:b/>
                <w:sz w:val="24"/>
              </w:rPr>
              <w:t>（2）与《江苏省挥发性有机物污染物防治管理办法》（省政府令第119号）相符性分析</w:t>
            </w:r>
          </w:p>
          <w:p w14:paraId="382DBD12">
            <w:pPr>
              <w:adjustRightInd w:val="0"/>
              <w:snapToGrid w:val="0"/>
              <w:spacing w:line="500" w:lineRule="exact"/>
              <w:jc w:val="center"/>
              <w:rPr>
                <w:b/>
                <w:bCs/>
                <w:szCs w:val="21"/>
              </w:rPr>
            </w:pPr>
            <w:r>
              <w:rPr>
                <w:b/>
                <w:bCs/>
                <w:szCs w:val="21"/>
              </w:rPr>
              <w:t>表1</w:t>
            </w:r>
            <w:r>
              <w:rPr>
                <w:rFonts w:hint="eastAsia"/>
                <w:b/>
                <w:bCs/>
                <w:szCs w:val="21"/>
              </w:rPr>
              <w:t xml:space="preserve">-11 </w:t>
            </w:r>
            <w:r>
              <w:rPr>
                <w:b/>
                <w:bCs/>
                <w:szCs w:val="21"/>
              </w:rPr>
              <w:t xml:space="preserve"> 与省政府令第119号的相符性分析</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53"/>
              <w:gridCol w:w="2600"/>
            </w:tblGrid>
            <w:tr w14:paraId="05D1D7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5" w:type="pct"/>
                  <w:vAlign w:val="center"/>
                </w:tcPr>
                <w:p w14:paraId="4DBB30CF">
                  <w:pPr>
                    <w:jc w:val="center"/>
                    <w:rPr>
                      <w:b/>
                    </w:rPr>
                  </w:pPr>
                  <w:r>
                    <w:rPr>
                      <w:b/>
                    </w:rPr>
                    <w:t>要求</w:t>
                  </w:r>
                </w:p>
              </w:tc>
              <w:tc>
                <w:tcPr>
                  <w:tcW w:w="1614" w:type="pct"/>
                  <w:vAlign w:val="center"/>
                </w:tcPr>
                <w:p w14:paraId="214C43CD">
                  <w:pPr>
                    <w:jc w:val="center"/>
                    <w:rPr>
                      <w:b/>
                    </w:rPr>
                  </w:pPr>
                  <w:r>
                    <w:rPr>
                      <w:b/>
                    </w:rPr>
                    <w:t>相符性分析</w:t>
                  </w:r>
                </w:p>
              </w:tc>
            </w:tr>
            <w:tr w14:paraId="568849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3385" w:type="pct"/>
                  <w:tcBorders>
                    <w:bottom w:val="single" w:color="auto" w:sz="2" w:space="0"/>
                  </w:tcBorders>
                  <w:vAlign w:val="center"/>
                </w:tcPr>
                <w:p w14:paraId="5E4CF220">
                  <w:pPr>
                    <w:ind w:firstLine="420" w:firstLineChars="200"/>
                  </w:pPr>
                  <w:r>
                    <w:t>根据《江苏省挥发性有机物污染物防治管理办法》：</w:t>
                  </w:r>
                </w:p>
                <w:p w14:paraId="48F19861">
                  <w:pPr>
                    <w:ind w:firstLine="420" w:firstLineChars="200"/>
                  </w:pPr>
                  <w:r>
                    <w:t>第十三条：新建、改建、扩建排放挥发性有机物的建设项目，应当依法进行环境影响评价。新增挥发性有机物排放总量指标的不足部分，可以依照有关规定通过排污权交易取得。</w:t>
                  </w:r>
                </w:p>
                <w:p w14:paraId="776FAA82">
                  <w:pPr>
                    <w:ind w:firstLine="420" w:firstLineChars="200"/>
                  </w:pPr>
                  <w:r>
                    <w:t>建设项目的环境影响评价文件未经审查或者审查后未予批准的，建设单位不得开工建设。</w:t>
                  </w:r>
                </w:p>
              </w:tc>
              <w:tc>
                <w:tcPr>
                  <w:tcW w:w="1614" w:type="pct"/>
                  <w:tcBorders>
                    <w:bottom w:val="single" w:color="auto" w:sz="2" w:space="0"/>
                  </w:tcBorders>
                  <w:vAlign w:val="center"/>
                </w:tcPr>
                <w:p w14:paraId="11ED454D">
                  <w:pPr>
                    <w:ind w:firstLine="420" w:firstLineChars="200"/>
                  </w:pPr>
                  <w:r>
                    <w:t>本项目建设性质为</w:t>
                  </w:r>
                  <w:r>
                    <w:rPr>
                      <w:rFonts w:hint="eastAsia"/>
                    </w:rPr>
                    <w:t>新建</w:t>
                  </w:r>
                  <w:r>
                    <w:t>，正在进行环境影响评价</w:t>
                  </w:r>
                  <w:r>
                    <w:rPr>
                      <w:rFonts w:hint="eastAsia"/>
                    </w:rPr>
                    <w:t>工作</w:t>
                  </w:r>
                  <w:r>
                    <w:t>，在环评审批前将严格落实主要污染物排放总量指标控制制度，取得主要污染物排放总量的控制指标和平衡方案，故符合文件要求。</w:t>
                  </w:r>
                </w:p>
              </w:tc>
            </w:tr>
            <w:tr w14:paraId="0FD00D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3385" w:type="pct"/>
                  <w:tcBorders>
                    <w:top w:val="single" w:color="auto" w:sz="2" w:space="0"/>
                  </w:tcBorders>
                  <w:vAlign w:val="center"/>
                </w:tcPr>
                <w:p w14:paraId="45676CC3">
                  <w:pPr>
                    <w:ind w:firstLine="420" w:firstLineChars="200"/>
                  </w:pPr>
                  <w:r>
                    <w:t>第二十一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2BC4440A">
                  <w:pPr>
                    <w:ind w:firstLine="420" w:firstLineChars="200"/>
                  </w:pPr>
                  <w:r>
                    <w:t>无法在密闭空间进行的生产经营活动应当采取有效措施，减少挥发性有机物排放量。</w:t>
                  </w:r>
                </w:p>
              </w:tc>
              <w:tc>
                <w:tcPr>
                  <w:tcW w:w="1614" w:type="pct"/>
                  <w:tcBorders>
                    <w:top w:val="single" w:color="auto" w:sz="2" w:space="0"/>
                  </w:tcBorders>
                  <w:vAlign w:val="center"/>
                </w:tcPr>
                <w:p w14:paraId="23730D40">
                  <w:pPr>
                    <w:ind w:firstLine="420" w:firstLineChars="200"/>
                  </w:pPr>
                  <w:r>
                    <w:t>本项目</w:t>
                  </w:r>
                  <w:r>
                    <w:rPr>
                      <w:rFonts w:hint="eastAsia"/>
                    </w:rPr>
                    <w:t>调配废气经TA001布袋除尘器处理后，与背胶、烘干、天然气燃烧和危废废气一起经TA002除水器+二级活性炭吸附装置处理后通过一根15m高DA001排气筒排放。</w:t>
                  </w:r>
                  <w:r>
                    <w:t>符合相关要求。</w:t>
                  </w:r>
                </w:p>
              </w:tc>
            </w:tr>
          </w:tbl>
          <w:p w14:paraId="3B903835">
            <w:pPr>
              <w:spacing w:line="500" w:lineRule="exact"/>
              <w:ind w:firstLine="480" w:firstLineChars="200"/>
              <w:rPr>
                <w:b/>
                <w:sz w:val="24"/>
              </w:rPr>
            </w:pPr>
            <w:r>
              <w:rPr>
                <w:sz w:val="24"/>
              </w:rPr>
              <w:t>综上，本项目与</w:t>
            </w:r>
            <w:r>
              <w:rPr>
                <w:bCs/>
                <w:sz w:val="24"/>
              </w:rPr>
              <w:t>《江苏省挥发性有机物污染物防治管理办法》（省政府令第119号）</w:t>
            </w:r>
            <w:r>
              <w:rPr>
                <w:sz w:val="24"/>
              </w:rPr>
              <w:t>的要求相符。</w:t>
            </w:r>
          </w:p>
          <w:p w14:paraId="26C9165B">
            <w:pPr>
              <w:widowControl/>
              <w:adjustRightInd w:val="0"/>
              <w:spacing w:line="500" w:lineRule="exact"/>
              <w:ind w:firstLine="482" w:firstLineChars="200"/>
              <w:rPr>
                <w:b/>
                <w:bCs/>
                <w:szCs w:val="21"/>
              </w:rPr>
            </w:pPr>
            <w:r>
              <w:rPr>
                <w:b/>
                <w:bCs/>
                <w:sz w:val="24"/>
              </w:rPr>
              <w:t>（3）与《江苏省重点行业挥发性有机物污染控制指南》（苏环办〔2014〕128号）的相符性分析</w:t>
            </w:r>
          </w:p>
          <w:p w14:paraId="0B6B7761">
            <w:pPr>
              <w:adjustRightInd w:val="0"/>
              <w:snapToGrid w:val="0"/>
              <w:spacing w:line="500" w:lineRule="exact"/>
              <w:jc w:val="center"/>
              <w:rPr>
                <w:b/>
                <w:bCs/>
                <w:szCs w:val="21"/>
              </w:rPr>
            </w:pPr>
            <w:r>
              <w:rPr>
                <w:b/>
                <w:bCs/>
                <w:szCs w:val="21"/>
              </w:rPr>
              <w:t>表1-</w:t>
            </w:r>
            <w:r>
              <w:rPr>
                <w:rFonts w:hint="eastAsia"/>
                <w:b/>
                <w:bCs/>
                <w:szCs w:val="21"/>
              </w:rPr>
              <w:t xml:space="preserve">12 </w:t>
            </w:r>
            <w:r>
              <w:rPr>
                <w:b/>
                <w:bCs/>
                <w:szCs w:val="21"/>
              </w:rPr>
              <w:t xml:space="preserve"> 与苏环办[2014]128号的相符性分析</w:t>
            </w:r>
          </w:p>
          <w:tbl>
            <w:tblPr>
              <w:tblStyle w:val="27"/>
              <w:tblW w:w="7954" w:type="dxa"/>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5"/>
              <w:gridCol w:w="3359"/>
            </w:tblGrid>
            <w:tr w14:paraId="7FD9988F">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595" w:type="dxa"/>
                  <w:vAlign w:val="center"/>
                </w:tcPr>
                <w:p w14:paraId="34CF814E">
                  <w:pPr>
                    <w:autoSpaceDE w:val="0"/>
                    <w:autoSpaceDN w:val="0"/>
                    <w:snapToGrid w:val="0"/>
                    <w:jc w:val="center"/>
                    <w:rPr>
                      <w:b/>
                      <w:bCs/>
                      <w:szCs w:val="21"/>
                    </w:rPr>
                  </w:pPr>
                  <w:r>
                    <w:rPr>
                      <w:b/>
                      <w:bCs/>
                      <w:szCs w:val="21"/>
                    </w:rPr>
                    <w:t>总体要求</w:t>
                  </w:r>
                </w:p>
              </w:tc>
              <w:tc>
                <w:tcPr>
                  <w:tcW w:w="3359" w:type="dxa"/>
                  <w:tcBorders>
                    <w:right w:val="nil"/>
                  </w:tcBorders>
                  <w:vAlign w:val="center"/>
                </w:tcPr>
                <w:p w14:paraId="17A0689A">
                  <w:pPr>
                    <w:autoSpaceDE w:val="0"/>
                    <w:autoSpaceDN w:val="0"/>
                    <w:snapToGrid w:val="0"/>
                    <w:jc w:val="center"/>
                    <w:rPr>
                      <w:b/>
                      <w:bCs/>
                      <w:szCs w:val="21"/>
                    </w:rPr>
                  </w:pPr>
                  <w:r>
                    <w:rPr>
                      <w:b/>
                      <w:bCs/>
                      <w:szCs w:val="21"/>
                    </w:rPr>
                    <w:t>相符性分析</w:t>
                  </w:r>
                </w:p>
              </w:tc>
            </w:tr>
            <w:tr w14:paraId="25DBA173">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595" w:type="dxa"/>
                  <w:vAlign w:val="center"/>
                </w:tcPr>
                <w:p w14:paraId="59BEA421">
                  <w:pPr>
                    <w:autoSpaceDE w:val="0"/>
                    <w:autoSpaceDN w:val="0"/>
                    <w:snapToGrid w:val="0"/>
                    <w:ind w:firstLine="420" w:firstLineChars="200"/>
                    <w:rPr>
                      <w:szCs w:val="21"/>
                    </w:rPr>
                  </w:pPr>
                  <w:r>
                    <w:rPr>
                      <w:szCs w:val="21"/>
                    </w:rPr>
                    <w:t>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p>
              </w:tc>
              <w:tc>
                <w:tcPr>
                  <w:tcW w:w="3359" w:type="dxa"/>
                  <w:tcBorders>
                    <w:right w:val="nil"/>
                  </w:tcBorders>
                  <w:vAlign w:val="center"/>
                </w:tcPr>
                <w:p w14:paraId="01AB5B56">
                  <w:pPr>
                    <w:autoSpaceDE w:val="0"/>
                    <w:autoSpaceDN w:val="0"/>
                    <w:snapToGrid w:val="0"/>
                    <w:ind w:firstLine="420" w:firstLineChars="200"/>
                    <w:rPr>
                      <w:szCs w:val="21"/>
                    </w:rPr>
                  </w:pPr>
                  <w:r>
                    <w:rPr>
                      <w:szCs w:val="21"/>
                    </w:rPr>
                    <w:t>本项目属于</w:t>
                  </w:r>
                  <w:r>
                    <w:rPr>
                      <w:rFonts w:hint="eastAsia"/>
                      <w:szCs w:val="21"/>
                    </w:rPr>
                    <w:t>C2928人造草坪制造</w:t>
                  </w:r>
                  <w:r>
                    <w:rPr>
                      <w:szCs w:val="21"/>
                    </w:rPr>
                    <w:t>，本项目</w:t>
                  </w:r>
                  <w:r>
                    <w:rPr>
                      <w:rFonts w:hint="eastAsia"/>
                      <w:szCs w:val="21"/>
                    </w:rPr>
                    <w:t>调配废气经TA001布袋除尘器处理后，与背胶、烘干、天然气燃烧和危废废气一起经TA002除水器+二级活性炭吸附装置处理后通过一根15m高DA001排气筒排放。</w:t>
                  </w:r>
                  <w:r>
                    <w:rPr>
                      <w:szCs w:val="21"/>
                    </w:rPr>
                    <w:t>废气收集为90%，处理效率为</w:t>
                  </w:r>
                  <w:r>
                    <w:rPr>
                      <w:rFonts w:hint="eastAsia"/>
                      <w:szCs w:val="21"/>
                    </w:rPr>
                    <w:t>9</w:t>
                  </w:r>
                  <w:r>
                    <w:rPr>
                      <w:szCs w:val="21"/>
                    </w:rPr>
                    <w:t>0%，符合相关要求。</w:t>
                  </w:r>
                </w:p>
              </w:tc>
            </w:tr>
          </w:tbl>
          <w:p w14:paraId="75CD7CE3">
            <w:pPr>
              <w:spacing w:line="500" w:lineRule="exact"/>
              <w:ind w:firstLine="480" w:firstLineChars="200"/>
              <w:rPr>
                <w:sz w:val="24"/>
              </w:rPr>
            </w:pPr>
            <w:r>
              <w:rPr>
                <w:sz w:val="24"/>
              </w:rPr>
              <w:t>综上，本项目建设与《江苏省重点行业挥发性有机物污染控制指南》（苏环办〔2014〕128号）相符。</w:t>
            </w:r>
          </w:p>
          <w:p w14:paraId="434D6991">
            <w:pPr>
              <w:spacing w:line="500" w:lineRule="exact"/>
              <w:ind w:firstLine="482" w:firstLineChars="200"/>
              <w:rPr>
                <w:b/>
                <w:bCs/>
                <w:sz w:val="24"/>
              </w:rPr>
            </w:pPr>
            <w:r>
              <w:rPr>
                <w:b/>
                <w:bCs/>
                <w:sz w:val="24"/>
              </w:rPr>
              <w:t>（4）与《挥发性有机物无组织排放控制标准》（GB37822-2019）相符性分析</w:t>
            </w:r>
          </w:p>
          <w:p w14:paraId="0BD7A9EF">
            <w:pPr>
              <w:adjustRightInd w:val="0"/>
              <w:snapToGrid w:val="0"/>
              <w:jc w:val="center"/>
              <w:rPr>
                <w:b/>
                <w:bCs/>
                <w:szCs w:val="21"/>
              </w:rPr>
            </w:pPr>
            <w:r>
              <w:rPr>
                <w:b/>
                <w:bCs/>
                <w:szCs w:val="21"/>
              </w:rPr>
              <w:t>表1-</w:t>
            </w:r>
            <w:r>
              <w:rPr>
                <w:rFonts w:hint="eastAsia"/>
                <w:b/>
                <w:bCs/>
                <w:szCs w:val="21"/>
              </w:rPr>
              <w:t>1</w:t>
            </w:r>
            <w:r>
              <w:rPr>
                <w:rFonts w:hint="eastAsia"/>
                <w:b/>
                <w:bCs/>
                <w:szCs w:val="21"/>
                <w:lang w:val="en-US" w:eastAsia="zh-CN"/>
              </w:rPr>
              <w:t>3</w:t>
            </w:r>
            <w:r>
              <w:rPr>
                <w:rFonts w:hint="eastAsia"/>
                <w:b/>
                <w:bCs/>
                <w:szCs w:val="21"/>
              </w:rPr>
              <w:t xml:space="preserve"> </w:t>
            </w:r>
            <w:r>
              <w:rPr>
                <w:b/>
                <w:bCs/>
                <w:szCs w:val="21"/>
              </w:rPr>
              <w:t xml:space="preserve"> 与《挥发性有机物无组织排放控制标准》相符性分析</w:t>
            </w:r>
          </w:p>
          <w:tbl>
            <w:tblPr>
              <w:tblStyle w:val="28"/>
              <w:tblW w:w="496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48"/>
              <w:gridCol w:w="2544"/>
            </w:tblGrid>
            <w:tr w14:paraId="041DD1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pct"/>
                  <w:vAlign w:val="center"/>
                </w:tcPr>
                <w:p w14:paraId="6B9EE986">
                  <w:pPr>
                    <w:jc w:val="center"/>
                    <w:rPr>
                      <w:b/>
                    </w:rPr>
                  </w:pPr>
                  <w:r>
                    <w:rPr>
                      <w:b/>
                    </w:rPr>
                    <w:t>要求</w:t>
                  </w:r>
                </w:p>
              </w:tc>
              <w:tc>
                <w:tcPr>
                  <w:tcW w:w="1591" w:type="pct"/>
                  <w:vAlign w:val="center"/>
                </w:tcPr>
                <w:p w14:paraId="4A71A042">
                  <w:pPr>
                    <w:jc w:val="center"/>
                    <w:rPr>
                      <w:b/>
                    </w:rPr>
                  </w:pPr>
                  <w:r>
                    <w:rPr>
                      <w:b/>
                    </w:rPr>
                    <w:t>相符性分析</w:t>
                  </w:r>
                </w:p>
              </w:tc>
            </w:tr>
            <w:tr w14:paraId="2EA396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pct"/>
                  <w:vAlign w:val="center"/>
                </w:tcPr>
                <w:p w14:paraId="06EAC296">
                  <w:pPr>
                    <w:ind w:firstLine="420" w:firstLineChars="200"/>
                  </w:pPr>
                  <w:r>
                    <w:rPr>
                      <w:szCs w:val="21"/>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tc>
              <w:tc>
                <w:tcPr>
                  <w:tcW w:w="1591" w:type="pct"/>
                  <w:vAlign w:val="center"/>
                </w:tcPr>
                <w:p w14:paraId="7737B18E">
                  <w:pPr>
                    <w:ind w:firstLine="420" w:firstLineChars="200"/>
                  </w:pPr>
                  <w:r>
                    <w:rPr>
                      <w:szCs w:val="21"/>
                    </w:rPr>
                    <w:t>本项目VOCs物料储存于密闭的桶中，存放于室内，非取用状态时密闭。</w:t>
                  </w:r>
                </w:p>
              </w:tc>
            </w:tr>
            <w:tr w14:paraId="4151BB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pct"/>
                  <w:vAlign w:val="center"/>
                </w:tcPr>
                <w:p w14:paraId="54C678BF">
                  <w:pPr>
                    <w:ind w:firstLine="420" w:firstLineChars="200"/>
                    <w:rPr>
                      <w:szCs w:val="21"/>
                    </w:rPr>
                  </w:pPr>
                  <w:r>
                    <w:rPr>
                      <w:szCs w:val="21"/>
                    </w:rPr>
                    <w:t>VOCs占比大于等于10%的含VOCs产品，其使用过程应采用密闭设备或在密闭空间内操作，废气应排放至VOCs废气收集处理系统；无法密闭的，应采取局部气体收集措施，废气应排放至VOCs废气收集处理系统</w:t>
                  </w:r>
                </w:p>
              </w:tc>
              <w:tc>
                <w:tcPr>
                  <w:tcW w:w="1591" w:type="pct"/>
                  <w:vMerge w:val="restart"/>
                  <w:vAlign w:val="center"/>
                </w:tcPr>
                <w:p w14:paraId="5D131D23">
                  <w:pPr>
                    <w:ind w:firstLine="420" w:firstLineChars="200"/>
                  </w:pPr>
                  <w:r>
                    <w:rPr>
                      <w:szCs w:val="21"/>
                    </w:rPr>
                    <w:t>本项目</w:t>
                  </w:r>
                  <w:r>
                    <w:rPr>
                      <w:rFonts w:hint="eastAsia"/>
                      <w:szCs w:val="21"/>
                    </w:rPr>
                    <w:t>调配废气经TA001布袋除尘器处理后，与背胶、烘干、天然气燃烧和危废废气一起经TA002除水器+二级活性炭吸附装置处理后通过一根15m高DA001排气筒排放。</w:t>
                  </w:r>
                  <w:r>
                    <w:rPr>
                      <w:szCs w:val="21"/>
                    </w:rPr>
                    <w:t>废气收集为90%，处理效率为</w:t>
                  </w:r>
                  <w:r>
                    <w:rPr>
                      <w:rFonts w:hint="eastAsia"/>
                      <w:szCs w:val="21"/>
                    </w:rPr>
                    <w:t>9</w:t>
                  </w:r>
                  <w:r>
                    <w:rPr>
                      <w:szCs w:val="21"/>
                    </w:rPr>
                    <w:t>0%，符合相关要求。</w:t>
                  </w:r>
                </w:p>
              </w:tc>
            </w:tr>
            <w:tr w14:paraId="1AF978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8" w:type="pct"/>
                  <w:vAlign w:val="center"/>
                </w:tcPr>
                <w:p w14:paraId="7786AA06">
                  <w:pPr>
                    <w:ind w:firstLine="420" w:firstLineChars="200"/>
                    <w:rPr>
                      <w:szCs w:val="21"/>
                    </w:rPr>
                  </w:pPr>
                  <w:r>
                    <w:rPr>
                      <w:szCs w:val="21"/>
                    </w:rPr>
                    <w:t>VOCs废气收集处理系统应与生产工艺设备同步运行；VOCs废气收集处理系统污染物排放应符合GB16297或相关行业排放标准的规定；对于重点地区，收集的废气中NMHC初始排放速率≥2kg/h时，应配置VOCs处理设施，处理效率不应低于80%</w:t>
                  </w:r>
                </w:p>
              </w:tc>
              <w:tc>
                <w:tcPr>
                  <w:tcW w:w="1591" w:type="pct"/>
                  <w:vMerge w:val="continue"/>
                  <w:vAlign w:val="center"/>
                </w:tcPr>
                <w:p w14:paraId="0435B1FA">
                  <w:pPr>
                    <w:ind w:firstLine="420" w:firstLineChars="200"/>
                  </w:pPr>
                </w:p>
              </w:tc>
            </w:tr>
          </w:tbl>
          <w:p w14:paraId="6F9BEDB1">
            <w:pPr>
              <w:spacing w:line="500" w:lineRule="exact"/>
              <w:ind w:firstLine="480" w:firstLineChars="200"/>
              <w:rPr>
                <w:sz w:val="24"/>
              </w:rPr>
            </w:pPr>
            <w:r>
              <w:rPr>
                <w:sz w:val="24"/>
              </w:rPr>
              <w:t>综上，本项目建设与《挥发性有机物无组织排放控制标准》（GB37822-2019）相符。</w:t>
            </w:r>
          </w:p>
          <w:p w14:paraId="355E83EE">
            <w:pPr>
              <w:autoSpaceDE w:val="0"/>
              <w:autoSpaceDN w:val="0"/>
              <w:adjustRightInd w:val="0"/>
              <w:snapToGrid w:val="0"/>
              <w:spacing w:line="500" w:lineRule="exact"/>
              <w:ind w:firstLine="482" w:firstLineChars="200"/>
              <w:rPr>
                <w:b/>
                <w:bCs/>
                <w:sz w:val="24"/>
              </w:rPr>
            </w:pPr>
            <w:r>
              <w:rPr>
                <w:rFonts w:hint="eastAsia"/>
                <w:b/>
                <w:bCs/>
                <w:sz w:val="24"/>
              </w:rPr>
              <w:t>（</w:t>
            </w:r>
            <w:r>
              <w:rPr>
                <w:rFonts w:hint="eastAsia"/>
                <w:b/>
                <w:bCs/>
                <w:sz w:val="24"/>
                <w:lang w:val="en-US" w:eastAsia="zh-CN"/>
              </w:rPr>
              <w:t>5</w:t>
            </w:r>
            <w:r>
              <w:rPr>
                <w:b/>
                <w:bCs/>
                <w:sz w:val="24"/>
              </w:rPr>
              <w:t>）与《市生态环境局关于建设项目的审批指导意见（试行）》（常州市生态环境局，2021年</w:t>
            </w:r>
            <w:r>
              <w:rPr>
                <w:rFonts w:hint="eastAsia"/>
                <w:b/>
                <w:bCs/>
                <w:sz w:val="24"/>
              </w:rPr>
              <w:t>11</w:t>
            </w:r>
            <w:r>
              <w:rPr>
                <w:b/>
                <w:bCs/>
                <w:sz w:val="24"/>
              </w:rPr>
              <w:t>月</w:t>
            </w:r>
            <w:r>
              <w:rPr>
                <w:rFonts w:hint="eastAsia"/>
                <w:b/>
                <w:bCs/>
                <w:sz w:val="24"/>
              </w:rPr>
              <w:t>10</w:t>
            </w:r>
            <w:r>
              <w:rPr>
                <w:b/>
                <w:bCs/>
                <w:sz w:val="24"/>
              </w:rPr>
              <w:t>日</w:t>
            </w:r>
            <w:r>
              <w:rPr>
                <w:rFonts w:hint="eastAsia"/>
                <w:b/>
                <w:bCs/>
                <w:sz w:val="24"/>
              </w:rPr>
              <w:t>调整</w:t>
            </w:r>
            <w:r>
              <w:rPr>
                <w:b/>
                <w:bCs/>
                <w:sz w:val="24"/>
              </w:rPr>
              <w:t>）的对照分析</w:t>
            </w:r>
          </w:p>
          <w:p w14:paraId="05F80EB7">
            <w:pPr>
              <w:autoSpaceDE w:val="0"/>
              <w:autoSpaceDN w:val="0"/>
              <w:adjustRightInd w:val="0"/>
              <w:snapToGrid w:val="0"/>
              <w:spacing w:line="500" w:lineRule="exact"/>
              <w:ind w:firstLine="480" w:firstLineChars="200"/>
              <w:rPr>
                <w:sz w:val="24"/>
              </w:rPr>
            </w:pPr>
            <w:r>
              <w:rPr>
                <w:bCs/>
                <w:sz w:val="24"/>
              </w:rPr>
              <w:t>本项目位于</w:t>
            </w:r>
            <w:r>
              <w:rPr>
                <w:rFonts w:hint="eastAsia"/>
                <w:sz w:val="24"/>
              </w:rPr>
              <w:t>常州市金坛区朱林镇永顺路2号</w:t>
            </w:r>
            <w:r>
              <w:rPr>
                <w:bCs/>
                <w:sz w:val="24"/>
              </w:rPr>
              <w:t>，</w:t>
            </w:r>
            <w:r>
              <w:rPr>
                <w:rFonts w:hint="eastAsia"/>
                <w:bCs/>
                <w:sz w:val="24"/>
              </w:rPr>
              <w:t>不</w:t>
            </w:r>
            <w:r>
              <w:rPr>
                <w:sz w:val="24"/>
              </w:rPr>
              <w:t>属于大气质量国控站点周边3公里范围，</w:t>
            </w:r>
            <w:r>
              <w:rPr>
                <w:rFonts w:hint="eastAsia"/>
                <w:sz w:val="24"/>
              </w:rPr>
              <w:t>不</w:t>
            </w:r>
            <w:r>
              <w:rPr>
                <w:sz w:val="24"/>
              </w:rPr>
              <w:t>属于文件中重点区域范围；同时项目不属于文件中所列的高能耗项目。项目将按照环保审批要求申请总量。</w:t>
            </w:r>
          </w:p>
          <w:p w14:paraId="18594060">
            <w:pPr>
              <w:autoSpaceDE w:val="0"/>
              <w:autoSpaceDN w:val="0"/>
              <w:snapToGrid w:val="0"/>
              <w:spacing w:line="500" w:lineRule="exact"/>
              <w:ind w:firstLine="482" w:firstLineChars="200"/>
              <w:jc w:val="left"/>
              <w:rPr>
                <w:b/>
                <w:bCs/>
                <w:sz w:val="24"/>
              </w:rPr>
            </w:pPr>
            <w:r>
              <w:rPr>
                <w:b/>
                <w:bCs/>
                <w:sz w:val="24"/>
              </w:rPr>
              <w:t>（</w:t>
            </w:r>
            <w:r>
              <w:rPr>
                <w:rFonts w:hint="eastAsia"/>
                <w:b/>
                <w:bCs/>
                <w:sz w:val="24"/>
                <w:lang w:val="en-US" w:eastAsia="zh-CN"/>
              </w:rPr>
              <w:t>6</w:t>
            </w:r>
            <w:r>
              <w:rPr>
                <w:b/>
                <w:bCs/>
                <w:sz w:val="24"/>
              </w:rPr>
              <w:t>）与《关于印发&lt;环境保护综合名录（2021）年版&gt;的通知》（环办综合函〔2021〕495号）的对照分析</w:t>
            </w:r>
          </w:p>
          <w:p w14:paraId="330757B3">
            <w:pPr>
              <w:autoSpaceDE w:val="0"/>
              <w:autoSpaceDN w:val="0"/>
              <w:adjustRightInd w:val="0"/>
              <w:snapToGrid w:val="0"/>
              <w:spacing w:line="500" w:lineRule="exact"/>
              <w:ind w:firstLine="480" w:firstLineChars="200"/>
              <w:rPr>
                <w:bCs/>
                <w:sz w:val="24"/>
              </w:rPr>
            </w:pPr>
            <w:r>
              <w:rPr>
                <w:bCs/>
                <w:sz w:val="24"/>
              </w:rPr>
              <w:t>本项目产品为</w:t>
            </w:r>
            <w:r>
              <w:rPr>
                <w:rFonts w:hint="eastAsia"/>
                <w:sz w:val="24"/>
              </w:rPr>
              <w:t>C2928人造草坪制造</w:t>
            </w:r>
            <w:r>
              <w:rPr>
                <w:bCs/>
                <w:sz w:val="24"/>
              </w:rPr>
              <w:t>，不属于文件中所列的</w:t>
            </w:r>
            <w:r>
              <w:rPr>
                <w:rFonts w:hint="eastAsia"/>
                <w:bCs/>
                <w:sz w:val="24"/>
              </w:rPr>
              <w:t>“</w:t>
            </w:r>
            <w:r>
              <w:rPr>
                <w:bCs/>
                <w:sz w:val="24"/>
              </w:rPr>
              <w:t>高污染、高环境风险</w:t>
            </w:r>
            <w:r>
              <w:rPr>
                <w:rFonts w:hint="eastAsia"/>
                <w:bCs/>
                <w:sz w:val="24"/>
              </w:rPr>
              <w:t>”</w:t>
            </w:r>
            <w:r>
              <w:rPr>
                <w:bCs/>
                <w:sz w:val="24"/>
              </w:rPr>
              <w:t>产品。</w:t>
            </w:r>
          </w:p>
          <w:p w14:paraId="3BBC4A0A">
            <w:pPr>
              <w:autoSpaceDE w:val="0"/>
              <w:autoSpaceDN w:val="0"/>
              <w:adjustRightInd w:val="0"/>
              <w:snapToGrid w:val="0"/>
              <w:spacing w:line="500" w:lineRule="exact"/>
              <w:ind w:firstLine="482" w:firstLineChars="200"/>
              <w:jc w:val="left"/>
              <w:rPr>
                <w:b/>
                <w:bCs/>
                <w:szCs w:val="21"/>
              </w:rPr>
            </w:pPr>
            <w:r>
              <w:rPr>
                <w:b/>
                <w:bCs/>
                <w:sz w:val="24"/>
              </w:rPr>
              <w:t>（</w:t>
            </w:r>
            <w:r>
              <w:rPr>
                <w:rFonts w:hint="eastAsia"/>
                <w:b/>
                <w:bCs/>
                <w:sz w:val="24"/>
                <w:lang w:val="en-US" w:eastAsia="zh-CN"/>
              </w:rPr>
              <w:t>7</w:t>
            </w:r>
            <w:r>
              <w:rPr>
                <w:b/>
                <w:bCs/>
                <w:sz w:val="24"/>
              </w:rPr>
              <w:t>）与《关于印发&lt;长江经济带发展负面清单指南(试行，2022年版)江苏省实施细则&gt;的通知》(苏长江办发[2022]55号)的相符性分析</w:t>
            </w:r>
          </w:p>
          <w:p w14:paraId="41713D92">
            <w:pPr>
              <w:adjustRightInd w:val="0"/>
              <w:snapToGrid w:val="0"/>
              <w:spacing w:line="500" w:lineRule="exact"/>
              <w:jc w:val="center"/>
              <w:rPr>
                <w:b/>
                <w:bCs/>
                <w:szCs w:val="21"/>
              </w:rPr>
            </w:pPr>
            <w:r>
              <w:rPr>
                <w:b/>
                <w:bCs/>
                <w:szCs w:val="21"/>
              </w:rPr>
              <w:t>表1-1</w:t>
            </w:r>
            <w:r>
              <w:rPr>
                <w:rFonts w:hint="eastAsia"/>
                <w:b/>
                <w:bCs/>
                <w:szCs w:val="21"/>
                <w:lang w:val="en-US" w:eastAsia="zh-CN"/>
              </w:rPr>
              <w:t>4</w:t>
            </w:r>
            <w:r>
              <w:rPr>
                <w:rFonts w:hint="eastAsia"/>
                <w:b/>
                <w:bCs/>
                <w:szCs w:val="21"/>
              </w:rPr>
              <w:t xml:space="preserve"> </w:t>
            </w:r>
            <w:r>
              <w:rPr>
                <w:b/>
                <w:bCs/>
                <w:szCs w:val="21"/>
              </w:rPr>
              <w:t xml:space="preserve"> 与苏长江办发[2022]55号号相符性分析</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4"/>
              <w:gridCol w:w="1949"/>
            </w:tblGrid>
            <w:tr w14:paraId="20EDB2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9" w:type="pct"/>
                  <w:vAlign w:val="center"/>
                </w:tcPr>
                <w:p w14:paraId="3053DF02">
                  <w:pPr>
                    <w:jc w:val="center"/>
                    <w:rPr>
                      <w:b/>
                    </w:rPr>
                  </w:pPr>
                  <w:r>
                    <w:rPr>
                      <w:b/>
                    </w:rPr>
                    <w:t>要求</w:t>
                  </w:r>
                </w:p>
              </w:tc>
              <w:tc>
                <w:tcPr>
                  <w:tcW w:w="1210" w:type="pct"/>
                  <w:vAlign w:val="center"/>
                </w:tcPr>
                <w:p w14:paraId="1C9F28D2">
                  <w:pPr>
                    <w:jc w:val="center"/>
                    <w:rPr>
                      <w:b/>
                    </w:rPr>
                  </w:pPr>
                  <w:r>
                    <w:rPr>
                      <w:b/>
                    </w:rPr>
                    <w:t>相符性分析</w:t>
                  </w:r>
                </w:p>
              </w:tc>
            </w:tr>
            <w:tr w14:paraId="58562B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9" w:type="pct"/>
                  <w:vAlign w:val="center"/>
                </w:tcPr>
                <w:p w14:paraId="59EB19D0">
                  <w:pPr>
                    <w:ind w:firstLine="420" w:firstLineChars="200"/>
                  </w:pPr>
                  <w:r>
                    <w:t>禁止新建、扩建不符合国家和省产业政策的尿素、磷铵、电石、烧碱、聚氯乙烯、纯碱等行业新增产能项目。</w:t>
                  </w:r>
                </w:p>
              </w:tc>
              <w:tc>
                <w:tcPr>
                  <w:tcW w:w="1210" w:type="pct"/>
                  <w:vMerge w:val="restart"/>
                  <w:vAlign w:val="center"/>
                </w:tcPr>
                <w:p w14:paraId="2B4A3168">
                  <w:pPr>
                    <w:ind w:firstLine="420" w:firstLineChars="200"/>
                  </w:pPr>
                  <w:r>
                    <w:t>本项目不属于上述禁止行业或项目。</w:t>
                  </w:r>
                </w:p>
              </w:tc>
            </w:tr>
            <w:tr w14:paraId="63B594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9" w:type="pct"/>
                  <w:vAlign w:val="center"/>
                </w:tcPr>
                <w:p w14:paraId="7CCB4F2D">
                  <w:pPr>
                    <w:ind w:firstLine="420" w:firstLineChars="200"/>
                  </w:pPr>
                  <w:r>
                    <w:t>禁止新建、改建、扩建高毒、高残留以及对环境影响大的农药原药（化学合成类）项目，禁止新建、扩建不符合国家和省产业政策的农药、医药和染料中间体化工项目。</w:t>
                  </w:r>
                </w:p>
              </w:tc>
              <w:tc>
                <w:tcPr>
                  <w:tcW w:w="1210" w:type="pct"/>
                  <w:vMerge w:val="continue"/>
                  <w:vAlign w:val="center"/>
                </w:tcPr>
                <w:p w14:paraId="1EA965DD">
                  <w:pPr>
                    <w:ind w:firstLine="420" w:firstLineChars="200"/>
                  </w:pPr>
                </w:p>
              </w:tc>
            </w:tr>
            <w:tr w14:paraId="7EC2D0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9" w:type="pct"/>
                  <w:vAlign w:val="center"/>
                </w:tcPr>
                <w:p w14:paraId="48012682">
                  <w:pPr>
                    <w:ind w:firstLine="420" w:firstLineChars="200"/>
                  </w:pPr>
                  <w:r>
                    <w:t>禁止新建、扩建不符合国家石化、现代煤化工等产业布局规划的项目，禁止新建独立焦化项目。</w:t>
                  </w:r>
                </w:p>
              </w:tc>
              <w:tc>
                <w:tcPr>
                  <w:tcW w:w="1210" w:type="pct"/>
                  <w:vMerge w:val="continue"/>
                  <w:vAlign w:val="center"/>
                </w:tcPr>
                <w:p w14:paraId="6F2F259C">
                  <w:pPr>
                    <w:ind w:firstLine="420" w:firstLineChars="200"/>
                  </w:pPr>
                </w:p>
              </w:tc>
            </w:tr>
            <w:tr w14:paraId="40EB40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9" w:type="pct"/>
                  <w:vAlign w:val="center"/>
                </w:tcPr>
                <w:p w14:paraId="12C3B282">
                  <w:pPr>
                    <w:ind w:firstLine="420" w:firstLineChars="200"/>
                  </w:pPr>
                  <w: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210" w:type="pct"/>
                  <w:vMerge w:val="continue"/>
                  <w:vAlign w:val="center"/>
                </w:tcPr>
                <w:p w14:paraId="78A3D9E6">
                  <w:pPr>
                    <w:ind w:firstLine="420" w:firstLineChars="200"/>
                  </w:pPr>
                </w:p>
              </w:tc>
            </w:tr>
            <w:tr w14:paraId="2162EF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9" w:type="pct"/>
                  <w:vAlign w:val="center"/>
                </w:tcPr>
                <w:p w14:paraId="1C29349B">
                  <w:pPr>
                    <w:ind w:firstLine="420" w:firstLineChars="200"/>
                  </w:pPr>
                  <w:r>
                    <w:t>禁止新建、扩建不符合国家产能置换要求的严重过剩产能行业的项目。禁止新建、扩建不符合要求的高耗能高排放项目。</w:t>
                  </w:r>
                </w:p>
              </w:tc>
              <w:tc>
                <w:tcPr>
                  <w:tcW w:w="1210" w:type="pct"/>
                  <w:vMerge w:val="continue"/>
                  <w:vAlign w:val="center"/>
                </w:tcPr>
                <w:p w14:paraId="73D3DA19">
                  <w:pPr>
                    <w:ind w:firstLine="420" w:firstLineChars="200"/>
                  </w:pPr>
                </w:p>
              </w:tc>
            </w:tr>
            <w:tr w14:paraId="2D4E3E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9" w:type="pct"/>
                  <w:vAlign w:val="center"/>
                </w:tcPr>
                <w:p w14:paraId="6B8492A0">
                  <w:pPr>
                    <w:ind w:firstLine="420" w:firstLineChars="200"/>
                  </w:pPr>
                  <w:r>
                    <w:t>法律法规及相关政策文件有更加严格规定的从其规定。</w:t>
                  </w:r>
                </w:p>
              </w:tc>
              <w:tc>
                <w:tcPr>
                  <w:tcW w:w="1210" w:type="pct"/>
                  <w:vMerge w:val="continue"/>
                  <w:vAlign w:val="center"/>
                </w:tcPr>
                <w:p w14:paraId="57FA02E7">
                  <w:pPr>
                    <w:ind w:firstLine="420" w:firstLineChars="200"/>
                  </w:pPr>
                </w:p>
              </w:tc>
            </w:tr>
          </w:tbl>
          <w:p w14:paraId="2DC61AE8">
            <w:pPr>
              <w:autoSpaceDE w:val="0"/>
              <w:autoSpaceDN w:val="0"/>
              <w:snapToGrid w:val="0"/>
              <w:spacing w:line="500" w:lineRule="exact"/>
              <w:ind w:firstLine="482" w:firstLineChars="200"/>
              <w:jc w:val="left"/>
              <w:rPr>
                <w:b/>
                <w:bCs/>
                <w:szCs w:val="21"/>
                <w:lang w:val="zh-CN"/>
              </w:rPr>
            </w:pPr>
            <w:r>
              <w:rPr>
                <w:b/>
                <w:bCs/>
                <w:sz w:val="24"/>
              </w:rPr>
              <w:t>（</w:t>
            </w:r>
            <w:r>
              <w:rPr>
                <w:rFonts w:hint="eastAsia"/>
                <w:b/>
                <w:bCs/>
                <w:sz w:val="24"/>
                <w:lang w:val="en-US" w:eastAsia="zh-CN"/>
              </w:rPr>
              <w:t>8</w:t>
            </w:r>
            <w:r>
              <w:rPr>
                <w:b/>
                <w:bCs/>
                <w:sz w:val="24"/>
              </w:rPr>
              <w:t>）与</w:t>
            </w:r>
            <w:r>
              <w:rPr>
                <w:b/>
                <w:sz w:val="24"/>
                <w:lang w:val="zh-CN"/>
              </w:rPr>
              <w:t>《省生态环境厅关于进一步做好建设项目环评审批工作的通知》（苏环办[2019]36号）相符性分析</w:t>
            </w:r>
          </w:p>
          <w:p w14:paraId="2402FD64">
            <w:pPr>
              <w:adjustRightInd w:val="0"/>
              <w:snapToGrid w:val="0"/>
              <w:spacing w:line="500" w:lineRule="exact"/>
              <w:jc w:val="center"/>
              <w:rPr>
                <w:b/>
                <w:bCs/>
                <w:szCs w:val="21"/>
                <w:lang w:val="zh-CN"/>
              </w:rPr>
            </w:pPr>
            <w:r>
              <w:rPr>
                <w:b/>
                <w:bCs/>
                <w:szCs w:val="21"/>
                <w:lang w:val="zh-CN"/>
              </w:rPr>
              <w:t>表</w:t>
            </w:r>
            <w:r>
              <w:rPr>
                <w:b/>
                <w:bCs/>
                <w:szCs w:val="21"/>
              </w:rPr>
              <w:t>1-1</w:t>
            </w:r>
            <w:r>
              <w:rPr>
                <w:rFonts w:hint="eastAsia"/>
                <w:b/>
                <w:bCs/>
                <w:szCs w:val="21"/>
                <w:lang w:val="en-US" w:eastAsia="zh-CN"/>
              </w:rPr>
              <w:t>5</w:t>
            </w:r>
            <w:r>
              <w:rPr>
                <w:b/>
                <w:bCs/>
                <w:szCs w:val="21"/>
                <w:lang w:val="zh-CN"/>
              </w:rPr>
              <w:t xml:space="preserve"> 与苏环办[2019]36号文对照分析</w:t>
            </w:r>
          </w:p>
          <w:tbl>
            <w:tblPr>
              <w:tblStyle w:val="27"/>
              <w:tblW w:w="80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402"/>
              <w:gridCol w:w="3620"/>
              <w:gridCol w:w="2504"/>
              <w:gridCol w:w="529"/>
            </w:tblGrid>
            <w:tr w14:paraId="143D4F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21BFA744">
                  <w:pPr>
                    <w:autoSpaceDE w:val="0"/>
                    <w:autoSpaceDN w:val="0"/>
                    <w:adjustRightInd w:val="0"/>
                    <w:snapToGrid w:val="0"/>
                    <w:jc w:val="center"/>
                    <w:rPr>
                      <w:b/>
                      <w:bCs/>
                      <w:szCs w:val="21"/>
                    </w:rPr>
                  </w:pPr>
                  <w:r>
                    <w:rPr>
                      <w:b/>
                      <w:bCs/>
                      <w:szCs w:val="21"/>
                    </w:rPr>
                    <w:t>类别</w:t>
                  </w:r>
                </w:p>
              </w:tc>
              <w:tc>
                <w:tcPr>
                  <w:tcW w:w="2246" w:type="pct"/>
                  <w:vAlign w:val="center"/>
                </w:tcPr>
                <w:p w14:paraId="5080AF8C">
                  <w:pPr>
                    <w:autoSpaceDE w:val="0"/>
                    <w:autoSpaceDN w:val="0"/>
                    <w:adjustRightInd w:val="0"/>
                    <w:snapToGrid w:val="0"/>
                    <w:jc w:val="center"/>
                    <w:rPr>
                      <w:b/>
                      <w:bCs/>
                      <w:szCs w:val="21"/>
                    </w:rPr>
                  </w:pPr>
                  <w:r>
                    <w:rPr>
                      <w:b/>
                      <w:bCs/>
                      <w:szCs w:val="21"/>
                    </w:rPr>
                    <w:t>文件要求（建设项目环评审批要点）</w:t>
                  </w:r>
                </w:p>
              </w:tc>
              <w:tc>
                <w:tcPr>
                  <w:tcW w:w="1554" w:type="pct"/>
                  <w:vAlign w:val="center"/>
                </w:tcPr>
                <w:p w14:paraId="73DB7183">
                  <w:pPr>
                    <w:autoSpaceDE w:val="0"/>
                    <w:autoSpaceDN w:val="0"/>
                    <w:adjustRightInd w:val="0"/>
                    <w:snapToGrid w:val="0"/>
                    <w:jc w:val="center"/>
                    <w:rPr>
                      <w:b/>
                      <w:bCs/>
                      <w:szCs w:val="21"/>
                    </w:rPr>
                  </w:pPr>
                  <w:r>
                    <w:rPr>
                      <w:b/>
                      <w:bCs/>
                      <w:szCs w:val="21"/>
                    </w:rPr>
                    <w:t>本项目</w:t>
                  </w:r>
                </w:p>
              </w:tc>
              <w:tc>
                <w:tcPr>
                  <w:tcW w:w="328" w:type="pct"/>
                  <w:vAlign w:val="center"/>
                </w:tcPr>
                <w:p w14:paraId="449E9EC2">
                  <w:pPr>
                    <w:autoSpaceDE w:val="0"/>
                    <w:autoSpaceDN w:val="0"/>
                    <w:adjustRightInd w:val="0"/>
                    <w:snapToGrid w:val="0"/>
                    <w:jc w:val="center"/>
                    <w:rPr>
                      <w:b/>
                      <w:bCs/>
                      <w:szCs w:val="21"/>
                    </w:rPr>
                  </w:pPr>
                  <w:r>
                    <w:rPr>
                      <w:b/>
                      <w:bCs/>
                      <w:szCs w:val="21"/>
                    </w:rPr>
                    <w:t>是否相符</w:t>
                  </w:r>
                </w:p>
              </w:tc>
            </w:tr>
            <w:tr w14:paraId="45DBAB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0F130488">
                  <w:pPr>
                    <w:autoSpaceDE w:val="0"/>
                    <w:autoSpaceDN w:val="0"/>
                    <w:adjustRightInd w:val="0"/>
                    <w:snapToGrid w:val="0"/>
                    <w:jc w:val="center"/>
                    <w:rPr>
                      <w:szCs w:val="21"/>
                    </w:rPr>
                  </w:pPr>
                  <w:r>
                    <w:rPr>
                      <w:szCs w:val="21"/>
                    </w:rPr>
                    <w:t>《建设项目环境保护管理条例》</w:t>
                  </w:r>
                </w:p>
              </w:tc>
              <w:tc>
                <w:tcPr>
                  <w:tcW w:w="2246" w:type="pct"/>
                  <w:vAlign w:val="center"/>
                </w:tcPr>
                <w:p w14:paraId="67A19C10">
                  <w:pPr>
                    <w:autoSpaceDE w:val="0"/>
                    <w:autoSpaceDN w:val="0"/>
                    <w:adjustRightInd w:val="0"/>
                    <w:snapToGrid w:val="0"/>
                    <w:ind w:firstLine="420" w:firstLineChars="200"/>
                    <w:jc w:val="left"/>
                    <w:rPr>
                      <w:szCs w:val="21"/>
                    </w:rPr>
                  </w:pPr>
                  <w:r>
                    <w:rPr>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1554" w:type="pct"/>
                  <w:vAlign w:val="center"/>
                </w:tcPr>
                <w:p w14:paraId="3DECF6AB">
                  <w:pPr>
                    <w:autoSpaceDE w:val="0"/>
                    <w:autoSpaceDN w:val="0"/>
                    <w:adjustRightInd w:val="0"/>
                    <w:snapToGrid w:val="0"/>
                    <w:ind w:firstLine="420" w:firstLineChars="200"/>
                    <w:rPr>
                      <w:szCs w:val="21"/>
                    </w:rPr>
                  </w:pPr>
                  <w:r>
                    <w:rPr>
                      <w:szCs w:val="21"/>
                    </w:rPr>
                    <w:t>①本项目所在地规划符合环境保护法律法规和相关法定规划要求；②项目所在区域环境控制质量不达标，本项目采取的措施有效可行，确保污染物稳定达标，区域已经制定限期达标规划，项目建设满足区域环境质量改善目标管理要求；③项目污染物经处理后可稳定达到国家和地方排放标准；④本项目基础数据真实有效，评价结论合理可信。</w:t>
                  </w:r>
                </w:p>
              </w:tc>
              <w:tc>
                <w:tcPr>
                  <w:tcW w:w="328" w:type="pct"/>
                  <w:vAlign w:val="center"/>
                </w:tcPr>
                <w:p w14:paraId="46BFC454">
                  <w:pPr>
                    <w:autoSpaceDE w:val="0"/>
                    <w:autoSpaceDN w:val="0"/>
                    <w:adjustRightInd w:val="0"/>
                    <w:snapToGrid w:val="0"/>
                    <w:jc w:val="center"/>
                    <w:rPr>
                      <w:szCs w:val="21"/>
                    </w:rPr>
                  </w:pPr>
                  <w:r>
                    <w:rPr>
                      <w:szCs w:val="21"/>
                    </w:rPr>
                    <w:t>符合</w:t>
                  </w:r>
                </w:p>
              </w:tc>
            </w:tr>
            <w:tr w14:paraId="379856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53" w:hRule="atLeast"/>
                <w:jc w:val="center"/>
              </w:trPr>
              <w:tc>
                <w:tcPr>
                  <w:tcW w:w="870" w:type="pct"/>
                  <w:vAlign w:val="center"/>
                </w:tcPr>
                <w:p w14:paraId="175F5BAC">
                  <w:pPr>
                    <w:autoSpaceDE w:val="0"/>
                    <w:autoSpaceDN w:val="0"/>
                    <w:adjustRightInd w:val="0"/>
                    <w:snapToGrid w:val="0"/>
                    <w:jc w:val="center"/>
                    <w:rPr>
                      <w:szCs w:val="21"/>
                    </w:rPr>
                  </w:pPr>
                  <w:r>
                    <w:rPr>
                      <w:szCs w:val="21"/>
                    </w:rPr>
                    <w:t>《农用地土壤环境管理办法（试行）》</w:t>
                  </w:r>
                </w:p>
              </w:tc>
              <w:tc>
                <w:tcPr>
                  <w:tcW w:w="2246" w:type="pct"/>
                  <w:vAlign w:val="center"/>
                </w:tcPr>
                <w:p w14:paraId="404C8E48">
                  <w:pPr>
                    <w:autoSpaceDE w:val="0"/>
                    <w:autoSpaceDN w:val="0"/>
                    <w:adjustRightInd w:val="0"/>
                    <w:snapToGrid w:val="0"/>
                    <w:ind w:firstLine="420" w:firstLineChars="200"/>
                    <w:jc w:val="left"/>
                    <w:rPr>
                      <w:szCs w:val="21"/>
                    </w:rPr>
                  </w:pPr>
                  <w:r>
                    <w:rPr>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554" w:type="pct"/>
                  <w:vAlign w:val="center"/>
                </w:tcPr>
                <w:p w14:paraId="53FB2DDB">
                  <w:pPr>
                    <w:autoSpaceDE w:val="0"/>
                    <w:autoSpaceDN w:val="0"/>
                    <w:adjustRightInd w:val="0"/>
                    <w:snapToGrid w:val="0"/>
                    <w:ind w:firstLine="420" w:firstLineChars="200"/>
                    <w:rPr>
                      <w:szCs w:val="21"/>
                    </w:rPr>
                  </w:pPr>
                  <w:r>
                    <w:rPr>
                      <w:szCs w:val="21"/>
                    </w:rPr>
                    <w:t>本项目位于</w:t>
                  </w:r>
                  <w:r>
                    <w:rPr>
                      <w:rFonts w:hint="eastAsia"/>
                      <w:bCs/>
                      <w:szCs w:val="21"/>
                    </w:rPr>
                    <w:t>常州市金坛区朱林镇永顺路2号</w:t>
                  </w:r>
                  <w:r>
                    <w:rPr>
                      <w:szCs w:val="21"/>
                    </w:rPr>
                    <w:t>，用地性质为工业用地。</w:t>
                  </w:r>
                </w:p>
              </w:tc>
              <w:tc>
                <w:tcPr>
                  <w:tcW w:w="328" w:type="pct"/>
                  <w:vAlign w:val="center"/>
                </w:tcPr>
                <w:p w14:paraId="661B1242">
                  <w:pPr>
                    <w:autoSpaceDE w:val="0"/>
                    <w:autoSpaceDN w:val="0"/>
                    <w:adjustRightInd w:val="0"/>
                    <w:snapToGrid w:val="0"/>
                    <w:jc w:val="center"/>
                    <w:rPr>
                      <w:szCs w:val="21"/>
                    </w:rPr>
                  </w:pPr>
                  <w:r>
                    <w:rPr>
                      <w:szCs w:val="21"/>
                    </w:rPr>
                    <w:t>符合</w:t>
                  </w:r>
                </w:p>
              </w:tc>
            </w:tr>
            <w:tr w14:paraId="1B0632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870" w:type="pct"/>
                  <w:vAlign w:val="center"/>
                </w:tcPr>
                <w:p w14:paraId="6A46D4BB">
                  <w:pPr>
                    <w:autoSpaceDE w:val="0"/>
                    <w:autoSpaceDN w:val="0"/>
                    <w:adjustRightInd w:val="0"/>
                    <w:snapToGrid w:val="0"/>
                    <w:jc w:val="center"/>
                    <w:rPr>
                      <w:szCs w:val="21"/>
                    </w:rPr>
                  </w:pPr>
                  <w:r>
                    <w:rPr>
                      <w:szCs w:val="21"/>
                    </w:rPr>
                    <w:t>《关于印发&lt;建设项目主要污染物排放总量指标审核及管理暂行办法&gt;的通知》</w:t>
                  </w:r>
                  <w:r>
                    <w:rPr>
                      <w:rFonts w:hint="eastAsia"/>
                      <w:szCs w:val="21"/>
                    </w:rPr>
                    <w:t>(</w:t>
                  </w:r>
                  <w:r>
                    <w:rPr>
                      <w:szCs w:val="21"/>
                    </w:rPr>
                    <w:t>环发〔2014〕197号</w:t>
                  </w:r>
                  <w:r>
                    <w:rPr>
                      <w:rFonts w:hint="eastAsia"/>
                      <w:szCs w:val="21"/>
                    </w:rPr>
                    <w:t>)</w:t>
                  </w:r>
                </w:p>
              </w:tc>
              <w:tc>
                <w:tcPr>
                  <w:tcW w:w="2246" w:type="pct"/>
                  <w:vAlign w:val="center"/>
                </w:tcPr>
                <w:p w14:paraId="3A5BF71B">
                  <w:pPr>
                    <w:autoSpaceDE w:val="0"/>
                    <w:autoSpaceDN w:val="0"/>
                    <w:adjustRightInd w:val="0"/>
                    <w:snapToGrid w:val="0"/>
                    <w:ind w:firstLine="420" w:firstLineChars="200"/>
                    <w:jc w:val="left"/>
                    <w:rPr>
                      <w:szCs w:val="21"/>
                    </w:rPr>
                  </w:pPr>
                  <w:r>
                    <w:rPr>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554" w:type="pct"/>
                  <w:vAlign w:val="center"/>
                </w:tcPr>
                <w:p w14:paraId="7523933C">
                  <w:pPr>
                    <w:autoSpaceDE w:val="0"/>
                    <w:autoSpaceDN w:val="0"/>
                    <w:adjustRightInd w:val="0"/>
                    <w:snapToGrid w:val="0"/>
                    <w:ind w:firstLine="420" w:firstLineChars="200"/>
                    <w:rPr>
                      <w:szCs w:val="21"/>
                    </w:rPr>
                  </w:pPr>
                  <w:r>
                    <w:rPr>
                      <w:szCs w:val="21"/>
                    </w:rPr>
                    <w:t>本项目拟在环境影响评价文件审批前，取得主要污染物排放总量指标。</w:t>
                  </w:r>
                </w:p>
              </w:tc>
              <w:tc>
                <w:tcPr>
                  <w:tcW w:w="328" w:type="pct"/>
                  <w:vAlign w:val="center"/>
                </w:tcPr>
                <w:p w14:paraId="70D44920">
                  <w:pPr>
                    <w:autoSpaceDE w:val="0"/>
                    <w:autoSpaceDN w:val="0"/>
                    <w:adjustRightInd w:val="0"/>
                    <w:snapToGrid w:val="0"/>
                    <w:jc w:val="center"/>
                    <w:rPr>
                      <w:szCs w:val="21"/>
                    </w:rPr>
                  </w:pPr>
                  <w:r>
                    <w:rPr>
                      <w:szCs w:val="21"/>
                    </w:rPr>
                    <w:t>符合</w:t>
                  </w:r>
                </w:p>
              </w:tc>
            </w:tr>
            <w:tr w14:paraId="573B32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8" w:hRule="atLeast"/>
                <w:jc w:val="center"/>
              </w:trPr>
              <w:tc>
                <w:tcPr>
                  <w:tcW w:w="870" w:type="pct"/>
                  <w:vAlign w:val="center"/>
                </w:tcPr>
                <w:p w14:paraId="57D9DA7E">
                  <w:pPr>
                    <w:autoSpaceDE w:val="0"/>
                    <w:autoSpaceDN w:val="0"/>
                    <w:snapToGrid w:val="0"/>
                    <w:jc w:val="center"/>
                    <w:rPr>
                      <w:szCs w:val="21"/>
                    </w:rPr>
                  </w:pPr>
                  <w:r>
                    <w:rPr>
                      <w:szCs w:val="21"/>
                    </w:rPr>
                    <w:t>《关于以改善环境质量为核心加强环境影响评价管理的通知》（环环评〔2016〕150号）</w:t>
                  </w:r>
                </w:p>
              </w:tc>
              <w:tc>
                <w:tcPr>
                  <w:tcW w:w="2246" w:type="pct"/>
                  <w:vAlign w:val="center"/>
                </w:tcPr>
                <w:p w14:paraId="5B9FF2EE">
                  <w:pPr>
                    <w:autoSpaceDE w:val="0"/>
                    <w:autoSpaceDN w:val="0"/>
                    <w:snapToGrid w:val="0"/>
                    <w:ind w:firstLine="420" w:firstLineChars="200"/>
                    <w:jc w:val="left"/>
                    <w:rPr>
                      <w:szCs w:val="21"/>
                    </w:rPr>
                  </w:pPr>
                  <w:r>
                    <w:rPr>
                      <w:rFonts w:hint="eastAsia"/>
                      <w:szCs w:val="21"/>
                    </w:rPr>
                    <w:t>(1)</w:t>
                  </w:r>
                  <w:r>
                    <w:rPr>
                      <w:szCs w:val="21"/>
                    </w:rPr>
                    <w:t>规划环评要作为规划所包含项目环评的重要依据，对于不符合规划环评结论及审查意见的项目环评，依法不予审批。</w:t>
                  </w:r>
                  <w:r>
                    <w:rPr>
                      <w:rFonts w:hint="eastAsia"/>
                      <w:szCs w:val="21"/>
                    </w:rPr>
                    <w:t>(2)</w:t>
                  </w:r>
                  <w:r>
                    <w:rPr>
                      <w:szCs w:val="21"/>
                    </w:rPr>
                    <w:t>对于现有同类型项目环境污染或生态破坏严重、环境违法违规现象多发，致使环境容量接近或超过承载能力的地区，在现有问题整改到位前，依法暂停审批该地区同类行业的项目环评文件。</w:t>
                  </w:r>
                  <w:r>
                    <w:rPr>
                      <w:rFonts w:hint="eastAsia"/>
                      <w:szCs w:val="21"/>
                    </w:rPr>
                    <w:t>(3)</w:t>
                  </w:r>
                  <w:r>
                    <w:rPr>
                      <w:szCs w:val="21"/>
                    </w:rPr>
                    <w:t>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554" w:type="pct"/>
                  <w:vAlign w:val="center"/>
                </w:tcPr>
                <w:p w14:paraId="22378887">
                  <w:pPr>
                    <w:autoSpaceDE w:val="0"/>
                    <w:autoSpaceDN w:val="0"/>
                    <w:snapToGrid w:val="0"/>
                    <w:ind w:firstLine="420" w:firstLineChars="200"/>
                    <w:jc w:val="left"/>
                    <w:rPr>
                      <w:szCs w:val="21"/>
                    </w:rPr>
                  </w:pPr>
                  <w:r>
                    <w:rPr>
                      <w:rFonts w:hint="eastAsia"/>
                      <w:szCs w:val="21"/>
                    </w:rPr>
                    <w:t>(1)</w:t>
                  </w:r>
                  <w:r>
                    <w:rPr>
                      <w:szCs w:val="21"/>
                    </w:rPr>
                    <w:t>本项目建设内容符合所在区域定位，且不在生态保护红线范围内；</w:t>
                  </w:r>
                </w:p>
                <w:p w14:paraId="477D6461">
                  <w:pPr>
                    <w:autoSpaceDE w:val="0"/>
                    <w:autoSpaceDN w:val="0"/>
                    <w:snapToGrid w:val="0"/>
                    <w:ind w:firstLine="420" w:firstLineChars="200"/>
                    <w:jc w:val="left"/>
                    <w:rPr>
                      <w:szCs w:val="21"/>
                    </w:rPr>
                  </w:pPr>
                  <w:r>
                    <w:rPr>
                      <w:rFonts w:hint="eastAsia"/>
                      <w:szCs w:val="21"/>
                    </w:rPr>
                    <w:t>(2)</w:t>
                  </w:r>
                  <w:r>
                    <w:rPr>
                      <w:szCs w:val="21"/>
                    </w:rPr>
                    <w:t>项目所在地为非达标区，本项目各废气因子排放量较小，对周围保护目标影响均较小，均未超过各因子的环境质量标准。因此，项目排放的大气污染物对周围空气环境影响较小。</w:t>
                  </w:r>
                </w:p>
              </w:tc>
              <w:tc>
                <w:tcPr>
                  <w:tcW w:w="328" w:type="pct"/>
                  <w:vAlign w:val="center"/>
                </w:tcPr>
                <w:p w14:paraId="3080C610">
                  <w:pPr>
                    <w:autoSpaceDE w:val="0"/>
                    <w:autoSpaceDN w:val="0"/>
                    <w:adjustRightInd w:val="0"/>
                    <w:snapToGrid w:val="0"/>
                    <w:jc w:val="center"/>
                    <w:rPr>
                      <w:szCs w:val="21"/>
                    </w:rPr>
                  </w:pPr>
                  <w:r>
                    <w:rPr>
                      <w:szCs w:val="21"/>
                    </w:rPr>
                    <w:t>符合</w:t>
                  </w:r>
                </w:p>
              </w:tc>
            </w:tr>
            <w:tr w14:paraId="32BF48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94" w:hRule="atLeast"/>
                <w:jc w:val="center"/>
              </w:trPr>
              <w:tc>
                <w:tcPr>
                  <w:tcW w:w="870" w:type="pct"/>
                  <w:vAlign w:val="center"/>
                </w:tcPr>
                <w:p w14:paraId="14FCC9B6">
                  <w:pPr>
                    <w:autoSpaceDE w:val="0"/>
                    <w:autoSpaceDN w:val="0"/>
                    <w:snapToGrid w:val="0"/>
                    <w:jc w:val="center"/>
                    <w:rPr>
                      <w:szCs w:val="21"/>
                    </w:rPr>
                  </w:pPr>
                  <w:r>
                    <w:rPr>
                      <w:szCs w:val="21"/>
                    </w:rPr>
                    <w:t>《关于全面加强生态环境保护坚决打好污染防治攻坚战的实施意见》</w:t>
                  </w:r>
                  <w:r>
                    <w:rPr>
                      <w:rFonts w:hint="eastAsia"/>
                      <w:szCs w:val="21"/>
                    </w:rPr>
                    <w:t>(</w:t>
                  </w:r>
                  <w:r>
                    <w:rPr>
                      <w:szCs w:val="21"/>
                    </w:rPr>
                    <w:t>苏发</w:t>
                  </w:r>
                  <w:r>
                    <w:rPr>
                      <w:rFonts w:hint="eastAsia"/>
                      <w:szCs w:val="21"/>
                    </w:rPr>
                    <w:t>[</w:t>
                  </w:r>
                  <w:r>
                    <w:rPr>
                      <w:szCs w:val="21"/>
                    </w:rPr>
                    <w:t>2018</w:t>
                  </w:r>
                  <w:r>
                    <w:rPr>
                      <w:rFonts w:hint="eastAsia"/>
                      <w:szCs w:val="21"/>
                    </w:rPr>
                    <w:t>]</w:t>
                  </w:r>
                  <w:r>
                    <w:rPr>
                      <w:szCs w:val="21"/>
                    </w:rPr>
                    <w:t>24号</w:t>
                  </w:r>
                  <w:r>
                    <w:rPr>
                      <w:rFonts w:hint="eastAsia"/>
                      <w:szCs w:val="21"/>
                    </w:rPr>
                    <w:t>)</w:t>
                  </w:r>
                </w:p>
              </w:tc>
              <w:tc>
                <w:tcPr>
                  <w:tcW w:w="2246" w:type="pct"/>
                  <w:vAlign w:val="center"/>
                </w:tcPr>
                <w:p w14:paraId="40D3178B">
                  <w:pPr>
                    <w:autoSpaceDE w:val="0"/>
                    <w:autoSpaceDN w:val="0"/>
                    <w:snapToGrid w:val="0"/>
                    <w:ind w:firstLine="420" w:firstLineChars="200"/>
                    <w:jc w:val="left"/>
                    <w:rPr>
                      <w:szCs w:val="21"/>
                    </w:rPr>
                  </w:pPr>
                  <w:r>
                    <w:rPr>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554" w:type="pct"/>
                  <w:vAlign w:val="center"/>
                </w:tcPr>
                <w:p w14:paraId="7D3B13D2">
                  <w:pPr>
                    <w:autoSpaceDE w:val="0"/>
                    <w:autoSpaceDN w:val="0"/>
                    <w:snapToGrid w:val="0"/>
                    <w:ind w:firstLine="420" w:firstLineChars="200"/>
                    <w:jc w:val="left"/>
                    <w:rPr>
                      <w:szCs w:val="21"/>
                    </w:rPr>
                  </w:pPr>
                  <w:r>
                    <w:rPr>
                      <w:szCs w:val="21"/>
                    </w:rPr>
                    <w:t>本项目不属于化工企业。</w:t>
                  </w:r>
                </w:p>
              </w:tc>
              <w:tc>
                <w:tcPr>
                  <w:tcW w:w="328" w:type="pct"/>
                  <w:vAlign w:val="center"/>
                </w:tcPr>
                <w:p w14:paraId="5E7467CF">
                  <w:pPr>
                    <w:autoSpaceDE w:val="0"/>
                    <w:autoSpaceDN w:val="0"/>
                    <w:snapToGrid w:val="0"/>
                    <w:jc w:val="left"/>
                    <w:rPr>
                      <w:szCs w:val="21"/>
                    </w:rPr>
                  </w:pPr>
                  <w:r>
                    <w:rPr>
                      <w:szCs w:val="21"/>
                    </w:rPr>
                    <w:t>符合</w:t>
                  </w:r>
                </w:p>
              </w:tc>
            </w:tr>
            <w:tr w14:paraId="544F07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18" w:hRule="atLeast"/>
                <w:jc w:val="center"/>
              </w:trPr>
              <w:tc>
                <w:tcPr>
                  <w:tcW w:w="870" w:type="pct"/>
                  <w:vAlign w:val="center"/>
                </w:tcPr>
                <w:p w14:paraId="6F433668">
                  <w:pPr>
                    <w:autoSpaceDE w:val="0"/>
                    <w:autoSpaceDN w:val="0"/>
                    <w:adjustRightInd w:val="0"/>
                    <w:snapToGrid w:val="0"/>
                    <w:jc w:val="center"/>
                    <w:rPr>
                      <w:szCs w:val="21"/>
                    </w:rPr>
                  </w:pPr>
                  <w:r>
                    <w:rPr>
                      <w:szCs w:val="21"/>
                    </w:rPr>
                    <w:t>《省政府关于印发江苏省国家级生态保护红线规划的通知》</w:t>
                  </w:r>
                  <w:r>
                    <w:rPr>
                      <w:rFonts w:hint="eastAsia"/>
                      <w:szCs w:val="21"/>
                    </w:rPr>
                    <w:t>(</w:t>
                  </w:r>
                  <w:r>
                    <w:rPr>
                      <w:szCs w:val="21"/>
                    </w:rPr>
                    <w:t>苏政发〔2018〕74号</w:t>
                  </w:r>
                  <w:r>
                    <w:rPr>
                      <w:rFonts w:hint="eastAsia"/>
                      <w:szCs w:val="21"/>
                    </w:rPr>
                    <w:t>)</w:t>
                  </w:r>
                </w:p>
              </w:tc>
              <w:tc>
                <w:tcPr>
                  <w:tcW w:w="2246" w:type="pct"/>
                  <w:vAlign w:val="center"/>
                </w:tcPr>
                <w:p w14:paraId="008B235B">
                  <w:pPr>
                    <w:autoSpaceDE w:val="0"/>
                    <w:autoSpaceDN w:val="0"/>
                    <w:adjustRightInd w:val="0"/>
                    <w:snapToGrid w:val="0"/>
                    <w:ind w:firstLine="420" w:firstLineChars="200"/>
                    <w:jc w:val="left"/>
                    <w:rPr>
                      <w:szCs w:val="21"/>
                    </w:rPr>
                  </w:pPr>
                  <w:r>
                    <w:rPr>
                      <w:szCs w:val="21"/>
                    </w:rPr>
                    <w:t>生态保护红线原则上按禁止开发区域的要求进行管理，严禁不符合主体功能定位的各类开发活动，严禁任意改变用途。</w:t>
                  </w:r>
                </w:p>
              </w:tc>
              <w:tc>
                <w:tcPr>
                  <w:tcW w:w="1554" w:type="pct"/>
                  <w:vAlign w:val="center"/>
                </w:tcPr>
                <w:p w14:paraId="74D7F900">
                  <w:pPr>
                    <w:autoSpaceDE w:val="0"/>
                    <w:autoSpaceDN w:val="0"/>
                    <w:adjustRightInd w:val="0"/>
                    <w:snapToGrid w:val="0"/>
                    <w:ind w:firstLine="420" w:firstLineChars="200"/>
                    <w:jc w:val="left"/>
                    <w:rPr>
                      <w:szCs w:val="21"/>
                    </w:rPr>
                  </w:pPr>
                  <w:r>
                    <w:rPr>
                      <w:szCs w:val="21"/>
                    </w:rPr>
                    <w:t>本项目不在生态保护红线内。</w:t>
                  </w:r>
                </w:p>
              </w:tc>
              <w:tc>
                <w:tcPr>
                  <w:tcW w:w="328" w:type="pct"/>
                  <w:vAlign w:val="center"/>
                </w:tcPr>
                <w:p w14:paraId="1C7875E1">
                  <w:pPr>
                    <w:autoSpaceDE w:val="0"/>
                    <w:autoSpaceDN w:val="0"/>
                    <w:adjustRightInd w:val="0"/>
                    <w:snapToGrid w:val="0"/>
                    <w:jc w:val="center"/>
                    <w:rPr>
                      <w:szCs w:val="21"/>
                    </w:rPr>
                  </w:pPr>
                  <w:r>
                    <w:rPr>
                      <w:szCs w:val="21"/>
                    </w:rPr>
                    <w:t>符合</w:t>
                  </w:r>
                </w:p>
              </w:tc>
            </w:tr>
            <w:tr w14:paraId="765D05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870" w:type="pct"/>
                  <w:vAlign w:val="center"/>
                </w:tcPr>
                <w:p w14:paraId="76F05BCC">
                  <w:pPr>
                    <w:autoSpaceDE w:val="0"/>
                    <w:autoSpaceDN w:val="0"/>
                    <w:snapToGrid w:val="0"/>
                    <w:jc w:val="left"/>
                    <w:rPr>
                      <w:szCs w:val="21"/>
                    </w:rPr>
                  </w:pPr>
                  <w:r>
                    <w:rPr>
                      <w:szCs w:val="21"/>
                    </w:rPr>
                    <w:t>推动长江经济带发展领导小组办公室关于印发《长江经济带发展负面清单指南（试行，2022年版）》的通知（长江办〔2022〕7号）</w:t>
                  </w:r>
                </w:p>
              </w:tc>
              <w:tc>
                <w:tcPr>
                  <w:tcW w:w="2246" w:type="pct"/>
                  <w:vAlign w:val="center"/>
                </w:tcPr>
                <w:p w14:paraId="7DFEAA99">
                  <w:pPr>
                    <w:autoSpaceDE w:val="0"/>
                    <w:autoSpaceDN w:val="0"/>
                    <w:snapToGrid w:val="0"/>
                    <w:ind w:firstLine="420" w:firstLineChars="200"/>
                    <w:jc w:val="left"/>
                    <w:rPr>
                      <w:szCs w:val="21"/>
                    </w:rPr>
                  </w:pPr>
                  <w:r>
                    <w:rPr>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油水功能区划》划定的河段及湖泊保护区、保留区内投资建设不利于水资源及自然生态保护的项目。6．禁止未经许可在长江</w:t>
                  </w:r>
                  <w:r>
                    <w:rPr>
                      <w:rFonts w:hint="eastAsia"/>
                    </w:rPr>
                    <w:t>干支流</w:t>
                  </w:r>
                  <w:r>
                    <w:rPr>
                      <w:szCs w:val="21"/>
                    </w:rPr>
                    <w:t>及湖泊新设、改设或扩大排污口。7．禁止在“一江一口两湖七河”和332个水生生物保护区开展生产性捕捞。8.禁止在长江</w:t>
                  </w:r>
                  <w:r>
                    <w:rPr>
                      <w:rFonts w:hint="eastAsia"/>
                    </w:rPr>
                    <w:t>干</w:t>
                  </w:r>
                  <w:r>
                    <w:rPr>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tc>
              <w:tc>
                <w:tcPr>
                  <w:tcW w:w="1554" w:type="pct"/>
                  <w:vAlign w:val="center"/>
                </w:tcPr>
                <w:p w14:paraId="2DE3BBC6">
                  <w:pPr>
                    <w:autoSpaceDE w:val="0"/>
                    <w:autoSpaceDN w:val="0"/>
                    <w:snapToGrid w:val="0"/>
                    <w:ind w:firstLine="420" w:firstLineChars="200"/>
                    <w:jc w:val="left"/>
                    <w:rPr>
                      <w:szCs w:val="21"/>
                    </w:rPr>
                  </w:pPr>
                  <w:r>
                    <w:rPr>
                      <w:szCs w:val="21"/>
                    </w:rPr>
                    <w:t>本项目不属于禁止建设项目。</w:t>
                  </w:r>
                </w:p>
              </w:tc>
              <w:tc>
                <w:tcPr>
                  <w:tcW w:w="328" w:type="pct"/>
                  <w:vAlign w:val="center"/>
                </w:tcPr>
                <w:p w14:paraId="14A76F14">
                  <w:pPr>
                    <w:autoSpaceDE w:val="0"/>
                    <w:autoSpaceDN w:val="0"/>
                    <w:adjustRightInd w:val="0"/>
                    <w:snapToGrid w:val="0"/>
                    <w:jc w:val="center"/>
                    <w:rPr>
                      <w:szCs w:val="21"/>
                    </w:rPr>
                  </w:pPr>
                  <w:r>
                    <w:rPr>
                      <w:szCs w:val="21"/>
                    </w:rPr>
                    <w:t>符合</w:t>
                  </w:r>
                </w:p>
              </w:tc>
            </w:tr>
          </w:tbl>
          <w:p w14:paraId="69983CDB">
            <w:pPr>
              <w:autoSpaceDE w:val="0"/>
              <w:autoSpaceDN w:val="0"/>
              <w:adjustRightInd w:val="0"/>
              <w:snapToGrid w:val="0"/>
              <w:rPr>
                <w:color w:val="FF0000"/>
                <w:kern w:val="0"/>
                <w:szCs w:val="21"/>
              </w:rPr>
            </w:pPr>
          </w:p>
        </w:tc>
      </w:tr>
    </w:tbl>
    <w:p w14:paraId="5868D65B">
      <w:pPr>
        <w:spacing w:line="360" w:lineRule="auto"/>
        <w:outlineLvl w:val="0"/>
        <w:rPr>
          <w:color w:val="FF0000"/>
          <w:sz w:val="30"/>
        </w:rPr>
        <w:sectPr>
          <w:footerReference r:id="rId3" w:type="default"/>
          <w:pgSz w:w="11906" w:h="16838"/>
          <w:pgMar w:top="1440" w:right="1797" w:bottom="1440" w:left="1797"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3730"/>
      </w:tblGrid>
      <w:tr w14:paraId="4892E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73" w:hRule="atLeast"/>
          <w:jc w:val="center"/>
        </w:trPr>
        <w:tc>
          <w:tcPr>
            <w:tcW w:w="428" w:type="dxa"/>
            <w:tcBorders>
              <w:tl2br w:val="nil"/>
              <w:tr2bl w:val="nil"/>
            </w:tcBorders>
            <w:vAlign w:val="center"/>
          </w:tcPr>
          <w:p w14:paraId="48F44862">
            <w:pPr>
              <w:pStyle w:val="2"/>
              <w:jc w:val="center"/>
              <w:rPr>
                <w:color w:val="FF0000"/>
                <w:sz w:val="24"/>
                <w:szCs w:val="24"/>
              </w:rPr>
            </w:pPr>
            <w:r>
              <w:rPr>
                <w:b/>
                <w:bCs/>
                <w:sz w:val="24"/>
                <w:szCs w:val="24"/>
              </w:rPr>
              <w:t>其他符合性分析</w:t>
            </w:r>
          </w:p>
        </w:tc>
        <w:tc>
          <w:tcPr>
            <w:tcW w:w="13224" w:type="dxa"/>
            <w:tcBorders>
              <w:tl2br w:val="nil"/>
              <w:tr2bl w:val="nil"/>
            </w:tcBorders>
          </w:tcPr>
          <w:p w14:paraId="5E89C3F2">
            <w:pPr>
              <w:snapToGrid w:val="0"/>
              <w:spacing w:line="480" w:lineRule="exact"/>
              <w:jc w:val="center"/>
              <w:rPr>
                <w:b/>
                <w:bCs/>
                <w:sz w:val="24"/>
                <w:szCs w:val="21"/>
              </w:rPr>
            </w:pPr>
            <w:r>
              <w:rPr>
                <w:b/>
                <w:bCs/>
                <w:sz w:val="24"/>
                <w:szCs w:val="21"/>
              </w:rPr>
              <w:t>表1-</w:t>
            </w:r>
            <w:r>
              <w:rPr>
                <w:rFonts w:hint="eastAsia"/>
                <w:b/>
                <w:bCs/>
                <w:sz w:val="24"/>
                <w:szCs w:val="21"/>
              </w:rPr>
              <w:t>1</w:t>
            </w:r>
            <w:r>
              <w:rPr>
                <w:rFonts w:hint="eastAsia"/>
                <w:b/>
                <w:bCs/>
                <w:sz w:val="24"/>
                <w:szCs w:val="21"/>
                <w:lang w:val="en-US" w:eastAsia="zh-CN"/>
              </w:rPr>
              <w:t>6</w:t>
            </w:r>
            <w:r>
              <w:rPr>
                <w:b/>
                <w:bCs/>
                <w:sz w:val="24"/>
                <w:szCs w:val="21"/>
              </w:rPr>
              <w:t xml:space="preserve">  与</w:t>
            </w:r>
            <w:r>
              <w:rPr>
                <w:rFonts w:hint="eastAsia"/>
                <w:b/>
                <w:bCs/>
                <w:sz w:val="24"/>
                <w:szCs w:val="21"/>
              </w:rPr>
              <w:t>“</w:t>
            </w:r>
            <w:r>
              <w:rPr>
                <w:b/>
                <w:bCs/>
                <w:sz w:val="24"/>
                <w:szCs w:val="21"/>
              </w:rPr>
              <w:t>三线一单</w:t>
            </w:r>
            <w:r>
              <w:rPr>
                <w:rFonts w:hint="eastAsia"/>
                <w:b/>
                <w:bCs/>
                <w:sz w:val="24"/>
                <w:szCs w:val="21"/>
              </w:rPr>
              <w:t>”</w:t>
            </w:r>
            <w:r>
              <w:rPr>
                <w:b/>
                <w:bCs/>
                <w:sz w:val="24"/>
                <w:szCs w:val="21"/>
              </w:rPr>
              <w:t>符合性分析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127"/>
              <w:gridCol w:w="705"/>
            </w:tblGrid>
            <w:tr w14:paraId="18F26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2" w:type="pct"/>
                  <w:vAlign w:val="center"/>
                </w:tcPr>
                <w:p w14:paraId="662F0DC7">
                  <w:pPr>
                    <w:tabs>
                      <w:tab w:val="left" w:pos="470"/>
                    </w:tabs>
                    <w:jc w:val="center"/>
                    <w:rPr>
                      <w:b/>
                      <w:bCs/>
                      <w:szCs w:val="21"/>
                    </w:rPr>
                  </w:pPr>
                  <w:r>
                    <w:rPr>
                      <w:b/>
                      <w:bCs/>
                      <w:szCs w:val="21"/>
                    </w:rPr>
                    <w:t>内容</w:t>
                  </w:r>
                </w:p>
              </w:tc>
              <w:tc>
                <w:tcPr>
                  <w:tcW w:w="4485" w:type="pct"/>
                  <w:vAlign w:val="center"/>
                </w:tcPr>
                <w:p w14:paraId="36307697">
                  <w:pPr>
                    <w:jc w:val="center"/>
                    <w:rPr>
                      <w:b/>
                      <w:bCs/>
                      <w:szCs w:val="21"/>
                    </w:rPr>
                  </w:pPr>
                  <w:r>
                    <w:rPr>
                      <w:b/>
                      <w:bCs/>
                      <w:szCs w:val="21"/>
                    </w:rPr>
                    <w:t>符合性分析</w:t>
                  </w:r>
                </w:p>
              </w:tc>
              <w:tc>
                <w:tcPr>
                  <w:tcW w:w="261" w:type="pct"/>
                  <w:vAlign w:val="center"/>
                </w:tcPr>
                <w:p w14:paraId="7C425CE3">
                  <w:pPr>
                    <w:jc w:val="center"/>
                    <w:rPr>
                      <w:b/>
                      <w:bCs/>
                      <w:szCs w:val="21"/>
                    </w:rPr>
                  </w:pPr>
                  <w:r>
                    <w:rPr>
                      <w:b/>
                      <w:bCs/>
                      <w:szCs w:val="21"/>
                    </w:rPr>
                    <w:t>是否符合</w:t>
                  </w:r>
                </w:p>
              </w:tc>
            </w:tr>
            <w:tr w14:paraId="77DE0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2" w:type="pct"/>
                  <w:vAlign w:val="center"/>
                </w:tcPr>
                <w:p w14:paraId="279CC4A9">
                  <w:pPr>
                    <w:jc w:val="center"/>
                    <w:rPr>
                      <w:szCs w:val="21"/>
                    </w:rPr>
                  </w:pPr>
                  <w:r>
                    <w:rPr>
                      <w:szCs w:val="21"/>
                    </w:rPr>
                    <w:t>生态保护红线</w:t>
                  </w:r>
                </w:p>
              </w:tc>
              <w:tc>
                <w:tcPr>
                  <w:tcW w:w="4485" w:type="pct"/>
                  <w:vAlign w:val="center"/>
                </w:tcPr>
                <w:p w14:paraId="4431522C">
                  <w:pPr>
                    <w:rPr>
                      <w:szCs w:val="21"/>
                    </w:rPr>
                  </w:pPr>
                  <w:r>
                    <w:rPr>
                      <w:szCs w:val="21"/>
                    </w:rPr>
                    <w:t>本项目位于</w:t>
                  </w:r>
                  <w:r>
                    <w:rPr>
                      <w:rFonts w:hint="eastAsia"/>
                      <w:szCs w:val="21"/>
                    </w:rPr>
                    <w:t>江苏省常州市金坛区朱林镇永顺路2号</w:t>
                  </w:r>
                  <w:r>
                    <w:rPr>
                      <w:szCs w:val="21"/>
                    </w:rPr>
                    <w:t>，对照《省政府关于印发江苏省国家级生态保护红线规划的通知》（苏政发</w:t>
                  </w:r>
                  <w:r>
                    <w:rPr>
                      <w:rFonts w:hint="eastAsia"/>
                      <w:szCs w:val="21"/>
                    </w:rPr>
                    <w:t>〔2018〕74号</w:t>
                  </w:r>
                  <w:r>
                    <w:rPr>
                      <w:szCs w:val="21"/>
                    </w:rPr>
                    <w:t>）和《江苏省政府关于印发江苏省生态空间管控区域规划的通知》（苏政发</w:t>
                  </w:r>
                  <w:r>
                    <w:rPr>
                      <w:rFonts w:hint="eastAsia"/>
                      <w:szCs w:val="21"/>
                    </w:rPr>
                    <w:t>〔2020〕1号</w:t>
                  </w:r>
                  <w:r>
                    <w:rPr>
                      <w:szCs w:val="21"/>
                    </w:rPr>
                    <w:t>），本项目距离最近生态空间保护区为</w:t>
                  </w:r>
                  <w:r>
                    <w:rPr>
                      <w:rFonts w:hint="eastAsia"/>
                      <w:szCs w:val="21"/>
                    </w:rPr>
                    <w:t>方山（金坛区）森林公园自然与人文景观保护区</w:t>
                  </w:r>
                  <w:r>
                    <w:rPr>
                      <w:szCs w:val="21"/>
                    </w:rPr>
                    <w:t>，最近距离为</w:t>
                  </w:r>
                  <w:r>
                    <w:rPr>
                      <w:rFonts w:hint="eastAsia"/>
                      <w:szCs w:val="21"/>
                    </w:rPr>
                    <w:t>5.8</w:t>
                  </w:r>
                  <w:r>
                    <w:rPr>
                      <w:szCs w:val="21"/>
                    </w:rPr>
                    <w:t>km，故不在江苏省常州市生态空间保护区域范围内，符合《江苏省生态空间管控区域规划》和《江苏省国家级生态保护红线规划》要求。项目地附近生态空间区域详见附图4。</w:t>
                  </w:r>
                </w:p>
              </w:tc>
              <w:tc>
                <w:tcPr>
                  <w:tcW w:w="261" w:type="pct"/>
                  <w:vAlign w:val="center"/>
                </w:tcPr>
                <w:p w14:paraId="332A4677">
                  <w:pPr>
                    <w:jc w:val="center"/>
                    <w:rPr>
                      <w:szCs w:val="21"/>
                    </w:rPr>
                  </w:pPr>
                  <w:r>
                    <w:rPr>
                      <w:szCs w:val="21"/>
                    </w:rPr>
                    <w:t>是</w:t>
                  </w:r>
                </w:p>
              </w:tc>
            </w:tr>
            <w:tr w14:paraId="635D26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2" w:type="pct"/>
                  <w:vAlign w:val="center"/>
                </w:tcPr>
                <w:p w14:paraId="1CA40905">
                  <w:pPr>
                    <w:jc w:val="center"/>
                    <w:rPr>
                      <w:szCs w:val="21"/>
                    </w:rPr>
                  </w:pPr>
                  <w:r>
                    <w:rPr>
                      <w:szCs w:val="21"/>
                    </w:rPr>
                    <w:t>环境质量底线</w:t>
                  </w:r>
                </w:p>
              </w:tc>
              <w:tc>
                <w:tcPr>
                  <w:tcW w:w="4485" w:type="pct"/>
                  <w:vAlign w:val="center"/>
                </w:tcPr>
                <w:p w14:paraId="5BFABB96">
                  <w:pPr>
                    <w:rPr>
                      <w:rStyle w:val="35"/>
                      <w:kern w:val="0"/>
                      <w:szCs w:val="21"/>
                    </w:rPr>
                  </w:pPr>
                  <w:r>
                    <w:rPr>
                      <w:szCs w:val="21"/>
                    </w:rPr>
                    <w:t>①大气：根据《202</w:t>
                  </w:r>
                  <w:r>
                    <w:rPr>
                      <w:rFonts w:hint="eastAsia"/>
                      <w:szCs w:val="21"/>
                      <w:lang w:val="en-US" w:eastAsia="zh-CN"/>
                    </w:rPr>
                    <w:t>4</w:t>
                  </w:r>
                  <w:r>
                    <w:rPr>
                      <w:szCs w:val="21"/>
                    </w:rPr>
                    <w:t>年常州市生态环境状况公报》可知，项目所在地为不达标区，常州市金坛区已提出环境改善措施，通过各项有效措施，本项目所在地的空气环境质量将得到改善。项目污染防治措施可行，排放的大气污染物对周围空气环境影响较小，新增污染物在区域内减量替代，在实施区域削减方案后，大气环境质量状况可以得到整体改善。</w:t>
                  </w:r>
                </w:p>
                <w:p w14:paraId="3CFB613A">
                  <w:pPr>
                    <w:rPr>
                      <w:szCs w:val="21"/>
                    </w:rPr>
                  </w:pPr>
                  <w:r>
                    <w:rPr>
                      <w:szCs w:val="21"/>
                    </w:rPr>
                    <w:t>②地表水：项目污水受纳水体</w:t>
                  </w:r>
                  <w:r>
                    <w:rPr>
                      <w:rFonts w:hint="eastAsia"/>
                      <w:szCs w:val="21"/>
                    </w:rPr>
                    <w:t>通济河</w:t>
                  </w:r>
                  <w:r>
                    <w:rPr>
                      <w:szCs w:val="21"/>
                    </w:rPr>
                    <w:t>各监测断面水质现状监测值均达到《地表水环境质量标准》（GB3838-2002）中Ⅲ类水质标准要求。</w:t>
                  </w:r>
                  <w:r>
                    <w:rPr>
                      <w:rFonts w:hint="eastAsia"/>
                      <w:kern w:val="0"/>
                      <w:szCs w:val="21"/>
                    </w:rPr>
                    <w:t>本项目无生产废水外排，生活污水依托出租方厂内污水管网收集后接入市政污水管网进入金坛区溪城污水处理有限公司集中处理，达标尾水排入通济河。</w:t>
                  </w:r>
                </w:p>
                <w:p w14:paraId="7CFC35FC">
                  <w:pPr>
                    <w:rPr>
                      <w:szCs w:val="21"/>
                    </w:rPr>
                  </w:pPr>
                  <w:r>
                    <w:rPr>
                      <w:szCs w:val="21"/>
                    </w:rPr>
                    <w:t>综上所述，本项目建设对周边环境影响较小，建成后不会突破当地环境质量底线。</w:t>
                  </w:r>
                </w:p>
              </w:tc>
              <w:tc>
                <w:tcPr>
                  <w:tcW w:w="261" w:type="pct"/>
                  <w:vAlign w:val="center"/>
                </w:tcPr>
                <w:p w14:paraId="72AFF529">
                  <w:pPr>
                    <w:widowControl/>
                    <w:jc w:val="center"/>
                    <w:rPr>
                      <w:szCs w:val="21"/>
                    </w:rPr>
                  </w:pPr>
                  <w:r>
                    <w:rPr>
                      <w:szCs w:val="21"/>
                    </w:rPr>
                    <w:t>是</w:t>
                  </w:r>
                </w:p>
              </w:tc>
            </w:tr>
            <w:tr w14:paraId="7F242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2" w:type="pct"/>
                  <w:vAlign w:val="center"/>
                </w:tcPr>
                <w:p w14:paraId="0796DE51">
                  <w:pPr>
                    <w:jc w:val="center"/>
                    <w:rPr>
                      <w:szCs w:val="21"/>
                    </w:rPr>
                  </w:pPr>
                  <w:r>
                    <w:rPr>
                      <w:szCs w:val="21"/>
                    </w:rPr>
                    <w:t>资源利用上线</w:t>
                  </w:r>
                </w:p>
              </w:tc>
              <w:tc>
                <w:tcPr>
                  <w:tcW w:w="4485" w:type="pct"/>
                  <w:vAlign w:val="center"/>
                </w:tcPr>
                <w:p w14:paraId="41DB72F0">
                  <w:pPr>
                    <w:pStyle w:val="112"/>
                    <w:jc w:val="both"/>
                    <w:rPr>
                      <w:rFonts w:ascii="Times New Roman" w:eastAsia="宋体"/>
                      <w:szCs w:val="21"/>
                    </w:rPr>
                  </w:pPr>
                  <w:r>
                    <w:rPr>
                      <w:rFonts w:ascii="Times New Roman" w:eastAsia="宋体"/>
                      <w:szCs w:val="21"/>
                    </w:rPr>
                    <w:t>本项目营运期所用的资源能源主要为水、电</w:t>
                  </w:r>
                  <w:r>
                    <w:rPr>
                      <w:rFonts w:hint="eastAsia" w:ascii="Times New Roman" w:eastAsia="宋体"/>
                      <w:szCs w:val="21"/>
                    </w:rPr>
                    <w:t>、天然气和蒸汽</w:t>
                  </w:r>
                  <w:r>
                    <w:rPr>
                      <w:rFonts w:ascii="Times New Roman" w:eastAsia="宋体"/>
                      <w:szCs w:val="21"/>
                    </w:rPr>
                    <w:t>。全厂年用电量为</w:t>
                  </w:r>
                  <w:r>
                    <w:rPr>
                      <w:rFonts w:hint="eastAsia" w:ascii="Times New Roman" w:eastAsia="宋体"/>
                      <w:szCs w:val="21"/>
                    </w:rPr>
                    <w:t>105</w:t>
                  </w:r>
                  <w:r>
                    <w:rPr>
                      <w:rFonts w:ascii="Times New Roman" w:eastAsia="宋体"/>
                      <w:szCs w:val="21"/>
                    </w:rPr>
                    <w:t>万千瓦时，年用水量为</w:t>
                  </w:r>
                  <w:r>
                    <w:rPr>
                      <w:rFonts w:hint="eastAsia" w:ascii="Times New Roman" w:eastAsia="宋体"/>
                      <w:szCs w:val="21"/>
                    </w:rPr>
                    <w:t>2570</w:t>
                  </w:r>
                  <w:r>
                    <w:rPr>
                      <w:rFonts w:ascii="Times New Roman" w:eastAsia="宋体"/>
                      <w:szCs w:val="21"/>
                    </w:rPr>
                    <w:t>吨，</w:t>
                  </w:r>
                  <w:r>
                    <w:rPr>
                      <w:rFonts w:hint="eastAsia" w:ascii="Times New Roman" w:eastAsia="宋体"/>
                      <w:szCs w:val="21"/>
                    </w:rPr>
                    <w:t>年用天然气为6万立方米，</w:t>
                  </w:r>
                  <w:r>
                    <w:rPr>
                      <w:rFonts w:ascii="Times New Roman" w:eastAsia="宋体"/>
                      <w:szCs w:val="21"/>
                    </w:rPr>
                    <w:t>年综合能源消费量可控制在</w:t>
                  </w:r>
                  <w:r>
                    <w:rPr>
                      <w:rFonts w:hint="eastAsia" w:ascii="Times New Roman" w:eastAsia="宋体"/>
                      <w:szCs w:val="21"/>
                    </w:rPr>
                    <w:t>201.9</w:t>
                  </w:r>
                  <w:r>
                    <w:rPr>
                      <w:rFonts w:ascii="Times New Roman" w:eastAsia="宋体"/>
                      <w:szCs w:val="21"/>
                    </w:rPr>
                    <w:t>吨标准煤（当量值）以内。本项目所在地水资源丰富，电力资源由当地电网公司输送</w:t>
                  </w:r>
                  <w:r>
                    <w:rPr>
                      <w:rFonts w:hint="eastAsia" w:ascii="Times New Roman" w:eastAsia="宋体"/>
                      <w:szCs w:val="21"/>
                    </w:rPr>
                    <w:t>，天然气资源由当地燃气公司输送，蒸汽资源由当地热力公司输送</w:t>
                  </w:r>
                  <w:r>
                    <w:rPr>
                      <w:rFonts w:ascii="Times New Roman" w:eastAsia="宋体"/>
                      <w:szCs w:val="21"/>
                    </w:rPr>
                    <w:t>。本项目将全过程贯彻循环经济理念，采取节水节电等手段，符合资源利用上线相关要求。</w:t>
                  </w:r>
                </w:p>
              </w:tc>
              <w:tc>
                <w:tcPr>
                  <w:tcW w:w="261" w:type="pct"/>
                  <w:vAlign w:val="center"/>
                </w:tcPr>
                <w:p w14:paraId="1AD52CCB">
                  <w:pPr>
                    <w:jc w:val="center"/>
                    <w:rPr>
                      <w:szCs w:val="21"/>
                    </w:rPr>
                  </w:pPr>
                  <w:r>
                    <w:rPr>
                      <w:szCs w:val="21"/>
                    </w:rPr>
                    <w:t>是</w:t>
                  </w:r>
                </w:p>
              </w:tc>
            </w:tr>
            <w:tr w14:paraId="2F5C0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2" w:type="pct"/>
                  <w:vAlign w:val="center"/>
                </w:tcPr>
                <w:p w14:paraId="28CA7925">
                  <w:pPr>
                    <w:widowControl/>
                    <w:jc w:val="center"/>
                    <w:rPr>
                      <w:kern w:val="0"/>
                      <w:szCs w:val="21"/>
                    </w:rPr>
                  </w:pPr>
                  <w:r>
                    <w:rPr>
                      <w:kern w:val="0"/>
                      <w:szCs w:val="21"/>
                    </w:rPr>
                    <w:t>环境准入负面清单</w:t>
                  </w:r>
                </w:p>
              </w:tc>
              <w:tc>
                <w:tcPr>
                  <w:tcW w:w="4485" w:type="pct"/>
                  <w:vAlign w:val="center"/>
                </w:tcPr>
                <w:p w14:paraId="7A965448">
                  <w:pPr>
                    <w:pStyle w:val="73"/>
                    <w:rPr>
                      <w:rFonts w:ascii="Times New Roman" w:hAnsi="Times New Roman" w:cs="Times New Roman"/>
                      <w:szCs w:val="21"/>
                    </w:rPr>
                  </w:pPr>
                  <w:r>
                    <w:rPr>
                      <w:rFonts w:ascii="Times New Roman" w:hAnsi="Times New Roman" w:cs="Times New Roman"/>
                      <w:szCs w:val="21"/>
                    </w:rPr>
                    <w:t>①</w:t>
                  </w:r>
                  <w:r>
                    <w:rPr>
                      <w:rFonts w:ascii="Times New Roman" w:hAnsi="Times New Roman" w:cs="Times New Roman"/>
                      <w:szCs w:val="21"/>
                      <w:lang w:val="en-US"/>
                    </w:rPr>
                    <w:t>本项目为</w:t>
                  </w:r>
                  <w:r>
                    <w:rPr>
                      <w:rFonts w:hint="eastAsia" w:ascii="Times New Roman" w:hAnsi="Times New Roman" w:cs="Times New Roman"/>
                      <w:szCs w:val="21"/>
                      <w:lang w:val="en-US"/>
                    </w:rPr>
                    <w:t>年产1000万平方米人造草坪项目</w:t>
                  </w:r>
                  <w:r>
                    <w:rPr>
                      <w:rFonts w:ascii="Times New Roman" w:hAnsi="Times New Roman" w:cs="Times New Roman"/>
                      <w:szCs w:val="21"/>
                      <w:lang w:val="en-US"/>
                    </w:rPr>
                    <w:t>，不</w:t>
                  </w:r>
                  <w:r>
                    <w:rPr>
                      <w:rFonts w:ascii="Times New Roman" w:hAnsi="Times New Roman" w:cs="Times New Roman"/>
                      <w:szCs w:val="21"/>
                    </w:rPr>
                    <w:t>属于《产业结构调整指导目录（20</w:t>
                  </w:r>
                  <w:r>
                    <w:rPr>
                      <w:rFonts w:ascii="Times New Roman" w:hAnsi="Times New Roman" w:cs="Times New Roman"/>
                      <w:szCs w:val="21"/>
                      <w:lang w:val="en-US"/>
                    </w:rPr>
                    <w:t>24</w:t>
                  </w:r>
                  <w:r>
                    <w:rPr>
                      <w:rFonts w:ascii="Times New Roman" w:hAnsi="Times New Roman" w:cs="Times New Roman"/>
                      <w:szCs w:val="21"/>
                    </w:rPr>
                    <w:t>年本）》限制类和淘汰类项目。</w:t>
                  </w:r>
                </w:p>
                <w:p w14:paraId="742C582C">
                  <w:pPr>
                    <w:pStyle w:val="73"/>
                    <w:rPr>
                      <w:rFonts w:ascii="Times New Roman" w:hAnsi="Times New Roman" w:cs="Times New Roman"/>
                      <w:color w:val="auto"/>
                      <w:szCs w:val="21"/>
                    </w:rPr>
                  </w:pPr>
                  <w:r>
                    <w:rPr>
                      <w:rFonts w:ascii="Times New Roman" w:hAnsi="Times New Roman" w:cs="Times New Roman"/>
                      <w:szCs w:val="21"/>
                    </w:rPr>
                    <w:t>②本项目仅排放生活污水，符合《江苏省太湖水污染防治条例》和《太湖流域管理条例》的相关规定，与太湖流域相关法规及环境政</w:t>
                  </w:r>
                  <w:r>
                    <w:rPr>
                      <w:rFonts w:ascii="Times New Roman" w:hAnsi="Times New Roman" w:cs="Times New Roman"/>
                      <w:color w:val="auto"/>
                      <w:szCs w:val="21"/>
                    </w:rPr>
                    <w:t>策相容。</w:t>
                  </w:r>
                </w:p>
                <w:p w14:paraId="643F804D">
                  <w:pPr>
                    <w:pStyle w:val="73"/>
                    <w:rPr>
                      <w:rFonts w:ascii="Times New Roman" w:hAnsi="Times New Roman" w:cs="Times New Roman"/>
                      <w:color w:val="auto"/>
                      <w:szCs w:val="21"/>
                    </w:rPr>
                  </w:pPr>
                  <w:r>
                    <w:rPr>
                      <w:rFonts w:ascii="Times New Roman" w:hAnsi="Times New Roman" w:cs="Times New Roman"/>
                      <w:color w:val="auto"/>
                      <w:szCs w:val="21"/>
                    </w:rPr>
                    <w:t>③本项目不属于《市场准入负面清单（20</w:t>
                  </w:r>
                  <w:r>
                    <w:rPr>
                      <w:rFonts w:ascii="Times New Roman" w:hAnsi="Times New Roman" w:cs="Times New Roman"/>
                      <w:color w:val="auto"/>
                      <w:szCs w:val="21"/>
                      <w:lang w:val="en-US"/>
                    </w:rPr>
                    <w:t>2</w:t>
                  </w:r>
                  <w:r>
                    <w:rPr>
                      <w:rFonts w:hint="eastAsia" w:ascii="Times New Roman" w:hAnsi="Times New Roman" w:cs="Times New Roman"/>
                      <w:color w:val="auto"/>
                      <w:szCs w:val="21"/>
                      <w:lang w:val="en-US" w:eastAsia="zh-CN"/>
                    </w:rPr>
                    <w:t>5</w:t>
                  </w:r>
                  <w:r>
                    <w:rPr>
                      <w:rFonts w:ascii="Times New Roman" w:hAnsi="Times New Roman" w:cs="Times New Roman"/>
                      <w:color w:val="auto"/>
                      <w:szCs w:val="21"/>
                    </w:rPr>
                    <w:t>年版）》《长江经济带发展负面清单指南（试行，2022年版）》中禁止准入类。</w:t>
                  </w:r>
                </w:p>
                <w:p w14:paraId="7329EE99">
                  <w:pPr>
                    <w:pStyle w:val="73"/>
                    <w:rPr>
                      <w:rFonts w:ascii="Times New Roman" w:hAnsi="Times New Roman" w:cs="Times New Roman"/>
                      <w:color w:val="auto"/>
                      <w:kern w:val="0"/>
                      <w:szCs w:val="21"/>
                    </w:rPr>
                  </w:pPr>
                  <w:r>
                    <w:rPr>
                      <w:rFonts w:ascii="Times New Roman" w:hAnsi="Times New Roman" w:cs="Times New Roman"/>
                      <w:color w:val="auto"/>
                      <w:szCs w:val="21"/>
                    </w:rPr>
                    <w:t>④本项目产品不属于</w:t>
                  </w:r>
                  <w:r>
                    <w:rPr>
                      <w:rFonts w:ascii="Times New Roman" w:hAnsi="Times New Roman" w:cs="Times New Roman"/>
                      <w:color w:val="auto"/>
                      <w:kern w:val="0"/>
                      <w:szCs w:val="21"/>
                    </w:rPr>
                    <w:t>《环境保护综合目录（2021年版）》中</w:t>
                  </w:r>
                  <w:r>
                    <w:rPr>
                      <w:rFonts w:hint="eastAsia" w:ascii="Times New Roman" w:hAnsi="Times New Roman" w:cs="Times New Roman"/>
                      <w:color w:val="auto"/>
                      <w:kern w:val="0"/>
                      <w:szCs w:val="21"/>
                    </w:rPr>
                    <w:t>“</w:t>
                  </w:r>
                  <w:r>
                    <w:rPr>
                      <w:rFonts w:ascii="Times New Roman" w:hAnsi="Times New Roman" w:cs="Times New Roman"/>
                      <w:color w:val="auto"/>
                      <w:kern w:val="0"/>
                      <w:szCs w:val="21"/>
                    </w:rPr>
                    <w:t>高污染、高风险</w:t>
                  </w:r>
                  <w:r>
                    <w:rPr>
                      <w:rFonts w:hint="eastAsia" w:ascii="Times New Roman" w:hAnsi="Times New Roman" w:cs="Times New Roman"/>
                      <w:color w:val="auto"/>
                      <w:kern w:val="0"/>
                      <w:szCs w:val="21"/>
                    </w:rPr>
                    <w:t>”</w:t>
                  </w:r>
                  <w:r>
                    <w:rPr>
                      <w:rFonts w:ascii="Times New Roman" w:hAnsi="Times New Roman" w:cs="Times New Roman"/>
                      <w:color w:val="auto"/>
                      <w:kern w:val="0"/>
                      <w:szCs w:val="21"/>
                    </w:rPr>
                    <w:t>产品。</w:t>
                  </w:r>
                </w:p>
                <w:p w14:paraId="2AB3619D">
                  <w:pPr>
                    <w:rPr>
                      <w:szCs w:val="21"/>
                    </w:rPr>
                  </w:pPr>
                  <w:r>
                    <w:rPr>
                      <w:color w:val="auto"/>
                      <w:kern w:val="0"/>
                      <w:szCs w:val="21"/>
                    </w:rPr>
                    <w:t>⑤本项目不属于</w:t>
                  </w:r>
                  <w:r>
                    <w:rPr>
                      <w:rFonts w:hint="eastAsia"/>
                      <w:color w:val="auto"/>
                      <w:kern w:val="0"/>
                      <w:szCs w:val="21"/>
                    </w:rPr>
                    <w:t>“</w:t>
                  </w:r>
                  <w:r>
                    <w:rPr>
                      <w:color w:val="auto"/>
                      <w:kern w:val="0"/>
                      <w:szCs w:val="21"/>
                    </w:rPr>
                    <w:t>两高</w:t>
                  </w:r>
                  <w:r>
                    <w:rPr>
                      <w:rFonts w:hint="eastAsia"/>
                      <w:color w:val="auto"/>
                      <w:kern w:val="0"/>
                      <w:szCs w:val="21"/>
                    </w:rPr>
                    <w:t>”</w:t>
                  </w:r>
                  <w:r>
                    <w:rPr>
                      <w:color w:val="auto"/>
                      <w:kern w:val="0"/>
                      <w:szCs w:val="21"/>
                    </w:rPr>
                    <w:t>项目，符合</w:t>
                  </w:r>
                  <w:r>
                    <w:rPr>
                      <w:rFonts w:hint="eastAsia"/>
                      <w:color w:val="auto"/>
                      <w:szCs w:val="21"/>
                    </w:rPr>
                    <w:t>《</w:t>
                  </w:r>
                  <w:r>
                    <w:rPr>
                      <w:rFonts w:hint="eastAsia"/>
                      <w:szCs w:val="21"/>
                    </w:rPr>
                    <w:t>江苏省“两高”项目管理目录(2024年版)》（苏发改规发【2024】4号）</w:t>
                  </w:r>
                  <w:r>
                    <w:rPr>
                      <w:rFonts w:hint="eastAsia"/>
                      <w:szCs w:val="21"/>
                      <w:lang w:val="en-US" w:eastAsia="zh-CN"/>
                    </w:rPr>
                    <w:t>中相关要求</w:t>
                  </w:r>
                  <w:r>
                    <w:rPr>
                      <w:szCs w:val="21"/>
                    </w:rPr>
                    <w:t>。</w:t>
                  </w:r>
                </w:p>
              </w:tc>
              <w:tc>
                <w:tcPr>
                  <w:tcW w:w="261" w:type="pct"/>
                  <w:vAlign w:val="center"/>
                </w:tcPr>
                <w:p w14:paraId="3EB48B98">
                  <w:pPr>
                    <w:widowControl/>
                    <w:jc w:val="center"/>
                    <w:rPr>
                      <w:szCs w:val="21"/>
                    </w:rPr>
                  </w:pPr>
                  <w:r>
                    <w:rPr>
                      <w:szCs w:val="21"/>
                    </w:rPr>
                    <w:t>是</w:t>
                  </w:r>
                </w:p>
              </w:tc>
            </w:tr>
          </w:tbl>
          <w:p w14:paraId="7935F46D">
            <w:pPr>
              <w:autoSpaceDE w:val="0"/>
              <w:autoSpaceDN w:val="0"/>
              <w:adjustRightInd w:val="0"/>
              <w:snapToGrid w:val="0"/>
              <w:spacing w:line="500" w:lineRule="exact"/>
              <w:ind w:firstLine="482" w:firstLineChars="200"/>
              <w:rPr>
                <w:b/>
                <w:sz w:val="24"/>
              </w:rPr>
            </w:pPr>
            <w:r>
              <w:rPr>
                <w:b/>
                <w:sz w:val="24"/>
              </w:rPr>
              <w:t>与</w:t>
            </w:r>
            <w:r>
              <w:rPr>
                <w:b/>
                <w:bCs/>
                <w:sz w:val="24"/>
              </w:rPr>
              <w:t>《江苏省2023年生态环境分区管控成果动态更新工作方案》、《常州市2023年生态环境分区管控动态更新成果》</w:t>
            </w:r>
            <w:r>
              <w:rPr>
                <w:b/>
                <w:sz w:val="24"/>
              </w:rPr>
              <w:t>相符性分析</w:t>
            </w:r>
          </w:p>
          <w:p w14:paraId="58010C89">
            <w:pPr>
              <w:autoSpaceDE w:val="0"/>
              <w:autoSpaceDN w:val="0"/>
              <w:adjustRightInd w:val="0"/>
              <w:snapToGrid w:val="0"/>
              <w:spacing w:line="500" w:lineRule="exact"/>
              <w:ind w:firstLine="480" w:firstLineChars="200"/>
              <w:rPr>
                <w:sz w:val="24"/>
              </w:rPr>
            </w:pPr>
            <w:r>
              <w:rPr>
                <w:bCs/>
                <w:sz w:val="24"/>
              </w:rPr>
              <w:t>本项目位于</w:t>
            </w:r>
            <w:r>
              <w:rPr>
                <w:sz w:val="24"/>
              </w:rPr>
              <w:t>常州市金坛区朱林镇金西工业园创业路69号</w:t>
            </w:r>
            <w:r>
              <w:rPr>
                <w:bCs/>
                <w:sz w:val="24"/>
              </w:rPr>
              <w:t>，</w:t>
            </w:r>
            <w:r>
              <w:rPr>
                <w:sz w:val="24"/>
              </w:rPr>
              <w:t>对照《江苏省2023年生态环境分区管控成果动态更新工作方案》可知，项目位于重点管控单元，其重点管控要求与本项目的相符性分析见下表</w:t>
            </w:r>
            <w:r>
              <w:rPr>
                <w:bCs/>
                <w:sz w:val="24"/>
              </w:rPr>
              <w:t>，其重点管控要求与本项目的相符性分析见下表。</w:t>
            </w:r>
          </w:p>
          <w:p w14:paraId="3B4AD835">
            <w:pPr>
              <w:spacing w:line="480" w:lineRule="exact"/>
              <w:jc w:val="center"/>
              <w:rPr>
                <w:b/>
                <w:bCs/>
                <w:color w:val="FF0000"/>
                <w:kern w:val="0"/>
                <w:sz w:val="24"/>
              </w:rPr>
            </w:pPr>
            <w:r>
              <w:rPr>
                <w:b/>
                <w:bCs/>
                <w:kern w:val="0"/>
                <w:sz w:val="24"/>
              </w:rPr>
              <w:t>表1-</w:t>
            </w:r>
            <w:r>
              <w:rPr>
                <w:rFonts w:hint="eastAsia"/>
                <w:b/>
                <w:bCs/>
                <w:kern w:val="0"/>
                <w:sz w:val="24"/>
                <w:lang w:val="en-US" w:eastAsia="zh-CN"/>
              </w:rPr>
              <w:t>17</w:t>
            </w:r>
            <w:r>
              <w:rPr>
                <w:b/>
                <w:bCs/>
                <w:kern w:val="0"/>
                <w:sz w:val="24"/>
              </w:rPr>
              <w:t xml:space="preserve">  </w:t>
            </w:r>
            <w:r>
              <w:rPr>
                <w:rFonts w:hint="eastAsia"/>
                <w:b/>
                <w:bCs/>
                <w:kern w:val="0"/>
                <w:sz w:val="24"/>
              </w:rPr>
              <w:t>与《江苏省2023年生态环境分区管控成果动态更新工作方案》相符性分析</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24"/>
              <w:gridCol w:w="927"/>
              <w:gridCol w:w="6282"/>
              <w:gridCol w:w="4328"/>
              <w:gridCol w:w="1148"/>
            </w:tblGrid>
            <w:tr w14:paraId="06A2E1B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tcMar>
                    <w:top w:w="0" w:type="dxa"/>
                    <w:left w:w="0" w:type="dxa"/>
                    <w:bottom w:w="0" w:type="dxa"/>
                    <w:right w:w="0" w:type="dxa"/>
                  </w:tcMar>
                  <w:vAlign w:val="center"/>
                </w:tcPr>
                <w:p w14:paraId="41554D6F">
                  <w:pPr>
                    <w:jc w:val="center"/>
                    <w:rPr>
                      <w:b/>
                      <w:bCs/>
                      <w:szCs w:val="21"/>
                    </w:rPr>
                  </w:pPr>
                  <w:r>
                    <w:rPr>
                      <w:b/>
                      <w:bCs/>
                      <w:szCs w:val="21"/>
                    </w:rPr>
                    <w:t>序号</w:t>
                  </w:r>
                </w:p>
              </w:tc>
              <w:tc>
                <w:tcPr>
                  <w:tcW w:w="2667" w:type="pct"/>
                  <w:gridSpan w:val="2"/>
                  <w:tcMar>
                    <w:top w:w="0" w:type="dxa"/>
                    <w:left w:w="0" w:type="dxa"/>
                    <w:bottom w:w="0" w:type="dxa"/>
                    <w:right w:w="0" w:type="dxa"/>
                  </w:tcMar>
                  <w:vAlign w:val="center"/>
                </w:tcPr>
                <w:p w14:paraId="00886F8C">
                  <w:pPr>
                    <w:jc w:val="center"/>
                    <w:rPr>
                      <w:b/>
                      <w:bCs/>
                      <w:szCs w:val="21"/>
                    </w:rPr>
                  </w:pPr>
                  <w:r>
                    <w:rPr>
                      <w:b/>
                      <w:bCs/>
                      <w:szCs w:val="21"/>
                    </w:rPr>
                    <w:t>管控要求</w:t>
                  </w:r>
                </w:p>
              </w:tc>
              <w:tc>
                <w:tcPr>
                  <w:tcW w:w="1601" w:type="pct"/>
                  <w:tcMar>
                    <w:top w:w="0" w:type="dxa"/>
                    <w:left w:w="0" w:type="dxa"/>
                    <w:bottom w:w="0" w:type="dxa"/>
                    <w:right w:w="0" w:type="dxa"/>
                  </w:tcMar>
                  <w:vAlign w:val="center"/>
                </w:tcPr>
                <w:p w14:paraId="0D2C07A2">
                  <w:pPr>
                    <w:jc w:val="center"/>
                    <w:rPr>
                      <w:b/>
                      <w:bCs/>
                      <w:szCs w:val="21"/>
                    </w:rPr>
                  </w:pPr>
                  <w:r>
                    <w:rPr>
                      <w:b/>
                      <w:bCs/>
                      <w:szCs w:val="21"/>
                    </w:rPr>
                    <w:t>本项目相关内容</w:t>
                  </w:r>
                </w:p>
              </w:tc>
              <w:tc>
                <w:tcPr>
                  <w:tcW w:w="425" w:type="pct"/>
                  <w:tcMar>
                    <w:top w:w="0" w:type="dxa"/>
                    <w:left w:w="0" w:type="dxa"/>
                    <w:bottom w:w="0" w:type="dxa"/>
                    <w:right w:w="0" w:type="dxa"/>
                  </w:tcMar>
                  <w:vAlign w:val="center"/>
                </w:tcPr>
                <w:p w14:paraId="6D2D870D">
                  <w:pPr>
                    <w:jc w:val="center"/>
                    <w:rPr>
                      <w:b/>
                      <w:bCs/>
                      <w:szCs w:val="21"/>
                    </w:rPr>
                  </w:pPr>
                  <w:r>
                    <w:rPr>
                      <w:b/>
                      <w:bCs/>
                      <w:szCs w:val="21"/>
                    </w:rPr>
                    <w:t>相符性</w:t>
                  </w:r>
                </w:p>
              </w:tc>
            </w:tr>
            <w:tr w14:paraId="7728FB0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5" w:type="pct"/>
                  <w:vMerge w:val="restart"/>
                  <w:tcMar>
                    <w:top w:w="0" w:type="dxa"/>
                    <w:left w:w="0" w:type="dxa"/>
                    <w:bottom w:w="0" w:type="dxa"/>
                    <w:right w:w="0" w:type="dxa"/>
                  </w:tcMar>
                  <w:vAlign w:val="center"/>
                </w:tcPr>
                <w:p w14:paraId="31B9FF93">
                  <w:pPr>
                    <w:jc w:val="center"/>
                    <w:rPr>
                      <w:szCs w:val="21"/>
                    </w:rPr>
                  </w:pPr>
                  <w:r>
                    <w:rPr>
                      <w:szCs w:val="21"/>
                    </w:rPr>
                    <w:t>1</w:t>
                  </w:r>
                </w:p>
              </w:tc>
              <w:tc>
                <w:tcPr>
                  <w:tcW w:w="343" w:type="pct"/>
                  <w:vMerge w:val="restart"/>
                  <w:tcMar>
                    <w:top w:w="0" w:type="dxa"/>
                    <w:left w:w="0" w:type="dxa"/>
                    <w:bottom w:w="0" w:type="dxa"/>
                    <w:right w:w="0" w:type="dxa"/>
                  </w:tcMar>
                  <w:vAlign w:val="center"/>
                </w:tcPr>
                <w:p w14:paraId="478E78ED">
                  <w:pPr>
                    <w:jc w:val="center"/>
                    <w:rPr>
                      <w:szCs w:val="21"/>
                    </w:rPr>
                  </w:pPr>
                  <w:r>
                    <w:rPr>
                      <w:szCs w:val="21"/>
                    </w:rPr>
                    <w:t>空间布局约束</w:t>
                  </w:r>
                </w:p>
              </w:tc>
              <w:tc>
                <w:tcPr>
                  <w:tcW w:w="2324" w:type="pct"/>
                  <w:tcMar>
                    <w:top w:w="0" w:type="dxa"/>
                    <w:left w:w="0" w:type="dxa"/>
                    <w:bottom w:w="0" w:type="dxa"/>
                    <w:right w:w="0" w:type="dxa"/>
                  </w:tcMar>
                  <w:vAlign w:val="center"/>
                </w:tcPr>
                <w:p w14:paraId="3FC203B9">
                  <w:pPr>
                    <w:jc w:val="center"/>
                    <w:rPr>
                      <w:szCs w:val="21"/>
                    </w:rPr>
                  </w:pPr>
                  <w:r>
                    <w:rPr>
                      <w:szCs w:val="21"/>
                    </w:rPr>
                    <w:t>1．按照《自然资源部 生态环境部 国家林业和草原局关于加强生态保护红线管理的通知（试行）》（自然资发〔2022〕</w:t>
                  </w:r>
                </w:p>
                <w:p w14:paraId="1115B211">
                  <w:pPr>
                    <w:jc w:val="center"/>
                    <w:rPr>
                      <w:szCs w:val="21"/>
                    </w:rPr>
                  </w:pPr>
                  <w:r>
                    <w:rPr>
                      <w:szCs w:val="21"/>
                    </w:rPr>
                    <w:t>142号）、《省政府关于印发江苏省生态空间管控区域规划的通知》（苏政发〔2020〕1号）、《关于进一步加强生态保护红线监督管理的通知》（苏自然函〔2023〕880号）、《江苏省国土空间规划（2021—2035年）》（国函〔2023〕</w:t>
                  </w:r>
                </w:p>
                <w:p w14:paraId="085CF232">
                  <w:pPr>
                    <w:jc w:val="center"/>
                    <w:rPr>
                      <w:szCs w:val="21"/>
                    </w:rPr>
                  </w:pPr>
                  <w:r>
                    <w:rPr>
                      <w:szCs w:val="21"/>
                    </w:rPr>
                    <w:t>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601" w:type="pct"/>
                  <w:tcMar>
                    <w:top w:w="0" w:type="dxa"/>
                    <w:left w:w="0" w:type="dxa"/>
                    <w:bottom w:w="0" w:type="dxa"/>
                    <w:right w:w="0" w:type="dxa"/>
                  </w:tcMar>
                  <w:vAlign w:val="center"/>
                </w:tcPr>
                <w:p w14:paraId="70C42E98">
                  <w:pPr>
                    <w:jc w:val="center"/>
                    <w:rPr>
                      <w:szCs w:val="21"/>
                    </w:rPr>
                  </w:pPr>
                  <w:r>
                    <w:rPr>
                      <w:szCs w:val="21"/>
                    </w:rPr>
                    <w:t>本项目不在生态保护红线范围内，项目实施后，不会使生态功能降低、不会影响生态空间面积、不会改变生态空间性质。</w:t>
                  </w:r>
                </w:p>
              </w:tc>
              <w:tc>
                <w:tcPr>
                  <w:tcW w:w="425" w:type="pct"/>
                  <w:tcMar>
                    <w:top w:w="0" w:type="dxa"/>
                    <w:left w:w="0" w:type="dxa"/>
                    <w:bottom w:w="0" w:type="dxa"/>
                    <w:right w:w="0" w:type="dxa"/>
                  </w:tcMar>
                  <w:vAlign w:val="center"/>
                </w:tcPr>
                <w:p w14:paraId="313C7388">
                  <w:pPr>
                    <w:jc w:val="center"/>
                    <w:rPr>
                      <w:szCs w:val="21"/>
                    </w:rPr>
                  </w:pPr>
                  <w:r>
                    <w:rPr>
                      <w:szCs w:val="21"/>
                    </w:rPr>
                    <w:t>相符</w:t>
                  </w:r>
                </w:p>
              </w:tc>
            </w:tr>
            <w:tr w14:paraId="6828608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5" w:type="pct"/>
                  <w:vMerge w:val="continue"/>
                  <w:tcMar>
                    <w:top w:w="0" w:type="dxa"/>
                    <w:left w:w="0" w:type="dxa"/>
                    <w:bottom w:w="0" w:type="dxa"/>
                    <w:right w:w="0" w:type="dxa"/>
                  </w:tcMar>
                  <w:vAlign w:val="center"/>
                </w:tcPr>
                <w:p w14:paraId="7A3408F8">
                  <w:pPr>
                    <w:jc w:val="center"/>
                  </w:pPr>
                </w:p>
              </w:tc>
              <w:tc>
                <w:tcPr>
                  <w:tcW w:w="343" w:type="pct"/>
                  <w:vMerge w:val="continue"/>
                  <w:tcMar>
                    <w:top w:w="0" w:type="dxa"/>
                    <w:left w:w="0" w:type="dxa"/>
                    <w:bottom w:w="0" w:type="dxa"/>
                    <w:right w:w="0" w:type="dxa"/>
                  </w:tcMar>
                  <w:vAlign w:val="center"/>
                </w:tcPr>
                <w:p w14:paraId="39491DFC">
                  <w:pPr>
                    <w:jc w:val="center"/>
                  </w:pPr>
                </w:p>
              </w:tc>
              <w:tc>
                <w:tcPr>
                  <w:tcW w:w="2324" w:type="pct"/>
                  <w:tcMar>
                    <w:top w:w="0" w:type="dxa"/>
                    <w:left w:w="0" w:type="dxa"/>
                    <w:bottom w:w="0" w:type="dxa"/>
                    <w:right w:w="0" w:type="dxa"/>
                  </w:tcMar>
                  <w:vAlign w:val="center"/>
                </w:tcPr>
                <w:p w14:paraId="45102B2E">
                  <w:pPr>
                    <w:jc w:val="center"/>
                    <w:rPr>
                      <w:szCs w:val="21"/>
                    </w:rPr>
                  </w:pPr>
                  <w:r>
                    <w:rPr>
                      <w:szCs w:val="21"/>
                    </w:rPr>
                    <w:t>2．牢牢把握推动长江经济带发展“共抓大保护，不搞大开发”战略导向，对省域范围内需要重点保护的岸线、河段和区域实行严格管控，管住控好排放量大、耗能高、产能过剩的产业，推动长江经济带高质量发展。</w:t>
                  </w:r>
                </w:p>
              </w:tc>
              <w:tc>
                <w:tcPr>
                  <w:tcW w:w="1601" w:type="pct"/>
                  <w:tcMar>
                    <w:top w:w="0" w:type="dxa"/>
                    <w:left w:w="0" w:type="dxa"/>
                    <w:bottom w:w="0" w:type="dxa"/>
                    <w:right w:w="0" w:type="dxa"/>
                  </w:tcMar>
                  <w:vAlign w:val="center"/>
                </w:tcPr>
                <w:p w14:paraId="18556D5D">
                  <w:pPr>
                    <w:jc w:val="center"/>
                    <w:rPr>
                      <w:szCs w:val="21"/>
                    </w:rPr>
                  </w:pPr>
                  <w:r>
                    <w:rPr>
                      <w:szCs w:val="21"/>
                    </w:rPr>
                    <w:t>本项目不在重点保护的岸线、河段、区域范围内，不属于排放量大、耗能高、产能过剩的产业。</w:t>
                  </w:r>
                </w:p>
              </w:tc>
              <w:tc>
                <w:tcPr>
                  <w:tcW w:w="425" w:type="pct"/>
                  <w:tcMar>
                    <w:top w:w="0" w:type="dxa"/>
                    <w:left w:w="0" w:type="dxa"/>
                    <w:bottom w:w="0" w:type="dxa"/>
                    <w:right w:w="0" w:type="dxa"/>
                  </w:tcMar>
                  <w:vAlign w:val="center"/>
                </w:tcPr>
                <w:p w14:paraId="2051409C">
                  <w:pPr>
                    <w:jc w:val="center"/>
                    <w:rPr>
                      <w:szCs w:val="21"/>
                    </w:rPr>
                  </w:pPr>
                  <w:r>
                    <w:rPr>
                      <w:szCs w:val="21"/>
                    </w:rPr>
                    <w:t>相符</w:t>
                  </w:r>
                </w:p>
              </w:tc>
            </w:tr>
            <w:tr w14:paraId="651F03B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5" w:type="pct"/>
                  <w:vMerge w:val="continue"/>
                  <w:tcMar>
                    <w:top w:w="0" w:type="dxa"/>
                    <w:left w:w="0" w:type="dxa"/>
                    <w:bottom w:w="0" w:type="dxa"/>
                    <w:right w:w="0" w:type="dxa"/>
                  </w:tcMar>
                  <w:vAlign w:val="center"/>
                </w:tcPr>
                <w:p w14:paraId="700B5223">
                  <w:pPr>
                    <w:jc w:val="center"/>
                    <w:rPr>
                      <w:szCs w:val="21"/>
                    </w:rPr>
                  </w:pPr>
                </w:p>
              </w:tc>
              <w:tc>
                <w:tcPr>
                  <w:tcW w:w="343" w:type="pct"/>
                  <w:vMerge w:val="continue"/>
                  <w:tcMar>
                    <w:top w:w="0" w:type="dxa"/>
                    <w:left w:w="0" w:type="dxa"/>
                    <w:bottom w:w="0" w:type="dxa"/>
                    <w:right w:w="0" w:type="dxa"/>
                  </w:tcMar>
                  <w:vAlign w:val="center"/>
                </w:tcPr>
                <w:p w14:paraId="7D5AECAA">
                  <w:pPr>
                    <w:jc w:val="center"/>
                    <w:rPr>
                      <w:szCs w:val="21"/>
                    </w:rPr>
                  </w:pPr>
                </w:p>
              </w:tc>
              <w:tc>
                <w:tcPr>
                  <w:tcW w:w="2324" w:type="pct"/>
                  <w:tcMar>
                    <w:top w:w="0" w:type="dxa"/>
                    <w:left w:w="0" w:type="dxa"/>
                    <w:bottom w:w="0" w:type="dxa"/>
                    <w:right w:w="0" w:type="dxa"/>
                  </w:tcMar>
                  <w:vAlign w:val="center"/>
                </w:tcPr>
                <w:p w14:paraId="243641F3">
                  <w:pPr>
                    <w:jc w:val="center"/>
                    <w:rPr>
                      <w:szCs w:val="21"/>
                    </w:rPr>
                  </w:pPr>
                  <w:r>
                    <w:rPr>
                      <w:szCs w:val="21"/>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601" w:type="pct"/>
                  <w:tcMar>
                    <w:top w:w="0" w:type="dxa"/>
                    <w:left w:w="0" w:type="dxa"/>
                    <w:bottom w:w="0" w:type="dxa"/>
                    <w:right w:w="0" w:type="dxa"/>
                  </w:tcMar>
                  <w:vAlign w:val="center"/>
                </w:tcPr>
                <w:p w14:paraId="508CDB6C">
                  <w:pPr>
                    <w:jc w:val="center"/>
                    <w:rPr>
                      <w:szCs w:val="21"/>
                    </w:rPr>
                  </w:pPr>
                  <w:r>
                    <w:rPr>
                      <w:szCs w:val="21"/>
                    </w:rPr>
                    <w:t>本项目不在长江干支流两侧1公里范围内。</w:t>
                  </w:r>
                </w:p>
              </w:tc>
              <w:tc>
                <w:tcPr>
                  <w:tcW w:w="425" w:type="pct"/>
                  <w:tcMar>
                    <w:top w:w="0" w:type="dxa"/>
                    <w:left w:w="0" w:type="dxa"/>
                    <w:bottom w:w="0" w:type="dxa"/>
                    <w:right w:w="0" w:type="dxa"/>
                  </w:tcMar>
                  <w:vAlign w:val="center"/>
                </w:tcPr>
                <w:p w14:paraId="46CA9766">
                  <w:pPr>
                    <w:jc w:val="center"/>
                    <w:rPr>
                      <w:szCs w:val="21"/>
                    </w:rPr>
                  </w:pPr>
                  <w:r>
                    <w:rPr>
                      <w:szCs w:val="21"/>
                    </w:rPr>
                    <w:t>相符</w:t>
                  </w:r>
                </w:p>
              </w:tc>
            </w:tr>
            <w:tr w14:paraId="21BBBFD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305" w:type="pct"/>
                  <w:vMerge w:val="continue"/>
                  <w:tcMar>
                    <w:top w:w="0" w:type="dxa"/>
                    <w:left w:w="0" w:type="dxa"/>
                    <w:bottom w:w="0" w:type="dxa"/>
                    <w:right w:w="0" w:type="dxa"/>
                  </w:tcMar>
                  <w:vAlign w:val="center"/>
                </w:tcPr>
                <w:p w14:paraId="71DF41C6">
                  <w:pPr>
                    <w:jc w:val="center"/>
                    <w:rPr>
                      <w:szCs w:val="21"/>
                    </w:rPr>
                  </w:pPr>
                </w:p>
              </w:tc>
              <w:tc>
                <w:tcPr>
                  <w:tcW w:w="343" w:type="pct"/>
                  <w:vMerge w:val="continue"/>
                  <w:tcMar>
                    <w:top w:w="0" w:type="dxa"/>
                    <w:left w:w="0" w:type="dxa"/>
                    <w:bottom w:w="0" w:type="dxa"/>
                    <w:right w:w="0" w:type="dxa"/>
                  </w:tcMar>
                  <w:vAlign w:val="center"/>
                </w:tcPr>
                <w:p w14:paraId="1CEB3A26">
                  <w:pPr>
                    <w:jc w:val="center"/>
                    <w:rPr>
                      <w:szCs w:val="21"/>
                    </w:rPr>
                  </w:pPr>
                </w:p>
              </w:tc>
              <w:tc>
                <w:tcPr>
                  <w:tcW w:w="2324" w:type="pct"/>
                  <w:tcMar>
                    <w:top w:w="0" w:type="dxa"/>
                    <w:left w:w="0" w:type="dxa"/>
                    <w:bottom w:w="0" w:type="dxa"/>
                    <w:right w:w="0" w:type="dxa"/>
                  </w:tcMar>
                  <w:vAlign w:val="center"/>
                </w:tcPr>
                <w:p w14:paraId="072288F8">
                  <w:pPr>
                    <w:jc w:val="center"/>
                    <w:rPr>
                      <w:szCs w:val="21"/>
                    </w:rPr>
                  </w:pPr>
                  <w:r>
                    <w:rPr>
                      <w:szCs w:val="21"/>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601" w:type="pct"/>
                  <w:tcMar>
                    <w:top w:w="0" w:type="dxa"/>
                    <w:left w:w="0" w:type="dxa"/>
                    <w:bottom w:w="0" w:type="dxa"/>
                    <w:right w:w="0" w:type="dxa"/>
                  </w:tcMar>
                  <w:vAlign w:val="center"/>
                </w:tcPr>
                <w:p w14:paraId="52ED384E">
                  <w:pPr>
                    <w:jc w:val="center"/>
                    <w:rPr>
                      <w:szCs w:val="21"/>
                    </w:rPr>
                  </w:pPr>
                  <w:r>
                    <w:rPr>
                      <w:szCs w:val="21"/>
                    </w:rPr>
                    <w:t>本项目不属于钢铁行业。</w:t>
                  </w:r>
                </w:p>
              </w:tc>
              <w:tc>
                <w:tcPr>
                  <w:tcW w:w="425" w:type="pct"/>
                  <w:tcMar>
                    <w:top w:w="0" w:type="dxa"/>
                    <w:left w:w="0" w:type="dxa"/>
                    <w:bottom w:w="0" w:type="dxa"/>
                    <w:right w:w="0" w:type="dxa"/>
                  </w:tcMar>
                  <w:vAlign w:val="center"/>
                </w:tcPr>
                <w:p w14:paraId="7195FA99">
                  <w:pPr>
                    <w:jc w:val="center"/>
                    <w:rPr>
                      <w:szCs w:val="21"/>
                    </w:rPr>
                  </w:pPr>
                  <w:r>
                    <w:rPr>
                      <w:szCs w:val="21"/>
                    </w:rPr>
                    <w:t>相符</w:t>
                  </w:r>
                </w:p>
              </w:tc>
            </w:tr>
            <w:tr w14:paraId="4D7DD31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tcMar>
                    <w:top w:w="0" w:type="dxa"/>
                    <w:left w:w="0" w:type="dxa"/>
                    <w:bottom w:w="0" w:type="dxa"/>
                    <w:right w:w="0" w:type="dxa"/>
                  </w:tcMar>
                  <w:vAlign w:val="center"/>
                </w:tcPr>
                <w:p w14:paraId="3ABC3390">
                  <w:pPr>
                    <w:jc w:val="center"/>
                    <w:rPr>
                      <w:szCs w:val="21"/>
                    </w:rPr>
                  </w:pPr>
                </w:p>
              </w:tc>
              <w:tc>
                <w:tcPr>
                  <w:tcW w:w="343" w:type="pct"/>
                  <w:vMerge w:val="continue"/>
                  <w:tcMar>
                    <w:top w:w="0" w:type="dxa"/>
                    <w:left w:w="0" w:type="dxa"/>
                    <w:bottom w:w="0" w:type="dxa"/>
                    <w:right w:w="0" w:type="dxa"/>
                  </w:tcMar>
                  <w:vAlign w:val="center"/>
                </w:tcPr>
                <w:p w14:paraId="6112F094">
                  <w:pPr>
                    <w:jc w:val="center"/>
                    <w:rPr>
                      <w:szCs w:val="21"/>
                    </w:rPr>
                  </w:pPr>
                </w:p>
              </w:tc>
              <w:tc>
                <w:tcPr>
                  <w:tcW w:w="2324" w:type="pct"/>
                  <w:tcMar>
                    <w:top w:w="0" w:type="dxa"/>
                    <w:left w:w="0" w:type="dxa"/>
                    <w:bottom w:w="0" w:type="dxa"/>
                    <w:right w:w="0" w:type="dxa"/>
                  </w:tcMar>
                  <w:vAlign w:val="center"/>
                </w:tcPr>
                <w:p w14:paraId="2EA452BB">
                  <w:pPr>
                    <w:jc w:val="center"/>
                    <w:rPr>
                      <w:szCs w:val="21"/>
                    </w:rPr>
                  </w:pPr>
                  <w:r>
                    <w:rPr>
                      <w:szCs w:val="21"/>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601" w:type="pct"/>
                  <w:tcMar>
                    <w:top w:w="0" w:type="dxa"/>
                    <w:left w:w="0" w:type="dxa"/>
                    <w:bottom w:w="0" w:type="dxa"/>
                    <w:right w:w="0" w:type="dxa"/>
                  </w:tcMar>
                  <w:vAlign w:val="center"/>
                </w:tcPr>
                <w:p w14:paraId="71069829">
                  <w:pPr>
                    <w:jc w:val="center"/>
                    <w:rPr>
                      <w:szCs w:val="21"/>
                    </w:rPr>
                  </w:pPr>
                  <w:r>
                    <w:rPr>
                      <w:szCs w:val="21"/>
                    </w:rPr>
                    <w:t>本项目不涉及生态保护红线、相关法定保护区的重大民生项目、重大基础设施项目。</w:t>
                  </w:r>
                </w:p>
              </w:tc>
              <w:tc>
                <w:tcPr>
                  <w:tcW w:w="425" w:type="pct"/>
                  <w:tcMar>
                    <w:top w:w="0" w:type="dxa"/>
                    <w:left w:w="0" w:type="dxa"/>
                    <w:bottom w:w="0" w:type="dxa"/>
                    <w:right w:w="0" w:type="dxa"/>
                  </w:tcMar>
                  <w:vAlign w:val="center"/>
                </w:tcPr>
                <w:p w14:paraId="250860FF">
                  <w:pPr>
                    <w:jc w:val="center"/>
                    <w:rPr>
                      <w:szCs w:val="21"/>
                    </w:rPr>
                  </w:pPr>
                  <w:r>
                    <w:rPr>
                      <w:szCs w:val="21"/>
                    </w:rPr>
                    <w:t>相符</w:t>
                  </w:r>
                </w:p>
              </w:tc>
            </w:tr>
            <w:tr w14:paraId="436AB7D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restart"/>
                  <w:tcMar>
                    <w:top w:w="0" w:type="dxa"/>
                    <w:left w:w="0" w:type="dxa"/>
                    <w:bottom w:w="0" w:type="dxa"/>
                    <w:right w:w="0" w:type="dxa"/>
                  </w:tcMar>
                  <w:vAlign w:val="center"/>
                </w:tcPr>
                <w:p w14:paraId="6F187CAF">
                  <w:pPr>
                    <w:jc w:val="center"/>
                    <w:rPr>
                      <w:szCs w:val="21"/>
                    </w:rPr>
                  </w:pPr>
                  <w:r>
                    <w:rPr>
                      <w:szCs w:val="21"/>
                    </w:rPr>
                    <w:t>2</w:t>
                  </w:r>
                </w:p>
              </w:tc>
              <w:tc>
                <w:tcPr>
                  <w:tcW w:w="343" w:type="pct"/>
                  <w:vMerge w:val="restart"/>
                  <w:tcMar>
                    <w:top w:w="0" w:type="dxa"/>
                    <w:left w:w="0" w:type="dxa"/>
                    <w:bottom w:w="0" w:type="dxa"/>
                    <w:right w:w="0" w:type="dxa"/>
                  </w:tcMar>
                  <w:vAlign w:val="center"/>
                </w:tcPr>
                <w:p w14:paraId="19744987">
                  <w:pPr>
                    <w:jc w:val="center"/>
                    <w:rPr>
                      <w:szCs w:val="21"/>
                    </w:rPr>
                  </w:pPr>
                  <w:r>
                    <w:rPr>
                      <w:szCs w:val="21"/>
                    </w:rPr>
                    <w:t>污染物排放管控</w:t>
                  </w:r>
                </w:p>
              </w:tc>
              <w:tc>
                <w:tcPr>
                  <w:tcW w:w="2324" w:type="pct"/>
                  <w:tcMar>
                    <w:top w:w="0" w:type="dxa"/>
                    <w:left w:w="0" w:type="dxa"/>
                    <w:bottom w:w="0" w:type="dxa"/>
                    <w:right w:w="0" w:type="dxa"/>
                  </w:tcMar>
                  <w:vAlign w:val="center"/>
                </w:tcPr>
                <w:p w14:paraId="1D356E93">
                  <w:pPr>
                    <w:jc w:val="center"/>
                    <w:rPr>
                      <w:szCs w:val="21"/>
                    </w:rPr>
                  </w:pPr>
                  <w:r>
                    <w:rPr>
                      <w:szCs w:val="21"/>
                    </w:rPr>
                    <w:t>1．坚持生态环境质量只能更好、不能变坏，实施污染物总量控制，以环境容量定产业、定项目、定规模，确保开发建设行为不突破生态环境承载力。</w:t>
                  </w:r>
                </w:p>
              </w:tc>
              <w:tc>
                <w:tcPr>
                  <w:tcW w:w="1601" w:type="pct"/>
                  <w:tcMar>
                    <w:top w:w="0" w:type="dxa"/>
                    <w:left w:w="0" w:type="dxa"/>
                    <w:bottom w:w="0" w:type="dxa"/>
                    <w:right w:w="0" w:type="dxa"/>
                  </w:tcMar>
                  <w:vAlign w:val="center"/>
                </w:tcPr>
                <w:p w14:paraId="25DFCF87">
                  <w:pPr>
                    <w:jc w:val="center"/>
                    <w:rPr>
                      <w:szCs w:val="21"/>
                    </w:rPr>
                  </w:pPr>
                  <w:r>
                    <w:rPr>
                      <w:szCs w:val="21"/>
                    </w:rPr>
                    <w:t>本项目将按要求向常州市金坛生态环境局申请总量。</w:t>
                  </w:r>
                </w:p>
              </w:tc>
              <w:tc>
                <w:tcPr>
                  <w:tcW w:w="425" w:type="pct"/>
                  <w:tcMar>
                    <w:top w:w="0" w:type="dxa"/>
                    <w:left w:w="0" w:type="dxa"/>
                    <w:bottom w:w="0" w:type="dxa"/>
                    <w:right w:w="0" w:type="dxa"/>
                  </w:tcMar>
                  <w:vAlign w:val="center"/>
                </w:tcPr>
                <w:p w14:paraId="16292485">
                  <w:pPr>
                    <w:jc w:val="center"/>
                    <w:rPr>
                      <w:szCs w:val="21"/>
                    </w:rPr>
                  </w:pPr>
                  <w:r>
                    <w:rPr>
                      <w:szCs w:val="21"/>
                    </w:rPr>
                    <w:t>相符</w:t>
                  </w:r>
                </w:p>
              </w:tc>
            </w:tr>
            <w:tr w14:paraId="269AFD5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tcMar>
                    <w:top w:w="0" w:type="dxa"/>
                    <w:left w:w="0" w:type="dxa"/>
                    <w:bottom w:w="0" w:type="dxa"/>
                    <w:right w:w="0" w:type="dxa"/>
                  </w:tcMar>
                  <w:vAlign w:val="center"/>
                </w:tcPr>
                <w:p w14:paraId="701A9AEC">
                  <w:pPr>
                    <w:jc w:val="center"/>
                    <w:rPr>
                      <w:szCs w:val="21"/>
                    </w:rPr>
                  </w:pPr>
                </w:p>
              </w:tc>
              <w:tc>
                <w:tcPr>
                  <w:tcW w:w="343" w:type="pct"/>
                  <w:vMerge w:val="continue"/>
                  <w:tcMar>
                    <w:top w:w="0" w:type="dxa"/>
                    <w:left w:w="0" w:type="dxa"/>
                    <w:bottom w:w="0" w:type="dxa"/>
                    <w:right w:w="0" w:type="dxa"/>
                  </w:tcMar>
                  <w:vAlign w:val="center"/>
                </w:tcPr>
                <w:p w14:paraId="47B6534F">
                  <w:pPr>
                    <w:jc w:val="center"/>
                    <w:rPr>
                      <w:szCs w:val="21"/>
                    </w:rPr>
                  </w:pPr>
                </w:p>
              </w:tc>
              <w:tc>
                <w:tcPr>
                  <w:tcW w:w="2324" w:type="pct"/>
                  <w:tcMar>
                    <w:top w:w="0" w:type="dxa"/>
                    <w:left w:w="0" w:type="dxa"/>
                    <w:bottom w:w="0" w:type="dxa"/>
                    <w:right w:w="0" w:type="dxa"/>
                  </w:tcMar>
                  <w:vAlign w:val="center"/>
                </w:tcPr>
                <w:p w14:paraId="38A6D60A">
                  <w:pPr>
                    <w:jc w:val="center"/>
                    <w:rPr>
                      <w:szCs w:val="21"/>
                    </w:rPr>
                  </w:pPr>
                  <w:r>
                    <w:rPr>
                      <w:szCs w:val="21"/>
                    </w:rPr>
                    <w:t>2．2025年，主要污染物排放减排完成国家下达任务，单位工业增加值二氧化碳排放量下降20%，主要高耗能行业单位产品二氧化碳排放达到世界先进水平。实施氮氧化物（NOx）和VOCs协同减排，推进多污染物和关联区域联防联控。</w:t>
                  </w:r>
                </w:p>
              </w:tc>
              <w:tc>
                <w:tcPr>
                  <w:tcW w:w="1601" w:type="pct"/>
                  <w:tcMar>
                    <w:top w:w="0" w:type="dxa"/>
                    <w:left w:w="0" w:type="dxa"/>
                    <w:bottom w:w="0" w:type="dxa"/>
                    <w:right w:w="0" w:type="dxa"/>
                  </w:tcMar>
                  <w:vAlign w:val="center"/>
                </w:tcPr>
                <w:p w14:paraId="736E1D63">
                  <w:pPr>
                    <w:jc w:val="center"/>
                    <w:rPr>
                      <w:szCs w:val="21"/>
                    </w:rPr>
                  </w:pPr>
                  <w:r>
                    <w:rPr>
                      <w:szCs w:val="21"/>
                    </w:rPr>
                    <w:t>本项目不属于高能耗工业，本项目不产生氮氧化物和VOCs废气。</w:t>
                  </w:r>
                </w:p>
              </w:tc>
              <w:tc>
                <w:tcPr>
                  <w:tcW w:w="425" w:type="pct"/>
                  <w:tcMar>
                    <w:top w:w="0" w:type="dxa"/>
                    <w:left w:w="0" w:type="dxa"/>
                    <w:bottom w:w="0" w:type="dxa"/>
                    <w:right w:w="0" w:type="dxa"/>
                  </w:tcMar>
                  <w:vAlign w:val="center"/>
                </w:tcPr>
                <w:p w14:paraId="626A6469">
                  <w:pPr>
                    <w:jc w:val="center"/>
                    <w:rPr>
                      <w:szCs w:val="21"/>
                    </w:rPr>
                  </w:pPr>
                  <w:r>
                    <w:rPr>
                      <w:szCs w:val="21"/>
                    </w:rPr>
                    <w:t>相符</w:t>
                  </w:r>
                </w:p>
              </w:tc>
            </w:tr>
            <w:tr w14:paraId="39E649B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restart"/>
                  <w:tcMar>
                    <w:top w:w="0" w:type="dxa"/>
                    <w:left w:w="0" w:type="dxa"/>
                    <w:bottom w:w="0" w:type="dxa"/>
                    <w:right w:w="0" w:type="dxa"/>
                  </w:tcMar>
                  <w:vAlign w:val="center"/>
                </w:tcPr>
                <w:p w14:paraId="22F4D8DB">
                  <w:pPr>
                    <w:jc w:val="center"/>
                    <w:rPr>
                      <w:szCs w:val="21"/>
                    </w:rPr>
                  </w:pPr>
                  <w:r>
                    <w:rPr>
                      <w:szCs w:val="21"/>
                    </w:rPr>
                    <w:t>3</w:t>
                  </w:r>
                </w:p>
              </w:tc>
              <w:tc>
                <w:tcPr>
                  <w:tcW w:w="343" w:type="pct"/>
                  <w:vMerge w:val="restart"/>
                  <w:tcMar>
                    <w:top w:w="0" w:type="dxa"/>
                    <w:left w:w="0" w:type="dxa"/>
                    <w:bottom w:w="0" w:type="dxa"/>
                    <w:right w:w="0" w:type="dxa"/>
                  </w:tcMar>
                  <w:vAlign w:val="center"/>
                </w:tcPr>
                <w:p w14:paraId="26300787">
                  <w:pPr>
                    <w:jc w:val="center"/>
                    <w:rPr>
                      <w:szCs w:val="21"/>
                    </w:rPr>
                  </w:pPr>
                  <w:r>
                    <w:rPr>
                      <w:szCs w:val="21"/>
                    </w:rPr>
                    <w:t>环境风险防控</w:t>
                  </w:r>
                </w:p>
              </w:tc>
              <w:tc>
                <w:tcPr>
                  <w:tcW w:w="2324" w:type="pct"/>
                  <w:tcMar>
                    <w:top w:w="0" w:type="dxa"/>
                    <w:left w:w="0" w:type="dxa"/>
                    <w:bottom w:w="0" w:type="dxa"/>
                    <w:right w:w="0" w:type="dxa"/>
                  </w:tcMar>
                  <w:vAlign w:val="center"/>
                </w:tcPr>
                <w:p w14:paraId="1B9D81D7">
                  <w:pPr>
                    <w:jc w:val="center"/>
                    <w:rPr>
                      <w:szCs w:val="21"/>
                    </w:rPr>
                  </w:pPr>
                  <w:r>
                    <w:rPr>
                      <w:szCs w:val="21"/>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601" w:type="pct"/>
                  <w:tcMar>
                    <w:top w:w="0" w:type="dxa"/>
                    <w:left w:w="0" w:type="dxa"/>
                    <w:bottom w:w="0" w:type="dxa"/>
                    <w:right w:w="0" w:type="dxa"/>
                  </w:tcMar>
                  <w:vAlign w:val="center"/>
                </w:tcPr>
                <w:p w14:paraId="048AC6A3">
                  <w:pPr>
                    <w:jc w:val="center"/>
                    <w:rPr>
                      <w:szCs w:val="21"/>
                    </w:rPr>
                  </w:pPr>
                  <w:r>
                    <w:rPr>
                      <w:szCs w:val="21"/>
                    </w:rPr>
                    <w:t>本项目不运输剧毒物质和危险化学品；本项目产生的危险废物交由有资质单位处置，零排放。</w:t>
                  </w:r>
                </w:p>
              </w:tc>
              <w:tc>
                <w:tcPr>
                  <w:tcW w:w="425" w:type="pct"/>
                  <w:tcMar>
                    <w:top w:w="0" w:type="dxa"/>
                    <w:left w:w="0" w:type="dxa"/>
                    <w:bottom w:w="0" w:type="dxa"/>
                    <w:right w:w="0" w:type="dxa"/>
                  </w:tcMar>
                  <w:vAlign w:val="center"/>
                </w:tcPr>
                <w:p w14:paraId="5AF31129">
                  <w:pPr>
                    <w:jc w:val="center"/>
                    <w:rPr>
                      <w:szCs w:val="21"/>
                    </w:rPr>
                  </w:pPr>
                  <w:r>
                    <w:rPr>
                      <w:szCs w:val="21"/>
                    </w:rPr>
                    <w:t>相符</w:t>
                  </w:r>
                </w:p>
              </w:tc>
            </w:tr>
            <w:tr w14:paraId="2FEE4B6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tcMar>
                    <w:top w:w="0" w:type="dxa"/>
                    <w:left w:w="0" w:type="dxa"/>
                    <w:bottom w:w="0" w:type="dxa"/>
                    <w:right w:w="0" w:type="dxa"/>
                  </w:tcMar>
                  <w:vAlign w:val="center"/>
                </w:tcPr>
                <w:p w14:paraId="52A6693D">
                  <w:pPr>
                    <w:jc w:val="center"/>
                    <w:rPr>
                      <w:szCs w:val="21"/>
                    </w:rPr>
                  </w:pPr>
                </w:p>
              </w:tc>
              <w:tc>
                <w:tcPr>
                  <w:tcW w:w="343" w:type="pct"/>
                  <w:vMerge w:val="continue"/>
                  <w:tcMar>
                    <w:top w:w="0" w:type="dxa"/>
                    <w:left w:w="0" w:type="dxa"/>
                    <w:bottom w:w="0" w:type="dxa"/>
                    <w:right w:w="0" w:type="dxa"/>
                  </w:tcMar>
                  <w:vAlign w:val="center"/>
                </w:tcPr>
                <w:p w14:paraId="552023BF">
                  <w:pPr>
                    <w:jc w:val="center"/>
                    <w:rPr>
                      <w:szCs w:val="21"/>
                    </w:rPr>
                  </w:pPr>
                </w:p>
              </w:tc>
              <w:tc>
                <w:tcPr>
                  <w:tcW w:w="2324" w:type="pct"/>
                  <w:tcMar>
                    <w:top w:w="0" w:type="dxa"/>
                    <w:left w:w="0" w:type="dxa"/>
                    <w:bottom w:w="0" w:type="dxa"/>
                    <w:right w:w="0" w:type="dxa"/>
                  </w:tcMar>
                  <w:vAlign w:val="center"/>
                </w:tcPr>
                <w:p w14:paraId="4D084761">
                  <w:pPr>
                    <w:jc w:val="center"/>
                    <w:rPr>
                      <w:szCs w:val="21"/>
                    </w:rPr>
                  </w:pPr>
                  <w:r>
                    <w:rPr>
                      <w:szCs w:val="21"/>
                    </w:rPr>
                    <w:t>3．强化环境事故应急管理。深化跨部门、跨区域环境应急协调联动，分区域建立环境应急物资储备库。各级工业园区（集聚区）和企业的环境应急装备和储备物资应纳入储备体系。</w:t>
                  </w:r>
                </w:p>
              </w:tc>
              <w:tc>
                <w:tcPr>
                  <w:tcW w:w="1601" w:type="pct"/>
                  <w:tcMar>
                    <w:top w:w="0" w:type="dxa"/>
                    <w:left w:w="0" w:type="dxa"/>
                    <w:bottom w:w="0" w:type="dxa"/>
                    <w:right w:w="0" w:type="dxa"/>
                  </w:tcMar>
                  <w:vAlign w:val="center"/>
                </w:tcPr>
                <w:p w14:paraId="51A72AC8">
                  <w:pPr>
                    <w:jc w:val="center"/>
                    <w:rPr>
                      <w:szCs w:val="21"/>
                    </w:rPr>
                  </w:pPr>
                  <w:r>
                    <w:rPr>
                      <w:szCs w:val="21"/>
                    </w:rPr>
                    <w:t>项目实施后，按要求配备环境应急装备、储备应急物资。</w:t>
                  </w:r>
                </w:p>
              </w:tc>
              <w:tc>
                <w:tcPr>
                  <w:tcW w:w="425" w:type="pct"/>
                  <w:tcMar>
                    <w:top w:w="0" w:type="dxa"/>
                    <w:left w:w="0" w:type="dxa"/>
                    <w:bottom w:w="0" w:type="dxa"/>
                    <w:right w:w="0" w:type="dxa"/>
                  </w:tcMar>
                  <w:vAlign w:val="center"/>
                </w:tcPr>
                <w:p w14:paraId="15210CA1">
                  <w:pPr>
                    <w:jc w:val="center"/>
                    <w:rPr>
                      <w:szCs w:val="21"/>
                    </w:rPr>
                  </w:pPr>
                  <w:r>
                    <w:rPr>
                      <w:szCs w:val="21"/>
                    </w:rPr>
                    <w:t>相符</w:t>
                  </w:r>
                </w:p>
              </w:tc>
            </w:tr>
            <w:tr w14:paraId="180C1FE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tcMar>
                    <w:top w:w="0" w:type="dxa"/>
                    <w:left w:w="0" w:type="dxa"/>
                    <w:bottom w:w="0" w:type="dxa"/>
                    <w:right w:w="0" w:type="dxa"/>
                  </w:tcMar>
                  <w:vAlign w:val="center"/>
                </w:tcPr>
                <w:p w14:paraId="63CEF911">
                  <w:pPr>
                    <w:jc w:val="center"/>
                    <w:rPr>
                      <w:szCs w:val="21"/>
                    </w:rPr>
                  </w:pPr>
                </w:p>
              </w:tc>
              <w:tc>
                <w:tcPr>
                  <w:tcW w:w="343" w:type="pct"/>
                  <w:vMerge w:val="continue"/>
                  <w:tcMar>
                    <w:top w:w="0" w:type="dxa"/>
                    <w:left w:w="0" w:type="dxa"/>
                    <w:bottom w:w="0" w:type="dxa"/>
                    <w:right w:w="0" w:type="dxa"/>
                  </w:tcMar>
                  <w:vAlign w:val="center"/>
                </w:tcPr>
                <w:p w14:paraId="1635F4CB">
                  <w:pPr>
                    <w:jc w:val="center"/>
                    <w:rPr>
                      <w:szCs w:val="21"/>
                    </w:rPr>
                  </w:pPr>
                </w:p>
              </w:tc>
              <w:tc>
                <w:tcPr>
                  <w:tcW w:w="2324" w:type="pct"/>
                  <w:tcMar>
                    <w:top w:w="0" w:type="dxa"/>
                    <w:left w:w="0" w:type="dxa"/>
                    <w:bottom w:w="0" w:type="dxa"/>
                    <w:right w:w="0" w:type="dxa"/>
                  </w:tcMar>
                  <w:vAlign w:val="center"/>
                </w:tcPr>
                <w:p w14:paraId="2EFCCDA3">
                  <w:pPr>
                    <w:jc w:val="center"/>
                    <w:rPr>
                      <w:szCs w:val="21"/>
                    </w:rPr>
                  </w:pPr>
                  <w:r>
                    <w:rPr>
                      <w:szCs w:val="21"/>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601" w:type="pct"/>
                  <w:tcMar>
                    <w:top w:w="0" w:type="dxa"/>
                    <w:left w:w="0" w:type="dxa"/>
                    <w:bottom w:w="0" w:type="dxa"/>
                    <w:right w:w="0" w:type="dxa"/>
                  </w:tcMar>
                  <w:vAlign w:val="center"/>
                </w:tcPr>
                <w:p w14:paraId="3369C167">
                  <w:pPr>
                    <w:jc w:val="center"/>
                    <w:rPr>
                      <w:szCs w:val="21"/>
                    </w:rPr>
                  </w:pPr>
                  <w:r>
                    <w:rPr>
                      <w:szCs w:val="21"/>
                    </w:rPr>
                    <w:t>项目实施后，按要求编制突发环境事件应急预案、落实预案中的相关风险防范措施并报相关部门备案。</w:t>
                  </w:r>
                </w:p>
              </w:tc>
              <w:tc>
                <w:tcPr>
                  <w:tcW w:w="425" w:type="pct"/>
                  <w:tcMar>
                    <w:top w:w="0" w:type="dxa"/>
                    <w:left w:w="0" w:type="dxa"/>
                    <w:bottom w:w="0" w:type="dxa"/>
                    <w:right w:w="0" w:type="dxa"/>
                  </w:tcMar>
                  <w:vAlign w:val="center"/>
                </w:tcPr>
                <w:p w14:paraId="7B2D686D">
                  <w:pPr>
                    <w:jc w:val="center"/>
                    <w:rPr>
                      <w:szCs w:val="21"/>
                    </w:rPr>
                  </w:pPr>
                  <w:r>
                    <w:rPr>
                      <w:szCs w:val="21"/>
                    </w:rPr>
                    <w:t>相符</w:t>
                  </w:r>
                </w:p>
              </w:tc>
            </w:tr>
            <w:tr w14:paraId="61AB326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restart"/>
                  <w:tcMar>
                    <w:top w:w="0" w:type="dxa"/>
                    <w:left w:w="0" w:type="dxa"/>
                    <w:bottom w:w="0" w:type="dxa"/>
                    <w:right w:w="0" w:type="dxa"/>
                  </w:tcMar>
                  <w:vAlign w:val="center"/>
                </w:tcPr>
                <w:p w14:paraId="24308F9A">
                  <w:pPr>
                    <w:jc w:val="center"/>
                    <w:rPr>
                      <w:szCs w:val="21"/>
                    </w:rPr>
                  </w:pPr>
                  <w:r>
                    <w:rPr>
                      <w:szCs w:val="21"/>
                    </w:rPr>
                    <w:t>4</w:t>
                  </w:r>
                </w:p>
              </w:tc>
              <w:tc>
                <w:tcPr>
                  <w:tcW w:w="343" w:type="pct"/>
                  <w:vMerge w:val="restart"/>
                  <w:tcMar>
                    <w:top w:w="0" w:type="dxa"/>
                    <w:left w:w="0" w:type="dxa"/>
                    <w:bottom w:w="0" w:type="dxa"/>
                    <w:right w:w="0" w:type="dxa"/>
                  </w:tcMar>
                  <w:vAlign w:val="center"/>
                </w:tcPr>
                <w:p w14:paraId="7601C0A3">
                  <w:pPr>
                    <w:jc w:val="center"/>
                    <w:rPr>
                      <w:szCs w:val="21"/>
                    </w:rPr>
                  </w:pPr>
                  <w:r>
                    <w:rPr>
                      <w:szCs w:val="21"/>
                    </w:rPr>
                    <w:t>资源利用效率要求</w:t>
                  </w:r>
                </w:p>
              </w:tc>
              <w:tc>
                <w:tcPr>
                  <w:tcW w:w="2324" w:type="pct"/>
                  <w:tcMar>
                    <w:top w:w="0" w:type="dxa"/>
                    <w:left w:w="0" w:type="dxa"/>
                    <w:bottom w:w="0" w:type="dxa"/>
                    <w:right w:w="0" w:type="dxa"/>
                  </w:tcMar>
                  <w:vAlign w:val="center"/>
                </w:tcPr>
                <w:p w14:paraId="3C48282C">
                  <w:pPr>
                    <w:jc w:val="center"/>
                    <w:rPr>
                      <w:szCs w:val="21"/>
                    </w:rPr>
                  </w:pPr>
                  <w:r>
                    <w:rPr>
                      <w:szCs w:val="21"/>
                    </w:rPr>
                    <w:t>1．水资源利用总量及效率要求：到2025年，全省用水总量控制在525.9亿立方米以内，万元地区生产总值用水量、万元工业增加值用水量下降完成国家下达目标，农田灌溉水有效利用系数提高到0.625。</w:t>
                  </w:r>
                </w:p>
              </w:tc>
              <w:tc>
                <w:tcPr>
                  <w:tcW w:w="1601" w:type="pct"/>
                  <w:tcMar>
                    <w:top w:w="0" w:type="dxa"/>
                    <w:left w:w="0" w:type="dxa"/>
                    <w:bottom w:w="0" w:type="dxa"/>
                    <w:right w:w="0" w:type="dxa"/>
                  </w:tcMar>
                  <w:vAlign w:val="center"/>
                </w:tcPr>
                <w:p w14:paraId="3739FCAC">
                  <w:pPr>
                    <w:jc w:val="center"/>
                    <w:rPr>
                      <w:szCs w:val="21"/>
                    </w:rPr>
                  </w:pPr>
                  <w:r>
                    <w:rPr>
                      <w:szCs w:val="21"/>
                    </w:rPr>
                    <w:t>本项目GDP水耗满足朱林现代产业园的资源指标要求</w:t>
                  </w:r>
                </w:p>
              </w:tc>
              <w:tc>
                <w:tcPr>
                  <w:tcW w:w="425" w:type="pct"/>
                  <w:tcMar>
                    <w:top w:w="0" w:type="dxa"/>
                    <w:left w:w="0" w:type="dxa"/>
                    <w:bottom w:w="0" w:type="dxa"/>
                    <w:right w:w="0" w:type="dxa"/>
                  </w:tcMar>
                  <w:vAlign w:val="center"/>
                </w:tcPr>
                <w:p w14:paraId="469F2069">
                  <w:pPr>
                    <w:jc w:val="center"/>
                    <w:rPr>
                      <w:szCs w:val="21"/>
                    </w:rPr>
                  </w:pPr>
                  <w:r>
                    <w:rPr>
                      <w:szCs w:val="21"/>
                    </w:rPr>
                    <w:t>相符</w:t>
                  </w:r>
                </w:p>
              </w:tc>
            </w:tr>
            <w:tr w14:paraId="03A11A5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tcMar>
                    <w:top w:w="0" w:type="dxa"/>
                    <w:left w:w="0" w:type="dxa"/>
                    <w:bottom w:w="0" w:type="dxa"/>
                    <w:right w:w="0" w:type="dxa"/>
                  </w:tcMar>
                  <w:vAlign w:val="center"/>
                </w:tcPr>
                <w:p w14:paraId="7FB8DC6C">
                  <w:pPr>
                    <w:jc w:val="center"/>
                    <w:rPr>
                      <w:szCs w:val="21"/>
                    </w:rPr>
                  </w:pPr>
                </w:p>
              </w:tc>
              <w:tc>
                <w:tcPr>
                  <w:tcW w:w="343" w:type="pct"/>
                  <w:vMerge w:val="continue"/>
                  <w:tcMar>
                    <w:top w:w="0" w:type="dxa"/>
                    <w:left w:w="0" w:type="dxa"/>
                    <w:bottom w:w="0" w:type="dxa"/>
                    <w:right w:w="0" w:type="dxa"/>
                  </w:tcMar>
                  <w:vAlign w:val="center"/>
                </w:tcPr>
                <w:p w14:paraId="71ED20FB">
                  <w:pPr>
                    <w:jc w:val="center"/>
                    <w:rPr>
                      <w:szCs w:val="21"/>
                    </w:rPr>
                  </w:pPr>
                </w:p>
              </w:tc>
              <w:tc>
                <w:tcPr>
                  <w:tcW w:w="2324" w:type="pct"/>
                  <w:tcMar>
                    <w:top w:w="0" w:type="dxa"/>
                    <w:left w:w="0" w:type="dxa"/>
                    <w:bottom w:w="0" w:type="dxa"/>
                    <w:right w:w="0" w:type="dxa"/>
                  </w:tcMar>
                  <w:vAlign w:val="center"/>
                </w:tcPr>
                <w:p w14:paraId="31171FDE">
                  <w:pPr>
                    <w:jc w:val="center"/>
                    <w:rPr>
                      <w:szCs w:val="21"/>
                    </w:rPr>
                  </w:pPr>
                  <w:r>
                    <w:rPr>
                      <w:szCs w:val="21"/>
                    </w:rPr>
                    <w:t>2．土地资源总量要求：到2025年，江苏省耕地保有量不低于5977万亩，其中永久基本农田保护面积不低于5344万</w:t>
                  </w:r>
                </w:p>
                <w:p w14:paraId="5F2E43AA">
                  <w:pPr>
                    <w:jc w:val="center"/>
                    <w:rPr>
                      <w:szCs w:val="21"/>
                    </w:rPr>
                  </w:pPr>
                  <w:r>
                    <w:rPr>
                      <w:szCs w:val="21"/>
                    </w:rPr>
                    <w:t>亩。</w:t>
                  </w:r>
                </w:p>
              </w:tc>
              <w:tc>
                <w:tcPr>
                  <w:tcW w:w="1601" w:type="pct"/>
                  <w:tcMar>
                    <w:top w:w="0" w:type="dxa"/>
                    <w:left w:w="0" w:type="dxa"/>
                    <w:bottom w:w="0" w:type="dxa"/>
                    <w:right w:w="0" w:type="dxa"/>
                  </w:tcMar>
                  <w:vAlign w:val="center"/>
                </w:tcPr>
                <w:p w14:paraId="0CE6BD8F">
                  <w:pPr>
                    <w:jc w:val="center"/>
                    <w:rPr>
                      <w:szCs w:val="21"/>
                    </w:rPr>
                  </w:pPr>
                  <w:r>
                    <w:rPr>
                      <w:szCs w:val="21"/>
                    </w:rPr>
                    <w:t>本项目不新增工业用地。</w:t>
                  </w:r>
                </w:p>
              </w:tc>
              <w:tc>
                <w:tcPr>
                  <w:tcW w:w="425" w:type="pct"/>
                  <w:tcMar>
                    <w:top w:w="0" w:type="dxa"/>
                    <w:left w:w="0" w:type="dxa"/>
                    <w:bottom w:w="0" w:type="dxa"/>
                    <w:right w:w="0" w:type="dxa"/>
                  </w:tcMar>
                  <w:vAlign w:val="center"/>
                </w:tcPr>
                <w:p w14:paraId="0B02C08A">
                  <w:pPr>
                    <w:jc w:val="center"/>
                    <w:rPr>
                      <w:szCs w:val="21"/>
                    </w:rPr>
                  </w:pPr>
                  <w:r>
                    <w:rPr>
                      <w:szCs w:val="21"/>
                    </w:rPr>
                    <w:t>相符</w:t>
                  </w:r>
                </w:p>
              </w:tc>
            </w:tr>
            <w:tr w14:paraId="0353AB6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5" w:type="pct"/>
                  <w:vMerge w:val="continue"/>
                  <w:tcMar>
                    <w:top w:w="0" w:type="dxa"/>
                    <w:left w:w="0" w:type="dxa"/>
                    <w:bottom w:w="0" w:type="dxa"/>
                    <w:right w:w="0" w:type="dxa"/>
                  </w:tcMar>
                  <w:vAlign w:val="center"/>
                </w:tcPr>
                <w:p w14:paraId="567C5BE3">
                  <w:pPr>
                    <w:jc w:val="center"/>
                    <w:rPr>
                      <w:szCs w:val="21"/>
                    </w:rPr>
                  </w:pPr>
                </w:p>
              </w:tc>
              <w:tc>
                <w:tcPr>
                  <w:tcW w:w="343" w:type="pct"/>
                  <w:vMerge w:val="continue"/>
                  <w:tcMar>
                    <w:top w:w="0" w:type="dxa"/>
                    <w:left w:w="0" w:type="dxa"/>
                    <w:bottom w:w="0" w:type="dxa"/>
                    <w:right w:w="0" w:type="dxa"/>
                  </w:tcMar>
                  <w:vAlign w:val="center"/>
                </w:tcPr>
                <w:p w14:paraId="7BDDFCF6">
                  <w:pPr>
                    <w:jc w:val="center"/>
                    <w:rPr>
                      <w:szCs w:val="21"/>
                    </w:rPr>
                  </w:pPr>
                </w:p>
              </w:tc>
              <w:tc>
                <w:tcPr>
                  <w:tcW w:w="2324" w:type="pct"/>
                  <w:tcMar>
                    <w:top w:w="0" w:type="dxa"/>
                    <w:left w:w="0" w:type="dxa"/>
                    <w:bottom w:w="0" w:type="dxa"/>
                    <w:right w:w="0" w:type="dxa"/>
                  </w:tcMar>
                  <w:vAlign w:val="center"/>
                </w:tcPr>
                <w:p w14:paraId="0E3E5FFB">
                  <w:pPr>
                    <w:jc w:val="center"/>
                    <w:rPr>
                      <w:szCs w:val="21"/>
                    </w:rPr>
                  </w:pPr>
                  <w:r>
                    <w:rPr>
                      <w:szCs w:val="21"/>
                    </w:rPr>
                    <w:t>3．禁燃区要求：在禁燃区内，禁止销售、燃用高污染燃料；禁止新建、扩建燃用高污染燃料的设施，已建成的，应当在城市人民政府规定的期限内改用天然气、页岩气、液化石油气、电或者其他清洁能源。</w:t>
                  </w:r>
                </w:p>
              </w:tc>
              <w:tc>
                <w:tcPr>
                  <w:tcW w:w="1601" w:type="pct"/>
                  <w:tcMar>
                    <w:top w:w="0" w:type="dxa"/>
                    <w:left w:w="0" w:type="dxa"/>
                    <w:bottom w:w="0" w:type="dxa"/>
                    <w:right w:w="0" w:type="dxa"/>
                  </w:tcMar>
                  <w:vAlign w:val="center"/>
                </w:tcPr>
                <w:p w14:paraId="09F4E858">
                  <w:pPr>
                    <w:jc w:val="center"/>
                    <w:rPr>
                      <w:szCs w:val="21"/>
                    </w:rPr>
                  </w:pPr>
                  <w:r>
                    <w:rPr>
                      <w:szCs w:val="21"/>
                    </w:rPr>
                    <w:t>本项目使用电作为清洁能源。</w:t>
                  </w:r>
                </w:p>
              </w:tc>
              <w:tc>
                <w:tcPr>
                  <w:tcW w:w="425" w:type="pct"/>
                  <w:tcMar>
                    <w:top w:w="0" w:type="dxa"/>
                    <w:left w:w="0" w:type="dxa"/>
                    <w:bottom w:w="0" w:type="dxa"/>
                    <w:right w:w="0" w:type="dxa"/>
                  </w:tcMar>
                  <w:vAlign w:val="center"/>
                </w:tcPr>
                <w:p w14:paraId="13822860">
                  <w:pPr>
                    <w:jc w:val="center"/>
                    <w:rPr>
                      <w:szCs w:val="21"/>
                    </w:rPr>
                  </w:pPr>
                  <w:r>
                    <w:rPr>
                      <w:szCs w:val="21"/>
                    </w:rPr>
                    <w:t>相符</w:t>
                  </w:r>
                </w:p>
              </w:tc>
            </w:tr>
          </w:tbl>
          <w:p w14:paraId="410B3E1A">
            <w:pPr>
              <w:spacing w:line="480" w:lineRule="exact"/>
              <w:jc w:val="center"/>
              <w:rPr>
                <w:b/>
                <w:color w:val="FF0000"/>
                <w:sz w:val="24"/>
              </w:rPr>
            </w:pPr>
            <w:r>
              <w:rPr>
                <w:rFonts w:hint="default"/>
                <w:b/>
                <w:bCs w:val="0"/>
                <w:sz w:val="24"/>
                <w:lang w:val="en-US"/>
              </w:rPr>
              <w:drawing>
                <wp:anchor distT="0" distB="0" distL="114300" distR="114300" simplePos="0" relativeHeight="251659264" behindDoc="0" locked="0" layoutInCell="1" allowOverlap="1">
                  <wp:simplePos x="0" y="0"/>
                  <wp:positionH relativeFrom="column">
                    <wp:posOffset>1472565</wp:posOffset>
                  </wp:positionH>
                  <wp:positionV relativeFrom="paragraph">
                    <wp:posOffset>68580</wp:posOffset>
                  </wp:positionV>
                  <wp:extent cx="5473700" cy="2879725"/>
                  <wp:effectExtent l="0" t="0" r="12700" b="635"/>
                  <wp:wrapTopAndBottom/>
                  <wp:docPr id="14" name="图片 14" descr="生态分区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生态分区管控图"/>
                          <pic:cNvPicPr>
                            <a:picLocks noChangeAspect="1"/>
                          </pic:cNvPicPr>
                        </pic:nvPicPr>
                        <pic:blipFill>
                          <a:blip r:embed="rId9"/>
                          <a:stretch>
                            <a:fillRect/>
                          </a:stretch>
                        </pic:blipFill>
                        <pic:spPr>
                          <a:xfrm>
                            <a:off x="0" y="0"/>
                            <a:ext cx="5473700" cy="2879725"/>
                          </a:xfrm>
                          <a:prstGeom prst="rect">
                            <a:avLst/>
                          </a:prstGeom>
                        </pic:spPr>
                      </pic:pic>
                    </a:graphicData>
                  </a:graphic>
                </wp:anchor>
              </w:drawing>
            </w:r>
            <w:r>
              <w:rPr>
                <w:rFonts w:hint="eastAsia"/>
                <w:b/>
                <w:bCs w:val="0"/>
                <w:sz w:val="24"/>
                <w:lang w:val="en-US" w:eastAsia="zh-CN"/>
              </w:rPr>
              <w:t>图</w:t>
            </w:r>
            <w:r>
              <w:rPr>
                <w:b/>
                <w:sz w:val="24"/>
              </w:rPr>
              <w:t>1-</w:t>
            </w:r>
            <w:r>
              <w:rPr>
                <w:rFonts w:hint="eastAsia"/>
                <w:b/>
                <w:sz w:val="24"/>
                <w:lang w:val="en-US" w:eastAsia="zh-CN"/>
              </w:rPr>
              <w:t>1</w:t>
            </w:r>
            <w:r>
              <w:rPr>
                <w:b/>
                <w:sz w:val="24"/>
              </w:rPr>
              <w:t xml:space="preserve">  本项目与</w:t>
            </w:r>
            <w:r>
              <w:rPr>
                <w:rFonts w:hint="eastAsia"/>
                <w:b/>
                <w:sz w:val="24"/>
              </w:rPr>
              <w:t>江苏省2023年度生态环境分区管控动态更新成果叠图分析</w:t>
            </w:r>
          </w:p>
          <w:p w14:paraId="3BE2DDDD">
            <w:pPr>
              <w:spacing w:line="480" w:lineRule="exact"/>
              <w:ind w:firstLine="480" w:firstLineChars="200"/>
              <w:rPr>
                <w:sz w:val="24"/>
              </w:rPr>
            </w:pPr>
            <w:r>
              <w:rPr>
                <w:rFonts w:hint="eastAsia"/>
                <w:sz w:val="24"/>
              </w:rPr>
              <w:t>综上，本项目与《江苏省2023年生态环境分区管控成果动态更新工作方案》的要求相符</w:t>
            </w:r>
            <w:r>
              <w:rPr>
                <w:sz w:val="24"/>
              </w:rPr>
              <w:t>。</w:t>
            </w:r>
          </w:p>
          <w:p w14:paraId="09664C85">
            <w:pPr>
              <w:pStyle w:val="6"/>
              <w:ind w:firstLine="0" w:firstLineChars="0"/>
              <w:jc w:val="center"/>
              <w:rPr>
                <w:b/>
                <w:bCs/>
                <w:color w:val="auto"/>
                <w:szCs w:val="21"/>
              </w:rPr>
            </w:pPr>
            <w:r>
              <w:rPr>
                <w:b/>
                <w:bCs/>
                <w:color w:val="auto"/>
                <w:sz w:val="24"/>
              </w:rPr>
              <w:t>表1-</w:t>
            </w:r>
            <w:r>
              <w:rPr>
                <w:rFonts w:hint="eastAsia"/>
                <w:b/>
                <w:bCs/>
                <w:color w:val="auto"/>
                <w:sz w:val="24"/>
                <w:lang w:val="en-US" w:eastAsia="zh-CN"/>
              </w:rPr>
              <w:t>18</w:t>
            </w:r>
            <w:r>
              <w:rPr>
                <w:b/>
                <w:bCs/>
                <w:color w:val="auto"/>
                <w:sz w:val="24"/>
              </w:rPr>
              <w:t xml:space="preserve"> 与常州市2023年生态环境分区管控动态更新成果相符性</w:t>
            </w:r>
          </w:p>
          <w:tbl>
            <w:tblPr>
              <w:tblStyle w:val="27"/>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5659"/>
              <w:gridCol w:w="4660"/>
              <w:gridCol w:w="1380"/>
            </w:tblGrid>
            <w:tr w14:paraId="7C33BF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Align w:val="center"/>
                </w:tcPr>
                <w:p w14:paraId="34923DA5">
                  <w:pPr>
                    <w:pStyle w:val="91"/>
                    <w:rPr>
                      <w:b/>
                      <w:bCs/>
                      <w:sz w:val="21"/>
                      <w:szCs w:val="21"/>
                    </w:rPr>
                  </w:pPr>
                  <w:r>
                    <w:rPr>
                      <w:b/>
                      <w:bCs/>
                      <w:sz w:val="21"/>
                      <w:szCs w:val="21"/>
                    </w:rPr>
                    <w:t>管控类别</w:t>
                  </w:r>
                </w:p>
              </w:tc>
              <w:tc>
                <w:tcPr>
                  <w:tcW w:w="2094" w:type="pct"/>
                  <w:vAlign w:val="center"/>
                </w:tcPr>
                <w:p w14:paraId="6953A6AD">
                  <w:pPr>
                    <w:pStyle w:val="91"/>
                    <w:rPr>
                      <w:b/>
                      <w:bCs/>
                      <w:sz w:val="21"/>
                      <w:szCs w:val="21"/>
                    </w:rPr>
                  </w:pPr>
                  <w:r>
                    <w:rPr>
                      <w:b/>
                      <w:bCs/>
                      <w:sz w:val="21"/>
                      <w:szCs w:val="21"/>
                    </w:rPr>
                    <w:t>重点管控要求（朱林现代产业园）</w:t>
                  </w:r>
                </w:p>
              </w:tc>
              <w:tc>
                <w:tcPr>
                  <w:tcW w:w="1724" w:type="pct"/>
                  <w:vAlign w:val="center"/>
                </w:tcPr>
                <w:p w14:paraId="492E1C7B">
                  <w:pPr>
                    <w:pStyle w:val="91"/>
                    <w:rPr>
                      <w:b/>
                      <w:bCs/>
                      <w:sz w:val="21"/>
                      <w:szCs w:val="21"/>
                    </w:rPr>
                  </w:pPr>
                  <w:r>
                    <w:rPr>
                      <w:b/>
                      <w:bCs/>
                      <w:sz w:val="21"/>
                      <w:szCs w:val="21"/>
                    </w:rPr>
                    <w:t>本项目</w:t>
                  </w:r>
                </w:p>
              </w:tc>
              <w:tc>
                <w:tcPr>
                  <w:tcW w:w="511" w:type="pct"/>
                  <w:vAlign w:val="center"/>
                </w:tcPr>
                <w:p w14:paraId="0907682A">
                  <w:pPr>
                    <w:pStyle w:val="91"/>
                    <w:rPr>
                      <w:b/>
                      <w:bCs/>
                      <w:sz w:val="21"/>
                      <w:szCs w:val="21"/>
                    </w:rPr>
                  </w:pPr>
                  <w:r>
                    <w:rPr>
                      <w:b/>
                      <w:bCs/>
                      <w:sz w:val="21"/>
                      <w:szCs w:val="21"/>
                    </w:rPr>
                    <w:t>相符性分析</w:t>
                  </w:r>
                </w:p>
              </w:tc>
            </w:tr>
            <w:tr w14:paraId="19786F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vAlign w:val="center"/>
                </w:tcPr>
                <w:p w14:paraId="684DB820">
                  <w:pPr>
                    <w:pStyle w:val="91"/>
                    <w:rPr>
                      <w:sz w:val="21"/>
                      <w:szCs w:val="21"/>
                    </w:rPr>
                  </w:pPr>
                  <w:r>
                    <w:rPr>
                      <w:sz w:val="21"/>
                      <w:szCs w:val="21"/>
                    </w:rPr>
                    <w:t>空间布局约束</w:t>
                  </w:r>
                </w:p>
              </w:tc>
              <w:tc>
                <w:tcPr>
                  <w:tcW w:w="2094" w:type="pct"/>
                  <w:vAlign w:val="center"/>
                </w:tcPr>
                <w:p w14:paraId="089D80C4">
                  <w:pPr>
                    <w:pStyle w:val="91"/>
                    <w:rPr>
                      <w:sz w:val="21"/>
                      <w:szCs w:val="21"/>
                    </w:rPr>
                  </w:pPr>
                  <w:r>
                    <w:rPr>
                      <w:sz w:val="21"/>
                      <w:szCs w:val="21"/>
                    </w:rPr>
                    <w:t>1.不得新建、改建、扩建化学制浆造纸、制革、酿造、染料、印染、电镀以及其他排放含磷、氮等污染物的企业和项目；不得新建、扩建化工、医药等企业和项目；不得增设排污口；禁止建设排放致癌、致畸、致突变物质和恶臭气体的项目。</w:t>
                  </w:r>
                </w:p>
              </w:tc>
              <w:tc>
                <w:tcPr>
                  <w:tcW w:w="1724" w:type="pct"/>
                  <w:vMerge w:val="restart"/>
                  <w:vAlign w:val="center"/>
                </w:tcPr>
                <w:p w14:paraId="1D618A37">
                  <w:pPr>
                    <w:pStyle w:val="91"/>
                    <w:rPr>
                      <w:b/>
                      <w:bCs/>
                      <w:sz w:val="21"/>
                      <w:szCs w:val="21"/>
                    </w:rPr>
                  </w:pPr>
                  <w:r>
                    <w:rPr>
                      <w:sz w:val="21"/>
                      <w:szCs w:val="21"/>
                    </w:rPr>
                    <w:t>本项目位于朱林现代产业园，项目不属于禁止</w:t>
                  </w:r>
                  <w:r>
                    <w:rPr>
                      <w:spacing w:val="-1"/>
                      <w:sz w:val="21"/>
                      <w:szCs w:val="21"/>
                    </w:rPr>
                    <w:t>引入</w:t>
                  </w:r>
                  <w:r>
                    <w:rPr>
                      <w:sz w:val="21"/>
                      <w:szCs w:val="21"/>
                    </w:rPr>
                    <w:t>项目。</w:t>
                  </w:r>
                </w:p>
              </w:tc>
              <w:tc>
                <w:tcPr>
                  <w:tcW w:w="511" w:type="pct"/>
                  <w:vMerge w:val="restart"/>
                  <w:vAlign w:val="center"/>
                </w:tcPr>
                <w:p w14:paraId="42001D7F">
                  <w:pPr>
                    <w:pStyle w:val="91"/>
                    <w:rPr>
                      <w:b/>
                      <w:bCs/>
                      <w:sz w:val="21"/>
                      <w:szCs w:val="21"/>
                    </w:rPr>
                  </w:pPr>
                  <w:r>
                    <w:rPr>
                      <w:sz w:val="21"/>
                      <w:szCs w:val="21"/>
                    </w:rPr>
                    <w:t>符合</w:t>
                  </w:r>
                </w:p>
              </w:tc>
            </w:tr>
            <w:tr w14:paraId="724C73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69" w:type="pct"/>
                  <w:vMerge w:val="continue"/>
                  <w:vAlign w:val="center"/>
                </w:tcPr>
                <w:p w14:paraId="3C67A216">
                  <w:pPr>
                    <w:pStyle w:val="91"/>
                    <w:rPr>
                      <w:sz w:val="21"/>
                      <w:szCs w:val="21"/>
                    </w:rPr>
                  </w:pPr>
                </w:p>
              </w:tc>
              <w:tc>
                <w:tcPr>
                  <w:tcW w:w="2094" w:type="pct"/>
                  <w:vAlign w:val="center"/>
                </w:tcPr>
                <w:p w14:paraId="6EC2000E">
                  <w:pPr>
                    <w:pStyle w:val="91"/>
                    <w:rPr>
                      <w:sz w:val="21"/>
                      <w:szCs w:val="21"/>
                    </w:rPr>
                  </w:pPr>
                  <w:r>
                    <w:rPr>
                      <w:sz w:val="21"/>
                      <w:szCs w:val="21"/>
                    </w:rPr>
                    <w:t>2.鼓励发展低污染、无污染、节水和资源综合利用的项目，不得新上、转移、生产和采用国家明令禁止的工艺和产品。凡属《江苏省太湖水污染防治条例》（省十届人大常委会公告第 141 号）明确禁止建设的项目；《国务院关于环境保护若干问题的决定》（国发﹝1996﹞31 号）明确禁止建设的“十五小”项目；“新五小”项目 (小火电机组、小玻璃厂、小水泥厂、小炼油厂、小钢铁厂)；以及国家明令淘汰和禁止发展的能耗物耗高、环境污染严重、不符合产业政策和市场准入条件的建设项目，均禁止建设。</w:t>
                  </w:r>
                </w:p>
              </w:tc>
              <w:tc>
                <w:tcPr>
                  <w:tcW w:w="1724" w:type="pct"/>
                  <w:vMerge w:val="continue"/>
                  <w:vAlign w:val="center"/>
                </w:tcPr>
                <w:p w14:paraId="2388FFAA">
                  <w:pPr>
                    <w:pStyle w:val="91"/>
                    <w:rPr>
                      <w:b/>
                      <w:bCs/>
                      <w:sz w:val="21"/>
                      <w:szCs w:val="21"/>
                    </w:rPr>
                  </w:pPr>
                </w:p>
              </w:tc>
              <w:tc>
                <w:tcPr>
                  <w:tcW w:w="511" w:type="pct"/>
                  <w:vMerge w:val="continue"/>
                  <w:vAlign w:val="center"/>
                </w:tcPr>
                <w:p w14:paraId="59C4E9DC">
                  <w:pPr>
                    <w:pStyle w:val="91"/>
                    <w:rPr>
                      <w:b/>
                      <w:bCs/>
                      <w:sz w:val="21"/>
                      <w:szCs w:val="21"/>
                    </w:rPr>
                  </w:pPr>
                </w:p>
              </w:tc>
            </w:tr>
            <w:tr w14:paraId="37B38D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vAlign w:val="center"/>
                </w:tcPr>
                <w:p w14:paraId="79EDCE96">
                  <w:pPr>
                    <w:pStyle w:val="91"/>
                    <w:rPr>
                      <w:sz w:val="21"/>
                      <w:szCs w:val="21"/>
                    </w:rPr>
                  </w:pPr>
                  <w:r>
                    <w:rPr>
                      <w:sz w:val="21"/>
                      <w:szCs w:val="21"/>
                    </w:rPr>
                    <w:t>污染物排放管控</w:t>
                  </w:r>
                </w:p>
              </w:tc>
              <w:tc>
                <w:tcPr>
                  <w:tcW w:w="2094" w:type="pct"/>
                  <w:vAlign w:val="center"/>
                </w:tcPr>
                <w:p w14:paraId="331B5232">
                  <w:pPr>
                    <w:pStyle w:val="91"/>
                    <w:rPr>
                      <w:sz w:val="21"/>
                      <w:szCs w:val="21"/>
                    </w:rPr>
                  </w:pPr>
                  <w:r>
                    <w:rPr>
                      <w:sz w:val="21"/>
                      <w:szCs w:val="21"/>
                    </w:rPr>
                    <w:t>1.严格实施污染物总量</w:t>
                  </w:r>
                  <w:r>
                    <w:rPr>
                      <w:spacing w:val="2"/>
                      <w:sz w:val="21"/>
                      <w:szCs w:val="21"/>
                    </w:rPr>
                    <w:t>控制制度，根据区域环境质</w:t>
                  </w:r>
                  <w:r>
                    <w:rPr>
                      <w:spacing w:val="3"/>
                      <w:sz w:val="21"/>
                      <w:szCs w:val="21"/>
                    </w:rPr>
                    <w:t xml:space="preserve">量改善目标，采取有效措施减少主要污染物排放总量， </w:t>
                  </w:r>
                  <w:r>
                    <w:rPr>
                      <w:sz w:val="21"/>
                      <w:szCs w:val="21"/>
                    </w:rPr>
                    <w:t>确保区域环境质量持续改善。</w:t>
                  </w:r>
                </w:p>
              </w:tc>
              <w:tc>
                <w:tcPr>
                  <w:tcW w:w="1724" w:type="pct"/>
                  <w:vMerge w:val="restart"/>
                  <w:vAlign w:val="center"/>
                </w:tcPr>
                <w:p w14:paraId="3A2D0BD3">
                  <w:pPr>
                    <w:pStyle w:val="91"/>
                    <w:rPr>
                      <w:sz w:val="21"/>
                      <w:szCs w:val="21"/>
                    </w:rPr>
                  </w:pPr>
                  <w:r>
                    <w:rPr>
                      <w:sz w:val="21"/>
                      <w:szCs w:val="21"/>
                    </w:rPr>
                    <w:t>本项目</w:t>
                  </w:r>
                  <w:r>
                    <w:rPr>
                      <w:rFonts w:hint="eastAsia"/>
                      <w:bCs/>
                      <w:sz w:val="21"/>
                      <w:szCs w:val="21"/>
                    </w:rPr>
                    <w:t>不新增</w:t>
                  </w:r>
                  <w:r>
                    <w:rPr>
                      <w:bCs/>
                      <w:sz w:val="21"/>
                      <w:szCs w:val="21"/>
                    </w:rPr>
                    <w:t>生活污水</w:t>
                  </w:r>
                  <w:r>
                    <w:rPr>
                      <w:rFonts w:hint="eastAsia"/>
                      <w:bCs/>
                      <w:sz w:val="21"/>
                      <w:szCs w:val="21"/>
                    </w:rPr>
                    <w:t>，生产废水依托现有污水站处理后回用</w:t>
                  </w:r>
                  <w:r>
                    <w:rPr>
                      <w:sz w:val="21"/>
                      <w:szCs w:val="21"/>
                    </w:rPr>
                    <w:t>；项目废气经处理后达标排放，废气排放总量不会突破园区环评报告及批复的总量。</w:t>
                  </w:r>
                </w:p>
              </w:tc>
              <w:tc>
                <w:tcPr>
                  <w:tcW w:w="511" w:type="pct"/>
                  <w:vMerge w:val="restart"/>
                  <w:vAlign w:val="center"/>
                </w:tcPr>
                <w:p w14:paraId="6D2B7850">
                  <w:pPr>
                    <w:pStyle w:val="91"/>
                    <w:rPr>
                      <w:b/>
                      <w:bCs/>
                      <w:sz w:val="21"/>
                      <w:szCs w:val="21"/>
                    </w:rPr>
                  </w:pPr>
                  <w:r>
                    <w:rPr>
                      <w:sz w:val="21"/>
                      <w:szCs w:val="21"/>
                    </w:rPr>
                    <w:t>符合</w:t>
                  </w:r>
                </w:p>
              </w:tc>
            </w:tr>
            <w:tr w14:paraId="73260C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vAlign w:val="center"/>
                </w:tcPr>
                <w:p w14:paraId="7E35F1AC">
                  <w:pPr>
                    <w:pStyle w:val="91"/>
                    <w:rPr>
                      <w:sz w:val="21"/>
                      <w:szCs w:val="21"/>
                    </w:rPr>
                  </w:pPr>
                </w:p>
              </w:tc>
              <w:tc>
                <w:tcPr>
                  <w:tcW w:w="2094" w:type="pct"/>
                  <w:vAlign w:val="center"/>
                </w:tcPr>
                <w:p w14:paraId="76855329">
                  <w:pPr>
                    <w:pStyle w:val="91"/>
                    <w:rPr>
                      <w:sz w:val="21"/>
                      <w:szCs w:val="21"/>
                    </w:rPr>
                  </w:pPr>
                  <w:r>
                    <w:rPr>
                      <w:sz w:val="21"/>
                      <w:szCs w:val="21"/>
                    </w:rPr>
                    <w:t>2.园区污染物排放总量不得突破环评报告及批复的总量。</w:t>
                  </w:r>
                </w:p>
              </w:tc>
              <w:tc>
                <w:tcPr>
                  <w:tcW w:w="1724" w:type="pct"/>
                  <w:vMerge w:val="continue"/>
                  <w:vAlign w:val="center"/>
                </w:tcPr>
                <w:p w14:paraId="73D43983">
                  <w:pPr>
                    <w:pStyle w:val="91"/>
                    <w:rPr>
                      <w:sz w:val="21"/>
                      <w:szCs w:val="21"/>
                    </w:rPr>
                  </w:pPr>
                </w:p>
              </w:tc>
              <w:tc>
                <w:tcPr>
                  <w:tcW w:w="511" w:type="pct"/>
                  <w:vMerge w:val="continue"/>
                  <w:vAlign w:val="center"/>
                </w:tcPr>
                <w:p w14:paraId="2FAF4CE7">
                  <w:pPr>
                    <w:pStyle w:val="91"/>
                    <w:rPr>
                      <w:b/>
                      <w:bCs/>
                      <w:sz w:val="21"/>
                      <w:szCs w:val="21"/>
                    </w:rPr>
                  </w:pPr>
                </w:p>
              </w:tc>
            </w:tr>
            <w:tr w14:paraId="7E3A41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vAlign w:val="center"/>
                </w:tcPr>
                <w:p w14:paraId="15BCD791">
                  <w:pPr>
                    <w:pStyle w:val="91"/>
                    <w:rPr>
                      <w:sz w:val="21"/>
                      <w:szCs w:val="21"/>
                    </w:rPr>
                  </w:pPr>
                  <w:r>
                    <w:rPr>
                      <w:sz w:val="21"/>
                      <w:szCs w:val="21"/>
                    </w:rPr>
                    <w:t>环境风险防控</w:t>
                  </w:r>
                </w:p>
              </w:tc>
              <w:tc>
                <w:tcPr>
                  <w:tcW w:w="2094" w:type="pct"/>
                  <w:vAlign w:val="center"/>
                </w:tcPr>
                <w:p w14:paraId="08A694D8">
                  <w:pPr>
                    <w:pStyle w:val="91"/>
                    <w:rPr>
                      <w:sz w:val="21"/>
                      <w:szCs w:val="21"/>
                    </w:rPr>
                  </w:pPr>
                  <w:r>
                    <w:rPr>
                      <w:sz w:val="21"/>
                      <w:szCs w:val="21"/>
                    </w:rPr>
                    <w:t>1.园区建立环境应急体系，完善事故应急救援体系，加强应急物资装备储备，编制突发环境事件应急预案，定期开展演练。</w:t>
                  </w:r>
                </w:p>
              </w:tc>
              <w:tc>
                <w:tcPr>
                  <w:tcW w:w="1724" w:type="pct"/>
                  <w:vMerge w:val="restart"/>
                  <w:vAlign w:val="center"/>
                </w:tcPr>
                <w:p w14:paraId="79A8DAA9">
                  <w:pPr>
                    <w:pStyle w:val="91"/>
                    <w:rPr>
                      <w:sz w:val="21"/>
                      <w:szCs w:val="21"/>
                    </w:rPr>
                  </w:pPr>
                  <w:r>
                    <w:rPr>
                      <w:sz w:val="21"/>
                      <w:szCs w:val="21"/>
                    </w:rPr>
                    <w:t>本项目所在园区已建立环境应急体系，已加强应急物资装备储备，已编制突发环境事件应急预案并定期开展演练；项目建设单位已委托专业单位编制突发环境事件应急预案并在金坛生态环境局备案；项目建成后将加强环境影响跟踪监测，建立健全各环境要素监控体系，完善并落实园区日常环境监测与污染源监控计划。</w:t>
                  </w:r>
                </w:p>
              </w:tc>
              <w:tc>
                <w:tcPr>
                  <w:tcW w:w="511" w:type="pct"/>
                  <w:vMerge w:val="restart"/>
                  <w:vAlign w:val="center"/>
                </w:tcPr>
                <w:p w14:paraId="5DD98E70">
                  <w:pPr>
                    <w:pStyle w:val="91"/>
                    <w:rPr>
                      <w:b/>
                      <w:bCs/>
                      <w:sz w:val="21"/>
                      <w:szCs w:val="21"/>
                    </w:rPr>
                  </w:pPr>
                  <w:r>
                    <w:rPr>
                      <w:sz w:val="21"/>
                      <w:szCs w:val="21"/>
                    </w:rPr>
                    <w:t>符合</w:t>
                  </w:r>
                </w:p>
              </w:tc>
            </w:tr>
            <w:tr w14:paraId="6B1139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vAlign w:val="center"/>
                </w:tcPr>
                <w:p w14:paraId="1BDF15F9">
                  <w:pPr>
                    <w:pStyle w:val="91"/>
                    <w:rPr>
                      <w:sz w:val="21"/>
                      <w:szCs w:val="21"/>
                    </w:rPr>
                  </w:pPr>
                </w:p>
              </w:tc>
              <w:tc>
                <w:tcPr>
                  <w:tcW w:w="2094" w:type="pct"/>
                  <w:vAlign w:val="center"/>
                </w:tcPr>
                <w:p w14:paraId="585AC168">
                  <w:pPr>
                    <w:pStyle w:val="91"/>
                    <w:rPr>
                      <w:sz w:val="21"/>
                      <w:szCs w:val="21"/>
                    </w:rPr>
                  </w:pPr>
                  <w:r>
                    <w:rPr>
                      <w:sz w:val="21"/>
                      <w:szCs w:val="21"/>
                    </w:rPr>
                    <w:t>2.生产、使用、储存危险化学品或其他存在环境风险的企事业单位，应当制定风险防范措施，编制完善突发环境事件应急预案，防止发生环境污染事故。</w:t>
                  </w:r>
                </w:p>
              </w:tc>
              <w:tc>
                <w:tcPr>
                  <w:tcW w:w="1724" w:type="pct"/>
                  <w:vMerge w:val="continue"/>
                  <w:vAlign w:val="center"/>
                </w:tcPr>
                <w:p w14:paraId="2CBA855B">
                  <w:pPr>
                    <w:pStyle w:val="91"/>
                    <w:rPr>
                      <w:b/>
                      <w:bCs/>
                      <w:sz w:val="21"/>
                      <w:szCs w:val="21"/>
                    </w:rPr>
                  </w:pPr>
                </w:p>
              </w:tc>
              <w:tc>
                <w:tcPr>
                  <w:tcW w:w="511" w:type="pct"/>
                  <w:vMerge w:val="continue"/>
                  <w:vAlign w:val="center"/>
                </w:tcPr>
                <w:p w14:paraId="0A9AADFB">
                  <w:pPr>
                    <w:pStyle w:val="91"/>
                    <w:rPr>
                      <w:b/>
                      <w:bCs/>
                      <w:sz w:val="21"/>
                      <w:szCs w:val="21"/>
                    </w:rPr>
                  </w:pPr>
                </w:p>
              </w:tc>
            </w:tr>
            <w:tr w14:paraId="6F8451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vAlign w:val="center"/>
                </w:tcPr>
                <w:p w14:paraId="0ED0CF0A">
                  <w:pPr>
                    <w:pStyle w:val="91"/>
                    <w:rPr>
                      <w:sz w:val="21"/>
                      <w:szCs w:val="21"/>
                    </w:rPr>
                  </w:pPr>
                </w:p>
              </w:tc>
              <w:tc>
                <w:tcPr>
                  <w:tcW w:w="2094" w:type="pct"/>
                  <w:vAlign w:val="center"/>
                </w:tcPr>
                <w:p w14:paraId="7BA37AC9">
                  <w:pPr>
                    <w:pStyle w:val="91"/>
                    <w:rPr>
                      <w:sz w:val="21"/>
                      <w:szCs w:val="21"/>
                    </w:rPr>
                  </w:pPr>
                  <w:r>
                    <w:rPr>
                      <w:sz w:val="21"/>
                      <w:szCs w:val="21"/>
                    </w:rPr>
                    <w:t>3.加强环境影响跟踪监测，建立健全各环境要素监控体系，完善并落实园区日常环境监测与污染源监控计划。</w:t>
                  </w:r>
                </w:p>
              </w:tc>
              <w:tc>
                <w:tcPr>
                  <w:tcW w:w="1724" w:type="pct"/>
                  <w:vMerge w:val="continue"/>
                  <w:vAlign w:val="center"/>
                </w:tcPr>
                <w:p w14:paraId="49AA6E26">
                  <w:pPr>
                    <w:pStyle w:val="91"/>
                    <w:rPr>
                      <w:b/>
                      <w:bCs/>
                      <w:sz w:val="21"/>
                      <w:szCs w:val="21"/>
                    </w:rPr>
                  </w:pPr>
                </w:p>
              </w:tc>
              <w:tc>
                <w:tcPr>
                  <w:tcW w:w="511" w:type="pct"/>
                  <w:vMerge w:val="continue"/>
                  <w:vAlign w:val="center"/>
                </w:tcPr>
                <w:p w14:paraId="2A508ED5">
                  <w:pPr>
                    <w:pStyle w:val="91"/>
                    <w:rPr>
                      <w:b/>
                      <w:bCs/>
                      <w:sz w:val="21"/>
                      <w:szCs w:val="21"/>
                    </w:rPr>
                  </w:pPr>
                </w:p>
              </w:tc>
            </w:tr>
            <w:tr w14:paraId="2F4F2C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vAlign w:val="center"/>
                </w:tcPr>
                <w:p w14:paraId="4244F52E">
                  <w:pPr>
                    <w:pStyle w:val="91"/>
                    <w:rPr>
                      <w:sz w:val="21"/>
                      <w:szCs w:val="21"/>
                    </w:rPr>
                  </w:pPr>
                  <w:r>
                    <w:rPr>
                      <w:sz w:val="21"/>
                      <w:szCs w:val="21"/>
                    </w:rPr>
                    <w:t>资源开发效率要求</w:t>
                  </w:r>
                </w:p>
              </w:tc>
              <w:tc>
                <w:tcPr>
                  <w:tcW w:w="2094" w:type="pct"/>
                  <w:vAlign w:val="center"/>
                </w:tcPr>
                <w:p w14:paraId="6A7ECF95">
                  <w:pPr>
                    <w:pStyle w:val="91"/>
                    <w:rPr>
                      <w:sz w:val="21"/>
                      <w:szCs w:val="21"/>
                    </w:rPr>
                  </w:pPr>
                  <w:r>
                    <w:rPr>
                      <w:sz w:val="21"/>
                      <w:szCs w:val="21"/>
                    </w:rPr>
                    <w:t>1.大力倡导使用清洁能源。</w:t>
                  </w:r>
                </w:p>
              </w:tc>
              <w:tc>
                <w:tcPr>
                  <w:tcW w:w="1724" w:type="pct"/>
                  <w:vMerge w:val="restart"/>
                  <w:vAlign w:val="center"/>
                </w:tcPr>
                <w:p w14:paraId="1DEE7A39">
                  <w:pPr>
                    <w:pStyle w:val="91"/>
                    <w:rPr>
                      <w:sz w:val="21"/>
                      <w:szCs w:val="21"/>
                    </w:rPr>
                  </w:pPr>
                  <w:r>
                    <w:rPr>
                      <w:sz w:val="21"/>
                      <w:szCs w:val="21"/>
                    </w:rPr>
                    <w:t>本项目使用清洁能源电力；项目无工艺废水产生；项目无燃煤设施。</w:t>
                  </w:r>
                </w:p>
              </w:tc>
              <w:tc>
                <w:tcPr>
                  <w:tcW w:w="511" w:type="pct"/>
                  <w:vMerge w:val="restart"/>
                  <w:vAlign w:val="center"/>
                </w:tcPr>
                <w:p w14:paraId="60D3902E">
                  <w:pPr>
                    <w:pStyle w:val="91"/>
                    <w:rPr>
                      <w:sz w:val="21"/>
                      <w:szCs w:val="21"/>
                    </w:rPr>
                  </w:pPr>
                  <w:r>
                    <w:rPr>
                      <w:sz w:val="21"/>
                      <w:szCs w:val="21"/>
                    </w:rPr>
                    <w:t>符合</w:t>
                  </w:r>
                </w:p>
              </w:tc>
            </w:tr>
            <w:tr w14:paraId="620D4C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vAlign w:val="center"/>
                </w:tcPr>
                <w:p w14:paraId="0B7474C8">
                  <w:pPr>
                    <w:pStyle w:val="91"/>
                    <w:rPr>
                      <w:sz w:val="21"/>
                      <w:szCs w:val="21"/>
                    </w:rPr>
                  </w:pPr>
                </w:p>
              </w:tc>
              <w:tc>
                <w:tcPr>
                  <w:tcW w:w="2094" w:type="pct"/>
                  <w:vAlign w:val="center"/>
                </w:tcPr>
                <w:p w14:paraId="0DB0C486">
                  <w:pPr>
                    <w:pStyle w:val="91"/>
                    <w:rPr>
                      <w:sz w:val="21"/>
                      <w:szCs w:val="21"/>
                    </w:rPr>
                  </w:pPr>
                  <w:r>
                    <w:rPr>
                      <w:sz w:val="21"/>
                      <w:szCs w:val="21"/>
                    </w:rPr>
                    <w:t>2.提升废水资源化技术，提高水资源回用率。</w:t>
                  </w:r>
                </w:p>
              </w:tc>
              <w:tc>
                <w:tcPr>
                  <w:tcW w:w="1724" w:type="pct"/>
                  <w:vMerge w:val="continue"/>
                  <w:vAlign w:val="center"/>
                </w:tcPr>
                <w:p w14:paraId="516FEE11">
                  <w:pPr>
                    <w:pStyle w:val="91"/>
                    <w:rPr>
                      <w:sz w:val="21"/>
                      <w:szCs w:val="21"/>
                    </w:rPr>
                  </w:pPr>
                </w:p>
              </w:tc>
              <w:tc>
                <w:tcPr>
                  <w:tcW w:w="511" w:type="pct"/>
                  <w:vMerge w:val="continue"/>
                  <w:vAlign w:val="center"/>
                </w:tcPr>
                <w:p w14:paraId="4E0CF484">
                  <w:pPr>
                    <w:pStyle w:val="91"/>
                    <w:rPr>
                      <w:sz w:val="21"/>
                      <w:szCs w:val="21"/>
                    </w:rPr>
                  </w:pPr>
                </w:p>
              </w:tc>
            </w:tr>
            <w:tr w14:paraId="736D37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vAlign w:val="center"/>
                </w:tcPr>
                <w:p w14:paraId="33498243">
                  <w:pPr>
                    <w:pStyle w:val="91"/>
                    <w:rPr>
                      <w:sz w:val="21"/>
                      <w:szCs w:val="21"/>
                    </w:rPr>
                  </w:pPr>
                </w:p>
              </w:tc>
              <w:tc>
                <w:tcPr>
                  <w:tcW w:w="2094" w:type="pct"/>
                  <w:vAlign w:val="center"/>
                </w:tcPr>
                <w:p w14:paraId="261719FC">
                  <w:pPr>
                    <w:pStyle w:val="91"/>
                    <w:rPr>
                      <w:sz w:val="21"/>
                      <w:szCs w:val="21"/>
                    </w:rPr>
                  </w:pPr>
                  <w:r>
                    <w:rPr>
                      <w:sz w:val="21"/>
                      <w:szCs w:val="21"/>
                    </w:rPr>
                    <w:t>3.严禁自建燃煤设施。</w:t>
                  </w:r>
                </w:p>
              </w:tc>
              <w:tc>
                <w:tcPr>
                  <w:tcW w:w="1724" w:type="pct"/>
                  <w:vMerge w:val="continue"/>
                  <w:vAlign w:val="center"/>
                </w:tcPr>
                <w:p w14:paraId="5F4CA3A0">
                  <w:pPr>
                    <w:pStyle w:val="91"/>
                    <w:rPr>
                      <w:sz w:val="21"/>
                      <w:szCs w:val="21"/>
                    </w:rPr>
                  </w:pPr>
                </w:p>
              </w:tc>
              <w:tc>
                <w:tcPr>
                  <w:tcW w:w="511" w:type="pct"/>
                  <w:vMerge w:val="continue"/>
                  <w:vAlign w:val="center"/>
                </w:tcPr>
                <w:p w14:paraId="1A2E0B1E">
                  <w:pPr>
                    <w:pStyle w:val="91"/>
                    <w:rPr>
                      <w:sz w:val="21"/>
                      <w:szCs w:val="21"/>
                    </w:rPr>
                  </w:pPr>
                </w:p>
              </w:tc>
            </w:tr>
          </w:tbl>
          <w:p w14:paraId="3FE95797">
            <w:pPr>
              <w:autoSpaceDE w:val="0"/>
              <w:autoSpaceDN w:val="0"/>
              <w:adjustRightInd w:val="0"/>
              <w:snapToGrid w:val="0"/>
              <w:spacing w:line="500" w:lineRule="exact"/>
              <w:ind w:firstLine="480" w:firstLineChars="200"/>
              <w:rPr>
                <w:bCs/>
                <w:sz w:val="24"/>
              </w:rPr>
            </w:pPr>
            <w:r>
              <w:rPr>
                <w:bCs/>
                <w:sz w:val="24"/>
              </w:rPr>
              <w:t>综上，本项目与《常州市2023年生态环境分区管控动态更新成果》的要求相符。</w:t>
            </w:r>
          </w:p>
          <w:p w14:paraId="75D20AE7">
            <w:pPr>
              <w:pStyle w:val="111"/>
              <w:spacing w:beforeLines="0" w:line="480" w:lineRule="exact"/>
              <w:ind w:firstLine="480"/>
              <w:jc w:val="left"/>
              <w:rPr>
                <w:bCs/>
              </w:rPr>
            </w:pPr>
            <w:r>
              <w:rPr>
                <w:bCs/>
              </w:rPr>
              <w:t>本项目位于</w:t>
            </w:r>
            <w:r>
              <w:rPr>
                <w:rFonts w:hint="eastAsia"/>
                <w:bCs/>
              </w:rPr>
              <w:t>江苏省常州市金坛区朱林镇永顺路2号</w:t>
            </w:r>
            <w:r>
              <w:rPr>
                <w:bCs/>
              </w:rPr>
              <w:t>，对照常州市环境管控单元图，本项目所在地属于常州市</w:t>
            </w:r>
            <w:r>
              <w:rPr>
                <w:rFonts w:hint="eastAsia"/>
                <w:bCs/>
              </w:rPr>
              <w:t>重点</w:t>
            </w:r>
            <w:r>
              <w:rPr>
                <w:bCs/>
              </w:rPr>
              <w:t>管控单元生态环境准入清单中</w:t>
            </w:r>
            <w:r>
              <w:rPr>
                <w:rFonts w:hint="eastAsia"/>
                <w:bCs/>
              </w:rPr>
              <w:t>朱林现代产业园</w:t>
            </w:r>
            <w:r>
              <w:rPr>
                <w:bCs/>
              </w:rPr>
              <w:t>，环境管控单元的相关要求对照分析表见表1-</w:t>
            </w:r>
            <w:r>
              <w:rPr>
                <w:rFonts w:hint="eastAsia"/>
                <w:bCs/>
                <w:lang w:val="en-US" w:eastAsia="zh-CN"/>
              </w:rPr>
              <w:t>19</w:t>
            </w:r>
            <w:r>
              <w:rPr>
                <w:bCs/>
              </w:rPr>
              <w:t>。</w:t>
            </w:r>
          </w:p>
          <w:p w14:paraId="15F931F6">
            <w:pPr>
              <w:spacing w:line="480" w:lineRule="exact"/>
              <w:jc w:val="center"/>
              <w:rPr>
                <w:b/>
                <w:color w:val="FF0000"/>
                <w:sz w:val="24"/>
              </w:rPr>
            </w:pPr>
            <w:r>
              <w:rPr>
                <w:b/>
                <w:sz w:val="24"/>
              </w:rPr>
              <w:t>表1-</w:t>
            </w:r>
            <w:r>
              <w:rPr>
                <w:rFonts w:hint="eastAsia"/>
                <w:b/>
                <w:sz w:val="24"/>
                <w:lang w:val="en-US" w:eastAsia="zh-CN"/>
              </w:rPr>
              <w:t>19</w:t>
            </w:r>
            <w:r>
              <w:rPr>
                <w:b/>
                <w:sz w:val="24"/>
              </w:rPr>
              <w:t xml:space="preserve">  本项目与常州市</w:t>
            </w:r>
            <w:r>
              <w:rPr>
                <w:rFonts w:hint="eastAsia"/>
                <w:b/>
                <w:sz w:val="24"/>
              </w:rPr>
              <w:t>“</w:t>
            </w:r>
            <w:r>
              <w:rPr>
                <w:b/>
                <w:sz w:val="24"/>
              </w:rPr>
              <w:t>三线一单</w:t>
            </w:r>
            <w:r>
              <w:rPr>
                <w:rFonts w:hint="eastAsia"/>
                <w:b/>
                <w:sz w:val="24"/>
              </w:rPr>
              <w:t>”</w:t>
            </w:r>
            <w:r>
              <w:rPr>
                <w:b/>
                <w:sz w:val="24"/>
              </w:rPr>
              <w:t>相符性分析情况一览表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Layout w:type="fixed"/>
              <w:tblCellMar>
                <w:top w:w="0" w:type="dxa"/>
                <w:left w:w="0" w:type="dxa"/>
                <w:bottom w:w="0" w:type="dxa"/>
                <w:right w:w="0" w:type="dxa"/>
              </w:tblCellMar>
            </w:tblPr>
            <w:tblGrid>
              <w:gridCol w:w="743"/>
              <w:gridCol w:w="848"/>
              <w:gridCol w:w="7635"/>
              <w:gridCol w:w="3626"/>
              <w:gridCol w:w="657"/>
            </w:tblGrid>
            <w:tr w14:paraId="0BD923F9">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PrEx>
              <w:trPr>
                <w:trHeight w:val="340" w:hRule="atLeast"/>
                <w:jc w:val="center"/>
              </w:trPr>
              <w:tc>
                <w:tcPr>
                  <w:tcW w:w="275" w:type="pct"/>
                  <w:vAlign w:val="center"/>
                </w:tcPr>
                <w:p w14:paraId="13FE6F87">
                  <w:pPr>
                    <w:tabs>
                      <w:tab w:val="left" w:pos="470"/>
                    </w:tabs>
                    <w:jc w:val="center"/>
                    <w:rPr>
                      <w:b/>
                      <w:szCs w:val="21"/>
                    </w:rPr>
                  </w:pPr>
                  <w:r>
                    <w:rPr>
                      <w:b/>
                      <w:szCs w:val="21"/>
                    </w:rPr>
                    <w:t>红线区名称</w:t>
                  </w:r>
                </w:p>
              </w:tc>
              <w:tc>
                <w:tcPr>
                  <w:tcW w:w="314" w:type="pct"/>
                  <w:vAlign w:val="center"/>
                </w:tcPr>
                <w:p w14:paraId="23095A9F">
                  <w:pPr>
                    <w:tabs>
                      <w:tab w:val="left" w:pos="470"/>
                    </w:tabs>
                    <w:jc w:val="center"/>
                    <w:rPr>
                      <w:b/>
                      <w:szCs w:val="21"/>
                    </w:rPr>
                  </w:pPr>
                  <w:r>
                    <w:rPr>
                      <w:b/>
                      <w:szCs w:val="21"/>
                    </w:rPr>
                    <w:t>内容</w:t>
                  </w:r>
                </w:p>
              </w:tc>
              <w:tc>
                <w:tcPr>
                  <w:tcW w:w="2825" w:type="pct"/>
                  <w:tcMar>
                    <w:top w:w="0" w:type="dxa"/>
                    <w:left w:w="28" w:type="dxa"/>
                    <w:bottom w:w="0" w:type="dxa"/>
                    <w:right w:w="28" w:type="dxa"/>
                  </w:tcMar>
                  <w:vAlign w:val="center"/>
                </w:tcPr>
                <w:p w14:paraId="38E651AA">
                  <w:pPr>
                    <w:jc w:val="center"/>
                    <w:rPr>
                      <w:b/>
                      <w:szCs w:val="21"/>
                    </w:rPr>
                  </w:pPr>
                  <w:r>
                    <w:rPr>
                      <w:b/>
                      <w:szCs w:val="21"/>
                    </w:rPr>
                    <w:t>符合性分析</w:t>
                  </w:r>
                </w:p>
              </w:tc>
              <w:tc>
                <w:tcPr>
                  <w:tcW w:w="1341" w:type="pct"/>
                  <w:tcMar>
                    <w:top w:w="0" w:type="dxa"/>
                    <w:left w:w="28" w:type="dxa"/>
                    <w:bottom w:w="0" w:type="dxa"/>
                    <w:right w:w="28" w:type="dxa"/>
                  </w:tcMar>
                  <w:vAlign w:val="center"/>
                </w:tcPr>
                <w:p w14:paraId="76D7C0AB">
                  <w:pPr>
                    <w:jc w:val="center"/>
                    <w:rPr>
                      <w:b/>
                      <w:szCs w:val="21"/>
                    </w:rPr>
                  </w:pPr>
                  <w:r>
                    <w:rPr>
                      <w:b/>
                      <w:szCs w:val="21"/>
                    </w:rPr>
                    <w:t>本项目情况</w:t>
                  </w:r>
                </w:p>
              </w:tc>
              <w:tc>
                <w:tcPr>
                  <w:tcW w:w="243" w:type="pct"/>
                  <w:vAlign w:val="center"/>
                </w:tcPr>
                <w:p w14:paraId="4E075F20">
                  <w:pPr>
                    <w:jc w:val="center"/>
                    <w:rPr>
                      <w:b/>
                      <w:szCs w:val="21"/>
                    </w:rPr>
                  </w:pPr>
                  <w:r>
                    <w:rPr>
                      <w:b/>
                      <w:szCs w:val="21"/>
                    </w:rPr>
                    <w:t>是否相符</w:t>
                  </w:r>
                </w:p>
              </w:tc>
            </w:tr>
            <w:tr w14:paraId="45DEA299">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0" w:type="dxa"/>
                  <w:bottom w:w="0" w:type="dxa"/>
                  <w:right w:w="0" w:type="dxa"/>
                </w:tblCellMar>
              </w:tblPrEx>
              <w:trPr>
                <w:trHeight w:val="340" w:hRule="atLeast"/>
                <w:jc w:val="center"/>
              </w:trPr>
              <w:tc>
                <w:tcPr>
                  <w:tcW w:w="275" w:type="pct"/>
                  <w:vMerge w:val="restart"/>
                  <w:vAlign w:val="center"/>
                </w:tcPr>
                <w:p w14:paraId="2445B6AA">
                  <w:pPr>
                    <w:jc w:val="center"/>
                    <w:rPr>
                      <w:szCs w:val="21"/>
                    </w:rPr>
                  </w:pPr>
                  <w:r>
                    <w:rPr>
                      <w:rFonts w:hint="eastAsia"/>
                      <w:szCs w:val="21"/>
                    </w:rPr>
                    <w:t>朱林现代产业园</w:t>
                  </w:r>
                </w:p>
              </w:tc>
              <w:tc>
                <w:tcPr>
                  <w:tcW w:w="314" w:type="pct"/>
                  <w:vAlign w:val="center"/>
                </w:tcPr>
                <w:p w14:paraId="217D5BDF">
                  <w:pPr>
                    <w:jc w:val="center"/>
                    <w:rPr>
                      <w:szCs w:val="21"/>
                    </w:rPr>
                  </w:pPr>
                  <w:r>
                    <w:rPr>
                      <w:szCs w:val="21"/>
                    </w:rPr>
                    <w:t>空间布局约束</w:t>
                  </w:r>
                </w:p>
              </w:tc>
              <w:tc>
                <w:tcPr>
                  <w:tcW w:w="2825" w:type="pct"/>
                  <w:tcMar>
                    <w:top w:w="0" w:type="dxa"/>
                    <w:left w:w="28" w:type="dxa"/>
                    <w:bottom w:w="0" w:type="dxa"/>
                    <w:right w:w="28" w:type="dxa"/>
                  </w:tcMar>
                  <w:vAlign w:val="center"/>
                </w:tcPr>
                <w:p w14:paraId="7013BC1B">
                  <w:pPr>
                    <w:pStyle w:val="3"/>
                    <w:numPr>
                      <w:ilvl w:val="0"/>
                      <w:numId w:val="0"/>
                    </w:numPr>
                    <w:rPr>
                      <w:rFonts w:hint="eastAsia"/>
                      <w:kern w:val="0"/>
                      <w:szCs w:val="21"/>
                    </w:rPr>
                  </w:pPr>
                  <w:r>
                    <w:rPr>
                      <w:rFonts w:hint="eastAsia"/>
                      <w:kern w:val="0"/>
                      <w:szCs w:val="21"/>
                    </w:rPr>
                    <w:t>（1）禁止审批列入国家、省产业政策淘汰、限制类项目；不符合规划环评结论及</w:t>
                  </w:r>
                </w:p>
                <w:p w14:paraId="42A68816">
                  <w:pPr>
                    <w:pStyle w:val="3"/>
                    <w:numPr>
                      <w:ilvl w:val="0"/>
                      <w:numId w:val="0"/>
                    </w:numPr>
                    <w:rPr>
                      <w:rFonts w:hint="eastAsia"/>
                      <w:kern w:val="0"/>
                      <w:szCs w:val="21"/>
                    </w:rPr>
                  </w:pPr>
                  <w:r>
                    <w:rPr>
                      <w:rFonts w:hint="eastAsia"/>
                      <w:kern w:val="0"/>
                      <w:szCs w:val="21"/>
                    </w:rPr>
                    <w:t>审查意见的项目；属于《建设项目环境保护管理条例》第十一条 5 种不予批准的情</w:t>
                  </w:r>
                </w:p>
                <w:p w14:paraId="549DAEB0">
                  <w:pPr>
                    <w:pStyle w:val="3"/>
                    <w:numPr>
                      <w:ilvl w:val="0"/>
                      <w:numId w:val="0"/>
                    </w:numPr>
                    <w:rPr>
                      <w:rFonts w:hint="eastAsia"/>
                      <w:kern w:val="0"/>
                      <w:szCs w:val="21"/>
                    </w:rPr>
                  </w:pPr>
                  <w:r>
                    <w:rPr>
                      <w:rFonts w:hint="eastAsia"/>
                      <w:kern w:val="0"/>
                      <w:szCs w:val="21"/>
                    </w:rPr>
                    <w:t>形的项目；无法落实危险废物合理利用、处置途径的项目。</w:t>
                  </w:r>
                </w:p>
                <w:p w14:paraId="7C634C5A">
                  <w:pPr>
                    <w:pStyle w:val="3"/>
                    <w:numPr>
                      <w:ilvl w:val="0"/>
                      <w:numId w:val="0"/>
                    </w:numPr>
                    <w:rPr>
                      <w:rFonts w:hint="eastAsia"/>
                      <w:kern w:val="0"/>
                      <w:szCs w:val="21"/>
                    </w:rPr>
                  </w:pPr>
                  <w:r>
                    <w:rPr>
                      <w:rFonts w:hint="eastAsia"/>
                      <w:kern w:val="0"/>
                      <w:szCs w:val="21"/>
                    </w:rPr>
                    <w:t>（2）禁止安全风险大、工艺设施落后、安全水平低的企业或项目进入。</w:t>
                  </w:r>
                </w:p>
                <w:p w14:paraId="266C595B">
                  <w:pPr>
                    <w:pStyle w:val="3"/>
                    <w:numPr>
                      <w:ilvl w:val="0"/>
                      <w:numId w:val="0"/>
                    </w:numPr>
                    <w:rPr>
                      <w:rFonts w:hint="eastAsia"/>
                      <w:kern w:val="0"/>
                      <w:szCs w:val="21"/>
                    </w:rPr>
                  </w:pPr>
                  <w:r>
                    <w:rPr>
                      <w:rFonts w:hint="eastAsia"/>
                      <w:kern w:val="0"/>
                      <w:szCs w:val="21"/>
                    </w:rPr>
                    <w:t>（3）禁止新建、扩建技术装备、污染排放、能耗达不到相关行业准入条件的项目。</w:t>
                  </w:r>
                </w:p>
                <w:p w14:paraId="613A31C2">
                  <w:pPr>
                    <w:pStyle w:val="3"/>
                    <w:numPr>
                      <w:ilvl w:val="0"/>
                      <w:numId w:val="0"/>
                    </w:numPr>
                    <w:rPr>
                      <w:kern w:val="0"/>
                      <w:szCs w:val="21"/>
                    </w:rPr>
                  </w:pPr>
                  <w:r>
                    <w:rPr>
                      <w:rFonts w:hint="eastAsia"/>
                      <w:kern w:val="0"/>
                      <w:szCs w:val="21"/>
                    </w:rPr>
                    <w:t>（4）禁止引入不符合现行《江苏省太湖水污染防治条例》要求的项目。</w:t>
                  </w:r>
                </w:p>
              </w:tc>
              <w:tc>
                <w:tcPr>
                  <w:tcW w:w="1341" w:type="pct"/>
                  <w:tcMar>
                    <w:top w:w="0" w:type="dxa"/>
                    <w:left w:w="28" w:type="dxa"/>
                    <w:bottom w:w="0" w:type="dxa"/>
                    <w:right w:w="28" w:type="dxa"/>
                  </w:tcMar>
                  <w:vAlign w:val="center"/>
                </w:tcPr>
                <w:p w14:paraId="1093BEB7">
                  <w:pPr>
                    <w:rPr>
                      <w:szCs w:val="21"/>
                    </w:rPr>
                  </w:pPr>
                  <w:r>
                    <w:rPr>
                      <w:szCs w:val="21"/>
                    </w:rPr>
                    <w:t>本项目属于</w:t>
                  </w:r>
                  <w:r>
                    <w:rPr>
                      <w:rFonts w:hint="eastAsia"/>
                      <w:szCs w:val="21"/>
                    </w:rPr>
                    <w:t>年产1000万平方米人造草坪项目</w:t>
                  </w:r>
                  <w:r>
                    <w:rPr>
                      <w:szCs w:val="21"/>
                    </w:rPr>
                    <w:t>，</w:t>
                  </w:r>
                  <w:r>
                    <w:rPr>
                      <w:rFonts w:hint="eastAsia"/>
                    </w:rPr>
                    <w:t>不属于上述禁止引入项目</w:t>
                  </w:r>
                  <w:r>
                    <w:t>。</w:t>
                  </w:r>
                </w:p>
              </w:tc>
              <w:tc>
                <w:tcPr>
                  <w:tcW w:w="243" w:type="pct"/>
                  <w:vAlign w:val="center"/>
                </w:tcPr>
                <w:p w14:paraId="0F0820CA">
                  <w:pPr>
                    <w:jc w:val="center"/>
                    <w:rPr>
                      <w:szCs w:val="21"/>
                    </w:rPr>
                  </w:pPr>
                  <w:r>
                    <w:rPr>
                      <w:szCs w:val="21"/>
                    </w:rPr>
                    <w:t>是</w:t>
                  </w:r>
                </w:p>
              </w:tc>
            </w:tr>
            <w:tr w14:paraId="159849D0">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0" w:type="dxa"/>
                  <w:bottom w:w="0" w:type="dxa"/>
                  <w:right w:w="0" w:type="dxa"/>
                </w:tblCellMar>
              </w:tblPrEx>
              <w:trPr>
                <w:trHeight w:val="340" w:hRule="atLeast"/>
                <w:jc w:val="center"/>
              </w:trPr>
              <w:tc>
                <w:tcPr>
                  <w:tcW w:w="275" w:type="pct"/>
                  <w:vMerge w:val="continue"/>
                  <w:vAlign w:val="center"/>
                </w:tcPr>
                <w:p w14:paraId="0910B0C9">
                  <w:pPr>
                    <w:jc w:val="center"/>
                    <w:rPr>
                      <w:szCs w:val="21"/>
                    </w:rPr>
                  </w:pPr>
                </w:p>
              </w:tc>
              <w:tc>
                <w:tcPr>
                  <w:tcW w:w="314" w:type="pct"/>
                  <w:vAlign w:val="center"/>
                </w:tcPr>
                <w:p w14:paraId="605AC365">
                  <w:pPr>
                    <w:jc w:val="center"/>
                    <w:rPr>
                      <w:szCs w:val="21"/>
                    </w:rPr>
                  </w:pPr>
                  <w:r>
                    <w:rPr>
                      <w:szCs w:val="21"/>
                    </w:rPr>
                    <w:t>污染物排放管控</w:t>
                  </w:r>
                </w:p>
              </w:tc>
              <w:tc>
                <w:tcPr>
                  <w:tcW w:w="2825" w:type="pct"/>
                  <w:tcMar>
                    <w:top w:w="0" w:type="dxa"/>
                    <w:left w:w="28" w:type="dxa"/>
                    <w:bottom w:w="0" w:type="dxa"/>
                    <w:right w:w="28" w:type="dxa"/>
                  </w:tcMar>
                  <w:vAlign w:val="center"/>
                </w:tcPr>
                <w:p w14:paraId="1506D242">
                  <w:pPr>
                    <w:pStyle w:val="3"/>
                    <w:numPr>
                      <w:ilvl w:val="0"/>
                      <w:numId w:val="0"/>
                    </w:numPr>
                    <w:rPr>
                      <w:kern w:val="0"/>
                      <w:szCs w:val="21"/>
                    </w:rPr>
                  </w:pPr>
                  <w:r>
                    <w:rPr>
                      <w:kern w:val="0"/>
                      <w:szCs w:val="21"/>
                    </w:rPr>
                    <w:t>（1）严格实施污染物总量控制制度，根据区域环境质量改善目标，采取有效措施减少主要污染物排放总量，确保区域环境质量持续改善。</w:t>
                  </w:r>
                  <w:r>
                    <w:rPr>
                      <w:kern w:val="0"/>
                      <w:szCs w:val="21"/>
                    </w:rPr>
                    <w:br w:type="textWrapping"/>
                  </w:r>
                  <w:r>
                    <w:rPr>
                      <w:kern w:val="0"/>
                      <w:szCs w:val="21"/>
                    </w:rPr>
                    <w:t>（2）园区污染物排放总量不得突破环评报告及批复的总量。</w:t>
                  </w:r>
                </w:p>
              </w:tc>
              <w:tc>
                <w:tcPr>
                  <w:tcW w:w="1341" w:type="pct"/>
                  <w:tcMar>
                    <w:top w:w="0" w:type="dxa"/>
                    <w:left w:w="28" w:type="dxa"/>
                    <w:bottom w:w="0" w:type="dxa"/>
                    <w:right w:w="28" w:type="dxa"/>
                  </w:tcMar>
                  <w:vAlign w:val="center"/>
                </w:tcPr>
                <w:p w14:paraId="41BCFC47">
                  <w:pPr>
                    <w:widowControl/>
                    <w:rPr>
                      <w:szCs w:val="21"/>
                    </w:rPr>
                  </w:pPr>
                  <w:r>
                    <w:rPr>
                      <w:szCs w:val="21"/>
                    </w:rPr>
                    <w:t>目前，本项目处于环评编制阶段，在环评审批前将严格落实主要污染物排放总量指标控制制度，取得主要污染物排放总量的控制指标和平衡方案。</w:t>
                  </w:r>
                </w:p>
              </w:tc>
              <w:tc>
                <w:tcPr>
                  <w:tcW w:w="243" w:type="pct"/>
                  <w:vAlign w:val="center"/>
                </w:tcPr>
                <w:p w14:paraId="0A270284">
                  <w:pPr>
                    <w:widowControl/>
                    <w:jc w:val="center"/>
                    <w:rPr>
                      <w:szCs w:val="21"/>
                    </w:rPr>
                  </w:pPr>
                  <w:r>
                    <w:rPr>
                      <w:szCs w:val="21"/>
                    </w:rPr>
                    <w:t>是</w:t>
                  </w:r>
                </w:p>
              </w:tc>
            </w:tr>
            <w:tr w14:paraId="234BCA01">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0" w:type="dxa"/>
                  <w:bottom w:w="0" w:type="dxa"/>
                  <w:right w:w="0" w:type="dxa"/>
                </w:tblCellMar>
              </w:tblPrEx>
              <w:trPr>
                <w:trHeight w:val="340" w:hRule="atLeast"/>
                <w:jc w:val="center"/>
              </w:trPr>
              <w:tc>
                <w:tcPr>
                  <w:tcW w:w="275" w:type="pct"/>
                  <w:vMerge w:val="continue"/>
                  <w:vAlign w:val="center"/>
                </w:tcPr>
                <w:p w14:paraId="0E546B76">
                  <w:pPr>
                    <w:jc w:val="center"/>
                    <w:rPr>
                      <w:szCs w:val="21"/>
                    </w:rPr>
                  </w:pPr>
                </w:p>
              </w:tc>
              <w:tc>
                <w:tcPr>
                  <w:tcW w:w="314" w:type="pct"/>
                  <w:vAlign w:val="center"/>
                </w:tcPr>
                <w:p w14:paraId="57AB3880">
                  <w:pPr>
                    <w:jc w:val="center"/>
                    <w:rPr>
                      <w:szCs w:val="21"/>
                    </w:rPr>
                  </w:pPr>
                  <w:r>
                    <w:rPr>
                      <w:szCs w:val="21"/>
                    </w:rPr>
                    <w:t>环境风险防控</w:t>
                  </w:r>
                </w:p>
              </w:tc>
              <w:tc>
                <w:tcPr>
                  <w:tcW w:w="2825" w:type="pct"/>
                  <w:tcMar>
                    <w:top w:w="0" w:type="dxa"/>
                    <w:left w:w="28" w:type="dxa"/>
                    <w:bottom w:w="0" w:type="dxa"/>
                    <w:right w:w="28" w:type="dxa"/>
                  </w:tcMar>
                  <w:vAlign w:val="center"/>
                </w:tcPr>
                <w:p w14:paraId="5EA36DE6">
                  <w:pPr>
                    <w:pStyle w:val="3"/>
                    <w:numPr>
                      <w:ilvl w:val="0"/>
                      <w:numId w:val="0"/>
                    </w:numPr>
                    <w:rPr>
                      <w:kern w:val="0"/>
                      <w:szCs w:val="21"/>
                    </w:rPr>
                  </w:pPr>
                  <w:r>
                    <w:rPr>
                      <w:kern w:val="0"/>
                      <w:szCs w:val="21"/>
                    </w:rPr>
                    <w:t>（1）园区建立环境应急体系，完善事故应急救援体系，加强应急物资装备储备，编制突发环境事件应急预案，定期开展演练。</w:t>
                  </w:r>
                  <w:r>
                    <w:rPr>
                      <w:kern w:val="0"/>
                      <w:szCs w:val="21"/>
                    </w:rPr>
                    <w:br w:type="textWrapping"/>
                  </w:r>
                  <w:r>
                    <w:rPr>
                      <w:kern w:val="0"/>
                      <w:szCs w:val="21"/>
                    </w:rPr>
                    <w:t>（2）生产、使用、储存危险化学品或其他存在环境风险的企事业单位，应当制定风险防范措施，编制完善突发环境事件应急预案，防止发生环境污染事故。</w:t>
                  </w:r>
                  <w:r>
                    <w:rPr>
                      <w:kern w:val="0"/>
                      <w:szCs w:val="21"/>
                    </w:rPr>
                    <w:br w:type="textWrapping"/>
                  </w:r>
                  <w:r>
                    <w:rPr>
                      <w:kern w:val="0"/>
                      <w:szCs w:val="21"/>
                    </w:rPr>
                    <w:t>（3）加强环境影响跟踪监测，建立健全各环境要素监控体系，完善并落实园区日常环境监测与污染源监控计划。</w:t>
                  </w:r>
                </w:p>
              </w:tc>
              <w:tc>
                <w:tcPr>
                  <w:tcW w:w="1341" w:type="pct"/>
                  <w:tcMar>
                    <w:top w:w="0" w:type="dxa"/>
                    <w:left w:w="28" w:type="dxa"/>
                    <w:bottom w:w="0" w:type="dxa"/>
                    <w:right w:w="28" w:type="dxa"/>
                  </w:tcMar>
                  <w:vAlign w:val="center"/>
                </w:tcPr>
                <w:p w14:paraId="3EBC03DF">
                  <w:pPr>
                    <w:rPr>
                      <w:szCs w:val="21"/>
                    </w:rPr>
                  </w:pPr>
                  <w:r>
                    <w:rPr>
                      <w:bCs/>
                      <w:szCs w:val="21"/>
                    </w:rPr>
                    <w:t>本项目建成后加强应急物资装备储备，</w:t>
                  </w:r>
                  <w:r>
                    <w:rPr>
                      <w:rFonts w:hint="eastAsia"/>
                      <w:bCs/>
                      <w:szCs w:val="21"/>
                    </w:rPr>
                    <w:t>定期开展应急演练</w:t>
                  </w:r>
                  <w:r>
                    <w:rPr>
                      <w:bCs/>
                      <w:szCs w:val="21"/>
                    </w:rPr>
                    <w:t>。</w:t>
                  </w:r>
                </w:p>
              </w:tc>
              <w:tc>
                <w:tcPr>
                  <w:tcW w:w="243" w:type="pct"/>
                  <w:vAlign w:val="center"/>
                </w:tcPr>
                <w:p w14:paraId="4DED4A64">
                  <w:pPr>
                    <w:jc w:val="center"/>
                    <w:rPr>
                      <w:szCs w:val="21"/>
                    </w:rPr>
                  </w:pPr>
                  <w:r>
                    <w:rPr>
                      <w:szCs w:val="21"/>
                    </w:rPr>
                    <w:t>是</w:t>
                  </w:r>
                </w:p>
              </w:tc>
            </w:tr>
            <w:tr w14:paraId="037C9936">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0" w:type="dxa"/>
                  <w:bottom w:w="0" w:type="dxa"/>
                  <w:right w:w="0" w:type="dxa"/>
                </w:tblCellMar>
              </w:tblPrEx>
              <w:trPr>
                <w:trHeight w:val="340" w:hRule="atLeast"/>
                <w:jc w:val="center"/>
              </w:trPr>
              <w:tc>
                <w:tcPr>
                  <w:tcW w:w="275" w:type="pct"/>
                  <w:vMerge w:val="continue"/>
                  <w:vAlign w:val="center"/>
                </w:tcPr>
                <w:p w14:paraId="2D913C84">
                  <w:pPr>
                    <w:widowControl/>
                    <w:jc w:val="center"/>
                    <w:rPr>
                      <w:kern w:val="0"/>
                      <w:szCs w:val="21"/>
                    </w:rPr>
                  </w:pPr>
                </w:p>
              </w:tc>
              <w:tc>
                <w:tcPr>
                  <w:tcW w:w="314" w:type="pct"/>
                  <w:vAlign w:val="center"/>
                </w:tcPr>
                <w:p w14:paraId="37CB579D">
                  <w:pPr>
                    <w:widowControl/>
                    <w:jc w:val="center"/>
                    <w:rPr>
                      <w:kern w:val="0"/>
                      <w:szCs w:val="21"/>
                    </w:rPr>
                  </w:pPr>
                  <w:r>
                    <w:rPr>
                      <w:kern w:val="0"/>
                      <w:szCs w:val="21"/>
                    </w:rPr>
                    <w:t>资源开发效率要求</w:t>
                  </w:r>
                </w:p>
              </w:tc>
              <w:tc>
                <w:tcPr>
                  <w:tcW w:w="2825" w:type="pct"/>
                  <w:tcMar>
                    <w:top w:w="0" w:type="dxa"/>
                    <w:left w:w="28" w:type="dxa"/>
                    <w:bottom w:w="0" w:type="dxa"/>
                    <w:right w:w="28" w:type="dxa"/>
                  </w:tcMar>
                  <w:vAlign w:val="center"/>
                </w:tcPr>
                <w:p w14:paraId="0EECFCB4">
                  <w:pPr>
                    <w:pStyle w:val="3"/>
                    <w:numPr>
                      <w:ilvl w:val="0"/>
                      <w:numId w:val="0"/>
                    </w:numPr>
                    <w:rPr>
                      <w:kern w:val="0"/>
                      <w:szCs w:val="21"/>
                    </w:rPr>
                  </w:pPr>
                  <w:r>
                    <w:rPr>
                      <w:kern w:val="0"/>
                      <w:szCs w:val="21"/>
                    </w:rPr>
                    <w:t>（1）大力倡导使用清洁能源。</w:t>
                  </w:r>
                  <w:r>
                    <w:rPr>
                      <w:kern w:val="0"/>
                      <w:szCs w:val="21"/>
                    </w:rPr>
                    <w:br w:type="textWrapping"/>
                  </w:r>
                  <w:r>
                    <w:rPr>
                      <w:kern w:val="0"/>
                      <w:szCs w:val="21"/>
                    </w:rPr>
                    <w:t>（2）提升废水资源化技术，提高水资源回用率。</w:t>
                  </w:r>
                  <w:r>
                    <w:rPr>
                      <w:kern w:val="0"/>
                      <w:szCs w:val="21"/>
                    </w:rPr>
                    <w:br w:type="textWrapping"/>
                  </w:r>
                  <w:r>
                    <w:rPr>
                      <w:kern w:val="0"/>
                      <w:szCs w:val="21"/>
                    </w:rPr>
                    <w:t>（3）严禁自建燃煤设施。</w:t>
                  </w:r>
                </w:p>
              </w:tc>
              <w:tc>
                <w:tcPr>
                  <w:tcW w:w="1341" w:type="pct"/>
                  <w:tcMar>
                    <w:top w:w="0" w:type="dxa"/>
                    <w:left w:w="28" w:type="dxa"/>
                    <w:bottom w:w="0" w:type="dxa"/>
                    <w:right w:w="28" w:type="dxa"/>
                  </w:tcMar>
                  <w:vAlign w:val="center"/>
                </w:tcPr>
                <w:p w14:paraId="34A730A0">
                  <w:pPr>
                    <w:widowControl/>
                    <w:rPr>
                      <w:szCs w:val="21"/>
                    </w:rPr>
                  </w:pPr>
                  <w:r>
                    <w:rPr>
                      <w:bCs/>
                      <w:szCs w:val="21"/>
                    </w:rPr>
                    <w:t>本项目使用的能源为水、电能</w:t>
                  </w:r>
                  <w:r>
                    <w:rPr>
                      <w:rFonts w:hint="eastAsia"/>
                      <w:bCs/>
                      <w:szCs w:val="21"/>
                    </w:rPr>
                    <w:t>、天然气和蒸汽</w:t>
                  </w:r>
                  <w:r>
                    <w:rPr>
                      <w:bCs/>
                      <w:szCs w:val="21"/>
                    </w:rPr>
                    <w:t>，不使用</w:t>
                  </w:r>
                  <w:r>
                    <w:rPr>
                      <w:szCs w:val="21"/>
                    </w:rPr>
                    <w:t>高污染燃料，</w:t>
                  </w:r>
                  <w:r>
                    <w:rPr>
                      <w:bCs/>
                      <w:szCs w:val="21"/>
                    </w:rPr>
                    <w:t>可以满足资源开发效率要求。</w:t>
                  </w:r>
                </w:p>
              </w:tc>
              <w:tc>
                <w:tcPr>
                  <w:tcW w:w="243" w:type="pct"/>
                  <w:vAlign w:val="center"/>
                </w:tcPr>
                <w:p w14:paraId="0D013C8D">
                  <w:pPr>
                    <w:widowControl/>
                    <w:jc w:val="center"/>
                    <w:rPr>
                      <w:szCs w:val="21"/>
                    </w:rPr>
                  </w:pPr>
                  <w:r>
                    <w:rPr>
                      <w:szCs w:val="21"/>
                    </w:rPr>
                    <w:t>是</w:t>
                  </w:r>
                </w:p>
              </w:tc>
            </w:tr>
          </w:tbl>
          <w:p w14:paraId="5E0E51A1">
            <w:pPr>
              <w:pStyle w:val="3"/>
              <w:numPr>
                <w:ilvl w:val="0"/>
                <w:numId w:val="0"/>
              </w:numPr>
              <w:spacing w:line="480" w:lineRule="exact"/>
              <w:ind w:firstLine="482" w:firstLineChars="200"/>
              <w:rPr>
                <w:sz w:val="24"/>
              </w:rPr>
            </w:pPr>
            <w:r>
              <w:rPr>
                <w:b/>
                <w:bCs/>
                <w:sz w:val="24"/>
              </w:rPr>
              <w:t>3、与太湖流域环境政策相符性分析</w:t>
            </w:r>
          </w:p>
          <w:p w14:paraId="665E8359">
            <w:pPr>
              <w:spacing w:line="480" w:lineRule="exact"/>
              <w:ind w:firstLine="480" w:firstLineChars="200"/>
              <w:jc w:val="left"/>
              <w:rPr>
                <w:bCs/>
                <w:sz w:val="24"/>
              </w:rPr>
            </w:pPr>
            <w:r>
              <w:rPr>
                <w:bCs/>
                <w:sz w:val="24"/>
              </w:rPr>
              <w:t>根据《省政府办公厅关于公布江苏省太湖流域三级保护区范围的通知》（苏政办发</w:t>
            </w:r>
            <w:r>
              <w:rPr>
                <w:rFonts w:hint="eastAsia"/>
                <w:bCs/>
                <w:sz w:val="24"/>
              </w:rPr>
              <w:t>〔2012〕221号</w:t>
            </w:r>
            <w:r>
              <w:rPr>
                <w:bCs/>
                <w:sz w:val="24"/>
              </w:rPr>
              <w:t>），本项目位于太湖三级保护区范围，与太湖流域环境政策相符性分析见下表：</w:t>
            </w:r>
          </w:p>
          <w:p w14:paraId="52E1E2D2">
            <w:pPr>
              <w:spacing w:line="480" w:lineRule="exact"/>
              <w:jc w:val="center"/>
              <w:rPr>
                <w:b/>
                <w:sz w:val="24"/>
              </w:rPr>
            </w:pPr>
            <w:r>
              <w:rPr>
                <w:b/>
                <w:sz w:val="24"/>
              </w:rPr>
              <w:t>表1-</w:t>
            </w:r>
            <w:r>
              <w:rPr>
                <w:rFonts w:hint="eastAsia"/>
                <w:b/>
                <w:sz w:val="24"/>
                <w:lang w:val="en-US" w:eastAsia="zh-CN"/>
              </w:rPr>
              <w:t>20</w:t>
            </w:r>
            <w:r>
              <w:rPr>
                <w:b/>
                <w:sz w:val="24"/>
              </w:rPr>
              <w:t xml:space="preserve">  本项目与太湖流域环境政策相符性分析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9076"/>
              <w:gridCol w:w="2622"/>
              <w:gridCol w:w="749"/>
            </w:tblGrid>
            <w:tr w14:paraId="2BEAA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Align w:val="center"/>
                </w:tcPr>
                <w:p w14:paraId="3EC764EF">
                  <w:pPr>
                    <w:jc w:val="center"/>
                    <w:rPr>
                      <w:b/>
                      <w:szCs w:val="21"/>
                    </w:rPr>
                  </w:pPr>
                  <w:r>
                    <w:rPr>
                      <w:b/>
                      <w:szCs w:val="21"/>
                    </w:rPr>
                    <w:t>文件</w:t>
                  </w:r>
                </w:p>
                <w:p w14:paraId="02780C14">
                  <w:pPr>
                    <w:jc w:val="center"/>
                    <w:rPr>
                      <w:b/>
                      <w:szCs w:val="21"/>
                    </w:rPr>
                  </w:pPr>
                  <w:r>
                    <w:rPr>
                      <w:b/>
                      <w:szCs w:val="21"/>
                    </w:rPr>
                    <w:t>名称</w:t>
                  </w:r>
                </w:p>
              </w:tc>
              <w:tc>
                <w:tcPr>
                  <w:tcW w:w="3357" w:type="pct"/>
                  <w:vAlign w:val="center"/>
                </w:tcPr>
                <w:p w14:paraId="52741A48">
                  <w:pPr>
                    <w:jc w:val="center"/>
                    <w:rPr>
                      <w:b/>
                      <w:szCs w:val="21"/>
                    </w:rPr>
                  </w:pPr>
                  <w:r>
                    <w:rPr>
                      <w:b/>
                      <w:szCs w:val="21"/>
                    </w:rPr>
                    <w:t>要求</w:t>
                  </w:r>
                </w:p>
              </w:tc>
              <w:tc>
                <w:tcPr>
                  <w:tcW w:w="970" w:type="pct"/>
                  <w:vAlign w:val="center"/>
                </w:tcPr>
                <w:p w14:paraId="4B210CC8">
                  <w:pPr>
                    <w:jc w:val="center"/>
                    <w:rPr>
                      <w:b/>
                      <w:szCs w:val="21"/>
                    </w:rPr>
                  </w:pPr>
                  <w:r>
                    <w:rPr>
                      <w:b/>
                      <w:szCs w:val="21"/>
                    </w:rPr>
                    <w:t>本项目情况</w:t>
                  </w:r>
                </w:p>
              </w:tc>
              <w:tc>
                <w:tcPr>
                  <w:tcW w:w="277" w:type="pct"/>
                  <w:vAlign w:val="center"/>
                </w:tcPr>
                <w:p w14:paraId="4DF43038">
                  <w:pPr>
                    <w:jc w:val="center"/>
                    <w:rPr>
                      <w:b/>
                      <w:szCs w:val="21"/>
                    </w:rPr>
                  </w:pPr>
                  <w:r>
                    <w:rPr>
                      <w:b/>
                      <w:szCs w:val="21"/>
                    </w:rPr>
                    <w:t>是否符合</w:t>
                  </w:r>
                </w:p>
              </w:tc>
            </w:tr>
            <w:tr w14:paraId="6E39B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Align w:val="center"/>
                </w:tcPr>
                <w:p w14:paraId="64F55512">
                  <w:pPr>
                    <w:jc w:val="center"/>
                    <w:rPr>
                      <w:b/>
                      <w:szCs w:val="21"/>
                    </w:rPr>
                  </w:pPr>
                  <w:r>
                    <w:rPr>
                      <w:bCs/>
                      <w:szCs w:val="21"/>
                    </w:rPr>
                    <w:t>江苏省太湖水污染防治条</w:t>
                  </w:r>
                  <w:r>
                    <w:rPr>
                      <w:rStyle w:val="35"/>
                      <w:kern w:val="0"/>
                      <w:szCs w:val="21"/>
                    </w:rPr>
                    <w:t>例（2021年修订）</w:t>
                  </w:r>
                </w:p>
              </w:tc>
              <w:tc>
                <w:tcPr>
                  <w:tcW w:w="3357" w:type="pct"/>
                  <w:vAlign w:val="center"/>
                </w:tcPr>
                <w:p w14:paraId="32CD90BF">
                  <w:pPr>
                    <w:rPr>
                      <w:szCs w:val="21"/>
                    </w:rPr>
                  </w:pPr>
                  <w:r>
                    <w:rPr>
                      <w:szCs w:val="21"/>
                    </w:rPr>
                    <w:t>第四十三条  太湖流域一、二、三级保护区禁止下列行为：</w:t>
                  </w:r>
                </w:p>
                <w:p w14:paraId="1336B6DF">
                  <w:pPr>
                    <w:ind w:firstLine="420" w:firstLineChars="200"/>
                    <w:rPr>
                      <w:bCs/>
                      <w:szCs w:val="21"/>
                    </w:rPr>
                  </w:pPr>
                  <w:r>
                    <w:rPr>
                      <w:szCs w:val="21"/>
                    </w:rPr>
                    <w:t>（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地；（八）违法开山采石，或者进行破坏林木、植被、水生生物的活动；（九）法律、法规禁止的其他行为。</w:t>
                  </w:r>
                </w:p>
              </w:tc>
              <w:tc>
                <w:tcPr>
                  <w:tcW w:w="970" w:type="pct"/>
                  <w:vMerge w:val="restart"/>
                  <w:vAlign w:val="center"/>
                </w:tcPr>
                <w:p w14:paraId="3512476E">
                  <w:pPr>
                    <w:rPr>
                      <w:bCs/>
                      <w:szCs w:val="21"/>
                    </w:rPr>
                  </w:pPr>
                  <w:r>
                    <w:rPr>
                      <w:szCs w:val="21"/>
                    </w:rPr>
                    <w:t>本项目位于太湖流域三级保护区内，属于</w:t>
                  </w:r>
                  <w:r>
                    <w:rPr>
                      <w:rFonts w:hint="eastAsia"/>
                      <w:szCs w:val="21"/>
                    </w:rPr>
                    <w:t>年产1000万平方米人造草坪项目</w:t>
                  </w:r>
                  <w:r>
                    <w:rPr>
                      <w:szCs w:val="21"/>
                    </w:rPr>
                    <w:t>，不在上述禁止行业范围内；本项目不使用含氮磷洗涤用品</w:t>
                  </w:r>
                  <w:r>
                    <w:rPr>
                      <w:rFonts w:hint="eastAsia"/>
                      <w:szCs w:val="21"/>
                    </w:rPr>
                    <w:t>；</w:t>
                  </w:r>
                  <w:r>
                    <w:rPr>
                      <w:rFonts w:hint="eastAsia"/>
                      <w:kern w:val="0"/>
                      <w:szCs w:val="21"/>
                    </w:rPr>
                    <w:t>无生产废水外排，生活污水依托出租方厂内污水管网收集后接入市政污水管网进入金坛区溪城污水处理有限公司集中处理，达标尾水排入通济河。</w:t>
                  </w:r>
                  <w:r>
                    <w:rPr>
                      <w:szCs w:val="21"/>
                    </w:rPr>
                    <w:t>各类固废合理处置，不外排。且本项目不涉及《太湖流域管理条例》、《江苏省太湖水污染防治条例》（20</w:t>
                  </w:r>
                  <w:r>
                    <w:rPr>
                      <w:rFonts w:hint="eastAsia"/>
                      <w:szCs w:val="21"/>
                    </w:rPr>
                    <w:t>21</w:t>
                  </w:r>
                  <w:r>
                    <w:rPr>
                      <w:szCs w:val="21"/>
                    </w:rPr>
                    <w:t>年修订）中禁止的行为，因此符合上述文件的要求。</w:t>
                  </w:r>
                </w:p>
              </w:tc>
              <w:tc>
                <w:tcPr>
                  <w:tcW w:w="277" w:type="pct"/>
                  <w:vAlign w:val="center"/>
                </w:tcPr>
                <w:p w14:paraId="194B0634">
                  <w:pPr>
                    <w:jc w:val="center"/>
                    <w:rPr>
                      <w:b/>
                      <w:szCs w:val="21"/>
                    </w:rPr>
                  </w:pPr>
                  <w:r>
                    <w:rPr>
                      <w:bCs/>
                      <w:szCs w:val="21"/>
                    </w:rPr>
                    <w:t>是</w:t>
                  </w:r>
                </w:p>
              </w:tc>
            </w:tr>
            <w:tr w14:paraId="397FA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pct"/>
                  <w:vAlign w:val="center"/>
                </w:tcPr>
                <w:p w14:paraId="3756CFA5">
                  <w:pPr>
                    <w:jc w:val="center"/>
                    <w:rPr>
                      <w:bCs/>
                      <w:szCs w:val="21"/>
                    </w:rPr>
                  </w:pPr>
                  <w:r>
                    <w:rPr>
                      <w:bCs/>
                      <w:szCs w:val="21"/>
                    </w:rPr>
                    <w:t>《太湖流域管理条例》（国务院令第604号）</w:t>
                  </w:r>
                </w:p>
              </w:tc>
              <w:tc>
                <w:tcPr>
                  <w:tcW w:w="3357" w:type="pct"/>
                  <w:vAlign w:val="center"/>
                </w:tcPr>
                <w:p w14:paraId="1868CFC6">
                  <w:pPr>
                    <w:rPr>
                      <w:bCs/>
                      <w:szCs w:val="21"/>
                    </w:rPr>
                  </w:pPr>
                  <w:r>
                    <w:rPr>
                      <w:bCs/>
                      <w:szCs w:val="21"/>
                    </w:rPr>
                    <w:t>第二十八条</w:t>
                  </w:r>
                  <w:r>
                    <w:rPr>
                      <w:rFonts w:hint="eastAsia"/>
                      <w:bCs/>
                      <w:szCs w:val="21"/>
                    </w:rPr>
                    <w:t xml:space="preserve"> </w:t>
                  </w:r>
                  <w:r>
                    <w:rPr>
                      <w:bCs/>
                      <w:szCs w:val="21"/>
                    </w:rPr>
                    <w:t xml:space="preserve"> 禁止在太湖流域设置不符合国家产业政策和水环境综合治理要求的造纸、制革、酒精、淀粉、冶金、酿造、印染、电镀等排放水污染物的生产项目。</w:t>
                  </w:r>
                </w:p>
                <w:p w14:paraId="07F7A8D0">
                  <w:pPr>
                    <w:rPr>
                      <w:bCs/>
                      <w:szCs w:val="21"/>
                    </w:rPr>
                  </w:pPr>
                  <w:r>
                    <w:rPr>
                      <w:bCs/>
                      <w:szCs w:val="21"/>
                    </w:rPr>
                    <w:t>第二十九条</w:t>
                  </w:r>
                  <w:r>
                    <w:rPr>
                      <w:rFonts w:hint="eastAsia"/>
                      <w:bCs/>
                      <w:szCs w:val="21"/>
                    </w:rPr>
                    <w:t xml:space="preserve"> </w:t>
                  </w:r>
                  <w:r>
                    <w:rPr>
                      <w:bCs/>
                      <w:szCs w:val="21"/>
                    </w:rPr>
                    <w:t xml:space="preserve"> 新孟河、望虞河以外的其他主要入太湖河道，自河口1万米上溯至5万米河道岸线内及其岸线两侧各1000米范围内，禁止下列行为：</w:t>
                  </w:r>
                </w:p>
                <w:p w14:paraId="4313EAC9">
                  <w:pPr>
                    <w:rPr>
                      <w:bCs/>
                      <w:szCs w:val="21"/>
                    </w:rPr>
                  </w:pPr>
                  <w:r>
                    <w:rPr>
                      <w:bCs/>
                      <w:szCs w:val="21"/>
                    </w:rPr>
                    <w:t>（一）新建、扩建化工、医药生产项目；（二）新建、扩建污水集中处理设施排污口以外的排污口；（三）扩大水产养殖规模。</w:t>
                  </w:r>
                </w:p>
                <w:p w14:paraId="6E22F5D6">
                  <w:pPr>
                    <w:rPr>
                      <w:bCs/>
                      <w:szCs w:val="21"/>
                    </w:rPr>
                  </w:pPr>
                  <w:r>
                    <w:rPr>
                      <w:bCs/>
                      <w:szCs w:val="21"/>
                    </w:rPr>
                    <w:t xml:space="preserve">第三十条 </w:t>
                  </w:r>
                  <w:r>
                    <w:rPr>
                      <w:rFonts w:hint="eastAsia"/>
                      <w:bCs/>
                      <w:szCs w:val="21"/>
                    </w:rPr>
                    <w:t xml:space="preserve"> </w:t>
                  </w:r>
                  <w:r>
                    <w:rPr>
                      <w:bCs/>
                      <w:szCs w:val="21"/>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4E3E0442">
                  <w:pPr>
                    <w:rPr>
                      <w:bCs/>
                      <w:szCs w:val="21"/>
                    </w:rPr>
                  </w:pPr>
                  <w:r>
                    <w:rPr>
                      <w:bCs/>
                      <w:szCs w:val="21"/>
                    </w:rPr>
                    <w:t>（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tc>
              <w:tc>
                <w:tcPr>
                  <w:tcW w:w="970" w:type="pct"/>
                  <w:vMerge w:val="continue"/>
                  <w:vAlign w:val="center"/>
                </w:tcPr>
                <w:p w14:paraId="3C363902">
                  <w:pPr>
                    <w:jc w:val="center"/>
                    <w:rPr>
                      <w:bCs/>
                      <w:szCs w:val="21"/>
                    </w:rPr>
                  </w:pPr>
                </w:p>
              </w:tc>
              <w:tc>
                <w:tcPr>
                  <w:tcW w:w="277" w:type="pct"/>
                  <w:vAlign w:val="center"/>
                </w:tcPr>
                <w:p w14:paraId="0735E430">
                  <w:pPr>
                    <w:jc w:val="center"/>
                    <w:rPr>
                      <w:bCs/>
                      <w:szCs w:val="21"/>
                    </w:rPr>
                  </w:pPr>
                  <w:r>
                    <w:rPr>
                      <w:bCs/>
                      <w:szCs w:val="21"/>
                    </w:rPr>
                    <w:t>是</w:t>
                  </w:r>
                </w:p>
              </w:tc>
            </w:tr>
          </w:tbl>
          <w:p w14:paraId="72089025">
            <w:pPr>
              <w:pStyle w:val="3"/>
              <w:numPr>
                <w:ilvl w:val="0"/>
                <w:numId w:val="0"/>
              </w:numPr>
              <w:spacing w:line="480" w:lineRule="exact"/>
              <w:ind w:firstLine="482" w:firstLineChars="200"/>
              <w:rPr>
                <w:sz w:val="24"/>
              </w:rPr>
            </w:pPr>
            <w:r>
              <w:rPr>
                <w:b/>
                <w:bCs/>
                <w:sz w:val="24"/>
              </w:rPr>
              <w:t>4、</w:t>
            </w:r>
            <w:r>
              <w:rPr>
                <w:b/>
                <w:sz w:val="24"/>
              </w:rPr>
              <w:t>其他相关生态环境保护法律法规政策、生态环境保护规划相符性分析</w:t>
            </w:r>
          </w:p>
          <w:p w14:paraId="11433C39">
            <w:pPr>
              <w:pStyle w:val="3"/>
              <w:numPr>
                <w:ilvl w:val="0"/>
                <w:numId w:val="0"/>
              </w:numPr>
              <w:spacing w:line="480" w:lineRule="exact"/>
              <w:jc w:val="center"/>
              <w:rPr>
                <w:b/>
                <w:bCs/>
                <w:sz w:val="24"/>
              </w:rPr>
            </w:pPr>
          </w:p>
          <w:p w14:paraId="4D8ED4C0">
            <w:pPr>
              <w:pStyle w:val="3"/>
              <w:numPr>
                <w:ilvl w:val="0"/>
                <w:numId w:val="0"/>
              </w:numPr>
              <w:spacing w:line="480" w:lineRule="exact"/>
              <w:jc w:val="center"/>
              <w:rPr>
                <w:b/>
                <w:bCs/>
                <w:sz w:val="24"/>
              </w:rPr>
            </w:pPr>
            <w:r>
              <w:rPr>
                <w:b/>
                <w:bCs/>
                <w:sz w:val="24"/>
              </w:rPr>
              <w:t>表1-</w:t>
            </w:r>
            <w:r>
              <w:rPr>
                <w:rFonts w:hint="eastAsia"/>
                <w:b/>
                <w:bCs/>
                <w:sz w:val="24"/>
              </w:rPr>
              <w:t>2</w:t>
            </w:r>
            <w:r>
              <w:rPr>
                <w:rFonts w:hint="eastAsia"/>
                <w:b/>
                <w:bCs/>
                <w:sz w:val="24"/>
                <w:lang w:val="en-US" w:eastAsia="zh-CN"/>
              </w:rPr>
              <w:t>1</w:t>
            </w:r>
            <w:r>
              <w:rPr>
                <w:b/>
                <w:bCs/>
                <w:sz w:val="24"/>
              </w:rPr>
              <w:t xml:space="preserve">  与其他相关生态环境保护法律法规政策、生态环境保护规划相符性对照表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667"/>
              <w:gridCol w:w="7095"/>
              <w:gridCol w:w="3623"/>
              <w:gridCol w:w="448"/>
            </w:tblGrid>
            <w:tr w14:paraId="217E1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67" w:type="pct"/>
                  <w:gridSpan w:val="2"/>
                  <w:vAlign w:val="center"/>
                </w:tcPr>
                <w:p w14:paraId="7B84A695">
                  <w:pPr>
                    <w:snapToGrid w:val="0"/>
                    <w:jc w:val="center"/>
                    <w:rPr>
                      <w:b/>
                      <w:bCs/>
                      <w:szCs w:val="21"/>
                    </w:rPr>
                  </w:pPr>
                  <w:r>
                    <w:rPr>
                      <w:b/>
                      <w:bCs/>
                      <w:szCs w:val="21"/>
                    </w:rPr>
                    <w:t>文件名称</w:t>
                  </w:r>
                </w:p>
              </w:tc>
              <w:tc>
                <w:tcPr>
                  <w:tcW w:w="2625" w:type="pct"/>
                  <w:vAlign w:val="center"/>
                </w:tcPr>
                <w:p w14:paraId="2AF7A45B">
                  <w:pPr>
                    <w:snapToGrid w:val="0"/>
                    <w:jc w:val="center"/>
                    <w:rPr>
                      <w:b/>
                      <w:bCs/>
                      <w:szCs w:val="21"/>
                    </w:rPr>
                  </w:pPr>
                  <w:r>
                    <w:rPr>
                      <w:b/>
                      <w:bCs/>
                      <w:szCs w:val="21"/>
                    </w:rPr>
                    <w:t>要求</w:t>
                  </w:r>
                </w:p>
              </w:tc>
              <w:tc>
                <w:tcPr>
                  <w:tcW w:w="1340" w:type="pct"/>
                  <w:vAlign w:val="center"/>
                </w:tcPr>
                <w:p w14:paraId="79690535">
                  <w:pPr>
                    <w:snapToGrid w:val="0"/>
                    <w:jc w:val="center"/>
                    <w:rPr>
                      <w:b/>
                      <w:bCs/>
                      <w:szCs w:val="21"/>
                    </w:rPr>
                  </w:pPr>
                  <w:r>
                    <w:rPr>
                      <w:b/>
                      <w:bCs/>
                      <w:szCs w:val="21"/>
                    </w:rPr>
                    <w:t>本项目情况</w:t>
                  </w:r>
                </w:p>
              </w:tc>
              <w:tc>
                <w:tcPr>
                  <w:tcW w:w="166" w:type="pct"/>
                  <w:vAlign w:val="center"/>
                </w:tcPr>
                <w:p w14:paraId="4CF9AD67">
                  <w:pPr>
                    <w:snapToGrid w:val="0"/>
                    <w:jc w:val="center"/>
                    <w:rPr>
                      <w:b/>
                      <w:bCs/>
                      <w:szCs w:val="21"/>
                    </w:rPr>
                  </w:pPr>
                  <w:r>
                    <w:rPr>
                      <w:b/>
                      <w:bCs/>
                      <w:szCs w:val="21"/>
                    </w:rPr>
                    <w:t>相符性</w:t>
                  </w:r>
                </w:p>
              </w:tc>
            </w:tr>
            <w:tr w14:paraId="464DF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pct"/>
                  <w:gridSpan w:val="2"/>
                  <w:vAlign w:val="center"/>
                </w:tcPr>
                <w:p w14:paraId="7D852033">
                  <w:pPr>
                    <w:snapToGrid w:val="0"/>
                    <w:jc w:val="center"/>
                    <w:rPr>
                      <w:szCs w:val="21"/>
                    </w:rPr>
                  </w:pPr>
                  <w:r>
                    <w:rPr>
                      <w:szCs w:val="21"/>
                    </w:rPr>
                    <w:t>《建设项目环境保护管理条例》（2017年修订）</w:t>
                  </w:r>
                </w:p>
              </w:tc>
              <w:tc>
                <w:tcPr>
                  <w:tcW w:w="2625" w:type="pct"/>
                  <w:vAlign w:val="center"/>
                </w:tcPr>
                <w:p w14:paraId="77313AB0">
                  <w:pPr>
                    <w:snapToGrid w:val="0"/>
                    <w:rPr>
                      <w:szCs w:val="21"/>
                    </w:rPr>
                  </w:pPr>
                  <w:r>
                    <w:rPr>
                      <w:szCs w:val="21"/>
                    </w:rPr>
                    <w:t>第十一条  建设项目有下列情形之一的，环境保护行政主管部门应当对环境影响报告书、环境影响报告表作出不予批准的决定：（一）建设项目类型及其选址、布局、规模等不符合环境保护法律法规和相关法定规划；（二）所在区域环境质量未达到国家或者地方环境质量标准，且建设项目拟采取的措施不能满足区域环境质量改善目标管理要求；（三）建设项目采取的污染防治措施无法确保污染物排放达到国家和地方排放标准，或者未采取必要措施预防和控制生态破坏；（四）改建、扩建和技术改造项目，未针对项目原有环境污染和生态破坏提出有效防治措施；（五）建设项目的环境影响报告书、环境影响报告表的基础资料数据明显不实，内容存在重大缺陷、遗漏，或者环境影响评价结论不明确、不合理。</w:t>
                  </w:r>
                </w:p>
              </w:tc>
              <w:tc>
                <w:tcPr>
                  <w:tcW w:w="1340" w:type="pct"/>
                  <w:vAlign w:val="center"/>
                </w:tcPr>
                <w:p w14:paraId="36A55D03">
                  <w:pPr>
                    <w:snapToGrid w:val="0"/>
                    <w:rPr>
                      <w:szCs w:val="21"/>
                    </w:rPr>
                  </w:pPr>
                  <w:r>
                    <w:rPr>
                      <w:szCs w:val="21"/>
                    </w:rPr>
                    <w:t>本项目不属于《建设项目环境保护管理条例》中第十一条中规定的</w:t>
                  </w:r>
                  <w:r>
                    <w:rPr>
                      <w:rFonts w:hint="eastAsia"/>
                      <w:szCs w:val="21"/>
                    </w:rPr>
                    <w:t>“</w:t>
                  </w:r>
                  <w:r>
                    <w:rPr>
                      <w:szCs w:val="21"/>
                    </w:rPr>
                    <w:t>不予批准</w:t>
                  </w:r>
                  <w:r>
                    <w:rPr>
                      <w:rFonts w:hint="eastAsia"/>
                      <w:szCs w:val="21"/>
                    </w:rPr>
                    <w:t>”</w:t>
                  </w:r>
                  <w:r>
                    <w:rPr>
                      <w:szCs w:val="21"/>
                    </w:rPr>
                    <w:t>条款之列</w:t>
                  </w:r>
                  <w:r>
                    <w:rPr>
                      <w:rFonts w:hint="eastAsia"/>
                      <w:szCs w:val="21"/>
                    </w:rPr>
                    <w:t>。</w:t>
                  </w:r>
                </w:p>
              </w:tc>
              <w:tc>
                <w:tcPr>
                  <w:tcW w:w="166" w:type="pct"/>
                  <w:vAlign w:val="center"/>
                </w:tcPr>
                <w:p w14:paraId="00EE054D">
                  <w:pPr>
                    <w:snapToGrid w:val="0"/>
                    <w:jc w:val="center"/>
                    <w:rPr>
                      <w:szCs w:val="21"/>
                    </w:rPr>
                  </w:pPr>
                  <w:r>
                    <w:rPr>
                      <w:szCs w:val="21"/>
                    </w:rPr>
                    <w:t>相符</w:t>
                  </w:r>
                </w:p>
              </w:tc>
            </w:tr>
            <w:tr w14:paraId="59C80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pct"/>
                  <w:gridSpan w:val="2"/>
                  <w:vAlign w:val="center"/>
                </w:tcPr>
                <w:p w14:paraId="3876A704">
                  <w:pPr>
                    <w:snapToGrid w:val="0"/>
                    <w:jc w:val="center"/>
                    <w:rPr>
                      <w:kern w:val="0"/>
                      <w:szCs w:val="21"/>
                    </w:rPr>
                  </w:pPr>
                  <w:r>
                    <w:rPr>
                      <w:kern w:val="0"/>
                      <w:szCs w:val="21"/>
                    </w:rPr>
                    <w:t>《市生态环境局关于建设项目的审批指导意见》《省生态环境厅关于报送高耗能、高排放项目清单的通知》</w:t>
                  </w:r>
                </w:p>
              </w:tc>
              <w:tc>
                <w:tcPr>
                  <w:tcW w:w="2625" w:type="pct"/>
                  <w:vAlign w:val="center"/>
                </w:tcPr>
                <w:p w14:paraId="3AF217B3">
                  <w:pPr>
                    <w:snapToGrid w:val="0"/>
                    <w:rPr>
                      <w:kern w:val="0"/>
                      <w:szCs w:val="21"/>
                    </w:rPr>
                  </w:pPr>
                  <w:r>
                    <w:rPr>
                      <w:kern w:val="0"/>
                      <w:szCs w:val="21"/>
                    </w:rPr>
                    <w:t>1</w:t>
                  </w:r>
                  <w:r>
                    <w:rPr>
                      <w:rFonts w:hint="eastAsia"/>
                      <w:kern w:val="0"/>
                      <w:szCs w:val="21"/>
                    </w:rPr>
                    <w:t>、</w:t>
                  </w:r>
                  <w:r>
                    <w:rPr>
                      <w:kern w:val="0"/>
                      <w:szCs w:val="21"/>
                    </w:rPr>
                    <w:t>严格项目总量。实施建设项目大气污染物总量负增长原则，即重点区域内建设项目使用大气污染物总量，原则上在重点区域范围内实施总量平衡，且必须实行总量2倍减量替代。</w:t>
                  </w:r>
                </w:p>
                <w:p w14:paraId="7484004C">
                  <w:pPr>
                    <w:snapToGrid w:val="0"/>
                    <w:rPr>
                      <w:kern w:val="0"/>
                      <w:szCs w:val="21"/>
                    </w:rPr>
                  </w:pPr>
                  <w:r>
                    <w:rPr>
                      <w:kern w:val="0"/>
                      <w:szCs w:val="21"/>
                    </w:rPr>
                    <w:t>2</w:t>
                  </w:r>
                  <w:r>
                    <w:rPr>
                      <w:rFonts w:hint="eastAsia"/>
                      <w:kern w:val="0"/>
                      <w:szCs w:val="21"/>
                    </w:rPr>
                    <w:t>、</w:t>
                  </w:r>
                  <w:r>
                    <w:rPr>
                      <w:kern w:val="0"/>
                      <w:szCs w:val="21"/>
                    </w:rPr>
                    <w:t>强化环评审批。对重点区域内新上的大气污染物排放的建设项目及全市范围内新上高能耗项目，审批部门对其环评文本应实施质量评估。</w:t>
                  </w:r>
                </w:p>
              </w:tc>
              <w:tc>
                <w:tcPr>
                  <w:tcW w:w="1340" w:type="pct"/>
                  <w:vAlign w:val="center"/>
                </w:tcPr>
                <w:p w14:paraId="070C4E63">
                  <w:pPr>
                    <w:snapToGrid w:val="0"/>
                    <w:rPr>
                      <w:kern w:val="0"/>
                      <w:szCs w:val="21"/>
                    </w:rPr>
                  </w:pPr>
                  <w:r>
                    <w:rPr>
                      <w:kern w:val="0"/>
                      <w:szCs w:val="21"/>
                    </w:rPr>
                    <w:t>本项目距离最近的国控点</w:t>
                  </w:r>
                  <w:r>
                    <w:rPr>
                      <w:rFonts w:hint="eastAsia"/>
                      <w:kern w:val="0"/>
                      <w:szCs w:val="21"/>
                    </w:rPr>
                    <w:t>（金坛城区大气国控站点监测站）</w:t>
                  </w:r>
                  <w:r>
                    <w:rPr>
                      <w:kern w:val="0"/>
                      <w:szCs w:val="21"/>
                    </w:rPr>
                    <w:t>约</w:t>
                  </w:r>
                  <w:r>
                    <w:rPr>
                      <w:rFonts w:hint="eastAsia"/>
                      <w:kern w:val="0"/>
                      <w:szCs w:val="21"/>
                    </w:rPr>
                    <w:t>7.02</w:t>
                  </w:r>
                  <w:r>
                    <w:rPr>
                      <w:kern w:val="0"/>
                      <w:szCs w:val="21"/>
                    </w:rPr>
                    <w:t>km，不在重点区域内。本项目行业类别为</w:t>
                  </w:r>
                  <w:r>
                    <w:rPr>
                      <w:rFonts w:hint="eastAsia"/>
                      <w:szCs w:val="21"/>
                    </w:rPr>
                    <w:t>C2928人造草坪制造</w:t>
                  </w:r>
                  <w:r>
                    <w:rPr>
                      <w:szCs w:val="21"/>
                    </w:rPr>
                    <w:t>，</w:t>
                  </w:r>
                  <w:r>
                    <w:rPr>
                      <w:kern w:val="0"/>
                      <w:szCs w:val="21"/>
                    </w:rPr>
                    <w:t>对照《省生态环境厅关于报送高耗能、高排放项目清单的通知》项目报送范围，本项目不属于</w:t>
                  </w:r>
                  <w:r>
                    <w:rPr>
                      <w:rFonts w:hint="eastAsia"/>
                      <w:kern w:val="0"/>
                      <w:szCs w:val="21"/>
                    </w:rPr>
                    <w:t>“</w:t>
                  </w:r>
                  <w:r>
                    <w:rPr>
                      <w:kern w:val="0"/>
                      <w:szCs w:val="21"/>
                    </w:rPr>
                    <w:t>两高</w:t>
                  </w:r>
                  <w:r>
                    <w:rPr>
                      <w:rFonts w:hint="eastAsia"/>
                      <w:kern w:val="0"/>
                      <w:szCs w:val="21"/>
                    </w:rPr>
                    <w:t>”</w:t>
                  </w:r>
                  <w:r>
                    <w:rPr>
                      <w:kern w:val="0"/>
                      <w:szCs w:val="21"/>
                    </w:rPr>
                    <w:t>项目。</w:t>
                  </w:r>
                </w:p>
              </w:tc>
              <w:tc>
                <w:tcPr>
                  <w:tcW w:w="166" w:type="pct"/>
                  <w:vAlign w:val="center"/>
                </w:tcPr>
                <w:p w14:paraId="7E27D94B">
                  <w:pPr>
                    <w:snapToGrid w:val="0"/>
                    <w:jc w:val="center"/>
                    <w:rPr>
                      <w:szCs w:val="21"/>
                    </w:rPr>
                  </w:pPr>
                  <w:r>
                    <w:rPr>
                      <w:szCs w:val="21"/>
                    </w:rPr>
                    <w:t>相符</w:t>
                  </w:r>
                </w:p>
              </w:tc>
            </w:tr>
            <w:tr w14:paraId="74DFF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pct"/>
                  <w:gridSpan w:val="2"/>
                  <w:vAlign w:val="center"/>
                </w:tcPr>
                <w:p w14:paraId="6ADA7E8F">
                  <w:pPr>
                    <w:pStyle w:val="2"/>
                    <w:widowControl w:val="0"/>
                    <w:snapToGrid/>
                    <w:spacing w:before="0" w:after="0" w:line="240" w:lineRule="auto"/>
                    <w:ind w:right="0"/>
                    <w:jc w:val="center"/>
                    <w:rPr>
                      <w:sz w:val="21"/>
                      <w:szCs w:val="21"/>
                    </w:rPr>
                  </w:pPr>
                  <w:r>
                    <w:rPr>
                      <w:sz w:val="21"/>
                      <w:szCs w:val="21"/>
                    </w:rPr>
                    <w:t>《省生态环境厅关于进一步加强建设项目环评审批和服务工作的指导意见》（苏环办</w:t>
                  </w:r>
                  <w:r>
                    <w:rPr>
                      <w:rFonts w:hint="eastAsia"/>
                      <w:sz w:val="21"/>
                      <w:szCs w:val="21"/>
                    </w:rPr>
                    <w:t>〔2020〕225号</w:t>
                  </w:r>
                  <w:r>
                    <w:rPr>
                      <w:sz w:val="21"/>
                      <w:szCs w:val="21"/>
                    </w:rPr>
                    <w:t>）</w:t>
                  </w:r>
                </w:p>
              </w:tc>
              <w:tc>
                <w:tcPr>
                  <w:tcW w:w="2625" w:type="pct"/>
                  <w:vAlign w:val="center"/>
                </w:tcPr>
                <w:p w14:paraId="5B36302E">
                  <w:pPr>
                    <w:pStyle w:val="73"/>
                    <w:rPr>
                      <w:rFonts w:ascii="Times New Roman" w:hAnsi="Times New Roman" w:cs="Times New Roman"/>
                      <w:szCs w:val="21"/>
                      <w:lang w:val="en-US"/>
                    </w:rPr>
                  </w:pPr>
                  <w:r>
                    <w:rPr>
                      <w:rFonts w:ascii="Times New Roman" w:hAnsi="Times New Roman" w:cs="Times New Roman"/>
                      <w:szCs w:val="21"/>
                    </w:rPr>
                    <w:t>建设项目所在区域环境质量未达到国家或地方环境质量标准，且项目拟采取的污染防治措施不能满足区域环境质量改善目标管理要求的，一律不得审批。严格执行《江苏省长江经济带发展负面清单实施细则（试行）》，禁止在合规园区外新建、扩建钢铁、石化、化工、焦化、建材、有色等行业中的高污染项目。禁止新建燃煤自备电厂。</w:t>
                  </w:r>
                </w:p>
              </w:tc>
              <w:tc>
                <w:tcPr>
                  <w:tcW w:w="1340" w:type="pct"/>
                  <w:vAlign w:val="center"/>
                </w:tcPr>
                <w:p w14:paraId="48E334D8">
                  <w:pPr>
                    <w:pStyle w:val="73"/>
                    <w:rPr>
                      <w:rFonts w:ascii="Times New Roman" w:hAnsi="Times New Roman" w:cs="Times New Roman"/>
                      <w:szCs w:val="21"/>
                      <w:lang w:val="en-US"/>
                    </w:rPr>
                  </w:pPr>
                  <w:r>
                    <w:rPr>
                      <w:rFonts w:ascii="Times New Roman" w:hAnsi="Times New Roman" w:cs="Times New Roman"/>
                      <w:szCs w:val="21"/>
                    </w:rPr>
                    <w:t>本项目位于</w:t>
                  </w:r>
                  <w:r>
                    <w:rPr>
                      <w:rFonts w:ascii="Times New Roman" w:hAnsi="Times New Roman" w:cs="Times New Roman"/>
                      <w:szCs w:val="21"/>
                      <w:lang w:val="en-US"/>
                    </w:rPr>
                    <w:t>常</w:t>
                  </w:r>
                  <w:r>
                    <w:rPr>
                      <w:rFonts w:hint="eastAsia"/>
                      <w:kern w:val="0"/>
                      <w:szCs w:val="21"/>
                    </w:rPr>
                    <w:t>”</w:t>
                  </w:r>
                  <w:r>
                    <w:rPr>
                      <w:rFonts w:ascii="Times New Roman" w:hAnsi="Times New Roman" w:cs="Times New Roman"/>
                      <w:szCs w:val="21"/>
                      <w:lang w:val="en-US"/>
                    </w:rPr>
                    <w:t>州市</w:t>
                  </w:r>
                  <w:r>
                    <w:rPr>
                      <w:rFonts w:hint="eastAsia" w:ascii="Times New Roman" w:hAnsi="Times New Roman" w:cs="Times New Roman"/>
                      <w:szCs w:val="21"/>
                      <w:lang w:val="en-US"/>
                    </w:rPr>
                    <w:t>江苏省常州市金坛区朱林镇永顺路2号</w:t>
                  </w:r>
                  <w:r>
                    <w:rPr>
                      <w:rFonts w:ascii="Times New Roman" w:hAnsi="Times New Roman" w:cs="Times New Roman"/>
                      <w:szCs w:val="21"/>
                    </w:rPr>
                    <w:t>，从事</w:t>
                  </w:r>
                  <w:r>
                    <w:rPr>
                      <w:rFonts w:hint="eastAsia" w:ascii="Times New Roman" w:hAnsi="Times New Roman" w:cs="Times New Roman"/>
                      <w:szCs w:val="21"/>
                      <w:lang w:val="en-US"/>
                    </w:rPr>
                    <w:t>人造草坪的生产</w:t>
                  </w:r>
                  <w:r>
                    <w:rPr>
                      <w:rFonts w:ascii="Times New Roman" w:hAnsi="Times New Roman" w:cs="Times New Roman"/>
                      <w:szCs w:val="21"/>
                    </w:rPr>
                    <w:t>。</w:t>
                  </w:r>
                  <w:r>
                    <w:rPr>
                      <w:rFonts w:hint="eastAsia"/>
                      <w:kern w:val="0"/>
                      <w:szCs w:val="21"/>
                    </w:rPr>
                    <w:t>本项目无生产废水外排，生活污水依托出租方厂内污水管网收集后接入市政污水管网进入金坛区溪城污水处理有限公司集中处理，达标尾水排入通济河。</w:t>
                  </w:r>
                  <w:r>
                    <w:rPr>
                      <w:rFonts w:ascii="Times New Roman" w:hAnsi="Times New Roman" w:cs="Times New Roman"/>
                      <w:szCs w:val="21"/>
                    </w:rPr>
                    <w:t>生产过程中产生的废气均经处理后排放，各类固废均得到合理有效处置，不外排。</w:t>
                  </w:r>
                </w:p>
              </w:tc>
              <w:tc>
                <w:tcPr>
                  <w:tcW w:w="166" w:type="pct"/>
                  <w:vAlign w:val="center"/>
                </w:tcPr>
                <w:p w14:paraId="4F6F1E08">
                  <w:pPr>
                    <w:snapToGrid w:val="0"/>
                    <w:jc w:val="center"/>
                    <w:rPr>
                      <w:szCs w:val="21"/>
                    </w:rPr>
                  </w:pPr>
                  <w:r>
                    <w:rPr>
                      <w:szCs w:val="21"/>
                    </w:rPr>
                    <w:t>相符</w:t>
                  </w:r>
                </w:p>
              </w:tc>
            </w:tr>
            <w:tr w14:paraId="03E47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pct"/>
                  <w:gridSpan w:val="2"/>
                  <w:vAlign w:val="center"/>
                </w:tcPr>
                <w:p w14:paraId="4E3C9D63">
                  <w:pPr>
                    <w:snapToGrid w:val="0"/>
                    <w:jc w:val="center"/>
                    <w:rPr>
                      <w:szCs w:val="21"/>
                    </w:rPr>
                  </w:pPr>
                  <w:r>
                    <w:rPr>
                      <w:szCs w:val="21"/>
                    </w:rPr>
                    <w:t>《省生态环境厅关于进一步做好建设项目环评审批工作的通知》</w:t>
                  </w:r>
                </w:p>
                <w:p w14:paraId="066EB5D0">
                  <w:pPr>
                    <w:snapToGrid w:val="0"/>
                    <w:jc w:val="center"/>
                    <w:rPr>
                      <w:szCs w:val="21"/>
                    </w:rPr>
                  </w:pPr>
                  <w:r>
                    <w:rPr>
                      <w:szCs w:val="21"/>
                    </w:rPr>
                    <w:t>（苏环办</w:t>
                  </w:r>
                  <w:r>
                    <w:rPr>
                      <w:rFonts w:hint="eastAsia"/>
                      <w:szCs w:val="21"/>
                    </w:rPr>
                    <w:t>〔2019〕36号</w:t>
                  </w:r>
                  <w:r>
                    <w:rPr>
                      <w:szCs w:val="21"/>
                    </w:rPr>
                    <w:t>）</w:t>
                  </w:r>
                </w:p>
              </w:tc>
              <w:tc>
                <w:tcPr>
                  <w:tcW w:w="2625" w:type="pct"/>
                  <w:vAlign w:val="center"/>
                </w:tcPr>
                <w:p w14:paraId="60418DAE">
                  <w:pPr>
                    <w:snapToGrid w:val="0"/>
                    <w:rPr>
                      <w:kern w:val="0"/>
                      <w:szCs w:val="21"/>
                    </w:rPr>
                  </w:pPr>
                  <w:r>
                    <w:rPr>
                      <w:kern w:val="0"/>
                      <w:szCs w:val="21"/>
                    </w:rPr>
                    <w:t>一、有下列情形之一的，不予批准：（1）建设项目类型及其选址、布局、规模等不符合</w:t>
                  </w:r>
                  <w:r>
                    <w:rPr>
                      <w:kern w:val="0"/>
                      <w:szCs w:val="21"/>
                    </w:rPr>
                    <w:fldChar w:fldCharType="begin"/>
                  </w:r>
                  <w:r>
                    <w:rPr>
                      <w:kern w:val="0"/>
                      <w:szCs w:val="21"/>
                    </w:rPr>
                    <w:instrText xml:space="preserve"> HYPERLINK "https://www.eqxun.com/news/78.html" \t "https://www.eqxun.com/news/_blank" </w:instrText>
                  </w:r>
                  <w:r>
                    <w:rPr>
                      <w:kern w:val="0"/>
                      <w:szCs w:val="21"/>
                    </w:rPr>
                    <w:fldChar w:fldCharType="separate"/>
                  </w:r>
                  <w:r>
                    <w:rPr>
                      <w:kern w:val="0"/>
                      <w:szCs w:val="21"/>
                    </w:rPr>
                    <w:t>环境保护法</w:t>
                  </w:r>
                  <w:r>
                    <w:rPr>
                      <w:kern w:val="0"/>
                      <w:szCs w:val="21"/>
                    </w:rPr>
                    <w:fldChar w:fldCharType="end"/>
                  </w:r>
                  <w:r>
                    <w:rPr>
                      <w:kern w:val="0"/>
                      <w:szCs w:val="21"/>
                    </w:rPr>
                    <w:t>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w:t>
                  </w:r>
                  <w:r>
                    <w:rPr>
                      <w:kern w:val="0"/>
                      <w:szCs w:val="21"/>
                    </w:rPr>
                    <w:fldChar w:fldCharType="begin"/>
                  </w:r>
                  <w:r>
                    <w:rPr>
                      <w:kern w:val="0"/>
                      <w:szCs w:val="21"/>
                    </w:rPr>
                    <w:instrText xml:space="preserve"> HYPERLINK "https://www.eqxun.com/news/1819.html" \t "https://www.eqxun.com/news/_blank" </w:instrText>
                  </w:r>
                  <w:r>
                    <w:rPr>
                      <w:kern w:val="0"/>
                      <w:szCs w:val="21"/>
                    </w:rPr>
                    <w:fldChar w:fldCharType="separate"/>
                  </w:r>
                  <w:r>
                    <w:rPr>
                      <w:kern w:val="0"/>
                      <w:szCs w:val="21"/>
                    </w:rPr>
                    <w:t>环境污染</w:t>
                  </w:r>
                  <w:r>
                    <w:rPr>
                      <w:kern w:val="0"/>
                      <w:szCs w:val="21"/>
                    </w:rPr>
                    <w:fldChar w:fldCharType="end"/>
                  </w:r>
                  <w:r>
                    <w:rPr>
                      <w:kern w:val="0"/>
                      <w:szCs w:val="21"/>
                    </w:rPr>
                    <w:t>和生态破坏提出有效防治措施；（5）建设项目的环境影响报告书、环境影响报告表的基础资料数据明显不实，内容存在重大缺陷、遗漏，或者环境影响评价结论不明确、不合理。</w:t>
                  </w:r>
                </w:p>
                <w:p w14:paraId="4DE530FD">
                  <w:pPr>
                    <w:snapToGrid w:val="0"/>
                    <w:rPr>
                      <w:kern w:val="0"/>
                      <w:szCs w:val="21"/>
                    </w:rPr>
                  </w:pPr>
                  <w:r>
                    <w:rPr>
                      <w:kern w:val="0"/>
                      <w:szCs w:val="21"/>
                    </w:rPr>
                    <w:t>二、严格控制在优先保护类耕地集中区域新建有色金属冶炼、石油加工、化工、焦化、电镀、制革等行业企业，有关环境保护主管部门依法不予审批可能造成耕地土壤污染的建设项目环境影响报告书或者报告表。</w:t>
                  </w:r>
                </w:p>
                <w:p w14:paraId="6C953F83">
                  <w:pPr>
                    <w:snapToGrid w:val="0"/>
                    <w:rPr>
                      <w:szCs w:val="21"/>
                    </w:rPr>
                  </w:pPr>
                  <w:r>
                    <w:rPr>
                      <w:kern w:val="0"/>
                      <w:szCs w:val="21"/>
                    </w:rPr>
                    <w:t>三、严格落实污染物排放总量控制制度，把主要污染物排放总量指标作为建设项目环境影响评价审批的前置条件。排放主要污染物的建设项目，在环境影响评价文件审批前，须取得主要污染物排放总量指标。</w:t>
                  </w:r>
                </w:p>
                <w:p w14:paraId="34B26A1E">
                  <w:pPr>
                    <w:snapToGrid w:val="0"/>
                    <w:rPr>
                      <w:szCs w:val="21"/>
                    </w:rPr>
                  </w:pPr>
                  <w:r>
                    <w:rPr>
                      <w:kern w:val="0"/>
                      <w:szCs w:val="21"/>
                    </w:rPr>
                    <w:t>四、（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w:t>
                  </w:r>
                  <w:r>
                    <w:rPr>
                      <w:kern w:val="0"/>
                      <w:szCs w:val="21"/>
                    </w:rPr>
                    <w:fldChar w:fldCharType="begin"/>
                  </w:r>
                  <w:r>
                    <w:rPr>
                      <w:kern w:val="0"/>
                      <w:szCs w:val="21"/>
                    </w:rPr>
                    <w:instrText xml:space="preserve"> HYPERLINK "https://www.eqxun.com/news/1314.html" \t "https://www.eqxun.com/news/_blank" </w:instrText>
                  </w:r>
                  <w:r>
                    <w:rPr>
                      <w:kern w:val="0"/>
                      <w:szCs w:val="21"/>
                    </w:rPr>
                    <w:fldChar w:fldCharType="separate"/>
                  </w:r>
                  <w:r>
                    <w:rPr>
                      <w:kern w:val="0"/>
                      <w:szCs w:val="21"/>
                    </w:rPr>
                    <w:t>节能减排</w:t>
                  </w:r>
                  <w:r>
                    <w:rPr>
                      <w:kern w:val="0"/>
                      <w:szCs w:val="21"/>
                    </w:rPr>
                    <w:fldChar w:fldCharType="end"/>
                  </w:r>
                  <w:r>
                    <w:rPr>
                      <w:kern w:val="0"/>
                      <w:szCs w:val="21"/>
                    </w:rPr>
                    <w:t>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p w14:paraId="3B9DDF89">
                  <w:pPr>
                    <w:snapToGrid w:val="0"/>
                    <w:rPr>
                      <w:szCs w:val="21"/>
                    </w:rPr>
                  </w:pPr>
                  <w:r>
                    <w:rPr>
                      <w:kern w:val="0"/>
                      <w:szCs w:val="21"/>
                    </w:rPr>
                    <w:t>五、严禁在长江干流及主要支流岸线1公里范围内新建布局化工园区和化工企业。严格化工项目环评审批，提高准入门槛，新建化工项目原则上投资额不得低于10亿元，不得新建、改建、扩建三类中间体项目。</w:t>
                  </w:r>
                </w:p>
                <w:p w14:paraId="32954E0E">
                  <w:pPr>
                    <w:snapToGrid w:val="0"/>
                    <w:rPr>
                      <w:szCs w:val="21"/>
                    </w:rPr>
                  </w:pPr>
                  <w:r>
                    <w:rPr>
                      <w:kern w:val="0"/>
                      <w:szCs w:val="21"/>
                    </w:rPr>
                    <w:t>六、禁止新建</w:t>
                  </w:r>
                  <w:r>
                    <w:rPr>
                      <w:kern w:val="0"/>
                      <w:szCs w:val="21"/>
                    </w:rPr>
                    <w:fldChar w:fldCharType="begin"/>
                  </w:r>
                  <w:r>
                    <w:rPr>
                      <w:kern w:val="0"/>
                      <w:szCs w:val="21"/>
                    </w:rPr>
                    <w:instrText xml:space="preserve"> HYPERLINK "https://www.eqxun.com/news/1301.html" \t "https://www.eqxun.com/news/_blank" </w:instrText>
                  </w:r>
                  <w:r>
                    <w:rPr>
                      <w:kern w:val="0"/>
                      <w:szCs w:val="21"/>
                    </w:rPr>
                    <w:fldChar w:fldCharType="separate"/>
                  </w:r>
                  <w:r>
                    <w:rPr>
                      <w:kern w:val="0"/>
                      <w:szCs w:val="21"/>
                    </w:rPr>
                    <w:t>燃煤</w:t>
                  </w:r>
                  <w:r>
                    <w:rPr>
                      <w:kern w:val="0"/>
                      <w:szCs w:val="21"/>
                    </w:rPr>
                    <w:fldChar w:fldCharType="end"/>
                  </w:r>
                  <w:r>
                    <w:rPr>
                      <w:kern w:val="0"/>
                      <w:szCs w:val="21"/>
                    </w:rPr>
                    <w:t>自备电厂。在重点地区执行《江苏省化工钢铁煤电行业环境准入和排放标准》。燃煤电厂2019年底前全部实行超低排放。</w:t>
                  </w:r>
                </w:p>
                <w:p w14:paraId="24E04D46">
                  <w:pPr>
                    <w:snapToGrid w:val="0"/>
                    <w:rPr>
                      <w:szCs w:val="21"/>
                    </w:rPr>
                  </w:pPr>
                  <w:r>
                    <w:rPr>
                      <w:kern w:val="0"/>
                      <w:szCs w:val="21"/>
                    </w:rPr>
                    <w:t>七、禁止建设生产和使用高VOCs含量的溶剂型涂料、油墨、胶粘剂等项目。</w:t>
                  </w:r>
                </w:p>
                <w:p w14:paraId="4C013645">
                  <w:pPr>
                    <w:snapToGrid w:val="0"/>
                    <w:rPr>
                      <w:kern w:val="0"/>
                      <w:szCs w:val="21"/>
                    </w:rPr>
                  </w:pPr>
                  <w:r>
                    <w:rPr>
                      <w:kern w:val="0"/>
                      <w:szCs w:val="21"/>
                    </w:rPr>
                    <w:t>八、一律不批新的化工园区，一律不批化工园区外化工企业（除化工重点监测点和提升安全、环保、节能水平及油品质量升级、结构调整以外的改扩建项目），一律不批化工园区内环境基础设施不完善或长期不能稳定运行企业的新改扩建化工项目。新建（含搬迁）化工项目必须进入已经依法完成规划环评审查的化工园区。</w:t>
                  </w:r>
                </w:p>
                <w:p w14:paraId="658BC59D">
                  <w:pPr>
                    <w:snapToGrid w:val="0"/>
                    <w:rPr>
                      <w:szCs w:val="21"/>
                    </w:rPr>
                  </w:pPr>
                  <w:r>
                    <w:rPr>
                      <w:kern w:val="0"/>
                      <w:szCs w:val="21"/>
                    </w:rPr>
                    <w:t>严禁在长江干流及主要支流岸线1公里范围内新建危化品码头。</w:t>
                  </w:r>
                </w:p>
                <w:p w14:paraId="3E28FBFD">
                  <w:pPr>
                    <w:snapToGrid w:val="0"/>
                    <w:rPr>
                      <w:szCs w:val="21"/>
                    </w:rPr>
                  </w:pPr>
                  <w:r>
                    <w:rPr>
                      <w:kern w:val="0"/>
                      <w:szCs w:val="21"/>
                    </w:rPr>
                    <w:t>九、生态保护红线原则上按禁止开发区域的要求进行管理，严禁不符合主体功能定位的各类开发活动，严禁任意改变用途。</w:t>
                  </w:r>
                </w:p>
                <w:p w14:paraId="4557FE96">
                  <w:pPr>
                    <w:snapToGrid w:val="0"/>
                    <w:rPr>
                      <w:szCs w:val="21"/>
                    </w:rPr>
                  </w:pPr>
                  <w:r>
                    <w:rPr>
                      <w:kern w:val="0"/>
                      <w:szCs w:val="21"/>
                    </w:rPr>
                    <w:t>十、禁止审批无法落实危险废物利用、处置途径的项目，从严审批危险废物产生量大、本地无配套利用处置能力</w:t>
                  </w:r>
                  <w:r>
                    <w:rPr>
                      <w:rFonts w:hint="eastAsia"/>
                      <w:kern w:val="0"/>
                      <w:szCs w:val="21"/>
                    </w:rPr>
                    <w:t>且</w:t>
                  </w:r>
                  <w:r>
                    <w:rPr>
                      <w:kern w:val="0"/>
                      <w:szCs w:val="21"/>
                    </w:rPr>
                    <w:t>需设区市统筹解决的项目。</w:t>
                  </w:r>
                </w:p>
              </w:tc>
              <w:tc>
                <w:tcPr>
                  <w:tcW w:w="1340" w:type="pct"/>
                  <w:vAlign w:val="center"/>
                </w:tcPr>
                <w:p w14:paraId="5BCEACFD">
                  <w:pPr>
                    <w:snapToGrid w:val="0"/>
                    <w:rPr>
                      <w:bCs/>
                      <w:szCs w:val="21"/>
                    </w:rPr>
                  </w:pPr>
                  <w:r>
                    <w:rPr>
                      <w:bCs/>
                      <w:kern w:val="0"/>
                      <w:szCs w:val="21"/>
                    </w:rPr>
                    <w:t>本项目为</w:t>
                  </w:r>
                  <w:r>
                    <w:rPr>
                      <w:rFonts w:hint="eastAsia"/>
                      <w:bCs/>
                      <w:kern w:val="0"/>
                      <w:szCs w:val="21"/>
                    </w:rPr>
                    <w:t>新建</w:t>
                  </w:r>
                  <w:r>
                    <w:rPr>
                      <w:bCs/>
                      <w:kern w:val="0"/>
                      <w:szCs w:val="21"/>
                    </w:rPr>
                    <w:t>项目，行业类别为</w:t>
                  </w:r>
                  <w:r>
                    <w:rPr>
                      <w:rFonts w:hint="eastAsia"/>
                      <w:szCs w:val="21"/>
                    </w:rPr>
                    <w:t>C2928人造草坪制造</w:t>
                  </w:r>
                  <w:r>
                    <w:rPr>
                      <w:bCs/>
                      <w:kern w:val="0"/>
                      <w:szCs w:val="21"/>
                    </w:rPr>
                    <w:t>，项目位于常州市</w:t>
                  </w:r>
                  <w:r>
                    <w:rPr>
                      <w:rFonts w:hint="eastAsia"/>
                      <w:bCs/>
                      <w:kern w:val="0"/>
                      <w:szCs w:val="21"/>
                    </w:rPr>
                    <w:t>江苏省常州市金坛区朱林镇永顺路2号</w:t>
                  </w:r>
                  <w:r>
                    <w:rPr>
                      <w:bCs/>
                      <w:kern w:val="0"/>
                      <w:szCs w:val="21"/>
                    </w:rPr>
                    <w:t>，不在生态空间管控区域内，用地性质为工业用地；项目所在地为</w:t>
                  </w:r>
                  <w:r>
                    <w:rPr>
                      <w:rFonts w:hint="eastAsia"/>
                      <w:bCs/>
                      <w:kern w:val="0"/>
                      <w:szCs w:val="21"/>
                    </w:rPr>
                    <w:t>不</w:t>
                  </w:r>
                  <w:r>
                    <w:rPr>
                      <w:bCs/>
                      <w:kern w:val="0"/>
                      <w:szCs w:val="21"/>
                    </w:rPr>
                    <w:t>达标区，但生产过程中产生的废气经相应的废气治理设施收集处理后，可满足大气污染物排放标准。项目主要工艺为</w:t>
                  </w:r>
                  <w:r>
                    <w:rPr>
                      <w:rFonts w:hint="eastAsia"/>
                      <w:bCs/>
                      <w:kern w:val="0"/>
                      <w:szCs w:val="21"/>
                    </w:rPr>
                    <w:t>簇绒、调配、背胶、烘干、裁剪、检验等</w:t>
                  </w:r>
                  <w:r>
                    <w:rPr>
                      <w:bCs/>
                      <w:kern w:val="0"/>
                      <w:szCs w:val="21"/>
                    </w:rPr>
                    <w:t>工序，不属于化工项目，不属于不予审批的建设项目。本项目生产过程中产生的大气污染物在区域内进行平衡，与文件内容相符。不在长江干流及主要支流岸线1公里范围内，同时不属于三类中间体项目。本项目采用电</w:t>
                  </w:r>
                  <w:r>
                    <w:rPr>
                      <w:rFonts w:hint="eastAsia"/>
                      <w:bCs/>
                      <w:kern w:val="0"/>
                      <w:szCs w:val="21"/>
                    </w:rPr>
                    <w:t>、天然气和蒸汽</w:t>
                  </w:r>
                  <w:r>
                    <w:rPr>
                      <w:bCs/>
                      <w:kern w:val="0"/>
                      <w:szCs w:val="21"/>
                    </w:rPr>
                    <w:t>作为能源，由区域供电管网</w:t>
                  </w:r>
                  <w:r>
                    <w:rPr>
                      <w:rFonts w:hint="eastAsia"/>
                      <w:bCs/>
                      <w:kern w:val="0"/>
                      <w:szCs w:val="21"/>
                    </w:rPr>
                    <w:t>和区域供气</w:t>
                  </w:r>
                  <w:r>
                    <w:rPr>
                      <w:bCs/>
                      <w:kern w:val="0"/>
                      <w:szCs w:val="21"/>
                    </w:rPr>
                    <w:t>提供。生产过程中使用</w:t>
                  </w:r>
                  <w:r>
                    <w:rPr>
                      <w:rFonts w:hint="eastAsia"/>
                      <w:bCs/>
                      <w:kern w:val="0"/>
                      <w:szCs w:val="21"/>
                    </w:rPr>
                    <w:t>低VOCs的胶粘剂，</w:t>
                  </w:r>
                  <w:r>
                    <w:rPr>
                      <w:bCs/>
                      <w:kern w:val="0"/>
                      <w:szCs w:val="21"/>
                    </w:rPr>
                    <w:t>与文件内容相符。项目生产过程中产生的危废委托有资质单位处置。</w:t>
                  </w:r>
                </w:p>
              </w:tc>
              <w:tc>
                <w:tcPr>
                  <w:tcW w:w="166" w:type="pct"/>
                  <w:vAlign w:val="center"/>
                </w:tcPr>
                <w:p w14:paraId="22CF405A">
                  <w:pPr>
                    <w:snapToGrid w:val="0"/>
                    <w:jc w:val="center"/>
                    <w:rPr>
                      <w:szCs w:val="21"/>
                    </w:rPr>
                  </w:pPr>
                  <w:r>
                    <w:rPr>
                      <w:szCs w:val="21"/>
                    </w:rPr>
                    <w:t>相符</w:t>
                  </w:r>
                </w:p>
              </w:tc>
            </w:tr>
            <w:tr w14:paraId="5C72B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pct"/>
                  <w:gridSpan w:val="2"/>
                  <w:vAlign w:val="center"/>
                </w:tcPr>
                <w:p w14:paraId="6F11A9BF">
                  <w:pPr>
                    <w:snapToGrid w:val="0"/>
                    <w:jc w:val="center"/>
                    <w:rPr>
                      <w:szCs w:val="21"/>
                    </w:rPr>
                  </w:pPr>
                  <w:r>
                    <w:rPr>
                      <w:szCs w:val="21"/>
                    </w:rPr>
                    <w:t>《长江经济带发展负面清单指南（试行），2022版》江苏省实施细则条款</w:t>
                  </w:r>
                </w:p>
              </w:tc>
              <w:tc>
                <w:tcPr>
                  <w:tcW w:w="2625" w:type="pct"/>
                  <w:vAlign w:val="center"/>
                </w:tcPr>
                <w:p w14:paraId="13A9FBFA">
                  <w:pPr>
                    <w:snapToGrid w:val="0"/>
                    <w:rPr>
                      <w:kern w:val="0"/>
                      <w:szCs w:val="21"/>
                    </w:rPr>
                  </w:pPr>
                  <w:r>
                    <w:rPr>
                      <w:kern w:val="0"/>
                      <w:szCs w:val="21"/>
                    </w:rPr>
                    <w:t>1</w:t>
                  </w:r>
                  <w:r>
                    <w:rPr>
                      <w:rFonts w:hint="eastAsia"/>
                      <w:kern w:val="0"/>
                      <w:szCs w:val="21"/>
                    </w:rPr>
                    <w:t>、</w:t>
                  </w:r>
                  <w:r>
                    <w:rPr>
                      <w:kern w:val="0"/>
                      <w:szCs w:val="21"/>
                    </w:rPr>
                    <w:t>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p w14:paraId="7B345566">
                  <w:pPr>
                    <w:snapToGrid w:val="0"/>
                    <w:rPr>
                      <w:kern w:val="0"/>
                      <w:szCs w:val="21"/>
                    </w:rPr>
                  </w:pPr>
                  <w:r>
                    <w:rPr>
                      <w:kern w:val="0"/>
                      <w:szCs w:val="21"/>
                    </w:rPr>
                    <w:t>2</w:t>
                  </w:r>
                  <w:r>
                    <w:rPr>
                      <w:rFonts w:hint="eastAsia"/>
                      <w:kern w:val="0"/>
                      <w:szCs w:val="21"/>
                    </w:rPr>
                    <w:t>、</w:t>
                  </w:r>
                  <w:r>
                    <w:rPr>
                      <w:kern w:val="0"/>
                      <w:szCs w:val="21"/>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p w14:paraId="21BD1102">
                  <w:pPr>
                    <w:snapToGrid w:val="0"/>
                    <w:rPr>
                      <w:kern w:val="0"/>
                      <w:szCs w:val="21"/>
                    </w:rPr>
                  </w:pPr>
                  <w:r>
                    <w:rPr>
                      <w:kern w:val="0"/>
                      <w:szCs w:val="21"/>
                    </w:rPr>
                    <w:t>3</w:t>
                  </w:r>
                  <w:r>
                    <w:rPr>
                      <w:rFonts w:hint="eastAsia"/>
                      <w:kern w:val="0"/>
                      <w:szCs w:val="21"/>
                    </w:rPr>
                    <w:t>、</w:t>
                  </w:r>
                  <w:r>
                    <w:rPr>
                      <w:kern w:val="0"/>
                      <w:szCs w:val="21"/>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p w14:paraId="6D424361">
                  <w:pPr>
                    <w:snapToGrid w:val="0"/>
                    <w:rPr>
                      <w:kern w:val="0"/>
                      <w:szCs w:val="21"/>
                    </w:rPr>
                  </w:pPr>
                  <w:r>
                    <w:rPr>
                      <w:kern w:val="0"/>
                      <w:szCs w:val="21"/>
                    </w:rPr>
                    <w:t>4</w:t>
                  </w:r>
                  <w:r>
                    <w:rPr>
                      <w:rFonts w:hint="eastAsia"/>
                      <w:kern w:val="0"/>
                      <w:szCs w:val="21"/>
                    </w:rPr>
                    <w:t>、</w:t>
                  </w:r>
                  <w:r>
                    <w:rPr>
                      <w:kern w:val="0"/>
                      <w:szCs w:val="21"/>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p w14:paraId="221FCF49">
                  <w:pPr>
                    <w:snapToGrid w:val="0"/>
                    <w:rPr>
                      <w:kern w:val="0"/>
                      <w:szCs w:val="21"/>
                    </w:rPr>
                  </w:pPr>
                  <w:r>
                    <w:rPr>
                      <w:kern w:val="0"/>
                      <w:szCs w:val="21"/>
                    </w:rPr>
                    <w:t>5</w:t>
                  </w:r>
                  <w:r>
                    <w:rPr>
                      <w:rFonts w:hint="eastAsia"/>
                      <w:kern w:val="0"/>
                      <w:szCs w:val="21"/>
                    </w:rPr>
                    <w:t>、</w:t>
                  </w:r>
                  <w:r>
                    <w:rPr>
                      <w:kern w:val="0"/>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w:t>
                  </w:r>
                </w:p>
                <w:p w14:paraId="395FDE7D">
                  <w:pPr>
                    <w:snapToGrid w:val="0"/>
                    <w:rPr>
                      <w:kern w:val="0"/>
                      <w:szCs w:val="21"/>
                    </w:rPr>
                  </w:pPr>
                  <w:r>
                    <w:rPr>
                      <w:kern w:val="0"/>
                      <w:szCs w:val="21"/>
                    </w:rPr>
                    <w:t>保护的项目。</w:t>
                  </w:r>
                </w:p>
                <w:p w14:paraId="2DE73961">
                  <w:pPr>
                    <w:snapToGrid w:val="0"/>
                    <w:rPr>
                      <w:kern w:val="0"/>
                      <w:szCs w:val="21"/>
                    </w:rPr>
                  </w:pPr>
                  <w:r>
                    <w:rPr>
                      <w:kern w:val="0"/>
                      <w:szCs w:val="21"/>
                    </w:rPr>
                    <w:t>6</w:t>
                  </w:r>
                  <w:r>
                    <w:rPr>
                      <w:rFonts w:hint="eastAsia"/>
                      <w:kern w:val="0"/>
                      <w:szCs w:val="21"/>
                    </w:rPr>
                    <w:t>、</w:t>
                  </w:r>
                  <w:r>
                    <w:rPr>
                      <w:kern w:val="0"/>
                      <w:szCs w:val="21"/>
                    </w:rPr>
                    <w:t>禁止未经许可在长江干支流及湖泊新设、改设或扩大排污口。</w:t>
                  </w:r>
                </w:p>
                <w:p w14:paraId="1A90FB28">
                  <w:pPr>
                    <w:snapToGrid w:val="0"/>
                    <w:rPr>
                      <w:kern w:val="0"/>
                      <w:szCs w:val="21"/>
                    </w:rPr>
                  </w:pPr>
                  <w:r>
                    <w:rPr>
                      <w:kern w:val="0"/>
                      <w:szCs w:val="21"/>
                    </w:rPr>
                    <w:t>7</w:t>
                  </w:r>
                  <w:r>
                    <w:rPr>
                      <w:rFonts w:hint="eastAsia"/>
                      <w:kern w:val="0"/>
                      <w:szCs w:val="21"/>
                    </w:rPr>
                    <w:t>、</w:t>
                  </w:r>
                  <w:r>
                    <w:rPr>
                      <w:kern w:val="0"/>
                      <w:szCs w:val="21"/>
                    </w:rPr>
                    <w:t>禁止长江干流、长江口、34个列入《率先全面禁捕的长江流域水生生物保护区名录》的水生生物保护区以及省规定的其它禁渔水域开展生产性捕捞。</w:t>
                  </w:r>
                </w:p>
                <w:p w14:paraId="46FFFADB">
                  <w:pPr>
                    <w:snapToGrid w:val="0"/>
                    <w:rPr>
                      <w:kern w:val="0"/>
                      <w:szCs w:val="21"/>
                    </w:rPr>
                  </w:pPr>
                  <w:r>
                    <w:rPr>
                      <w:kern w:val="0"/>
                      <w:szCs w:val="21"/>
                    </w:rPr>
                    <w:t>8</w:t>
                  </w:r>
                  <w:r>
                    <w:rPr>
                      <w:rFonts w:hint="eastAsia"/>
                      <w:kern w:val="0"/>
                      <w:szCs w:val="21"/>
                    </w:rPr>
                    <w:t>、</w:t>
                  </w:r>
                  <w:r>
                    <w:rPr>
                      <w:kern w:val="0"/>
                      <w:szCs w:val="21"/>
                    </w:rPr>
                    <w:t>禁止在距离长江干支流岸线一公里范围内新建、扩建化工园区和化工项目。长江干支流一公里按照长江干支流岸线边界（即水利部门河道管理范围边界）向陆域纵深一公里执行。</w:t>
                  </w:r>
                </w:p>
                <w:p w14:paraId="65478EC7">
                  <w:pPr>
                    <w:snapToGrid w:val="0"/>
                    <w:rPr>
                      <w:kern w:val="0"/>
                      <w:szCs w:val="21"/>
                    </w:rPr>
                  </w:pPr>
                  <w:r>
                    <w:rPr>
                      <w:kern w:val="0"/>
                      <w:szCs w:val="21"/>
                    </w:rPr>
                    <w:t>9</w:t>
                  </w:r>
                  <w:r>
                    <w:rPr>
                      <w:rFonts w:hint="eastAsia"/>
                      <w:kern w:val="0"/>
                      <w:szCs w:val="21"/>
                    </w:rPr>
                    <w:t>、</w:t>
                  </w:r>
                  <w:r>
                    <w:rPr>
                      <w:kern w:val="0"/>
                      <w:szCs w:val="21"/>
                    </w:rPr>
                    <w:t>禁止在长江干流岸线三公里范围内新建、改建、扩建尾矿库、冶炼渣库和磷石膏库，以提升安全、生态环境保护水平为目的的改建除外。</w:t>
                  </w:r>
                </w:p>
                <w:p w14:paraId="053D65BA">
                  <w:pPr>
                    <w:snapToGrid w:val="0"/>
                    <w:rPr>
                      <w:kern w:val="0"/>
                      <w:szCs w:val="21"/>
                    </w:rPr>
                  </w:pPr>
                  <w:r>
                    <w:rPr>
                      <w:kern w:val="0"/>
                      <w:szCs w:val="21"/>
                    </w:rPr>
                    <w:t>10</w:t>
                  </w:r>
                  <w:r>
                    <w:rPr>
                      <w:rFonts w:hint="eastAsia"/>
                      <w:kern w:val="0"/>
                      <w:szCs w:val="21"/>
                    </w:rPr>
                    <w:t>、</w:t>
                  </w:r>
                  <w:r>
                    <w:rPr>
                      <w:kern w:val="0"/>
                      <w:szCs w:val="21"/>
                    </w:rPr>
                    <w:t>禁止在太湖流域一、二、三级保护区内开展《江苏省太湖水污染防治条例》禁止的投资建设活动。</w:t>
                  </w:r>
                </w:p>
                <w:p w14:paraId="1F744699">
                  <w:pPr>
                    <w:snapToGrid w:val="0"/>
                    <w:rPr>
                      <w:kern w:val="0"/>
                      <w:szCs w:val="21"/>
                    </w:rPr>
                  </w:pPr>
                  <w:r>
                    <w:rPr>
                      <w:kern w:val="0"/>
                      <w:szCs w:val="21"/>
                    </w:rPr>
                    <w:t>11</w:t>
                  </w:r>
                  <w:r>
                    <w:rPr>
                      <w:rFonts w:hint="eastAsia"/>
                      <w:kern w:val="0"/>
                      <w:szCs w:val="21"/>
                    </w:rPr>
                    <w:t>、</w:t>
                  </w:r>
                  <w:r>
                    <w:rPr>
                      <w:kern w:val="0"/>
                      <w:szCs w:val="21"/>
                    </w:rPr>
                    <w:t>禁止在沿江地区新建、扩建未纳入国家和省布局规划的燃煤发电项目。</w:t>
                  </w:r>
                </w:p>
                <w:p w14:paraId="4AC50DA2">
                  <w:pPr>
                    <w:snapToGrid w:val="0"/>
                    <w:rPr>
                      <w:kern w:val="0"/>
                      <w:szCs w:val="21"/>
                    </w:rPr>
                  </w:pPr>
                  <w:r>
                    <w:rPr>
                      <w:kern w:val="0"/>
                      <w:szCs w:val="21"/>
                    </w:rPr>
                    <w:t>12</w:t>
                  </w:r>
                  <w:r>
                    <w:rPr>
                      <w:rFonts w:hint="eastAsia"/>
                      <w:kern w:val="0"/>
                      <w:szCs w:val="21"/>
                    </w:rPr>
                    <w:t>、</w:t>
                  </w:r>
                  <w:r>
                    <w:rPr>
                      <w:kern w:val="0"/>
                      <w:szCs w:val="21"/>
                    </w:rPr>
                    <w:t>禁止在合规园区外新建、扩建钢铁、石化、化工、焦化、建材、有色、制浆造纸等高污染项目。合规园区名录按照《〈长江经济带发展负面清单指南（试行，2022年版）〉江苏省实施细则合规园区名录》执行。</w:t>
                  </w:r>
                </w:p>
                <w:p w14:paraId="04A8E695">
                  <w:pPr>
                    <w:snapToGrid w:val="0"/>
                    <w:rPr>
                      <w:kern w:val="0"/>
                      <w:szCs w:val="21"/>
                    </w:rPr>
                  </w:pPr>
                  <w:r>
                    <w:rPr>
                      <w:kern w:val="0"/>
                      <w:szCs w:val="21"/>
                    </w:rPr>
                    <w:t>13</w:t>
                  </w:r>
                  <w:r>
                    <w:rPr>
                      <w:rFonts w:hint="eastAsia"/>
                      <w:kern w:val="0"/>
                      <w:szCs w:val="21"/>
                    </w:rPr>
                    <w:t>、</w:t>
                  </w:r>
                  <w:r>
                    <w:rPr>
                      <w:kern w:val="0"/>
                      <w:szCs w:val="21"/>
                    </w:rPr>
                    <w:t>禁止在取消化工定位的园区（集中区）内新建化工项目。</w:t>
                  </w:r>
                </w:p>
                <w:p w14:paraId="5EA296BA">
                  <w:pPr>
                    <w:snapToGrid w:val="0"/>
                    <w:rPr>
                      <w:kern w:val="0"/>
                      <w:szCs w:val="21"/>
                    </w:rPr>
                  </w:pPr>
                  <w:r>
                    <w:rPr>
                      <w:kern w:val="0"/>
                      <w:szCs w:val="21"/>
                    </w:rPr>
                    <w:t>14</w:t>
                  </w:r>
                  <w:r>
                    <w:rPr>
                      <w:rFonts w:hint="eastAsia"/>
                      <w:kern w:val="0"/>
                      <w:szCs w:val="21"/>
                    </w:rPr>
                    <w:t>、</w:t>
                  </w:r>
                  <w:r>
                    <w:rPr>
                      <w:kern w:val="0"/>
                      <w:szCs w:val="21"/>
                    </w:rPr>
                    <w:t>禁止在化工企业周边建设不符合安全距离规定的劳动密集型的非化工项目和其他人员密集的公共设施项目。</w:t>
                  </w:r>
                </w:p>
                <w:p w14:paraId="1E7D4B0B">
                  <w:pPr>
                    <w:snapToGrid w:val="0"/>
                    <w:rPr>
                      <w:kern w:val="0"/>
                      <w:szCs w:val="21"/>
                    </w:rPr>
                  </w:pPr>
                  <w:r>
                    <w:rPr>
                      <w:kern w:val="0"/>
                      <w:szCs w:val="21"/>
                    </w:rPr>
                    <w:t>15</w:t>
                  </w:r>
                  <w:r>
                    <w:rPr>
                      <w:rFonts w:hint="eastAsia"/>
                      <w:kern w:val="0"/>
                      <w:szCs w:val="21"/>
                    </w:rPr>
                    <w:t>、</w:t>
                  </w:r>
                  <w:r>
                    <w:rPr>
                      <w:kern w:val="0"/>
                      <w:szCs w:val="21"/>
                    </w:rPr>
                    <w:t>禁止新建、扩建不符合国家和省产业政策的尿素、磷铵、电石、烧碱、聚氯乙烯、纯碱等行业新增产能项目。</w:t>
                  </w:r>
                </w:p>
                <w:p w14:paraId="47B4A6EF">
                  <w:pPr>
                    <w:snapToGrid w:val="0"/>
                    <w:rPr>
                      <w:kern w:val="0"/>
                      <w:szCs w:val="21"/>
                    </w:rPr>
                  </w:pPr>
                  <w:r>
                    <w:rPr>
                      <w:kern w:val="0"/>
                      <w:szCs w:val="21"/>
                    </w:rPr>
                    <w:t>16</w:t>
                  </w:r>
                  <w:r>
                    <w:rPr>
                      <w:rFonts w:hint="eastAsia"/>
                      <w:kern w:val="0"/>
                      <w:szCs w:val="21"/>
                    </w:rPr>
                    <w:t>、</w:t>
                  </w:r>
                  <w:r>
                    <w:rPr>
                      <w:kern w:val="0"/>
                      <w:szCs w:val="21"/>
                    </w:rPr>
                    <w:t>禁止新建、改建、扩建高毒、高残留以及对环境影响大的农药原药（化学合成类）项目，禁止新建、扩建不符合国家和省产业政策的农药、医药和染料中间体化工项目。</w:t>
                  </w:r>
                </w:p>
                <w:p w14:paraId="7874F2AA">
                  <w:pPr>
                    <w:snapToGrid w:val="0"/>
                    <w:rPr>
                      <w:kern w:val="0"/>
                      <w:szCs w:val="21"/>
                    </w:rPr>
                  </w:pPr>
                  <w:r>
                    <w:rPr>
                      <w:kern w:val="0"/>
                      <w:szCs w:val="21"/>
                    </w:rPr>
                    <w:t>17</w:t>
                  </w:r>
                  <w:r>
                    <w:rPr>
                      <w:rFonts w:hint="eastAsia"/>
                      <w:kern w:val="0"/>
                      <w:szCs w:val="21"/>
                    </w:rPr>
                    <w:t>、</w:t>
                  </w:r>
                  <w:r>
                    <w:rPr>
                      <w:kern w:val="0"/>
                      <w:szCs w:val="21"/>
                    </w:rPr>
                    <w:t>禁止新建、扩建不符合国家石化、现代煤化工等产业布局规划的项目，禁止新建独立焦化项目。</w:t>
                  </w:r>
                </w:p>
                <w:p w14:paraId="398E6DC7">
                  <w:pPr>
                    <w:snapToGrid w:val="0"/>
                    <w:rPr>
                      <w:kern w:val="0"/>
                      <w:szCs w:val="21"/>
                    </w:rPr>
                  </w:pPr>
                  <w:r>
                    <w:rPr>
                      <w:kern w:val="0"/>
                      <w:szCs w:val="21"/>
                    </w:rPr>
                    <w:t>18</w:t>
                  </w:r>
                  <w:r>
                    <w:rPr>
                      <w:rFonts w:hint="eastAsia"/>
                      <w:kern w:val="0"/>
                      <w:szCs w:val="21"/>
                    </w:rPr>
                    <w:t>、</w:t>
                  </w:r>
                  <w:r>
                    <w:rPr>
                      <w:kern w:val="0"/>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p w14:paraId="28163540">
                  <w:pPr>
                    <w:snapToGrid w:val="0"/>
                    <w:rPr>
                      <w:kern w:val="0"/>
                      <w:szCs w:val="21"/>
                    </w:rPr>
                  </w:pPr>
                  <w:r>
                    <w:rPr>
                      <w:kern w:val="0"/>
                      <w:szCs w:val="21"/>
                    </w:rPr>
                    <w:t>19</w:t>
                  </w:r>
                  <w:r>
                    <w:rPr>
                      <w:rFonts w:hint="eastAsia"/>
                      <w:kern w:val="0"/>
                      <w:szCs w:val="21"/>
                    </w:rPr>
                    <w:t>、</w:t>
                  </w:r>
                  <w:r>
                    <w:rPr>
                      <w:kern w:val="0"/>
                      <w:szCs w:val="21"/>
                    </w:rPr>
                    <w:t>禁止新建、扩建不符合国家产能置换要求的严重过剩产能行业的项目。禁止新建、扩建不符合要求的高耗能高排放项目。</w:t>
                  </w:r>
                </w:p>
              </w:tc>
              <w:tc>
                <w:tcPr>
                  <w:tcW w:w="1340" w:type="pct"/>
                  <w:vAlign w:val="center"/>
                </w:tcPr>
                <w:p w14:paraId="77059670">
                  <w:pPr>
                    <w:snapToGrid w:val="0"/>
                    <w:rPr>
                      <w:bCs/>
                      <w:kern w:val="0"/>
                      <w:szCs w:val="21"/>
                    </w:rPr>
                  </w:pPr>
                  <w:r>
                    <w:rPr>
                      <w:bCs/>
                      <w:szCs w:val="21"/>
                    </w:rPr>
                    <w:t>本项目为</w:t>
                  </w:r>
                  <w:r>
                    <w:rPr>
                      <w:rFonts w:hint="eastAsia"/>
                      <w:szCs w:val="21"/>
                    </w:rPr>
                    <w:t>C2928人造草坪制造</w:t>
                  </w:r>
                  <w:r>
                    <w:rPr>
                      <w:szCs w:val="21"/>
                    </w:rPr>
                    <w:t>，不属于化工项目，</w:t>
                  </w:r>
                  <w:r>
                    <w:rPr>
                      <w:kern w:val="0"/>
                      <w:szCs w:val="21"/>
                    </w:rPr>
                    <w:t>不属于相关产业政策中的限制类、淘汰类、禁止类或落后产能、安全生产落后工艺及装备项目，</w:t>
                  </w:r>
                  <w:r>
                    <w:rPr>
                      <w:szCs w:val="21"/>
                    </w:rPr>
                    <w:t>不属于条例中禁止投资建设的活动，不属于燃煤发电项目，不属于码头或过长江通道项目，不属于化工项目。</w:t>
                  </w:r>
                  <w:r>
                    <w:rPr>
                      <w:kern w:val="0"/>
                      <w:szCs w:val="21"/>
                    </w:rPr>
                    <w:t>项目位于</w:t>
                  </w:r>
                  <w:r>
                    <w:rPr>
                      <w:rFonts w:hint="eastAsia"/>
                      <w:kern w:val="0"/>
                      <w:szCs w:val="21"/>
                    </w:rPr>
                    <w:t>江苏省常州市金坛区朱林镇永顺路2号</w:t>
                  </w:r>
                  <w:r>
                    <w:rPr>
                      <w:kern w:val="0"/>
                      <w:szCs w:val="21"/>
                    </w:rPr>
                    <w:t>，</w:t>
                  </w:r>
                  <w:r>
                    <w:rPr>
                      <w:szCs w:val="21"/>
                    </w:rPr>
                    <w:t>不在自然保护区核心区、缓冲区岸线和河段范围内，不在国家级和省级风景名胜区核心景区岸线和河段范围内，</w:t>
                  </w:r>
                  <w:r>
                    <w:rPr>
                      <w:kern w:val="0"/>
                      <w:szCs w:val="21"/>
                    </w:rPr>
                    <w:t>不在饮用水水源一级保护区、二级保护区、准保护区的岸线和河段范围内，</w:t>
                  </w:r>
                  <w:r>
                    <w:rPr>
                      <w:szCs w:val="21"/>
                    </w:rPr>
                    <w:t>不在国家级和省级水产种质资源保护区的岸线和河段范围内，不在国家湿地公园的岸线和河段范围内。</w:t>
                  </w:r>
                  <w:r>
                    <w:rPr>
                      <w:kern w:val="0"/>
                      <w:szCs w:val="21"/>
                    </w:rPr>
                    <w:t>本项目不涉及新设、改设或扩大排污口，不涉及生产性捕捞，不涉及尾矿库、冶炼渣库和磷石膏库建设。本项目能源主要为电</w:t>
                  </w:r>
                  <w:r>
                    <w:rPr>
                      <w:rFonts w:hint="eastAsia"/>
                      <w:kern w:val="0"/>
                      <w:szCs w:val="21"/>
                    </w:rPr>
                    <w:t>、天然气和蒸汽</w:t>
                  </w:r>
                  <w:r>
                    <w:rPr>
                      <w:kern w:val="0"/>
                      <w:szCs w:val="21"/>
                    </w:rPr>
                    <w:t>，不属于高耗能、高排放项目。</w:t>
                  </w:r>
                </w:p>
              </w:tc>
              <w:tc>
                <w:tcPr>
                  <w:tcW w:w="166" w:type="pct"/>
                  <w:vAlign w:val="center"/>
                </w:tcPr>
                <w:p w14:paraId="2C693DC0">
                  <w:pPr>
                    <w:snapToGrid w:val="0"/>
                    <w:jc w:val="center"/>
                    <w:rPr>
                      <w:szCs w:val="21"/>
                    </w:rPr>
                  </w:pPr>
                  <w:r>
                    <w:rPr>
                      <w:szCs w:val="21"/>
                    </w:rPr>
                    <w:t>相符</w:t>
                  </w:r>
                </w:p>
              </w:tc>
            </w:tr>
            <w:tr w14:paraId="30B0A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pct"/>
                  <w:gridSpan w:val="2"/>
                  <w:vAlign w:val="center"/>
                </w:tcPr>
                <w:p w14:paraId="3863F31A">
                  <w:pPr>
                    <w:widowControl/>
                    <w:snapToGrid w:val="0"/>
                    <w:jc w:val="center"/>
                    <w:rPr>
                      <w:szCs w:val="21"/>
                    </w:rPr>
                  </w:pPr>
                  <w:r>
                    <w:rPr>
                      <w:szCs w:val="21"/>
                    </w:rPr>
                    <w:t>《关于做好生态环境和应急管理部门联动工作的意见》（苏环办</w:t>
                  </w:r>
                  <w:r>
                    <w:rPr>
                      <w:rFonts w:hint="eastAsia"/>
                      <w:szCs w:val="21"/>
                    </w:rPr>
                    <w:t>〔2020〕101号</w:t>
                  </w:r>
                  <w:r>
                    <w:rPr>
                      <w:szCs w:val="21"/>
                    </w:rPr>
                    <w:t>）</w:t>
                  </w:r>
                </w:p>
              </w:tc>
              <w:tc>
                <w:tcPr>
                  <w:tcW w:w="2625" w:type="pct"/>
                  <w:vAlign w:val="center"/>
                </w:tcPr>
                <w:p w14:paraId="6D71EF34">
                  <w:pPr>
                    <w:pStyle w:val="3"/>
                    <w:widowControl/>
                    <w:numPr>
                      <w:ilvl w:val="0"/>
                      <w:numId w:val="0"/>
                    </w:numPr>
                    <w:rPr>
                      <w:szCs w:val="21"/>
                    </w:rPr>
                  </w:pPr>
                  <w:r>
                    <w:rPr>
                      <w:szCs w:val="21"/>
                    </w:rPr>
                    <w:t>2020年3月，江苏省生态环境厅、江苏省应急管理厅联合发布了《关于做好生态环境和应急管理部门联动工作的意见》（苏环办</w:t>
                  </w:r>
                  <w:r>
                    <w:rPr>
                      <w:rFonts w:hint="eastAsia"/>
                      <w:szCs w:val="21"/>
                    </w:rPr>
                    <w:t>〔2020〕101号</w:t>
                  </w:r>
                  <w:r>
                    <w:rPr>
                      <w:szCs w:val="21"/>
                    </w:rPr>
                    <w:t>），主要内容如下：建立项目源头审批联动机制。各级生态环境、应急管理部门应当建立建设项目环保和安全审批联动机制。要各自根据企业建设项目申请、审批情况，相互通报建设项目环保和安全信息，特别是涉及危险化学品的建设项目，必要时可以会商或联合审批，形成监管合力。建立危险废物监管联动机制。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生态环境部门依法对危险废物的收集、贮存、处置等进行监督管理。收到企业</w:t>
                  </w:r>
                  <w:r>
                    <w:rPr>
                      <w:rFonts w:hint="eastAsia"/>
                      <w:szCs w:val="21"/>
                    </w:rPr>
                    <w:t>废弃</w:t>
                  </w:r>
                  <w:r>
                    <w:rPr>
                      <w:szCs w:val="21"/>
                    </w:rPr>
                    <w:t>危险化学品等危险废物管理计划后，对符合备案要求的，纳入危险废物管理。生态环境部门要将危险废物管理计划备案情况及时通报应急管理部门。应急管理部门负责督促企业加强安全生产工作，加强危险化学品企业中间产品、最终产品以及拟废弃危险化学品的安全管理。生态环境部门对日常环境监管过程中发现的安全隐患线索，及时移送同级应急管理部门；应急管理部门接到生态环境部门移送安全隐患线索的函后，应组织现场核查，依法依规查处，并督促企业将隐患整改到位。对于涉及安全和环保标准要求存在不一致的，要及时会商，帮助企业解决。建立环境治理设施监管联动机制。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生态环境部门在上述六类环境治理设施的环评审批过程中，要督促企业开展安全风险辨识，并将已审批的环境治理设施项目及时通报应急管理部门。生态环境部门在日常环境监管中，将发现的安全隐患线索及时移送应急管理部门。应急管理部门要将上述六类环境治理设施纳入安全监管范围，推进企业安全生产标准化体系建设。对生态环境部门发现移送的安全隐患线索进行核查，督促企业进行整改，消除安全隐患。</w:t>
                  </w:r>
                </w:p>
              </w:tc>
              <w:tc>
                <w:tcPr>
                  <w:tcW w:w="1340" w:type="pct"/>
                  <w:vAlign w:val="center"/>
                </w:tcPr>
                <w:p w14:paraId="46F29806">
                  <w:pPr>
                    <w:pStyle w:val="3"/>
                    <w:widowControl/>
                    <w:numPr>
                      <w:ilvl w:val="0"/>
                      <w:numId w:val="0"/>
                    </w:numPr>
                    <w:rPr>
                      <w:szCs w:val="21"/>
                    </w:rPr>
                  </w:pPr>
                  <w:r>
                    <w:rPr>
                      <w:szCs w:val="21"/>
                    </w:rPr>
                    <w:t>本项目涉及</w:t>
                  </w:r>
                  <w:r>
                    <w:rPr>
                      <w:rFonts w:hint="eastAsia"/>
                      <w:szCs w:val="21"/>
                    </w:rPr>
                    <w:t>挥发性有机物、粉尘治理等</w:t>
                  </w:r>
                  <w:r>
                    <w:rPr>
                      <w:szCs w:val="21"/>
                    </w:rPr>
                    <w:t>废气治理措施，应开展安全风险辨识管控；按《关于做好生态环境和应急管理部门联动工作的意见》要求，健全内部污染防治设施稳定运行和管理责任制度，严格依据标准规范建设环境治理设施，确保环境治理设施安全、稳定、有效运行。</w:t>
                  </w:r>
                </w:p>
              </w:tc>
              <w:tc>
                <w:tcPr>
                  <w:tcW w:w="166" w:type="pct"/>
                  <w:vAlign w:val="center"/>
                </w:tcPr>
                <w:p w14:paraId="63BEFB04">
                  <w:pPr>
                    <w:snapToGrid w:val="0"/>
                    <w:jc w:val="center"/>
                    <w:rPr>
                      <w:szCs w:val="21"/>
                    </w:rPr>
                  </w:pPr>
                  <w:r>
                    <w:rPr>
                      <w:szCs w:val="21"/>
                    </w:rPr>
                    <w:t>相符</w:t>
                  </w:r>
                </w:p>
              </w:tc>
            </w:tr>
            <w:tr w14:paraId="6DA9D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pct"/>
                  <w:gridSpan w:val="2"/>
                  <w:vAlign w:val="center"/>
                </w:tcPr>
                <w:p w14:paraId="039C856E">
                  <w:pPr>
                    <w:widowControl/>
                    <w:snapToGrid w:val="0"/>
                    <w:jc w:val="center"/>
                    <w:rPr>
                      <w:szCs w:val="21"/>
                    </w:rPr>
                  </w:pPr>
                  <w:r>
                    <w:rPr>
                      <w:szCs w:val="21"/>
                    </w:rPr>
                    <w:t>《关于印发〈深入打好重污染天气消除、臭氧污染防治和柴油货车污染治理攻坚战行动方案〉的通知》（环大气</w:t>
                  </w:r>
                  <w:r>
                    <w:rPr>
                      <w:rFonts w:hint="eastAsia"/>
                      <w:szCs w:val="21"/>
                    </w:rPr>
                    <w:t>〔2022〕68号</w:t>
                  </w:r>
                  <w:r>
                    <w:rPr>
                      <w:szCs w:val="21"/>
                    </w:rPr>
                    <w:t>）</w:t>
                  </w:r>
                </w:p>
              </w:tc>
              <w:tc>
                <w:tcPr>
                  <w:tcW w:w="2625" w:type="pct"/>
                  <w:vAlign w:val="center"/>
                </w:tcPr>
                <w:p w14:paraId="26B783CF">
                  <w:pPr>
                    <w:pStyle w:val="3"/>
                    <w:widowControl/>
                    <w:numPr>
                      <w:ilvl w:val="0"/>
                      <w:numId w:val="0"/>
                    </w:numPr>
                    <w:rPr>
                      <w:szCs w:val="21"/>
                    </w:rPr>
                  </w:pPr>
                  <w:r>
                    <w:rPr>
                      <w:szCs w:val="21"/>
                    </w:rPr>
                    <w:t>三、推进重点工程</w:t>
                  </w:r>
                </w:p>
                <w:p w14:paraId="6948748A">
                  <w:pPr>
                    <w:pStyle w:val="3"/>
                    <w:widowControl/>
                    <w:numPr>
                      <w:ilvl w:val="0"/>
                      <w:numId w:val="0"/>
                    </w:numPr>
                    <w:rPr>
                      <w:szCs w:val="21"/>
                    </w:rPr>
                  </w:pPr>
                  <w:r>
                    <w:rPr>
                      <w:szCs w:val="21"/>
                    </w:rPr>
                    <w:t>统筹大气污染防治与</w:t>
                  </w:r>
                  <w:r>
                    <w:rPr>
                      <w:rFonts w:hint="eastAsia"/>
                      <w:szCs w:val="21"/>
                    </w:rPr>
                    <w:t>“</w:t>
                  </w:r>
                  <w:r>
                    <w:rPr>
                      <w:szCs w:val="21"/>
                    </w:rPr>
                    <w:t>双碳</w:t>
                  </w:r>
                  <w:r>
                    <w:rPr>
                      <w:rFonts w:hint="eastAsia"/>
                      <w:szCs w:val="21"/>
                    </w:rPr>
                    <w:t>”</w:t>
                  </w:r>
                  <w:r>
                    <w:rPr>
                      <w:szCs w:val="21"/>
                    </w:rPr>
                    <w:t>目标要求，开展大气减污降碳协同增效行动，将标志性战役任务措施与降碳措施一体谋划、一体推进，优化调整产业、能源、运输结构，从源头减少大气污染物和碳排放。促进产业绿色转型升级，坚决遏制高耗能、高排放、低水平项目盲目发展，开展传统产业集群升级改造。推动能源清洁低碳转型，开展分散、低效煤炭综合治理。构建绿色交通运输体系，加快推进</w:t>
                  </w:r>
                  <w:r>
                    <w:rPr>
                      <w:rFonts w:hint="eastAsia"/>
                      <w:szCs w:val="21"/>
                    </w:rPr>
                    <w:t>“</w:t>
                  </w:r>
                  <w:r>
                    <w:rPr>
                      <w:szCs w:val="21"/>
                    </w:rPr>
                    <w:t>公转铁</w:t>
                  </w:r>
                  <w:r>
                    <w:rPr>
                      <w:rFonts w:hint="eastAsia"/>
                      <w:szCs w:val="21"/>
                    </w:rPr>
                    <w:t>”“</w:t>
                  </w:r>
                  <w:r>
                    <w:rPr>
                      <w:szCs w:val="21"/>
                    </w:rPr>
                    <w:t>公转水</w:t>
                  </w:r>
                  <w:r>
                    <w:rPr>
                      <w:rFonts w:hint="eastAsia"/>
                      <w:szCs w:val="21"/>
                    </w:rPr>
                    <w:t>”</w:t>
                  </w:r>
                  <w:r>
                    <w:rPr>
                      <w:szCs w:val="21"/>
                    </w:rPr>
                    <w:t>，提高机动车船和非道路移动机械绿色低碳水平。强化挥发性有机物（VOCs）、氮氧化物等多污染物协同减排，以石化、化工、涂装、制药、包装印刷和油品储运销等为重点，加强VOCs源头、过程、末端全流程治理；持续推进钢铁行业超低排放改造，出台焦化、水泥行业超低排放改造方案；开展低效治理设施全面提升改造工程。严把治理工程质量，多措并举治理低价中标乱象，对工程质量低劣、环保设施运营管理水平低甚至存在弄虚作假行为的企业、环保公司和运维机构加大联合惩戒力度。统筹做好大气污染防治过程中安全防范工作。</w:t>
                  </w:r>
                </w:p>
              </w:tc>
              <w:tc>
                <w:tcPr>
                  <w:tcW w:w="1340" w:type="pct"/>
                  <w:vAlign w:val="center"/>
                </w:tcPr>
                <w:p w14:paraId="1BABB1E5">
                  <w:pPr>
                    <w:pStyle w:val="3"/>
                    <w:widowControl/>
                    <w:numPr>
                      <w:ilvl w:val="0"/>
                      <w:numId w:val="0"/>
                    </w:numPr>
                    <w:rPr>
                      <w:szCs w:val="21"/>
                    </w:rPr>
                  </w:pPr>
                  <w:r>
                    <w:rPr>
                      <w:szCs w:val="21"/>
                    </w:rPr>
                    <w:t>本项目采用清洁能源，不属于高耗能、高排放、低水平项目。</w:t>
                  </w:r>
                </w:p>
                <w:p w14:paraId="24D456EA">
                  <w:pPr>
                    <w:pStyle w:val="3"/>
                    <w:widowControl/>
                    <w:numPr>
                      <w:ilvl w:val="0"/>
                      <w:numId w:val="0"/>
                    </w:numPr>
                    <w:rPr>
                      <w:szCs w:val="21"/>
                    </w:rPr>
                  </w:pPr>
                  <w:r>
                    <w:rPr>
                      <w:szCs w:val="21"/>
                    </w:rPr>
                    <w:t>建设单位生产过程中加强运行管理；</w:t>
                  </w:r>
                  <w:r>
                    <w:rPr>
                      <w:rFonts w:hint="eastAsia"/>
                      <w:szCs w:val="21"/>
                    </w:rPr>
                    <w:t>本项目调配废气经TA001布袋除尘器处理后，与背胶、烘干、天然气燃烧和危废废气一起经TA002除水器+二级活性炭吸附装置处理后通过一根15m高DA001排气筒排放。</w:t>
                  </w:r>
                </w:p>
              </w:tc>
              <w:tc>
                <w:tcPr>
                  <w:tcW w:w="166" w:type="pct"/>
                  <w:vAlign w:val="center"/>
                </w:tcPr>
                <w:p w14:paraId="011715BF">
                  <w:pPr>
                    <w:snapToGrid w:val="0"/>
                    <w:jc w:val="center"/>
                    <w:rPr>
                      <w:szCs w:val="21"/>
                    </w:rPr>
                  </w:pPr>
                  <w:r>
                    <w:rPr>
                      <w:szCs w:val="21"/>
                    </w:rPr>
                    <w:t>相符</w:t>
                  </w:r>
                </w:p>
              </w:tc>
            </w:tr>
            <w:tr w14:paraId="1F403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pct"/>
                  <w:gridSpan w:val="2"/>
                  <w:vAlign w:val="center"/>
                </w:tcPr>
                <w:p w14:paraId="28EF5A23">
                  <w:pPr>
                    <w:pStyle w:val="3"/>
                    <w:numPr>
                      <w:ilvl w:val="0"/>
                      <w:numId w:val="0"/>
                    </w:numPr>
                    <w:jc w:val="center"/>
                    <w:rPr>
                      <w:szCs w:val="21"/>
                    </w:rPr>
                  </w:pPr>
                  <w:r>
                    <w:rPr>
                      <w:szCs w:val="21"/>
                    </w:rPr>
                    <w:t>《工贸行业重点可燃性粉尘目录（2015版）》</w:t>
                  </w:r>
                </w:p>
              </w:tc>
              <w:tc>
                <w:tcPr>
                  <w:tcW w:w="2625" w:type="pct"/>
                  <w:vAlign w:val="center"/>
                </w:tcPr>
                <w:p w14:paraId="0161B7AD">
                  <w:pPr>
                    <w:pStyle w:val="3"/>
                    <w:numPr>
                      <w:ilvl w:val="0"/>
                      <w:numId w:val="0"/>
                    </w:numPr>
                    <w:rPr>
                      <w:szCs w:val="21"/>
                    </w:rPr>
                  </w:pPr>
                  <w:r>
                    <w:rPr>
                      <w:szCs w:val="21"/>
                    </w:rPr>
                    <w:t>可燃性粉尘是指在空气中能燃烧或焖燃，在常温常压下与空气形成爆炸性混合物的粉尘、纤维或飞絮。</w:t>
                  </w:r>
                </w:p>
              </w:tc>
              <w:tc>
                <w:tcPr>
                  <w:tcW w:w="1340" w:type="pct"/>
                  <w:vAlign w:val="center"/>
                </w:tcPr>
                <w:p w14:paraId="1CD01BDA">
                  <w:pPr>
                    <w:rPr>
                      <w:szCs w:val="21"/>
                    </w:rPr>
                  </w:pPr>
                  <w:r>
                    <w:rPr>
                      <w:szCs w:val="21"/>
                    </w:rPr>
                    <w:t>本项目产生的粉尘主要为</w:t>
                  </w:r>
                  <w:r>
                    <w:rPr>
                      <w:rFonts w:hint="eastAsia"/>
                      <w:szCs w:val="21"/>
                    </w:rPr>
                    <w:t>天然气燃烧过程中产生的颗粒物、投料过程中产生的颗粒物（主要成分为碳酸钙），</w:t>
                  </w:r>
                  <w:r>
                    <w:rPr>
                      <w:szCs w:val="21"/>
                    </w:rPr>
                    <w:t>对照《目录》，</w:t>
                  </w:r>
                  <w:r>
                    <w:rPr>
                      <w:rFonts w:hint="eastAsia"/>
                      <w:szCs w:val="21"/>
                    </w:rPr>
                    <w:t>不</w:t>
                  </w:r>
                  <w:r>
                    <w:rPr>
                      <w:szCs w:val="21"/>
                    </w:rPr>
                    <w:t>属于可燃</w:t>
                  </w:r>
                  <w:r>
                    <w:rPr>
                      <w:rFonts w:hint="eastAsia"/>
                      <w:szCs w:val="21"/>
                    </w:rPr>
                    <w:t>性</w:t>
                  </w:r>
                  <w:r>
                    <w:rPr>
                      <w:szCs w:val="21"/>
                    </w:rPr>
                    <w:t>粉尘。</w:t>
                  </w:r>
                </w:p>
              </w:tc>
              <w:tc>
                <w:tcPr>
                  <w:tcW w:w="166" w:type="pct"/>
                  <w:vAlign w:val="center"/>
                </w:tcPr>
                <w:p w14:paraId="76C92FEB">
                  <w:pPr>
                    <w:jc w:val="center"/>
                    <w:rPr>
                      <w:szCs w:val="21"/>
                    </w:rPr>
                  </w:pPr>
                  <w:r>
                    <w:rPr>
                      <w:szCs w:val="21"/>
                    </w:rPr>
                    <w:t>相符</w:t>
                  </w:r>
                </w:p>
              </w:tc>
            </w:tr>
            <w:tr w14:paraId="5321F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restart"/>
                  <w:vAlign w:val="center"/>
                </w:tcPr>
                <w:p w14:paraId="7DCF09D3">
                  <w:pPr>
                    <w:pStyle w:val="113"/>
                    <w:rPr>
                      <w:szCs w:val="21"/>
                    </w:rPr>
                  </w:pPr>
                  <w:r>
                    <w:rPr>
                      <w:szCs w:val="21"/>
                    </w:rPr>
                    <w:t>与挥发性有机物污染防治工作的通知、方案</w:t>
                  </w:r>
                </w:p>
              </w:tc>
              <w:tc>
                <w:tcPr>
                  <w:tcW w:w="616" w:type="pct"/>
                  <w:vAlign w:val="center"/>
                </w:tcPr>
                <w:p w14:paraId="0AB8D433">
                  <w:pPr>
                    <w:pStyle w:val="113"/>
                    <w:rPr>
                      <w:szCs w:val="21"/>
                    </w:rPr>
                  </w:pPr>
                  <w:r>
                    <w:rPr>
                      <w:rFonts w:hint="eastAsia"/>
                      <w:szCs w:val="21"/>
                    </w:rPr>
                    <w:t>《</w:t>
                  </w:r>
                  <w:r>
                    <w:rPr>
                      <w:szCs w:val="21"/>
                    </w:rPr>
                    <w:t>关于印发</w:t>
                  </w:r>
                  <w:r>
                    <w:rPr>
                      <w:rFonts w:hint="eastAsia"/>
                      <w:szCs w:val="21"/>
                    </w:rPr>
                    <w:t>〈</w:t>
                  </w:r>
                  <w:r>
                    <w:rPr>
                      <w:szCs w:val="21"/>
                    </w:rPr>
                    <w:t>江苏省重点行业挥发性有机物污染整治方案</w:t>
                  </w:r>
                  <w:r>
                    <w:rPr>
                      <w:rFonts w:hint="eastAsia"/>
                      <w:szCs w:val="21"/>
                    </w:rPr>
                    <w:t>〉</w:t>
                  </w:r>
                  <w:r>
                    <w:rPr>
                      <w:szCs w:val="21"/>
                    </w:rPr>
                    <w:t>的通知》（苏环办</w:t>
                  </w:r>
                  <w:r>
                    <w:rPr>
                      <w:rFonts w:hint="eastAsia"/>
                      <w:szCs w:val="21"/>
                    </w:rPr>
                    <w:t>〔2015〕19号</w:t>
                  </w:r>
                  <w:r>
                    <w:rPr>
                      <w:szCs w:val="21"/>
                    </w:rPr>
                    <w:t>）、《江苏省挥发性有机物污染防治管理办法》（省政府令第119号）</w:t>
                  </w:r>
                </w:p>
              </w:tc>
              <w:tc>
                <w:tcPr>
                  <w:tcW w:w="2625" w:type="pct"/>
                  <w:vAlign w:val="center"/>
                </w:tcPr>
                <w:p w14:paraId="6FB15568">
                  <w:pPr>
                    <w:pStyle w:val="113"/>
                    <w:jc w:val="both"/>
                    <w:rPr>
                      <w:szCs w:val="21"/>
                    </w:rPr>
                  </w:pPr>
                  <w:r>
                    <w:rPr>
                      <w:szCs w:val="21"/>
                    </w:rPr>
                    <w:t>管理办法规定：</w:t>
                  </w:r>
                  <w:r>
                    <w:rPr>
                      <w:rFonts w:hint="eastAsia"/>
                      <w:szCs w:val="21"/>
                    </w:rPr>
                    <w:t>“</w:t>
                  </w:r>
                  <w:r>
                    <w:rPr>
                      <w:rFonts w:hint="eastAsia" w:ascii="宋体" w:hAnsi="宋体" w:cs="宋体"/>
                      <w:szCs w:val="21"/>
                    </w:rPr>
                    <w:t>①</w:t>
                  </w:r>
                  <w:r>
                    <w:rPr>
                      <w:szCs w:val="21"/>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r>
                    <w:rPr>
                      <w:rFonts w:hint="eastAsia" w:ascii="宋体" w:hAnsi="宋体" w:cs="宋体"/>
                      <w:szCs w:val="21"/>
                    </w:rPr>
                    <w:t>②</w:t>
                  </w:r>
                  <w:r>
                    <w:rPr>
                      <w:szCs w:val="21"/>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r>
                    <w:rPr>
                      <w:rFonts w:hint="eastAsia"/>
                      <w:szCs w:val="21"/>
                    </w:rPr>
                    <w:t>”</w:t>
                  </w:r>
                  <w:r>
                    <w:rPr>
                      <w:szCs w:val="21"/>
                    </w:rPr>
                    <w:t>。</w:t>
                  </w:r>
                </w:p>
              </w:tc>
              <w:tc>
                <w:tcPr>
                  <w:tcW w:w="1340" w:type="pct"/>
                  <w:vAlign w:val="center"/>
                </w:tcPr>
                <w:p w14:paraId="01266F6C">
                  <w:pPr>
                    <w:rPr>
                      <w:kern w:val="0"/>
                      <w:szCs w:val="21"/>
                    </w:rPr>
                  </w:pPr>
                  <w:r>
                    <w:rPr>
                      <w:rFonts w:hint="eastAsia"/>
                      <w:szCs w:val="21"/>
                    </w:rPr>
                    <w:t>本项目调配废气经TA001布袋除尘器处理后，与背胶、烘干、天然气燃烧和危废废气一起经TA002除水器+二级活性炭吸附装置处理后通过一根15m高DA001排气筒排放。</w:t>
                  </w:r>
                </w:p>
              </w:tc>
              <w:tc>
                <w:tcPr>
                  <w:tcW w:w="166" w:type="pct"/>
                  <w:vAlign w:val="center"/>
                </w:tcPr>
                <w:p w14:paraId="3A8D206E">
                  <w:pPr>
                    <w:pStyle w:val="113"/>
                    <w:rPr>
                      <w:szCs w:val="21"/>
                    </w:rPr>
                  </w:pPr>
                  <w:r>
                    <w:rPr>
                      <w:szCs w:val="21"/>
                    </w:rPr>
                    <w:t>相符</w:t>
                  </w:r>
                </w:p>
              </w:tc>
            </w:tr>
            <w:tr w14:paraId="130F6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5A07A949">
                  <w:pPr>
                    <w:pStyle w:val="3"/>
                    <w:numPr>
                      <w:ilvl w:val="0"/>
                      <w:numId w:val="0"/>
                    </w:numPr>
                    <w:jc w:val="center"/>
                    <w:rPr>
                      <w:szCs w:val="21"/>
                    </w:rPr>
                  </w:pPr>
                </w:p>
              </w:tc>
              <w:tc>
                <w:tcPr>
                  <w:tcW w:w="616" w:type="pct"/>
                  <w:vAlign w:val="center"/>
                </w:tcPr>
                <w:p w14:paraId="72F64AC8">
                  <w:pPr>
                    <w:pStyle w:val="113"/>
                    <w:rPr>
                      <w:szCs w:val="21"/>
                    </w:rPr>
                  </w:pPr>
                  <w:r>
                    <w:rPr>
                      <w:szCs w:val="21"/>
                    </w:rPr>
                    <w:t>《江苏省挥发性有机物清洁原料替代工作方案》（苏大气办</w:t>
                  </w:r>
                  <w:r>
                    <w:rPr>
                      <w:rFonts w:hint="eastAsia"/>
                      <w:szCs w:val="21"/>
                    </w:rPr>
                    <w:t>〔2021〕2号</w:t>
                  </w:r>
                  <w:r>
                    <w:rPr>
                      <w:szCs w:val="21"/>
                    </w:rPr>
                    <w:t>）</w:t>
                  </w:r>
                </w:p>
              </w:tc>
              <w:tc>
                <w:tcPr>
                  <w:tcW w:w="2625" w:type="pct"/>
                  <w:vAlign w:val="center"/>
                </w:tcPr>
                <w:p w14:paraId="6D9FBEC2">
                  <w:pPr>
                    <w:pStyle w:val="113"/>
                    <w:jc w:val="both"/>
                    <w:rPr>
                      <w:szCs w:val="21"/>
                    </w:rPr>
                  </w:pPr>
                  <w:r>
                    <w:rPr>
                      <w:szCs w:val="21"/>
                    </w:rPr>
                    <w:t>（一）明确替代要求。以工业涂装、包装印刷、木材加工、纺织等行业为重点，分阶段推进3130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33372-2020）规定的水基型、本体型胶粘剂产品。若确实无法达到上述要求，应提供相应的论证说明，相关涂料、油墨、清洗剂、胶粘剂等产品应符合相关标准中VOCs含量的限值要求。</w:t>
                  </w:r>
                </w:p>
                <w:p w14:paraId="24660C18">
                  <w:pPr>
                    <w:pStyle w:val="113"/>
                    <w:jc w:val="both"/>
                    <w:rPr>
                      <w:szCs w:val="21"/>
                    </w:rPr>
                  </w:pPr>
                  <w:r>
                    <w:rPr>
                      <w:szCs w:val="21"/>
                    </w:rPr>
                    <w:t>（二）严格准入条件。禁止建设生产和使用高VOCs含量的涂料、油墨、</w:t>
                  </w:r>
                  <w:r>
                    <w:rPr>
                      <w:rFonts w:hint="eastAsia"/>
                      <w:szCs w:val="21"/>
                    </w:rPr>
                    <w:t>胶粘剂</w:t>
                  </w:r>
                  <w:r>
                    <w:rPr>
                      <w:szCs w:val="21"/>
                    </w:rPr>
                    <w:t>等项目。2021年起，全省工业涂装、包装印刷、纺织、木材加工等行业以及涂料、油墨等生产企业的新（改、扩）建项目需满足低（无）VOCs含量限值要求。省内市场上流通的水性涂料等低挥发性有机物含量涂料产品，执行国家《低挥发性有机化合物含量涂料产品技术要求》（GB/T38597-2020）。</w:t>
                  </w:r>
                </w:p>
              </w:tc>
              <w:tc>
                <w:tcPr>
                  <w:tcW w:w="1340" w:type="pct"/>
                  <w:vAlign w:val="center"/>
                </w:tcPr>
                <w:p w14:paraId="672D245B">
                  <w:pPr>
                    <w:pStyle w:val="113"/>
                    <w:jc w:val="center"/>
                    <w:rPr>
                      <w:rFonts w:hint="eastAsia"/>
                      <w:szCs w:val="21"/>
                    </w:rPr>
                  </w:pPr>
                  <w:r>
                    <w:rPr>
                      <w:rFonts w:hint="eastAsia"/>
                      <w:szCs w:val="21"/>
                    </w:rPr>
                    <w:t>根据企业提供的丁苯胶的VOC含量检测报告，其挥发性有机化合物含量为</w:t>
                  </w:r>
                  <w:r>
                    <w:rPr>
                      <w:rFonts w:hint="eastAsia"/>
                      <w:szCs w:val="21"/>
                      <w:lang w:val="en-US" w:eastAsia="zh-CN"/>
                    </w:rPr>
                    <w:t>未检出，</w:t>
                  </w:r>
                  <w:r>
                    <w:rPr>
                      <w:rFonts w:hint="eastAsia"/>
                      <w:szCs w:val="21"/>
                    </w:rPr>
                    <w:t>符合《胶粘剂挥发性有机化合物限量》（GB33372-2020）规定的水基型胶粘剂产品。</w:t>
                  </w:r>
                </w:p>
                <w:p w14:paraId="79EAB2AE">
                  <w:pPr>
                    <w:pStyle w:val="113"/>
                    <w:jc w:val="center"/>
                    <w:rPr>
                      <w:szCs w:val="21"/>
                    </w:rPr>
                  </w:pPr>
                  <w:r>
                    <w:rPr>
                      <w:rFonts w:hint="eastAsia"/>
                      <w:szCs w:val="21"/>
                    </w:rPr>
                    <w:t>根据企业提供的</w:t>
                  </w:r>
                  <w:r>
                    <w:rPr>
                      <w:rFonts w:hint="eastAsia"/>
                      <w:szCs w:val="21"/>
                      <w:lang w:val="en-US" w:eastAsia="zh-CN"/>
                    </w:rPr>
                    <w:t>双组分PU胶</w:t>
                  </w:r>
                  <w:r>
                    <w:rPr>
                      <w:rFonts w:hint="eastAsia"/>
                      <w:szCs w:val="21"/>
                    </w:rPr>
                    <w:t>的VOC含量检测报告，其挥发性有机化合物含量为</w:t>
                  </w:r>
                  <w:r>
                    <w:rPr>
                      <w:rFonts w:hint="eastAsia"/>
                      <w:szCs w:val="21"/>
                      <w:lang w:val="en-US" w:eastAsia="zh-CN"/>
                    </w:rPr>
                    <w:t>1.1g/L，</w:t>
                  </w:r>
                  <w:r>
                    <w:rPr>
                      <w:rFonts w:hint="eastAsia"/>
                      <w:szCs w:val="21"/>
                    </w:rPr>
                    <w:t>符合《胶粘剂挥发性有机化合物限量》（GB33372-2020）规定的本体型胶粘剂产品。</w:t>
                  </w:r>
                </w:p>
              </w:tc>
              <w:tc>
                <w:tcPr>
                  <w:tcW w:w="166" w:type="pct"/>
                  <w:vAlign w:val="center"/>
                </w:tcPr>
                <w:p w14:paraId="3BD5C5BB">
                  <w:pPr>
                    <w:pStyle w:val="113"/>
                    <w:rPr>
                      <w:szCs w:val="21"/>
                    </w:rPr>
                  </w:pPr>
                  <w:r>
                    <w:rPr>
                      <w:rFonts w:hint="eastAsia"/>
                      <w:szCs w:val="21"/>
                    </w:rPr>
                    <w:t>相符</w:t>
                  </w:r>
                </w:p>
              </w:tc>
            </w:tr>
            <w:tr w14:paraId="74860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522130B4">
                  <w:pPr>
                    <w:pStyle w:val="3"/>
                    <w:numPr>
                      <w:ilvl w:val="0"/>
                      <w:numId w:val="0"/>
                    </w:numPr>
                    <w:jc w:val="center"/>
                    <w:rPr>
                      <w:szCs w:val="21"/>
                    </w:rPr>
                  </w:pPr>
                </w:p>
              </w:tc>
              <w:tc>
                <w:tcPr>
                  <w:tcW w:w="616" w:type="pct"/>
                  <w:vAlign w:val="center"/>
                </w:tcPr>
                <w:p w14:paraId="5E5658F5">
                  <w:pPr>
                    <w:pStyle w:val="113"/>
                    <w:rPr>
                      <w:szCs w:val="21"/>
                    </w:rPr>
                  </w:pPr>
                  <w:r>
                    <w:rPr>
                      <w:szCs w:val="21"/>
                    </w:rPr>
                    <w:t>《常州市挥发性有机物清洁原料替代工作方案》（常污防攻坚指办</w:t>
                  </w:r>
                  <w:r>
                    <w:rPr>
                      <w:rFonts w:hint="eastAsia"/>
                      <w:szCs w:val="21"/>
                    </w:rPr>
                    <w:t>〔2021〕32号</w:t>
                  </w:r>
                  <w:r>
                    <w:rPr>
                      <w:szCs w:val="21"/>
                    </w:rPr>
                    <w:t>）</w:t>
                  </w:r>
                </w:p>
              </w:tc>
              <w:tc>
                <w:tcPr>
                  <w:tcW w:w="2625" w:type="pct"/>
                  <w:vAlign w:val="center"/>
                </w:tcPr>
                <w:p w14:paraId="319F9A9A">
                  <w:pPr>
                    <w:rPr>
                      <w:szCs w:val="21"/>
                    </w:rPr>
                  </w:pPr>
                  <w:r>
                    <w:rPr>
                      <w:rFonts w:hint="eastAsia"/>
                      <w:szCs w:val="21"/>
                    </w:rPr>
                    <w:t>一、工作目标</w:t>
                  </w:r>
                </w:p>
                <w:p w14:paraId="52FAD97D">
                  <w:pPr>
                    <w:rPr>
                      <w:szCs w:val="21"/>
                    </w:rPr>
                  </w:pPr>
                  <w:r>
                    <w:rPr>
                      <w:rFonts w:hint="eastAsia"/>
                      <w:szCs w:val="21"/>
                    </w:rPr>
                    <w:t>到2021年底，全市初步建立水性等低VOC</w:t>
                  </w:r>
                  <w:r>
                    <w:rPr>
                      <w:rFonts w:hint="eastAsia"/>
                      <w:szCs w:val="21"/>
                      <w:vertAlign w:val="subscript"/>
                    </w:rPr>
                    <w:t>S</w:t>
                  </w:r>
                  <w:r>
                    <w:rPr>
                      <w:rFonts w:hint="eastAsia"/>
                      <w:szCs w:val="21"/>
                    </w:rPr>
                    <w:t>含量涂料、油墨、胶粘剂等清洁原料替代机制；完成列入省大气办常州市VOC</w:t>
                  </w:r>
                  <w:r>
                    <w:rPr>
                      <w:rFonts w:hint="eastAsia"/>
                      <w:szCs w:val="21"/>
                      <w:vertAlign w:val="subscript"/>
                    </w:rPr>
                    <w:t>S</w:t>
                  </w:r>
                  <w:r>
                    <w:rPr>
                      <w:rFonts w:hint="eastAsia"/>
                      <w:szCs w:val="21"/>
                    </w:rPr>
                    <w:t>源头替代清单的182家企业的排查建档，督促相关企业实施源头替代及工艺改造；建立全省重点行业清洁原料替代正面清单；各辖市区分别打造不少于3家以上源头替代示范性企业。</w:t>
                  </w:r>
                </w:p>
                <w:p w14:paraId="7C767E8D">
                  <w:pPr>
                    <w:rPr>
                      <w:szCs w:val="21"/>
                    </w:rPr>
                  </w:pPr>
                  <w:r>
                    <w:rPr>
                      <w:rFonts w:hint="eastAsia"/>
                      <w:szCs w:val="21"/>
                    </w:rPr>
                    <w:t>二、重点任务</w:t>
                  </w:r>
                </w:p>
                <w:p w14:paraId="68E1E7DF">
                  <w:pPr>
                    <w:rPr>
                      <w:szCs w:val="21"/>
                    </w:rPr>
                  </w:pPr>
                  <w:r>
                    <w:rPr>
                      <w:rFonts w:hint="eastAsia"/>
                      <w:szCs w:val="21"/>
                    </w:rPr>
                    <w:t>明确替代要求。以工业涂装、包装印刷、木材加工、纺织等行业为重点，按照省大气办《关于印发江苏省挥发性有机物清洁原料替代工作方案的通知》中源头替代具体要求，加快推进182家企业清洁原料替代工作。实施替代的企业要求使用符合《低挥发性有机化合物含量涂料产品技术要求》（GB/T38597-2020）规定的粉末、水性、无溶剂、辐射固化涂料产品；符合《油墨中可挥发性有机化合物含量限值》（GB38507-2020）规定的水性油墨和能量固化油墨产品；符合《清洁剂挥发性有机化合物含量限值》（GB38508-2020）规定的水基、半水基清洁剂产品；符合《胶粘剂挥发性有机化合物限量》（GB33372-2020）规定的水基型、本体型胶粘剂产品。若确实无法达到上述要求，应提供相应的论证说明，相关涂料、油墨、清洁剂、胶粘剂等产品应符合相关标准中VOC</w:t>
                  </w:r>
                  <w:r>
                    <w:rPr>
                      <w:rFonts w:hint="eastAsia"/>
                      <w:szCs w:val="21"/>
                      <w:vertAlign w:val="subscript"/>
                    </w:rPr>
                    <w:t>S</w:t>
                  </w:r>
                  <w:r>
                    <w:rPr>
                      <w:rFonts w:hint="eastAsia"/>
                      <w:szCs w:val="21"/>
                    </w:rPr>
                    <w:t>含量的限值要求。</w:t>
                  </w:r>
                </w:p>
                <w:p w14:paraId="3D895192">
                  <w:pPr>
                    <w:tabs>
                      <w:tab w:val="left" w:pos="3628"/>
                    </w:tabs>
                    <w:jc w:val="center"/>
                    <w:rPr>
                      <w:b/>
                      <w:szCs w:val="21"/>
                    </w:rPr>
                  </w:pPr>
                  <w:r>
                    <w:rPr>
                      <w:b/>
                      <w:szCs w:val="21"/>
                    </w:rPr>
                    <w:t>表</w:t>
                  </w:r>
                  <w:r>
                    <w:rPr>
                      <w:rFonts w:hint="eastAsia"/>
                      <w:b/>
                      <w:szCs w:val="21"/>
                    </w:rPr>
                    <w:t>2</w:t>
                  </w:r>
                  <w:r>
                    <w:rPr>
                      <w:szCs w:val="21"/>
                    </w:rPr>
                    <w:t xml:space="preserve">  </w:t>
                  </w:r>
                  <w:r>
                    <w:rPr>
                      <w:rFonts w:hint="eastAsia"/>
                      <w:b/>
                      <w:szCs w:val="21"/>
                    </w:rPr>
                    <w:t>水基</w:t>
                  </w:r>
                  <w:r>
                    <w:rPr>
                      <w:b/>
                      <w:szCs w:val="21"/>
                    </w:rPr>
                    <w:t>型胶粘剂VOC含量限量</w:t>
                  </w:r>
                </w:p>
                <w:tbl>
                  <w:tblPr>
                    <w:tblStyle w:val="28"/>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157"/>
                    <w:gridCol w:w="970"/>
                    <w:gridCol w:w="845"/>
                    <w:gridCol w:w="735"/>
                    <w:gridCol w:w="1126"/>
                    <w:gridCol w:w="782"/>
                    <w:gridCol w:w="540"/>
                  </w:tblGrid>
                  <w:tr w14:paraId="2C10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restart"/>
                        <w:vAlign w:val="center"/>
                      </w:tcPr>
                      <w:p w14:paraId="580B15AB">
                        <w:pPr>
                          <w:pStyle w:val="111"/>
                          <w:spacing w:beforeLines="0" w:line="240" w:lineRule="auto"/>
                          <w:ind w:firstLine="0" w:firstLineChars="0"/>
                          <w:jc w:val="center"/>
                          <w:rPr>
                            <w:b/>
                            <w:sz w:val="21"/>
                            <w:szCs w:val="21"/>
                          </w:rPr>
                        </w:pPr>
                        <w:r>
                          <w:rPr>
                            <w:b/>
                            <w:sz w:val="21"/>
                            <w:szCs w:val="21"/>
                          </w:rPr>
                          <w:t>应用领域</w:t>
                        </w:r>
                      </w:p>
                    </w:tc>
                    <w:tc>
                      <w:tcPr>
                        <w:tcW w:w="4488" w:type="pct"/>
                        <w:gridSpan w:val="7"/>
                        <w:vAlign w:val="center"/>
                      </w:tcPr>
                      <w:p w14:paraId="3C4B33D6">
                        <w:pPr>
                          <w:pStyle w:val="111"/>
                          <w:spacing w:beforeLines="0" w:line="240" w:lineRule="auto"/>
                          <w:ind w:firstLine="0" w:firstLineChars="0"/>
                          <w:jc w:val="center"/>
                          <w:rPr>
                            <w:b/>
                            <w:sz w:val="21"/>
                            <w:szCs w:val="21"/>
                          </w:rPr>
                        </w:pPr>
                        <w:r>
                          <w:rPr>
                            <w:b/>
                            <w:sz w:val="21"/>
                            <w:szCs w:val="21"/>
                          </w:rPr>
                          <w:t>限量值/（g/L）≤</w:t>
                        </w:r>
                      </w:p>
                    </w:tc>
                  </w:tr>
                  <w:tr w14:paraId="14B0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shd w:val="clear" w:color="auto" w:fill="auto"/>
                        <w:vAlign w:val="center"/>
                      </w:tcPr>
                      <w:p w14:paraId="0E8FA9BA">
                        <w:pPr>
                          <w:pStyle w:val="111"/>
                          <w:spacing w:beforeLines="0" w:line="240" w:lineRule="auto"/>
                          <w:ind w:firstLine="0" w:firstLineChars="0"/>
                          <w:jc w:val="center"/>
                          <w:rPr>
                            <w:b/>
                            <w:sz w:val="21"/>
                            <w:szCs w:val="21"/>
                          </w:rPr>
                        </w:pPr>
                      </w:p>
                    </w:tc>
                    <w:tc>
                      <w:tcPr>
                        <w:tcW w:w="844" w:type="pct"/>
                        <w:shd w:val="clear" w:color="auto" w:fill="auto"/>
                        <w:vAlign w:val="center"/>
                      </w:tcPr>
                      <w:p w14:paraId="386EF5B9">
                        <w:pPr>
                          <w:pStyle w:val="111"/>
                          <w:spacing w:beforeLines="0" w:line="240" w:lineRule="auto"/>
                          <w:ind w:firstLine="0" w:firstLineChars="0"/>
                          <w:jc w:val="center"/>
                          <w:rPr>
                            <w:b/>
                            <w:sz w:val="21"/>
                            <w:szCs w:val="21"/>
                          </w:rPr>
                        </w:pPr>
                        <w:r>
                          <w:rPr>
                            <w:rFonts w:hint="eastAsia"/>
                            <w:b/>
                            <w:sz w:val="21"/>
                            <w:szCs w:val="21"/>
                          </w:rPr>
                          <w:t>聚乙酸乙烯酯类</w:t>
                        </w:r>
                      </w:p>
                    </w:tc>
                    <w:tc>
                      <w:tcPr>
                        <w:tcW w:w="707" w:type="pct"/>
                        <w:shd w:val="clear" w:color="auto" w:fill="auto"/>
                        <w:vAlign w:val="center"/>
                      </w:tcPr>
                      <w:p w14:paraId="13D59A0B">
                        <w:pPr>
                          <w:pStyle w:val="111"/>
                          <w:spacing w:beforeLines="0" w:line="240" w:lineRule="auto"/>
                          <w:ind w:firstLine="0" w:firstLineChars="0"/>
                          <w:jc w:val="center"/>
                          <w:rPr>
                            <w:b/>
                            <w:sz w:val="21"/>
                            <w:szCs w:val="21"/>
                          </w:rPr>
                        </w:pPr>
                        <w:r>
                          <w:rPr>
                            <w:rFonts w:hint="eastAsia"/>
                            <w:b/>
                            <w:sz w:val="21"/>
                            <w:szCs w:val="21"/>
                          </w:rPr>
                          <w:t>聚乙烯醇类</w:t>
                        </w:r>
                      </w:p>
                    </w:tc>
                    <w:tc>
                      <w:tcPr>
                        <w:tcW w:w="616" w:type="pct"/>
                        <w:shd w:val="clear" w:color="auto" w:fill="auto"/>
                        <w:vAlign w:val="center"/>
                      </w:tcPr>
                      <w:p w14:paraId="048357B0">
                        <w:pPr>
                          <w:pStyle w:val="111"/>
                          <w:spacing w:beforeLines="0" w:line="240" w:lineRule="auto"/>
                          <w:ind w:firstLine="0" w:firstLineChars="0"/>
                          <w:jc w:val="center"/>
                          <w:rPr>
                            <w:b/>
                            <w:sz w:val="21"/>
                            <w:szCs w:val="21"/>
                          </w:rPr>
                        </w:pPr>
                        <w:r>
                          <w:rPr>
                            <w:rFonts w:hint="eastAsia"/>
                            <w:b/>
                            <w:sz w:val="21"/>
                            <w:szCs w:val="21"/>
                          </w:rPr>
                          <w:t>橡胶类</w:t>
                        </w:r>
                      </w:p>
                    </w:tc>
                    <w:tc>
                      <w:tcPr>
                        <w:tcW w:w="536" w:type="pct"/>
                        <w:shd w:val="clear" w:color="auto" w:fill="auto"/>
                        <w:vAlign w:val="center"/>
                      </w:tcPr>
                      <w:p w14:paraId="3DC7BD8D">
                        <w:pPr>
                          <w:pStyle w:val="111"/>
                          <w:spacing w:beforeLines="0" w:line="240" w:lineRule="auto"/>
                          <w:ind w:firstLine="0" w:firstLineChars="0"/>
                          <w:jc w:val="center"/>
                          <w:rPr>
                            <w:b/>
                            <w:sz w:val="21"/>
                            <w:szCs w:val="21"/>
                          </w:rPr>
                        </w:pPr>
                        <w:r>
                          <w:rPr>
                            <w:rFonts w:hint="eastAsia"/>
                            <w:b/>
                            <w:sz w:val="21"/>
                            <w:szCs w:val="21"/>
                          </w:rPr>
                          <w:t>聚氨酯类</w:t>
                        </w:r>
                      </w:p>
                    </w:tc>
                    <w:tc>
                      <w:tcPr>
                        <w:tcW w:w="821" w:type="pct"/>
                        <w:shd w:val="clear" w:color="auto" w:fill="auto"/>
                        <w:vAlign w:val="center"/>
                      </w:tcPr>
                      <w:p w14:paraId="32BF900F">
                        <w:pPr>
                          <w:pStyle w:val="111"/>
                          <w:spacing w:beforeLines="0" w:line="240" w:lineRule="auto"/>
                          <w:ind w:firstLine="0" w:firstLineChars="0"/>
                          <w:jc w:val="center"/>
                          <w:rPr>
                            <w:b/>
                            <w:sz w:val="21"/>
                            <w:szCs w:val="21"/>
                          </w:rPr>
                        </w:pPr>
                        <w:r>
                          <w:rPr>
                            <w:rFonts w:hint="eastAsia"/>
                            <w:b/>
                            <w:sz w:val="21"/>
                            <w:szCs w:val="21"/>
                          </w:rPr>
                          <w:t>醋酸乙烯-乙烯共聚乳液类</w:t>
                        </w:r>
                      </w:p>
                    </w:tc>
                    <w:tc>
                      <w:tcPr>
                        <w:tcW w:w="570" w:type="pct"/>
                        <w:shd w:val="clear" w:color="auto" w:fill="auto"/>
                        <w:vAlign w:val="center"/>
                      </w:tcPr>
                      <w:p w14:paraId="7A064E03">
                        <w:pPr>
                          <w:pStyle w:val="111"/>
                          <w:spacing w:beforeLines="0" w:line="240" w:lineRule="auto"/>
                          <w:ind w:firstLine="0" w:firstLineChars="0"/>
                          <w:jc w:val="center"/>
                          <w:rPr>
                            <w:b/>
                            <w:sz w:val="21"/>
                            <w:szCs w:val="21"/>
                          </w:rPr>
                        </w:pPr>
                        <w:r>
                          <w:rPr>
                            <w:rFonts w:hint="eastAsia"/>
                            <w:b/>
                            <w:sz w:val="21"/>
                            <w:szCs w:val="21"/>
                          </w:rPr>
                          <w:t>丙烯酸酯类</w:t>
                        </w:r>
                      </w:p>
                    </w:tc>
                    <w:tc>
                      <w:tcPr>
                        <w:tcW w:w="391" w:type="pct"/>
                        <w:shd w:val="clear" w:color="auto" w:fill="BEBEBE"/>
                        <w:vAlign w:val="center"/>
                      </w:tcPr>
                      <w:p w14:paraId="5EEBBCA1">
                        <w:pPr>
                          <w:pStyle w:val="111"/>
                          <w:spacing w:beforeLines="0" w:line="240" w:lineRule="auto"/>
                          <w:ind w:firstLine="0" w:firstLineChars="0"/>
                          <w:jc w:val="center"/>
                          <w:rPr>
                            <w:b/>
                            <w:sz w:val="21"/>
                            <w:szCs w:val="21"/>
                          </w:rPr>
                        </w:pPr>
                        <w:r>
                          <w:rPr>
                            <w:b/>
                            <w:sz w:val="21"/>
                            <w:szCs w:val="21"/>
                          </w:rPr>
                          <w:t>其他</w:t>
                        </w:r>
                      </w:p>
                    </w:tc>
                  </w:tr>
                  <w:tr w14:paraId="551D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shd w:val="clear" w:color="auto" w:fill="auto"/>
                        <w:vAlign w:val="center"/>
                      </w:tcPr>
                      <w:p w14:paraId="4A10CFFB">
                        <w:pPr>
                          <w:pStyle w:val="111"/>
                          <w:spacing w:beforeLines="0" w:line="240" w:lineRule="auto"/>
                          <w:ind w:firstLine="0" w:firstLineChars="0"/>
                          <w:jc w:val="center"/>
                          <w:rPr>
                            <w:bCs/>
                            <w:sz w:val="21"/>
                            <w:szCs w:val="21"/>
                          </w:rPr>
                        </w:pPr>
                        <w:r>
                          <w:rPr>
                            <w:bCs/>
                            <w:sz w:val="21"/>
                            <w:szCs w:val="21"/>
                          </w:rPr>
                          <w:t>其他</w:t>
                        </w:r>
                      </w:p>
                    </w:tc>
                    <w:tc>
                      <w:tcPr>
                        <w:tcW w:w="844" w:type="pct"/>
                        <w:shd w:val="clear" w:color="auto" w:fill="auto"/>
                        <w:vAlign w:val="center"/>
                      </w:tcPr>
                      <w:p w14:paraId="0207A395">
                        <w:pPr>
                          <w:pStyle w:val="111"/>
                          <w:spacing w:beforeLines="0" w:line="240" w:lineRule="auto"/>
                          <w:ind w:firstLine="0" w:firstLineChars="0"/>
                          <w:jc w:val="center"/>
                          <w:rPr>
                            <w:bCs/>
                            <w:sz w:val="21"/>
                            <w:szCs w:val="21"/>
                          </w:rPr>
                        </w:pPr>
                        <w:r>
                          <w:rPr>
                            <w:rFonts w:hint="eastAsia"/>
                            <w:bCs/>
                            <w:sz w:val="21"/>
                            <w:szCs w:val="21"/>
                          </w:rPr>
                          <w:t>50</w:t>
                        </w:r>
                      </w:p>
                    </w:tc>
                    <w:tc>
                      <w:tcPr>
                        <w:tcW w:w="707" w:type="pct"/>
                        <w:shd w:val="clear" w:color="auto" w:fill="auto"/>
                        <w:vAlign w:val="center"/>
                      </w:tcPr>
                      <w:p w14:paraId="7A1B44F8">
                        <w:pPr>
                          <w:pStyle w:val="111"/>
                          <w:spacing w:beforeLines="0" w:line="240" w:lineRule="auto"/>
                          <w:ind w:firstLine="0" w:firstLineChars="0"/>
                          <w:jc w:val="center"/>
                          <w:rPr>
                            <w:bCs/>
                            <w:sz w:val="21"/>
                            <w:szCs w:val="21"/>
                          </w:rPr>
                        </w:pPr>
                        <w:r>
                          <w:rPr>
                            <w:bCs/>
                            <w:sz w:val="21"/>
                            <w:szCs w:val="21"/>
                          </w:rPr>
                          <w:t>50</w:t>
                        </w:r>
                      </w:p>
                    </w:tc>
                    <w:tc>
                      <w:tcPr>
                        <w:tcW w:w="616" w:type="pct"/>
                        <w:shd w:val="clear" w:color="auto" w:fill="auto"/>
                        <w:vAlign w:val="center"/>
                      </w:tcPr>
                      <w:p w14:paraId="0331E6FE">
                        <w:pPr>
                          <w:pStyle w:val="111"/>
                          <w:spacing w:beforeLines="0" w:line="240" w:lineRule="auto"/>
                          <w:ind w:firstLine="0" w:firstLineChars="0"/>
                          <w:jc w:val="center"/>
                          <w:rPr>
                            <w:bCs/>
                            <w:sz w:val="21"/>
                            <w:szCs w:val="21"/>
                          </w:rPr>
                        </w:pPr>
                        <w:r>
                          <w:rPr>
                            <w:bCs/>
                            <w:sz w:val="21"/>
                            <w:szCs w:val="21"/>
                          </w:rPr>
                          <w:t>50</w:t>
                        </w:r>
                      </w:p>
                    </w:tc>
                    <w:tc>
                      <w:tcPr>
                        <w:tcW w:w="536" w:type="pct"/>
                        <w:shd w:val="clear" w:color="auto" w:fill="auto"/>
                        <w:vAlign w:val="center"/>
                      </w:tcPr>
                      <w:p w14:paraId="2C776349">
                        <w:pPr>
                          <w:pStyle w:val="111"/>
                          <w:spacing w:beforeLines="0" w:line="240" w:lineRule="auto"/>
                          <w:ind w:firstLine="0" w:firstLineChars="0"/>
                          <w:jc w:val="center"/>
                          <w:rPr>
                            <w:bCs/>
                            <w:sz w:val="21"/>
                            <w:szCs w:val="21"/>
                          </w:rPr>
                        </w:pPr>
                        <w:r>
                          <w:rPr>
                            <w:bCs/>
                            <w:sz w:val="21"/>
                            <w:szCs w:val="21"/>
                          </w:rPr>
                          <w:t>50</w:t>
                        </w:r>
                      </w:p>
                    </w:tc>
                    <w:tc>
                      <w:tcPr>
                        <w:tcW w:w="821" w:type="pct"/>
                        <w:shd w:val="clear" w:color="auto" w:fill="auto"/>
                        <w:vAlign w:val="center"/>
                      </w:tcPr>
                      <w:p w14:paraId="7B28A629">
                        <w:pPr>
                          <w:pStyle w:val="111"/>
                          <w:spacing w:beforeLines="0" w:line="240" w:lineRule="auto"/>
                          <w:ind w:firstLine="0" w:firstLineChars="0"/>
                          <w:jc w:val="center"/>
                          <w:rPr>
                            <w:bCs/>
                            <w:sz w:val="21"/>
                            <w:szCs w:val="21"/>
                          </w:rPr>
                        </w:pPr>
                        <w:r>
                          <w:rPr>
                            <w:rFonts w:hint="eastAsia"/>
                            <w:bCs/>
                            <w:sz w:val="21"/>
                            <w:szCs w:val="21"/>
                          </w:rPr>
                          <w:t>50</w:t>
                        </w:r>
                      </w:p>
                    </w:tc>
                    <w:tc>
                      <w:tcPr>
                        <w:tcW w:w="570" w:type="pct"/>
                        <w:shd w:val="clear" w:color="auto" w:fill="auto"/>
                        <w:vAlign w:val="center"/>
                      </w:tcPr>
                      <w:p w14:paraId="617B5E0A">
                        <w:pPr>
                          <w:pStyle w:val="111"/>
                          <w:spacing w:beforeLines="0" w:line="240" w:lineRule="auto"/>
                          <w:ind w:firstLine="0" w:firstLineChars="0"/>
                          <w:jc w:val="center"/>
                          <w:rPr>
                            <w:bCs/>
                            <w:sz w:val="21"/>
                            <w:szCs w:val="21"/>
                          </w:rPr>
                        </w:pPr>
                        <w:r>
                          <w:rPr>
                            <w:rFonts w:hint="eastAsia"/>
                            <w:bCs/>
                            <w:sz w:val="21"/>
                            <w:szCs w:val="21"/>
                          </w:rPr>
                          <w:t>50</w:t>
                        </w:r>
                      </w:p>
                    </w:tc>
                    <w:tc>
                      <w:tcPr>
                        <w:tcW w:w="391" w:type="pct"/>
                        <w:shd w:val="clear" w:color="auto" w:fill="BEBEBE"/>
                        <w:vAlign w:val="center"/>
                      </w:tcPr>
                      <w:p w14:paraId="54D39C3E">
                        <w:pPr>
                          <w:pStyle w:val="111"/>
                          <w:spacing w:beforeLines="0" w:line="240" w:lineRule="auto"/>
                          <w:ind w:firstLine="0" w:firstLineChars="0"/>
                          <w:jc w:val="center"/>
                          <w:rPr>
                            <w:bCs/>
                            <w:sz w:val="21"/>
                            <w:szCs w:val="21"/>
                          </w:rPr>
                        </w:pPr>
                        <w:r>
                          <w:rPr>
                            <w:bCs/>
                            <w:sz w:val="21"/>
                            <w:szCs w:val="21"/>
                          </w:rPr>
                          <w:t>50</w:t>
                        </w:r>
                      </w:p>
                    </w:tc>
                  </w:tr>
                </w:tbl>
                <w:p w14:paraId="76E5CDE4">
                  <w:pPr>
                    <w:tabs>
                      <w:tab w:val="left" w:pos="3628"/>
                    </w:tabs>
                    <w:jc w:val="center"/>
                    <w:rPr>
                      <w:b/>
                      <w:szCs w:val="21"/>
                    </w:rPr>
                  </w:pPr>
                </w:p>
                <w:p w14:paraId="69188ED3">
                  <w:pPr>
                    <w:tabs>
                      <w:tab w:val="left" w:pos="3628"/>
                    </w:tabs>
                    <w:jc w:val="center"/>
                    <w:rPr>
                      <w:b/>
                      <w:szCs w:val="21"/>
                    </w:rPr>
                  </w:pPr>
                  <w:r>
                    <w:rPr>
                      <w:b/>
                      <w:szCs w:val="21"/>
                    </w:rPr>
                    <w:t>表</w:t>
                  </w:r>
                  <w:r>
                    <w:rPr>
                      <w:rFonts w:hint="eastAsia"/>
                      <w:b/>
                      <w:szCs w:val="21"/>
                    </w:rPr>
                    <w:t>3</w:t>
                  </w:r>
                  <w:r>
                    <w:rPr>
                      <w:szCs w:val="21"/>
                    </w:rPr>
                    <w:t xml:space="preserve">  </w:t>
                  </w:r>
                  <w:r>
                    <w:rPr>
                      <w:rFonts w:hint="eastAsia"/>
                      <w:b/>
                      <w:szCs w:val="21"/>
                    </w:rPr>
                    <w:t>本体</w:t>
                  </w:r>
                  <w:r>
                    <w:rPr>
                      <w:b/>
                      <w:szCs w:val="21"/>
                    </w:rPr>
                    <w:t>型胶粘剂VOC含量限量</w:t>
                  </w:r>
                </w:p>
                <w:tbl>
                  <w:tblPr>
                    <w:tblStyle w:val="28"/>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683"/>
                    <w:gridCol w:w="683"/>
                    <w:gridCol w:w="683"/>
                    <w:gridCol w:w="683"/>
                    <w:gridCol w:w="683"/>
                    <w:gridCol w:w="683"/>
                    <w:gridCol w:w="874"/>
                    <w:gridCol w:w="491"/>
                    <w:gridCol w:w="693"/>
                  </w:tblGrid>
                  <w:tr w14:paraId="110A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restart"/>
                        <w:vAlign w:val="center"/>
                      </w:tcPr>
                      <w:p w14:paraId="6E2C1D2D">
                        <w:pPr>
                          <w:pStyle w:val="111"/>
                          <w:spacing w:beforeLines="0" w:line="240" w:lineRule="auto"/>
                          <w:ind w:firstLine="0" w:firstLineChars="0"/>
                          <w:jc w:val="center"/>
                          <w:rPr>
                            <w:b/>
                            <w:sz w:val="21"/>
                            <w:szCs w:val="21"/>
                          </w:rPr>
                        </w:pPr>
                        <w:r>
                          <w:rPr>
                            <w:b/>
                            <w:sz w:val="21"/>
                            <w:szCs w:val="21"/>
                          </w:rPr>
                          <w:t>应用领域</w:t>
                        </w:r>
                      </w:p>
                    </w:tc>
                    <w:tc>
                      <w:tcPr>
                        <w:tcW w:w="4488" w:type="pct"/>
                        <w:gridSpan w:val="9"/>
                        <w:vAlign w:val="center"/>
                      </w:tcPr>
                      <w:p w14:paraId="2D683019">
                        <w:pPr>
                          <w:pStyle w:val="111"/>
                          <w:spacing w:beforeLines="0" w:line="240" w:lineRule="auto"/>
                          <w:ind w:firstLine="0" w:firstLineChars="0"/>
                          <w:jc w:val="center"/>
                          <w:rPr>
                            <w:b/>
                            <w:sz w:val="21"/>
                            <w:szCs w:val="21"/>
                          </w:rPr>
                        </w:pPr>
                        <w:r>
                          <w:rPr>
                            <w:b/>
                            <w:sz w:val="21"/>
                            <w:szCs w:val="21"/>
                          </w:rPr>
                          <w:t>限量值/（g/L）≤</w:t>
                        </w:r>
                      </w:p>
                    </w:tc>
                  </w:tr>
                  <w:tr w14:paraId="561A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511" w:type="pct"/>
                        <w:vMerge w:val="continue"/>
                        <w:shd w:val="clear" w:color="auto" w:fill="auto"/>
                        <w:vAlign w:val="center"/>
                      </w:tcPr>
                      <w:p w14:paraId="48A91B8B">
                        <w:pPr>
                          <w:pStyle w:val="111"/>
                          <w:spacing w:beforeLines="0" w:line="240" w:lineRule="auto"/>
                          <w:ind w:firstLine="0" w:firstLineChars="0"/>
                          <w:jc w:val="center"/>
                          <w:rPr>
                            <w:b/>
                            <w:sz w:val="21"/>
                            <w:szCs w:val="21"/>
                          </w:rPr>
                        </w:pPr>
                      </w:p>
                    </w:tc>
                    <w:tc>
                      <w:tcPr>
                        <w:tcW w:w="498" w:type="pct"/>
                        <w:shd w:val="clear" w:color="auto" w:fill="auto"/>
                        <w:vAlign w:val="center"/>
                      </w:tcPr>
                      <w:p w14:paraId="1A928DAC">
                        <w:pPr>
                          <w:pStyle w:val="111"/>
                          <w:spacing w:beforeLines="0" w:line="240" w:lineRule="auto"/>
                          <w:ind w:firstLine="0" w:firstLineChars="0"/>
                          <w:jc w:val="center"/>
                          <w:rPr>
                            <w:b/>
                            <w:sz w:val="21"/>
                            <w:szCs w:val="21"/>
                          </w:rPr>
                        </w:pPr>
                        <w:r>
                          <w:rPr>
                            <w:rFonts w:hint="eastAsia"/>
                            <w:b/>
                            <w:sz w:val="21"/>
                            <w:szCs w:val="21"/>
                          </w:rPr>
                          <w:t>有机硅类</w:t>
                        </w:r>
                      </w:p>
                    </w:tc>
                    <w:tc>
                      <w:tcPr>
                        <w:tcW w:w="498" w:type="pct"/>
                        <w:shd w:val="clear" w:color="auto" w:fill="auto"/>
                        <w:vAlign w:val="center"/>
                      </w:tcPr>
                      <w:p w14:paraId="0351C1BA">
                        <w:pPr>
                          <w:pStyle w:val="111"/>
                          <w:spacing w:beforeLines="0" w:line="240" w:lineRule="auto"/>
                          <w:ind w:firstLine="0" w:firstLineChars="0"/>
                          <w:jc w:val="center"/>
                          <w:rPr>
                            <w:b/>
                            <w:sz w:val="21"/>
                            <w:szCs w:val="21"/>
                          </w:rPr>
                        </w:pPr>
                        <w:r>
                          <w:rPr>
                            <w:rFonts w:hint="eastAsia"/>
                            <w:b/>
                            <w:sz w:val="21"/>
                            <w:szCs w:val="21"/>
                          </w:rPr>
                          <w:t>MS类</w:t>
                        </w:r>
                      </w:p>
                    </w:tc>
                    <w:tc>
                      <w:tcPr>
                        <w:tcW w:w="498" w:type="pct"/>
                        <w:shd w:val="clear" w:color="auto" w:fill="BEBEBE"/>
                        <w:vAlign w:val="center"/>
                      </w:tcPr>
                      <w:p w14:paraId="72819F8F">
                        <w:pPr>
                          <w:pStyle w:val="111"/>
                          <w:spacing w:beforeLines="0" w:line="240" w:lineRule="auto"/>
                          <w:ind w:firstLine="0" w:firstLineChars="0"/>
                          <w:jc w:val="center"/>
                          <w:rPr>
                            <w:b/>
                            <w:sz w:val="21"/>
                            <w:szCs w:val="21"/>
                          </w:rPr>
                        </w:pPr>
                        <w:r>
                          <w:rPr>
                            <w:rFonts w:hint="eastAsia"/>
                            <w:b/>
                            <w:sz w:val="21"/>
                            <w:szCs w:val="21"/>
                          </w:rPr>
                          <w:t>聚氨酯类</w:t>
                        </w:r>
                      </w:p>
                    </w:tc>
                    <w:tc>
                      <w:tcPr>
                        <w:tcW w:w="498" w:type="pct"/>
                        <w:vAlign w:val="center"/>
                      </w:tcPr>
                      <w:p w14:paraId="71D32A7C">
                        <w:pPr>
                          <w:pStyle w:val="111"/>
                          <w:spacing w:beforeLines="0" w:line="240" w:lineRule="auto"/>
                          <w:ind w:firstLine="0" w:firstLineChars="0"/>
                          <w:jc w:val="center"/>
                          <w:rPr>
                            <w:b/>
                            <w:sz w:val="21"/>
                            <w:szCs w:val="21"/>
                          </w:rPr>
                        </w:pPr>
                        <w:r>
                          <w:rPr>
                            <w:rFonts w:hint="eastAsia"/>
                            <w:b/>
                            <w:sz w:val="21"/>
                            <w:szCs w:val="21"/>
                          </w:rPr>
                          <w:t>聚硫类</w:t>
                        </w:r>
                      </w:p>
                    </w:tc>
                    <w:tc>
                      <w:tcPr>
                        <w:tcW w:w="498" w:type="pct"/>
                        <w:vAlign w:val="center"/>
                      </w:tcPr>
                      <w:p w14:paraId="4D11B96D">
                        <w:pPr>
                          <w:pStyle w:val="111"/>
                          <w:spacing w:beforeLines="0" w:line="240" w:lineRule="auto"/>
                          <w:ind w:firstLine="0" w:firstLineChars="0"/>
                          <w:jc w:val="center"/>
                          <w:rPr>
                            <w:b/>
                            <w:sz w:val="21"/>
                            <w:szCs w:val="21"/>
                          </w:rPr>
                        </w:pPr>
                        <w:r>
                          <w:rPr>
                            <w:rFonts w:hint="eastAsia"/>
                            <w:b/>
                            <w:sz w:val="21"/>
                            <w:szCs w:val="21"/>
                          </w:rPr>
                          <w:t>丙烯酸酯类</w:t>
                        </w:r>
                      </w:p>
                    </w:tc>
                    <w:tc>
                      <w:tcPr>
                        <w:tcW w:w="498" w:type="pct"/>
                        <w:vAlign w:val="center"/>
                      </w:tcPr>
                      <w:p w14:paraId="3C037778">
                        <w:pPr>
                          <w:pStyle w:val="111"/>
                          <w:spacing w:beforeLines="0" w:line="240" w:lineRule="auto"/>
                          <w:ind w:firstLine="0" w:firstLineChars="0"/>
                          <w:jc w:val="center"/>
                          <w:rPr>
                            <w:b/>
                            <w:sz w:val="21"/>
                            <w:szCs w:val="21"/>
                          </w:rPr>
                        </w:pPr>
                        <w:r>
                          <w:rPr>
                            <w:rFonts w:hint="eastAsia"/>
                            <w:b/>
                            <w:sz w:val="21"/>
                            <w:szCs w:val="21"/>
                          </w:rPr>
                          <w:t>环氧树脂类</w:t>
                        </w:r>
                      </w:p>
                    </w:tc>
                    <w:tc>
                      <w:tcPr>
                        <w:tcW w:w="637" w:type="pct"/>
                        <w:vAlign w:val="center"/>
                      </w:tcPr>
                      <w:p w14:paraId="6C0B0D82">
                        <w:pPr>
                          <w:pStyle w:val="111"/>
                          <w:spacing w:beforeLines="0" w:line="240" w:lineRule="auto"/>
                          <w:ind w:firstLine="0" w:firstLineChars="0"/>
                          <w:jc w:val="center"/>
                          <w:rPr>
                            <w:b/>
                            <w:sz w:val="21"/>
                            <w:szCs w:val="21"/>
                          </w:rPr>
                        </w:pPr>
                        <w:r>
                          <w:rPr>
                            <w:rFonts w:hint="eastAsia"/>
                            <w:b/>
                            <w:sz w:val="21"/>
                            <w:szCs w:val="21"/>
                          </w:rPr>
                          <w:t>a-氰基丙烯酸类</w:t>
                        </w:r>
                      </w:p>
                    </w:tc>
                    <w:tc>
                      <w:tcPr>
                        <w:tcW w:w="358" w:type="pct"/>
                        <w:vAlign w:val="center"/>
                      </w:tcPr>
                      <w:p w14:paraId="7F122909">
                        <w:pPr>
                          <w:pStyle w:val="111"/>
                          <w:spacing w:beforeLines="0" w:line="240" w:lineRule="auto"/>
                          <w:ind w:firstLine="0" w:firstLineChars="0"/>
                          <w:jc w:val="center"/>
                          <w:rPr>
                            <w:b/>
                            <w:sz w:val="21"/>
                            <w:szCs w:val="21"/>
                          </w:rPr>
                        </w:pPr>
                        <w:r>
                          <w:rPr>
                            <w:rFonts w:hint="eastAsia"/>
                            <w:b/>
                            <w:sz w:val="21"/>
                            <w:szCs w:val="21"/>
                          </w:rPr>
                          <w:t>热塑类</w:t>
                        </w:r>
                      </w:p>
                    </w:tc>
                    <w:tc>
                      <w:tcPr>
                        <w:tcW w:w="501" w:type="pct"/>
                        <w:vAlign w:val="center"/>
                      </w:tcPr>
                      <w:p w14:paraId="76BD455D">
                        <w:pPr>
                          <w:pStyle w:val="111"/>
                          <w:spacing w:beforeLines="0" w:line="240" w:lineRule="auto"/>
                          <w:ind w:firstLine="0" w:firstLineChars="0"/>
                          <w:jc w:val="center"/>
                          <w:rPr>
                            <w:b/>
                            <w:sz w:val="21"/>
                            <w:szCs w:val="21"/>
                          </w:rPr>
                        </w:pPr>
                        <w:r>
                          <w:rPr>
                            <w:b/>
                            <w:sz w:val="21"/>
                            <w:szCs w:val="21"/>
                          </w:rPr>
                          <w:t>其他</w:t>
                        </w:r>
                      </w:p>
                    </w:tc>
                  </w:tr>
                  <w:tr w14:paraId="0374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shd w:val="clear" w:color="auto" w:fill="auto"/>
                        <w:vAlign w:val="center"/>
                      </w:tcPr>
                      <w:p w14:paraId="6221DCC3">
                        <w:pPr>
                          <w:pStyle w:val="111"/>
                          <w:spacing w:beforeLines="0" w:line="240" w:lineRule="auto"/>
                          <w:ind w:firstLine="0" w:firstLineChars="0"/>
                          <w:jc w:val="center"/>
                          <w:rPr>
                            <w:bCs/>
                            <w:sz w:val="21"/>
                            <w:szCs w:val="21"/>
                          </w:rPr>
                        </w:pPr>
                        <w:r>
                          <w:rPr>
                            <w:bCs/>
                            <w:sz w:val="21"/>
                            <w:szCs w:val="21"/>
                          </w:rPr>
                          <w:t>其他</w:t>
                        </w:r>
                      </w:p>
                    </w:tc>
                    <w:tc>
                      <w:tcPr>
                        <w:tcW w:w="498" w:type="pct"/>
                        <w:shd w:val="clear" w:color="auto" w:fill="auto"/>
                        <w:vAlign w:val="center"/>
                      </w:tcPr>
                      <w:p w14:paraId="481F1861">
                        <w:pPr>
                          <w:pStyle w:val="111"/>
                          <w:spacing w:beforeLines="0" w:line="240" w:lineRule="auto"/>
                          <w:ind w:firstLine="0" w:firstLineChars="0"/>
                          <w:jc w:val="center"/>
                          <w:rPr>
                            <w:bCs/>
                            <w:sz w:val="21"/>
                            <w:szCs w:val="21"/>
                          </w:rPr>
                        </w:pPr>
                        <w:r>
                          <w:rPr>
                            <w:rFonts w:hint="eastAsia"/>
                            <w:bCs/>
                            <w:sz w:val="21"/>
                            <w:szCs w:val="21"/>
                          </w:rPr>
                          <w:t>100</w:t>
                        </w:r>
                      </w:p>
                    </w:tc>
                    <w:tc>
                      <w:tcPr>
                        <w:tcW w:w="498" w:type="pct"/>
                        <w:shd w:val="clear" w:color="auto" w:fill="auto"/>
                        <w:vAlign w:val="center"/>
                      </w:tcPr>
                      <w:p w14:paraId="6BF71E86">
                        <w:pPr>
                          <w:pStyle w:val="111"/>
                          <w:spacing w:beforeLines="0" w:line="240" w:lineRule="auto"/>
                          <w:ind w:firstLine="0" w:firstLineChars="0"/>
                          <w:jc w:val="center"/>
                          <w:rPr>
                            <w:bCs/>
                            <w:sz w:val="21"/>
                            <w:szCs w:val="21"/>
                          </w:rPr>
                        </w:pPr>
                        <w:r>
                          <w:rPr>
                            <w:bCs/>
                            <w:sz w:val="21"/>
                            <w:szCs w:val="21"/>
                          </w:rPr>
                          <w:t>50</w:t>
                        </w:r>
                      </w:p>
                    </w:tc>
                    <w:tc>
                      <w:tcPr>
                        <w:tcW w:w="498" w:type="pct"/>
                        <w:shd w:val="clear" w:color="auto" w:fill="BEBEBE"/>
                        <w:vAlign w:val="center"/>
                      </w:tcPr>
                      <w:p w14:paraId="025AD9FE">
                        <w:pPr>
                          <w:pStyle w:val="111"/>
                          <w:spacing w:beforeLines="0" w:line="240" w:lineRule="auto"/>
                          <w:ind w:firstLine="0" w:firstLineChars="0"/>
                          <w:jc w:val="center"/>
                          <w:rPr>
                            <w:bCs/>
                            <w:sz w:val="21"/>
                            <w:szCs w:val="21"/>
                          </w:rPr>
                        </w:pPr>
                        <w:r>
                          <w:rPr>
                            <w:bCs/>
                            <w:sz w:val="21"/>
                            <w:szCs w:val="21"/>
                          </w:rPr>
                          <w:t>50</w:t>
                        </w:r>
                      </w:p>
                    </w:tc>
                    <w:tc>
                      <w:tcPr>
                        <w:tcW w:w="498" w:type="pct"/>
                        <w:vAlign w:val="center"/>
                      </w:tcPr>
                      <w:p w14:paraId="72699A8B">
                        <w:pPr>
                          <w:pStyle w:val="111"/>
                          <w:spacing w:beforeLines="0" w:line="240" w:lineRule="auto"/>
                          <w:ind w:firstLine="0" w:firstLineChars="0"/>
                          <w:jc w:val="center"/>
                          <w:rPr>
                            <w:bCs/>
                            <w:sz w:val="21"/>
                            <w:szCs w:val="21"/>
                          </w:rPr>
                        </w:pPr>
                        <w:r>
                          <w:rPr>
                            <w:bCs/>
                            <w:sz w:val="21"/>
                            <w:szCs w:val="21"/>
                          </w:rPr>
                          <w:t>50</w:t>
                        </w:r>
                      </w:p>
                    </w:tc>
                    <w:tc>
                      <w:tcPr>
                        <w:tcW w:w="498" w:type="pct"/>
                        <w:vAlign w:val="center"/>
                      </w:tcPr>
                      <w:p w14:paraId="585ACC52">
                        <w:pPr>
                          <w:pStyle w:val="111"/>
                          <w:spacing w:beforeLines="0" w:line="240" w:lineRule="auto"/>
                          <w:ind w:firstLine="0" w:firstLineChars="0"/>
                          <w:jc w:val="center"/>
                          <w:rPr>
                            <w:bCs/>
                            <w:sz w:val="21"/>
                            <w:szCs w:val="21"/>
                          </w:rPr>
                        </w:pPr>
                        <w:r>
                          <w:rPr>
                            <w:rFonts w:hint="eastAsia"/>
                            <w:bCs/>
                            <w:sz w:val="21"/>
                            <w:szCs w:val="21"/>
                          </w:rPr>
                          <w:t>200</w:t>
                        </w:r>
                      </w:p>
                    </w:tc>
                    <w:tc>
                      <w:tcPr>
                        <w:tcW w:w="498" w:type="pct"/>
                        <w:vAlign w:val="center"/>
                      </w:tcPr>
                      <w:p w14:paraId="2E5D4014">
                        <w:pPr>
                          <w:pStyle w:val="111"/>
                          <w:spacing w:beforeLines="0" w:line="240" w:lineRule="auto"/>
                          <w:ind w:firstLine="0" w:firstLineChars="0"/>
                          <w:jc w:val="center"/>
                          <w:rPr>
                            <w:bCs/>
                            <w:sz w:val="21"/>
                            <w:szCs w:val="21"/>
                          </w:rPr>
                        </w:pPr>
                        <w:r>
                          <w:rPr>
                            <w:rFonts w:hint="eastAsia"/>
                            <w:bCs/>
                            <w:sz w:val="21"/>
                            <w:szCs w:val="21"/>
                          </w:rPr>
                          <w:t>50</w:t>
                        </w:r>
                      </w:p>
                    </w:tc>
                    <w:tc>
                      <w:tcPr>
                        <w:tcW w:w="637" w:type="pct"/>
                        <w:vAlign w:val="center"/>
                      </w:tcPr>
                      <w:p w14:paraId="4A701462">
                        <w:pPr>
                          <w:pStyle w:val="111"/>
                          <w:spacing w:beforeLines="0" w:line="240" w:lineRule="auto"/>
                          <w:ind w:firstLine="0" w:firstLineChars="0"/>
                          <w:jc w:val="center"/>
                          <w:rPr>
                            <w:bCs/>
                            <w:sz w:val="21"/>
                            <w:szCs w:val="21"/>
                          </w:rPr>
                        </w:pPr>
                        <w:r>
                          <w:rPr>
                            <w:rFonts w:hint="eastAsia"/>
                            <w:bCs/>
                            <w:sz w:val="21"/>
                            <w:szCs w:val="21"/>
                          </w:rPr>
                          <w:t>20</w:t>
                        </w:r>
                      </w:p>
                    </w:tc>
                    <w:tc>
                      <w:tcPr>
                        <w:tcW w:w="358" w:type="pct"/>
                        <w:vAlign w:val="center"/>
                      </w:tcPr>
                      <w:p w14:paraId="48CADAA1">
                        <w:pPr>
                          <w:pStyle w:val="111"/>
                          <w:spacing w:beforeLines="0" w:line="240" w:lineRule="auto"/>
                          <w:ind w:firstLine="0" w:firstLineChars="0"/>
                          <w:jc w:val="center"/>
                          <w:rPr>
                            <w:bCs/>
                            <w:sz w:val="21"/>
                            <w:szCs w:val="21"/>
                          </w:rPr>
                        </w:pPr>
                        <w:r>
                          <w:rPr>
                            <w:rFonts w:hint="eastAsia"/>
                            <w:bCs/>
                            <w:sz w:val="21"/>
                            <w:szCs w:val="21"/>
                          </w:rPr>
                          <w:t>50</w:t>
                        </w:r>
                      </w:p>
                    </w:tc>
                    <w:tc>
                      <w:tcPr>
                        <w:tcW w:w="501" w:type="pct"/>
                        <w:vAlign w:val="center"/>
                      </w:tcPr>
                      <w:p w14:paraId="293222F7">
                        <w:pPr>
                          <w:pStyle w:val="111"/>
                          <w:spacing w:beforeLines="0" w:line="240" w:lineRule="auto"/>
                          <w:ind w:firstLine="0" w:firstLineChars="0"/>
                          <w:jc w:val="center"/>
                          <w:rPr>
                            <w:bCs/>
                            <w:sz w:val="21"/>
                            <w:szCs w:val="21"/>
                          </w:rPr>
                        </w:pPr>
                        <w:r>
                          <w:rPr>
                            <w:bCs/>
                            <w:sz w:val="21"/>
                            <w:szCs w:val="21"/>
                          </w:rPr>
                          <w:t>50</w:t>
                        </w:r>
                      </w:p>
                    </w:tc>
                  </w:tr>
                </w:tbl>
                <w:p w14:paraId="173DAA7F">
                  <w:pPr>
                    <w:pStyle w:val="113"/>
                    <w:jc w:val="both"/>
                    <w:rPr>
                      <w:szCs w:val="21"/>
                    </w:rPr>
                  </w:pPr>
                </w:p>
              </w:tc>
              <w:tc>
                <w:tcPr>
                  <w:tcW w:w="1340" w:type="pct"/>
                  <w:vAlign w:val="center"/>
                </w:tcPr>
                <w:p w14:paraId="45242C9E">
                  <w:pPr>
                    <w:pStyle w:val="113"/>
                    <w:jc w:val="left"/>
                    <w:rPr>
                      <w:rFonts w:hint="eastAsia"/>
                      <w:szCs w:val="21"/>
                    </w:rPr>
                  </w:pPr>
                  <w:r>
                    <w:rPr>
                      <w:rFonts w:hint="eastAsia"/>
                      <w:szCs w:val="21"/>
                    </w:rPr>
                    <w:t>根据企业提供的丁苯胶的VOC含量检测报告，其挥发性有机化合物含量为</w:t>
                  </w:r>
                  <w:r>
                    <w:rPr>
                      <w:rFonts w:hint="eastAsia"/>
                      <w:szCs w:val="21"/>
                      <w:lang w:val="en-US" w:eastAsia="zh-CN"/>
                    </w:rPr>
                    <w:t>未检出，</w:t>
                  </w:r>
                  <w:r>
                    <w:rPr>
                      <w:rFonts w:hint="eastAsia"/>
                      <w:szCs w:val="21"/>
                    </w:rPr>
                    <w:t>符合《胶粘剂挥发性有机化合物限量》（GB33372-2020）规定的水基型胶粘剂产品。</w:t>
                  </w:r>
                </w:p>
                <w:p w14:paraId="4BFD7AE6">
                  <w:pPr>
                    <w:pStyle w:val="113"/>
                    <w:jc w:val="both"/>
                    <w:rPr>
                      <w:szCs w:val="21"/>
                    </w:rPr>
                  </w:pPr>
                  <w:r>
                    <w:rPr>
                      <w:rFonts w:hint="eastAsia"/>
                      <w:szCs w:val="21"/>
                    </w:rPr>
                    <w:t>根据企业提供的</w:t>
                  </w:r>
                  <w:r>
                    <w:rPr>
                      <w:rFonts w:hint="eastAsia"/>
                      <w:szCs w:val="21"/>
                      <w:lang w:val="en-US" w:eastAsia="zh-CN"/>
                    </w:rPr>
                    <w:t>双组分PU胶</w:t>
                  </w:r>
                  <w:r>
                    <w:rPr>
                      <w:rFonts w:hint="eastAsia"/>
                      <w:szCs w:val="21"/>
                    </w:rPr>
                    <w:t>的VOC含量检测报告，其挥发性有机化合物含量为</w:t>
                  </w:r>
                  <w:r>
                    <w:rPr>
                      <w:rFonts w:hint="eastAsia"/>
                      <w:szCs w:val="21"/>
                      <w:lang w:val="en-US" w:eastAsia="zh-CN"/>
                    </w:rPr>
                    <w:t>1.1g/L，</w:t>
                  </w:r>
                  <w:r>
                    <w:rPr>
                      <w:rFonts w:hint="eastAsia"/>
                      <w:szCs w:val="21"/>
                    </w:rPr>
                    <w:t>符合《胶粘剂挥发性有机化合物限量》（GB33372-2020）规定的本体型胶粘剂产品。</w:t>
                  </w:r>
                </w:p>
              </w:tc>
              <w:tc>
                <w:tcPr>
                  <w:tcW w:w="166" w:type="pct"/>
                  <w:vAlign w:val="center"/>
                </w:tcPr>
                <w:p w14:paraId="4A172227">
                  <w:pPr>
                    <w:pStyle w:val="113"/>
                    <w:rPr>
                      <w:szCs w:val="21"/>
                    </w:rPr>
                  </w:pPr>
                  <w:r>
                    <w:rPr>
                      <w:rFonts w:hint="eastAsia"/>
                      <w:szCs w:val="21"/>
                    </w:rPr>
                    <w:t>相符</w:t>
                  </w:r>
                </w:p>
              </w:tc>
            </w:tr>
            <w:tr w14:paraId="2CA8C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543FC924">
                  <w:pPr>
                    <w:pStyle w:val="3"/>
                    <w:numPr>
                      <w:ilvl w:val="0"/>
                      <w:numId w:val="0"/>
                    </w:numPr>
                    <w:jc w:val="center"/>
                    <w:rPr>
                      <w:szCs w:val="21"/>
                    </w:rPr>
                  </w:pPr>
                </w:p>
              </w:tc>
              <w:tc>
                <w:tcPr>
                  <w:tcW w:w="616" w:type="pct"/>
                  <w:vAlign w:val="center"/>
                </w:tcPr>
                <w:p w14:paraId="2E144CE9">
                  <w:pPr>
                    <w:pStyle w:val="113"/>
                    <w:rPr>
                      <w:szCs w:val="21"/>
                    </w:rPr>
                  </w:pPr>
                  <w:r>
                    <w:rPr>
                      <w:szCs w:val="21"/>
                    </w:rPr>
                    <w:t>《关于印发江苏省重点行业挥发性有机物污染控制指南的通知》</w:t>
                  </w:r>
                </w:p>
                <w:p w14:paraId="5BD75086">
                  <w:pPr>
                    <w:pStyle w:val="113"/>
                    <w:rPr>
                      <w:szCs w:val="21"/>
                    </w:rPr>
                  </w:pPr>
                  <w:r>
                    <w:rPr>
                      <w:szCs w:val="21"/>
                    </w:rPr>
                    <w:t>（苏环办</w:t>
                  </w:r>
                  <w:r>
                    <w:rPr>
                      <w:rFonts w:hint="eastAsia"/>
                      <w:szCs w:val="21"/>
                    </w:rPr>
                    <w:t>〔2014〕128号</w:t>
                  </w:r>
                  <w:r>
                    <w:rPr>
                      <w:szCs w:val="21"/>
                    </w:rPr>
                    <w:t>）</w:t>
                  </w:r>
                </w:p>
              </w:tc>
              <w:tc>
                <w:tcPr>
                  <w:tcW w:w="2625" w:type="pct"/>
                  <w:vAlign w:val="center"/>
                </w:tcPr>
                <w:p w14:paraId="6E390243">
                  <w:pPr>
                    <w:pStyle w:val="113"/>
                    <w:jc w:val="both"/>
                    <w:rPr>
                      <w:szCs w:val="21"/>
                    </w:rPr>
                  </w:pPr>
                  <w:r>
                    <w:rPr>
                      <w:szCs w:val="21"/>
                    </w:rPr>
                    <w:t>指南规定：</w:t>
                  </w:r>
                  <w:r>
                    <w:rPr>
                      <w:rFonts w:hint="eastAsia"/>
                      <w:szCs w:val="21"/>
                    </w:rPr>
                    <w:t>“</w:t>
                  </w:r>
                  <w:r>
                    <w:rPr>
                      <w:rFonts w:hint="eastAsia" w:ascii="宋体" w:hAnsi="宋体" w:cs="宋体"/>
                      <w:szCs w:val="21"/>
                    </w:rPr>
                    <w:t>①</w:t>
                  </w:r>
                  <w:r>
                    <w:rPr>
                      <w:szCs w:val="21"/>
                    </w:rPr>
                    <w:t>所有产生有机废气污染的企业，应优先采用环保型原辅料、生产工艺和装备，对相应生产单元或设施进行密闭，从源头控制VOCs的产生，减少废气污染物排放。</w:t>
                  </w:r>
                  <w:r>
                    <w:rPr>
                      <w:rFonts w:hint="eastAsia" w:ascii="宋体" w:hAnsi="宋体" w:cs="宋体"/>
                      <w:szCs w:val="21"/>
                    </w:rPr>
                    <w:t>②</w:t>
                  </w:r>
                  <w:r>
                    <w:rPr>
                      <w:szCs w:val="21"/>
                    </w:rPr>
                    <w:t>鼓励对排放的VOCs进行回收利用，并优先在生产系统内回用。对浓度、性状差异较大的废气应分类收集，并采用适宜的方式进行有效处理，确保VOCs总去除率满足管理要求，其中有机化工、医药化工、橡胶和塑料制品</w:t>
                  </w:r>
                  <w:r>
                    <w:rPr>
                      <w:rFonts w:hint="eastAsia"/>
                      <w:szCs w:val="21"/>
                    </w:rPr>
                    <w:t>（</w:t>
                  </w:r>
                  <w:r>
                    <w:rPr>
                      <w:szCs w:val="21"/>
                    </w:rPr>
                    <w:t>有机溶剂浸胶工艺</w:t>
                  </w:r>
                  <w:r>
                    <w:rPr>
                      <w:rFonts w:hint="eastAsia"/>
                      <w:szCs w:val="21"/>
                    </w:rPr>
                    <w:t>）</w:t>
                  </w:r>
                  <w:r>
                    <w:rPr>
                      <w:szCs w:val="21"/>
                    </w:rPr>
                    <w:t>溶剂型涂料表面涂装、包装印刷业的VOCs总收集、净化处理率均不低于90%，其他行业原则上不低于75%</w:t>
                  </w:r>
                  <w:r>
                    <w:rPr>
                      <w:rFonts w:hint="eastAsia"/>
                      <w:szCs w:val="21"/>
                    </w:rPr>
                    <w:t>”</w:t>
                  </w:r>
                  <w:r>
                    <w:rPr>
                      <w:szCs w:val="21"/>
                    </w:rPr>
                    <w:t>。</w:t>
                  </w:r>
                </w:p>
              </w:tc>
              <w:tc>
                <w:tcPr>
                  <w:tcW w:w="1340" w:type="pct"/>
                  <w:vAlign w:val="center"/>
                </w:tcPr>
                <w:p w14:paraId="1C18BF86">
                  <w:pPr>
                    <w:rPr>
                      <w:kern w:val="0"/>
                      <w:szCs w:val="21"/>
                    </w:rPr>
                  </w:pPr>
                  <w:r>
                    <w:rPr>
                      <w:rFonts w:hint="eastAsia"/>
                      <w:szCs w:val="21"/>
                    </w:rPr>
                    <w:t>本项目调配废气经TA001布袋除尘器处理后，与背胶、烘干、天然气燃烧和危废废气一起经TA002除水器+二级活性炭吸附装置处理后通过一根15m高DA001排气筒排放。生产过程中产生的有机废气可得到有效收集处理。本项目废气捕集率和处理率均按90％。</w:t>
                  </w:r>
                </w:p>
              </w:tc>
              <w:tc>
                <w:tcPr>
                  <w:tcW w:w="166" w:type="pct"/>
                  <w:vAlign w:val="center"/>
                </w:tcPr>
                <w:p w14:paraId="7C7842D4">
                  <w:pPr>
                    <w:pStyle w:val="113"/>
                    <w:rPr>
                      <w:szCs w:val="21"/>
                    </w:rPr>
                  </w:pPr>
                  <w:r>
                    <w:rPr>
                      <w:szCs w:val="21"/>
                    </w:rPr>
                    <w:t>相符</w:t>
                  </w:r>
                </w:p>
              </w:tc>
            </w:tr>
            <w:tr w14:paraId="59430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61CDACE1">
                  <w:pPr>
                    <w:pStyle w:val="3"/>
                    <w:numPr>
                      <w:ilvl w:val="0"/>
                      <w:numId w:val="0"/>
                    </w:numPr>
                    <w:jc w:val="center"/>
                    <w:rPr>
                      <w:szCs w:val="21"/>
                    </w:rPr>
                  </w:pPr>
                </w:p>
              </w:tc>
              <w:tc>
                <w:tcPr>
                  <w:tcW w:w="616" w:type="pct"/>
                  <w:vAlign w:val="center"/>
                </w:tcPr>
                <w:p w14:paraId="2A6E1333">
                  <w:pPr>
                    <w:pStyle w:val="113"/>
                    <w:rPr>
                      <w:szCs w:val="21"/>
                    </w:rPr>
                  </w:pPr>
                  <w:r>
                    <w:rPr>
                      <w:szCs w:val="21"/>
                    </w:rPr>
                    <w:t>《关于印发</w:t>
                  </w:r>
                  <w:r>
                    <w:rPr>
                      <w:rFonts w:hint="eastAsia"/>
                      <w:szCs w:val="21"/>
                    </w:rPr>
                    <w:t>〈</w:t>
                  </w:r>
                  <w:r>
                    <w:rPr>
                      <w:szCs w:val="21"/>
                    </w:rPr>
                    <w:t>重点行业挥发性有机物综合治理方案</w:t>
                  </w:r>
                  <w:r>
                    <w:rPr>
                      <w:rFonts w:hint="eastAsia"/>
                      <w:szCs w:val="21"/>
                    </w:rPr>
                    <w:t>〉</w:t>
                  </w:r>
                  <w:r>
                    <w:rPr>
                      <w:szCs w:val="21"/>
                    </w:rPr>
                    <w:t>的通知》（环大气</w:t>
                  </w:r>
                  <w:r>
                    <w:rPr>
                      <w:rFonts w:hint="eastAsia"/>
                      <w:szCs w:val="21"/>
                    </w:rPr>
                    <w:t>〔2019〕53号</w:t>
                  </w:r>
                  <w:r>
                    <w:rPr>
                      <w:szCs w:val="21"/>
                    </w:rPr>
                    <w:t>）</w:t>
                  </w:r>
                </w:p>
              </w:tc>
              <w:tc>
                <w:tcPr>
                  <w:tcW w:w="2625" w:type="pct"/>
                  <w:vAlign w:val="center"/>
                </w:tcPr>
                <w:p w14:paraId="5BE34EBD">
                  <w:pPr>
                    <w:pStyle w:val="113"/>
                    <w:jc w:val="both"/>
                    <w:rPr>
                      <w:szCs w:val="21"/>
                    </w:rPr>
                  </w:pPr>
                  <w:r>
                    <w:rPr>
                      <w:rFonts w:hint="eastAsia"/>
                      <w:szCs w:val="21"/>
                    </w:rPr>
                    <w:t>“</w:t>
                  </w:r>
                  <w:r>
                    <w:rPr>
                      <w:szCs w:val="21"/>
                    </w:rPr>
                    <w:t>加快推进石化行业、化工行业、工业涂装、包装印刷行业、油品储运销、工业园区和产业集群6个重点行业的治理任务；加大源头替代力度，减少VOCs产生；含VOCs物料生产和使用过程，应采取有效收集措施或在密闭空间中操作</w:t>
                  </w:r>
                  <w:r>
                    <w:rPr>
                      <w:rFonts w:hint="eastAsia"/>
                      <w:szCs w:val="21"/>
                    </w:rPr>
                    <w:t>”</w:t>
                  </w:r>
                  <w:r>
                    <w:rPr>
                      <w:szCs w:val="21"/>
                    </w:rPr>
                    <w:t>。</w:t>
                  </w:r>
                </w:p>
              </w:tc>
              <w:tc>
                <w:tcPr>
                  <w:tcW w:w="1340" w:type="pct"/>
                  <w:vAlign w:val="center"/>
                </w:tcPr>
                <w:p w14:paraId="3A507FE1">
                  <w:pPr>
                    <w:pStyle w:val="113"/>
                    <w:jc w:val="both"/>
                    <w:rPr>
                      <w:bCs/>
                      <w:szCs w:val="21"/>
                    </w:rPr>
                  </w:pPr>
                  <w:r>
                    <w:rPr>
                      <w:bCs/>
                      <w:szCs w:val="21"/>
                    </w:rPr>
                    <w:t>本项目不属于</w:t>
                  </w:r>
                  <w:r>
                    <w:rPr>
                      <w:rFonts w:hint="eastAsia"/>
                      <w:bCs/>
                      <w:szCs w:val="21"/>
                    </w:rPr>
                    <w:t>上述</w:t>
                  </w:r>
                  <w:r>
                    <w:rPr>
                      <w:bCs/>
                      <w:szCs w:val="21"/>
                    </w:rPr>
                    <w:t>6个重点行业，生产过程产生的废气经管道收集</w:t>
                  </w:r>
                  <w:r>
                    <w:rPr>
                      <w:rFonts w:hint="eastAsia"/>
                      <w:bCs/>
                      <w:szCs w:val="21"/>
                    </w:rPr>
                    <w:t>，</w:t>
                  </w:r>
                  <w:r>
                    <w:rPr>
                      <w:bCs/>
                      <w:szCs w:val="21"/>
                    </w:rPr>
                    <w:t>通过有效处理设施处理后有组织排放，符合方案要求</w:t>
                  </w:r>
                  <w:r>
                    <w:rPr>
                      <w:rFonts w:hint="eastAsia"/>
                      <w:bCs/>
                      <w:szCs w:val="21"/>
                    </w:rPr>
                    <w:t>。</w:t>
                  </w:r>
                </w:p>
              </w:tc>
              <w:tc>
                <w:tcPr>
                  <w:tcW w:w="166" w:type="pct"/>
                  <w:vAlign w:val="center"/>
                </w:tcPr>
                <w:p w14:paraId="3D469EB3">
                  <w:pPr>
                    <w:pStyle w:val="113"/>
                    <w:rPr>
                      <w:szCs w:val="21"/>
                    </w:rPr>
                  </w:pPr>
                  <w:r>
                    <w:rPr>
                      <w:szCs w:val="21"/>
                    </w:rPr>
                    <w:t>相符</w:t>
                  </w:r>
                </w:p>
              </w:tc>
            </w:tr>
          </w:tbl>
          <w:p w14:paraId="7BC4D100">
            <w:pPr>
              <w:pStyle w:val="6"/>
              <w:adjustRightInd/>
              <w:snapToGrid/>
              <w:spacing w:line="480" w:lineRule="exact"/>
              <w:ind w:firstLine="420"/>
              <w:rPr>
                <w:color w:val="FF0000"/>
              </w:rPr>
            </w:pPr>
          </w:p>
        </w:tc>
      </w:tr>
    </w:tbl>
    <w:p w14:paraId="46BF9FC7">
      <w:pPr>
        <w:pStyle w:val="2"/>
        <w:rPr>
          <w:color w:val="FF0000"/>
        </w:rPr>
        <w:sectPr>
          <w:pgSz w:w="16838" w:h="11906" w:orient="landscape"/>
          <w:pgMar w:top="1797" w:right="1440" w:bottom="1797" w:left="1440" w:header="851" w:footer="1077" w:gutter="0"/>
          <w:pgBorders>
            <w:top w:val="none" w:sz="0" w:space="0"/>
            <w:left w:val="none" w:sz="0" w:space="0"/>
            <w:bottom w:val="none" w:sz="0" w:space="0"/>
            <w:right w:val="none" w:sz="0" w:space="0"/>
          </w:pgBorders>
          <w:cols w:space="720" w:num="1"/>
          <w:docGrid w:linePitch="312" w:charSpace="0"/>
        </w:sectPr>
      </w:pPr>
    </w:p>
    <w:tbl>
      <w:tblPr>
        <w:tblStyle w:val="28"/>
        <w:tblW w:w="963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477"/>
        <w:gridCol w:w="9161"/>
      </w:tblGrid>
      <w:tr w14:paraId="7D920EA6">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jc w:val="center"/>
        </w:trPr>
        <w:tc>
          <w:tcPr>
            <w:tcW w:w="477" w:type="dxa"/>
            <w:tcBorders>
              <w:tl2br w:val="nil"/>
              <w:tr2bl w:val="nil"/>
            </w:tcBorders>
          </w:tcPr>
          <w:p w14:paraId="40618157">
            <w:pPr>
              <w:pStyle w:val="3"/>
              <w:numPr>
                <w:ilvl w:val="0"/>
                <w:numId w:val="0"/>
              </w:numPr>
              <w:rPr>
                <w:color w:val="FF0000"/>
              </w:rPr>
            </w:pPr>
          </w:p>
        </w:tc>
        <w:tc>
          <w:tcPr>
            <w:tcW w:w="9161" w:type="dxa"/>
            <w:tcBorders>
              <w:tl2br w:val="nil"/>
              <w:tr2bl w:val="nil"/>
            </w:tcBorders>
          </w:tcPr>
          <w:p w14:paraId="77ABBD98">
            <w:pPr>
              <w:pStyle w:val="3"/>
              <w:numPr>
                <w:ilvl w:val="0"/>
                <w:numId w:val="0"/>
              </w:numPr>
              <w:spacing w:line="480" w:lineRule="exact"/>
              <w:ind w:firstLine="482" w:firstLineChars="200"/>
              <w:rPr>
                <w:b/>
                <w:sz w:val="24"/>
              </w:rPr>
            </w:pPr>
            <w:r>
              <w:rPr>
                <w:b/>
                <w:sz w:val="24"/>
              </w:rPr>
              <w:t>5、与</w:t>
            </w:r>
            <w:r>
              <w:rPr>
                <w:rFonts w:hint="eastAsia"/>
                <w:b/>
                <w:sz w:val="24"/>
              </w:rPr>
              <w:t>“</w:t>
            </w:r>
            <w:r>
              <w:rPr>
                <w:b/>
                <w:sz w:val="24"/>
              </w:rPr>
              <w:t>三区三线</w:t>
            </w:r>
            <w:r>
              <w:rPr>
                <w:rFonts w:hint="eastAsia"/>
                <w:b/>
                <w:sz w:val="24"/>
              </w:rPr>
              <w:t>”</w:t>
            </w:r>
            <w:r>
              <w:rPr>
                <w:b/>
                <w:sz w:val="24"/>
              </w:rPr>
              <w:t>划定成果和《常州市</w:t>
            </w:r>
            <w:r>
              <w:rPr>
                <w:rFonts w:hint="eastAsia"/>
                <w:b/>
                <w:sz w:val="24"/>
                <w:lang w:val="en-US" w:eastAsia="zh-CN"/>
              </w:rPr>
              <w:t>金坛区</w:t>
            </w:r>
            <w:r>
              <w:rPr>
                <w:b/>
                <w:sz w:val="24"/>
              </w:rPr>
              <w:t>国土空间总体规划（202</w:t>
            </w:r>
            <w:r>
              <w:rPr>
                <w:rFonts w:hint="eastAsia"/>
                <w:b/>
                <w:sz w:val="24"/>
                <w:lang w:val="en-US" w:eastAsia="zh-CN"/>
              </w:rPr>
              <w:t>1</w:t>
            </w:r>
            <w:r>
              <w:rPr>
                <w:b/>
                <w:sz w:val="24"/>
              </w:rPr>
              <w:t>-2035年）》相符性</w:t>
            </w:r>
          </w:p>
          <w:p w14:paraId="12956C01">
            <w:pPr>
              <w:pStyle w:val="6"/>
              <w:adjustRightInd/>
              <w:snapToGrid/>
              <w:spacing w:line="480" w:lineRule="exact"/>
              <w:ind w:firstLine="480"/>
              <w:rPr>
                <w:color w:val="auto"/>
                <w:sz w:val="24"/>
              </w:rPr>
            </w:pPr>
            <w:r>
              <w:rPr>
                <w:color w:val="auto"/>
                <w:sz w:val="24"/>
              </w:rPr>
              <w:t>（1）规划相关内容</w:t>
            </w:r>
          </w:p>
          <w:p w14:paraId="095D188A">
            <w:pPr>
              <w:pStyle w:val="3"/>
              <w:numPr>
                <w:ilvl w:val="0"/>
                <w:numId w:val="0"/>
              </w:numPr>
              <w:spacing w:line="480" w:lineRule="exact"/>
              <w:ind w:firstLine="480" w:firstLineChars="200"/>
              <w:rPr>
                <w:bCs/>
                <w:sz w:val="24"/>
              </w:rPr>
            </w:pPr>
            <w:r>
              <w:rPr>
                <w:bCs/>
                <w:sz w:val="24"/>
              </w:rPr>
              <w:t>根据《常州市</w:t>
            </w:r>
            <w:r>
              <w:rPr>
                <w:rFonts w:hint="eastAsia"/>
                <w:bCs/>
                <w:sz w:val="24"/>
                <w:lang w:val="en-US" w:eastAsia="zh-CN"/>
              </w:rPr>
              <w:t>金坛区</w:t>
            </w:r>
            <w:r>
              <w:rPr>
                <w:bCs/>
                <w:sz w:val="24"/>
              </w:rPr>
              <w:t>国土空间总体规划（202</w:t>
            </w:r>
            <w:r>
              <w:rPr>
                <w:rFonts w:hint="eastAsia"/>
                <w:bCs/>
                <w:sz w:val="24"/>
                <w:lang w:val="en-US" w:eastAsia="zh-CN"/>
              </w:rPr>
              <w:t>1</w:t>
            </w:r>
            <w:r>
              <w:rPr>
                <w:bCs/>
                <w:sz w:val="24"/>
              </w:rPr>
              <w:t>-2035年）》中相关内容：</w:t>
            </w:r>
          </w:p>
          <w:p w14:paraId="3BEAA60A">
            <w:pPr>
              <w:pStyle w:val="3"/>
              <w:numPr>
                <w:ilvl w:val="0"/>
                <w:numId w:val="0"/>
              </w:numPr>
              <w:spacing w:line="480" w:lineRule="exact"/>
              <w:ind w:firstLine="480" w:firstLineChars="200"/>
              <w:rPr>
                <w:rFonts w:hint="eastAsia"/>
                <w:bCs/>
                <w:sz w:val="24"/>
              </w:rPr>
            </w:pPr>
            <w:r>
              <w:rPr>
                <w:rFonts w:hint="eastAsia"/>
                <w:bCs/>
                <w:sz w:val="24"/>
              </w:rPr>
              <w:t>主动融入常州“一主一区、一极三轴”市域空间格局，立足金坛区国土空间资源禀赋和现状开发格局，统筹农业、生态、城镇空间布局，构建“两轴两带，双心四片”的国土空间总体格局。</w:t>
            </w:r>
          </w:p>
          <w:p w14:paraId="3E9D9287">
            <w:pPr>
              <w:pStyle w:val="3"/>
              <w:numPr>
                <w:ilvl w:val="0"/>
                <w:numId w:val="0"/>
              </w:numPr>
              <w:spacing w:line="480" w:lineRule="exact"/>
              <w:ind w:firstLine="480" w:firstLineChars="200"/>
              <w:rPr>
                <w:rFonts w:hint="eastAsia"/>
                <w:bCs/>
                <w:sz w:val="24"/>
              </w:rPr>
            </w:pPr>
            <w:r>
              <w:rPr>
                <w:rFonts w:hint="eastAsia"/>
                <w:bCs/>
                <w:sz w:val="24"/>
                <w:lang w:eastAsia="zh-CN"/>
              </w:rPr>
              <w:t>“</w:t>
            </w:r>
            <w:r>
              <w:rPr>
                <w:rFonts w:hint="eastAsia"/>
                <w:bCs/>
                <w:sz w:val="24"/>
                <w:lang w:val="en-US" w:eastAsia="zh-CN"/>
              </w:rPr>
              <w:t>两轴</w:t>
            </w:r>
            <w:r>
              <w:rPr>
                <w:rFonts w:hint="eastAsia"/>
                <w:bCs/>
                <w:sz w:val="24"/>
                <w:lang w:eastAsia="zh-CN"/>
              </w:rPr>
              <w:t>”</w:t>
            </w:r>
            <w:r>
              <w:rPr>
                <w:rFonts w:hint="eastAsia"/>
                <w:bCs/>
                <w:sz w:val="24"/>
              </w:rPr>
              <w:t>为常金同城化发展轴和丹金溧联动发展轴，串联金坛区主要城镇开发空间。常金同城化发展轴衔接落实上海大都市圈空间协同规划南沿江发展走廊和常州市国土空间总体规划东西向长三角中轴，重点深化常金同城化发展，强化金坛城区、朱林镇、薛埠镇以及茅山旅游度假区联动发展，是支撑金坛区城镇发展、产业集聚的核心空间。丹金溧联动发展轴是推进丹金溧一体化的重要抓手，着力推进交通设施建设、强化丹金溧产业协同、旅游联动的基础支撑。</w:t>
            </w:r>
          </w:p>
          <w:p w14:paraId="6D4488A7">
            <w:pPr>
              <w:pStyle w:val="3"/>
              <w:numPr>
                <w:ilvl w:val="0"/>
                <w:numId w:val="0"/>
              </w:numPr>
              <w:spacing w:line="480" w:lineRule="exact"/>
              <w:ind w:firstLine="480" w:firstLineChars="200"/>
              <w:rPr>
                <w:rFonts w:hint="eastAsia"/>
                <w:bCs/>
                <w:sz w:val="24"/>
              </w:rPr>
            </w:pPr>
            <w:r>
              <w:rPr>
                <w:rFonts w:hint="eastAsia"/>
                <w:bCs/>
                <w:sz w:val="24"/>
              </w:rPr>
              <w:t>“两带”为茅山生态旅游带和长荡湖生态旅游带，充分发挥山水生态资源的休闲旅游功能。茅山生态旅游带加强与句容茅山、溧阳瓦屋山旅游协同发展，依托优越的自然山水和文化资源，推进旅游度假区、旅游景区、美丽乡村建设，打造金坛西部以生态游憩、文化体验、休闲度假为主导功能的旅游发展带。长荡湖生态旅游带依托独一无二的湖泊资源，推进环湖风景道建设，强化环湖旅游资源整合，建设环湖运动公园，打造集生态、旅游、科教于一体的综合旅游发展带。</w:t>
            </w:r>
          </w:p>
          <w:p w14:paraId="2065D310">
            <w:pPr>
              <w:pStyle w:val="6"/>
              <w:adjustRightInd/>
              <w:snapToGrid/>
              <w:spacing w:line="480" w:lineRule="exact"/>
              <w:ind w:firstLine="480"/>
              <w:rPr>
                <w:rFonts w:hint="eastAsia"/>
                <w:color w:val="auto"/>
                <w:sz w:val="24"/>
              </w:rPr>
            </w:pPr>
            <w:r>
              <w:rPr>
                <w:rFonts w:hint="eastAsia"/>
                <w:color w:val="auto"/>
                <w:sz w:val="24"/>
              </w:rPr>
              <w:t>“双心”为金坛区主中心和薛埠西部副中心。金坛区主中心是全区综合服务中心，重点集聚公共服务、文化体育、商业商务、文旅休闲等高等级、高品质城市功能设施。薛埠西部副中心是服务金坛西部地区的片区中心，重点突出旅游服务功能。</w:t>
            </w:r>
          </w:p>
          <w:p w14:paraId="66EDA514">
            <w:pPr>
              <w:pStyle w:val="6"/>
              <w:adjustRightInd/>
              <w:snapToGrid/>
              <w:spacing w:line="480" w:lineRule="exact"/>
              <w:ind w:firstLine="480"/>
              <w:rPr>
                <w:rFonts w:hint="eastAsia"/>
                <w:color w:val="auto"/>
                <w:sz w:val="24"/>
              </w:rPr>
            </w:pPr>
            <w:r>
              <w:rPr>
                <w:rFonts w:hint="eastAsia"/>
                <w:color w:val="auto"/>
                <w:sz w:val="24"/>
              </w:rPr>
              <w:t>“四片”为城市发展片区、茅山旅游片区、水乡圩田片区、滨湖发展片区，实施差异化空间引导政策。城市发展片区为金坛区中心城区，是全区城镇化重点区域，着力完善城市功能。茅山旅游片区以茅山优美的自然山水生态环境为基础，打造集休闲游乐、文化商务、康健养生、身心净修、山野运动、田园观光于一体的特色养生休闲度假目的地。水乡圩田片区是粮食主产区，加强耕地和永久基本农田保护，稳定粮食生产能力，适度推进城镇建设。滨湖发展片区打造以休闲观光、湖鲜美食、禅修养生、生态湿地、滨湖度假、宗教文化、特色小镇为主题的长荡湖滨水休闲度假区，创建成为国家级旅游度假区。</w:t>
            </w:r>
          </w:p>
          <w:p w14:paraId="071F846B">
            <w:pPr>
              <w:pStyle w:val="6"/>
              <w:adjustRightInd/>
              <w:snapToGrid/>
              <w:spacing w:line="480" w:lineRule="exact"/>
              <w:ind w:firstLine="480"/>
              <w:rPr>
                <w:color w:val="auto"/>
                <w:sz w:val="24"/>
              </w:rPr>
            </w:pPr>
            <w:r>
              <w:rPr>
                <w:rFonts w:hint="eastAsia"/>
                <w:color w:val="auto"/>
                <w:sz w:val="24"/>
              </w:rPr>
              <w:t>“</w:t>
            </w:r>
            <w:r>
              <w:rPr>
                <w:color w:val="auto"/>
                <w:sz w:val="24"/>
              </w:rPr>
              <w:t>三区三线</w:t>
            </w:r>
            <w:r>
              <w:rPr>
                <w:rFonts w:hint="eastAsia"/>
                <w:color w:val="auto"/>
                <w:sz w:val="24"/>
              </w:rPr>
              <w:t>”</w:t>
            </w:r>
            <w:r>
              <w:rPr>
                <w:color w:val="auto"/>
                <w:sz w:val="24"/>
              </w:rPr>
              <w:t>：根据城镇空间、农业空间、生态空间三种类型的空间，分别对应划定的城镇开发边界、永久基本农田保护红线、生态保护红线三条控制线。</w:t>
            </w:r>
          </w:p>
          <w:p w14:paraId="5F27A3E8">
            <w:pPr>
              <w:pStyle w:val="6"/>
              <w:adjustRightInd/>
              <w:snapToGrid/>
              <w:spacing w:line="480" w:lineRule="exact"/>
              <w:ind w:firstLine="480"/>
              <w:rPr>
                <w:rFonts w:hint="eastAsia" w:eastAsia="宋体"/>
                <w:color w:val="auto"/>
                <w:sz w:val="24"/>
                <w:lang w:eastAsia="zh-CN"/>
              </w:rPr>
            </w:pPr>
            <w:r>
              <w:rPr>
                <w:rFonts w:hint="eastAsia"/>
                <w:color w:val="auto"/>
                <w:sz w:val="24"/>
                <w:lang w:val="en-US" w:eastAsia="zh-CN"/>
              </w:rPr>
              <w:t>耕地和</w:t>
            </w:r>
            <w:r>
              <w:rPr>
                <w:color w:val="auto"/>
                <w:sz w:val="24"/>
              </w:rPr>
              <w:t>永久基本农田</w:t>
            </w:r>
            <w:r>
              <w:rPr>
                <w:rFonts w:hint="eastAsia"/>
                <w:color w:val="auto"/>
                <w:sz w:val="24"/>
                <w:lang w:eastAsia="zh-CN"/>
              </w:rPr>
              <w:t>：</w:t>
            </w:r>
            <w:r>
              <w:rPr>
                <w:rFonts w:hint="eastAsia"/>
                <w:color w:val="auto"/>
                <w:sz w:val="24"/>
              </w:rPr>
              <w:t>落实市级下达的耕地保护任务，耕地保有量不低于209.1800平方千米（31.3770万亩），全区实际划定耕地保有量209.1926平方千米（31.3789万亩）。市级下达金坛区永久基本农田保护任192.0933平方千米（28.8140万亩），全区划定永久基本农田188.4269平方千米（28.2640万亩），主要分布在直溪镇、金城镇、薛埠镇、指前镇等区域，由常州市统筹与盐城市签署协议易地调剂3.6667平方千米（0.5500万亩）</w:t>
            </w:r>
            <w:r>
              <w:rPr>
                <w:rFonts w:hint="eastAsia"/>
                <w:color w:val="auto"/>
                <w:sz w:val="24"/>
                <w:lang w:eastAsia="zh-CN"/>
              </w:rPr>
              <w:t>。</w:t>
            </w:r>
          </w:p>
          <w:p w14:paraId="0EC7ED7A">
            <w:pPr>
              <w:pStyle w:val="6"/>
              <w:adjustRightInd/>
              <w:snapToGrid/>
              <w:spacing w:line="480" w:lineRule="exact"/>
              <w:ind w:firstLine="480"/>
              <w:rPr>
                <w:color w:val="auto"/>
                <w:sz w:val="24"/>
              </w:rPr>
            </w:pPr>
            <w:r>
              <w:rPr>
                <w:color w:val="auto"/>
                <w:sz w:val="24"/>
              </w:rPr>
              <w:t>生态保护红线：</w:t>
            </w:r>
            <w:r>
              <w:rPr>
                <w:rFonts w:hint="eastAsia"/>
                <w:color w:val="auto"/>
                <w:sz w:val="24"/>
              </w:rPr>
              <w:t>金坛区划定2处生态保护红线，总面积98.6663平方千米，占全区国土面积的10.11%。包括江苏常州金坛茅东省级森林公园与江苏金坛长荡湖国家湿地公园。生态保护红线内禁止开发性、生产性建设活动，在符合法律法规的前提下，仅允许对生态功能不造成破坏的有限人为活动。</w:t>
            </w:r>
          </w:p>
          <w:p w14:paraId="26EE0DE8">
            <w:pPr>
              <w:pStyle w:val="6"/>
              <w:adjustRightInd/>
              <w:snapToGrid/>
              <w:spacing w:line="480" w:lineRule="exact"/>
              <w:ind w:firstLine="480"/>
              <w:rPr>
                <w:color w:val="auto"/>
                <w:sz w:val="24"/>
              </w:rPr>
            </w:pPr>
            <w:r>
              <w:rPr>
                <w:color w:val="auto"/>
                <w:sz w:val="24"/>
              </w:rPr>
              <w:t>城镇开发边界：</w:t>
            </w:r>
            <w:r>
              <w:rPr>
                <w:rFonts w:hint="eastAsia"/>
                <w:color w:val="auto"/>
                <w:sz w:val="24"/>
              </w:rPr>
              <w:t>金坛区划定城镇开发边界 115.6774 平方千米，占全区国土面积的 11.86%。城镇开发边界扩展倍数为 1.3636。城镇开发边界划定及调整应避让地质灾害极高风险区和高风险区等不适宜城镇建设区域，确实无法避让的应当充分论证并说明理由，明确减缓不良影响的措施。逐步引导城镇建设用地向城镇开发边界内集中，促进城镇集约集聚建设，提高土地节约集约利用水平。城镇开发边界外不得进行城镇集中建设，不得规划建设各类开发区和产业园区，不得规划城镇居住用地。</w:t>
            </w:r>
          </w:p>
          <w:p w14:paraId="159833AF">
            <w:pPr>
              <w:pStyle w:val="6"/>
              <w:adjustRightInd/>
              <w:snapToGrid/>
              <w:spacing w:line="480" w:lineRule="exact"/>
              <w:ind w:firstLine="480"/>
              <w:rPr>
                <w:color w:val="auto"/>
                <w:sz w:val="24"/>
              </w:rPr>
            </w:pPr>
            <w:r>
              <w:rPr>
                <w:color w:val="auto"/>
                <w:sz w:val="24"/>
              </w:rPr>
              <w:t>（2）相符性分析</w:t>
            </w:r>
          </w:p>
          <w:p w14:paraId="0B036F1C">
            <w:pPr>
              <w:pStyle w:val="6"/>
              <w:adjustRightInd/>
              <w:snapToGrid/>
              <w:spacing w:line="480" w:lineRule="exact"/>
              <w:ind w:firstLine="480"/>
              <w:rPr>
                <w:b/>
                <w:bCs/>
                <w:color w:val="auto"/>
                <w:sz w:val="24"/>
              </w:rPr>
            </w:pPr>
            <w:r>
              <w:rPr>
                <w:rFonts w:hint="eastAsia"/>
                <w:bCs/>
                <w:color w:val="auto"/>
                <w:sz w:val="24"/>
              </w:rPr>
              <w:t>本项目位于常州市江苏省常州市金坛区朱林镇永顺路2号，对照常州市国土空间规划</w:t>
            </w:r>
            <w:r>
              <w:rPr>
                <w:bCs/>
                <w:color w:val="auto"/>
                <w:sz w:val="24"/>
              </w:rPr>
              <w:t>，本项目</w:t>
            </w:r>
            <w:r>
              <w:rPr>
                <w:rFonts w:hint="eastAsia"/>
                <w:bCs/>
                <w:color w:val="auto"/>
                <w:sz w:val="24"/>
                <w:lang w:val="en-US" w:eastAsia="zh-CN"/>
              </w:rPr>
              <w:t>属于</w:t>
            </w:r>
            <w:r>
              <w:rPr>
                <w:rFonts w:hint="eastAsia"/>
                <w:bCs/>
                <w:color w:val="auto"/>
                <w:sz w:val="24"/>
              </w:rPr>
              <w:t>建设用地，本项目国土空间规划位置</w:t>
            </w:r>
            <w:r>
              <w:rPr>
                <w:bCs/>
                <w:color w:val="auto"/>
                <w:sz w:val="24"/>
              </w:rPr>
              <w:t>详见</w:t>
            </w:r>
            <w:r>
              <w:rPr>
                <w:b/>
                <w:color w:val="auto"/>
                <w:sz w:val="24"/>
              </w:rPr>
              <w:t>附图</w:t>
            </w:r>
            <w:r>
              <w:rPr>
                <w:bCs/>
                <w:color w:val="auto"/>
                <w:sz w:val="24"/>
              </w:rPr>
              <w:t>。</w:t>
            </w:r>
          </w:p>
          <w:p w14:paraId="1DCA30EF">
            <w:pPr>
              <w:pStyle w:val="3"/>
              <w:numPr>
                <w:ilvl w:val="0"/>
                <w:numId w:val="0"/>
              </w:numPr>
              <w:spacing w:line="480" w:lineRule="exact"/>
              <w:ind w:firstLine="482" w:firstLineChars="200"/>
              <w:rPr>
                <w:sz w:val="24"/>
              </w:rPr>
            </w:pPr>
            <w:r>
              <w:rPr>
                <w:b/>
                <w:bCs/>
                <w:sz w:val="24"/>
              </w:rPr>
              <w:t>综上所述，本项目与地方规划相符，不属于限制、淘汰或禁止类项目。本项目产品、生产规模、生产工艺、污染防治措施等符合当前国家和地方产业政策、土地使用政策以及相关环保政策。</w:t>
            </w:r>
          </w:p>
          <w:p w14:paraId="70C3F74B">
            <w:pPr>
              <w:pStyle w:val="3"/>
              <w:numPr>
                <w:ilvl w:val="0"/>
                <w:numId w:val="0"/>
              </w:numPr>
              <w:spacing w:line="480" w:lineRule="atLeast"/>
              <w:rPr>
                <w:sz w:val="24"/>
              </w:rPr>
            </w:pPr>
          </w:p>
          <w:p w14:paraId="42F9A093">
            <w:pPr>
              <w:pStyle w:val="3"/>
              <w:numPr>
                <w:ilvl w:val="0"/>
                <w:numId w:val="0"/>
              </w:numPr>
              <w:spacing w:line="480" w:lineRule="exact"/>
              <w:rPr>
                <w:color w:val="FF0000"/>
                <w:sz w:val="24"/>
              </w:rPr>
            </w:pPr>
          </w:p>
        </w:tc>
      </w:tr>
    </w:tbl>
    <w:p w14:paraId="6749020B">
      <w:pPr>
        <w:pStyle w:val="3"/>
        <w:numPr>
          <w:ilvl w:val="0"/>
          <w:numId w:val="0"/>
        </w:numPr>
        <w:rPr>
          <w:color w:val="FF0000"/>
        </w:rPr>
        <w:sectPr>
          <w:pgSz w:w="11906" w:h="16838"/>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14:paraId="76E0570E">
      <w:pPr>
        <w:pStyle w:val="23"/>
        <w:spacing w:before="0" w:beforeAutospacing="0" w:after="0" w:afterAutospacing="0"/>
        <w:jc w:val="center"/>
        <w:outlineLvl w:val="0"/>
        <w:rPr>
          <w:rFonts w:ascii="Times New Roman" w:hAnsi="Times New Roman"/>
          <w:b/>
          <w:bCs/>
          <w:snapToGrid w:val="0"/>
          <w:sz w:val="30"/>
          <w:szCs w:val="30"/>
        </w:rPr>
      </w:pPr>
      <w:r>
        <w:rPr>
          <w:rFonts w:ascii="Times New Roman" w:hAnsi="Times New Roman"/>
          <w:b/>
          <w:bCs/>
          <w:snapToGrid w:val="0"/>
          <w:sz w:val="30"/>
          <w:szCs w:val="30"/>
        </w:rPr>
        <w:t>二、建设项目工程分析</w:t>
      </w:r>
    </w:p>
    <w:tbl>
      <w:tblPr>
        <w:tblStyle w:val="27"/>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7"/>
        <w:gridCol w:w="9231"/>
      </w:tblGrid>
      <w:tr w14:paraId="4D2C5C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dxa"/>
            <w:tcBorders>
              <w:tl2br w:val="nil"/>
              <w:tr2bl w:val="nil"/>
            </w:tcBorders>
            <w:vAlign w:val="center"/>
          </w:tcPr>
          <w:p w14:paraId="1778A5FB">
            <w:pPr>
              <w:pStyle w:val="23"/>
              <w:adjustRightInd w:val="0"/>
              <w:snapToGrid w:val="0"/>
              <w:spacing w:before="0" w:beforeAutospacing="0" w:after="0" w:afterAutospacing="0"/>
              <w:jc w:val="center"/>
              <w:rPr>
                <w:rFonts w:ascii="Times New Roman" w:hAnsi="Times New Roman"/>
                <w:color w:val="FF0000"/>
                <w:sz w:val="21"/>
                <w:szCs w:val="21"/>
              </w:rPr>
            </w:pPr>
            <w:r>
              <w:rPr>
                <w:rFonts w:ascii="Times New Roman" w:hAnsi="Times New Roman"/>
                <w:b/>
                <w:bCs/>
                <w:szCs w:val="24"/>
              </w:rPr>
              <w:t>建设内容</w:t>
            </w:r>
          </w:p>
        </w:tc>
        <w:tc>
          <w:tcPr>
            <w:tcW w:w="8605" w:type="dxa"/>
            <w:tcBorders>
              <w:tl2br w:val="nil"/>
              <w:tr2bl w:val="nil"/>
            </w:tcBorders>
          </w:tcPr>
          <w:p w14:paraId="0A844542">
            <w:pPr>
              <w:spacing w:line="480" w:lineRule="exact"/>
              <w:ind w:firstLine="482" w:firstLineChars="200"/>
              <w:rPr>
                <w:b/>
                <w:sz w:val="24"/>
              </w:rPr>
            </w:pPr>
            <w:r>
              <w:rPr>
                <w:b/>
                <w:sz w:val="24"/>
              </w:rPr>
              <w:t>1</w:t>
            </w:r>
            <w:r>
              <w:rPr>
                <w:rFonts w:hint="eastAsia"/>
                <w:b/>
                <w:sz w:val="24"/>
              </w:rPr>
              <w:t>、</w:t>
            </w:r>
            <w:r>
              <w:rPr>
                <w:b/>
                <w:sz w:val="24"/>
              </w:rPr>
              <w:t>项目概况</w:t>
            </w:r>
          </w:p>
          <w:p w14:paraId="0F61BBDD">
            <w:pPr>
              <w:spacing w:line="480" w:lineRule="exact"/>
              <w:ind w:firstLine="480" w:firstLineChars="200"/>
              <w:rPr>
                <w:bCs/>
                <w:sz w:val="24"/>
              </w:rPr>
            </w:pPr>
            <w:r>
              <w:rPr>
                <w:rFonts w:hint="eastAsia"/>
                <w:sz w:val="24"/>
              </w:rPr>
              <w:t>登丰体育(常州)有限公司成立于2025年01月16日，经营范围包括：</w:t>
            </w:r>
            <w:r>
              <w:rPr>
                <w:bCs/>
                <w:sz w:val="24"/>
              </w:rPr>
              <w:t>一般项目：体育用品及器材制造；体育场地设施工程施工；体育用品及器材零售；体育用品及器材批发；塑料制品制造；橡胶制品制造；新材料技术研发；塑料制品销售；橡胶制品销售；地板销售；工程和技术研究和试验发展；技术服务、技术开发、技术咨询、技术交流、技术转让、技术推广（除依法须经批准的项目外，凭营业执照依法自主开展经营活动）</w:t>
            </w:r>
            <w:r>
              <w:rPr>
                <w:rFonts w:hint="eastAsia"/>
                <w:bCs/>
                <w:sz w:val="24"/>
              </w:rPr>
              <w:t>。</w:t>
            </w:r>
            <w:r>
              <w:rPr>
                <w:bCs/>
                <w:sz w:val="24"/>
              </w:rPr>
              <w:t>项目地理位置图详见附图1。</w:t>
            </w:r>
          </w:p>
          <w:p w14:paraId="3370BA51">
            <w:pPr>
              <w:spacing w:line="480" w:lineRule="exact"/>
              <w:ind w:firstLine="480" w:firstLineChars="200"/>
              <w:rPr>
                <w:sz w:val="24"/>
              </w:rPr>
            </w:pPr>
            <w:r>
              <w:rPr>
                <w:rFonts w:hint="eastAsia"/>
                <w:sz w:val="24"/>
              </w:rPr>
              <w:t>企业拟投资3500万元，租用江苏科奇新材料科技有限公司厂房2000平方米，对厂房进行装修改造，购置簇绒机、混合机等设备，项目建成后，可形成年产人造草坪1000万平方米的生产能力。</w:t>
            </w:r>
          </w:p>
          <w:p w14:paraId="06A895A3">
            <w:pPr>
              <w:spacing w:line="480" w:lineRule="exact"/>
              <w:ind w:firstLine="480" w:firstLineChars="200"/>
              <w:rPr>
                <w:sz w:val="24"/>
              </w:rPr>
            </w:pPr>
            <w:r>
              <w:rPr>
                <w:rFonts w:hint="eastAsia"/>
                <w:sz w:val="24"/>
              </w:rPr>
              <w:t>本项目于2025年2月25日取得了</w:t>
            </w:r>
            <w:r>
              <w:rPr>
                <w:rFonts w:hint="eastAsia"/>
                <w:sz w:val="24"/>
                <w:lang w:val="en-US" w:eastAsia="zh-CN"/>
              </w:rPr>
              <w:t>常州市金坛区发展和改革局</w:t>
            </w:r>
            <w:r>
              <w:rPr>
                <w:rFonts w:hint="eastAsia"/>
                <w:sz w:val="24"/>
              </w:rPr>
              <w:t>出具的企业投资项目备案证（备案证号：坛发改备(2025)84号，项目代码：2502-320413-04-01-615281）（见附件2）。</w:t>
            </w:r>
          </w:p>
          <w:p w14:paraId="0C814A63">
            <w:pPr>
              <w:spacing w:line="480" w:lineRule="exact"/>
              <w:ind w:firstLine="480" w:firstLineChars="200"/>
              <w:rPr>
                <w:bCs/>
                <w:sz w:val="24"/>
              </w:rPr>
            </w:pPr>
            <w:r>
              <w:rPr>
                <w:bCs/>
                <w:sz w:val="24"/>
              </w:rPr>
              <w:t>依据《中华人民共和国环境影响评价法》和国务院第682号令《建设项目环境保护管理条例》（2017年修订）及《建设项目环境影响评价分类管理名录》（2021年版）的有关规定，本项目属于</w:t>
            </w:r>
            <w:r>
              <w:rPr>
                <w:rFonts w:hint="eastAsia"/>
                <w:bCs/>
                <w:sz w:val="24"/>
              </w:rPr>
              <w:t>“</w:t>
            </w:r>
            <w:r>
              <w:rPr>
                <w:rFonts w:hint="eastAsia"/>
                <w:sz w:val="24"/>
              </w:rPr>
              <w:t>二十六</w:t>
            </w:r>
            <w:r>
              <w:rPr>
                <w:sz w:val="24"/>
              </w:rPr>
              <w:t>、</w:t>
            </w:r>
            <w:r>
              <w:rPr>
                <w:rFonts w:hint="eastAsia"/>
                <w:sz w:val="24"/>
              </w:rPr>
              <w:t>橡胶和塑料制品业29</w:t>
            </w:r>
            <w:r>
              <w:rPr>
                <w:sz w:val="24"/>
              </w:rPr>
              <w:t>－</w:t>
            </w:r>
            <w:r>
              <w:rPr>
                <w:rFonts w:hint="eastAsia"/>
                <w:sz w:val="24"/>
              </w:rPr>
              <w:t>53塑料制品业292-其他（年用非溶剂型低VOCs含量涂料10吨以下的除外）</w:t>
            </w:r>
            <w:r>
              <w:rPr>
                <w:rFonts w:hint="eastAsia"/>
                <w:bCs/>
                <w:sz w:val="24"/>
              </w:rPr>
              <w:t>”</w:t>
            </w:r>
            <w:r>
              <w:rPr>
                <w:bCs/>
                <w:sz w:val="24"/>
              </w:rPr>
              <w:t>，本项目应编制环境影响报告表，为此，</w:t>
            </w:r>
            <w:r>
              <w:rPr>
                <w:rFonts w:hint="eastAsia"/>
                <w:sz w:val="24"/>
              </w:rPr>
              <w:t>登丰体育(常州)有限公司</w:t>
            </w:r>
            <w:r>
              <w:rPr>
                <w:bCs/>
                <w:sz w:val="24"/>
              </w:rPr>
              <w:t>委托</w:t>
            </w:r>
            <w:bookmarkStart w:id="8" w:name="_GoBack"/>
            <w:r>
              <w:rPr>
                <w:rFonts w:hint="eastAsia" w:ascii="宋体" w:hAnsi="宋体" w:cs="宋体"/>
                <w:color w:val="333333"/>
                <w:sz w:val="24"/>
                <w:shd w:val="clear" w:color="auto" w:fill="FFFFFF"/>
              </w:rPr>
              <w:t>常州市凡信环保科技有限公司</w:t>
            </w:r>
            <w:bookmarkEnd w:id="8"/>
            <w:r>
              <w:rPr>
                <w:rFonts w:hint="eastAsia"/>
                <w:bCs/>
                <w:sz w:val="24"/>
              </w:rPr>
              <w:t>第三方</w:t>
            </w:r>
            <w:r>
              <w:rPr>
                <w:bCs/>
                <w:sz w:val="24"/>
              </w:rPr>
              <w:t>承担该项目的环境影响评价工作。环评公司接受委托后，认真研究了该项目的有关材料，并进行实地踏勘，调查建设项目所在地的自然环境状况、相关规划和有关技术资料，经工程分析、环境影响识别和影响分析，根据国家相关的环保法律法规和相应的标准，编制了本环境影响报告表。</w:t>
            </w:r>
          </w:p>
          <w:p w14:paraId="570F65F8">
            <w:pPr>
              <w:spacing w:line="480" w:lineRule="exact"/>
              <w:ind w:firstLine="482" w:firstLineChars="200"/>
              <w:rPr>
                <w:b/>
                <w:bCs/>
                <w:sz w:val="24"/>
              </w:rPr>
            </w:pPr>
            <w:r>
              <w:rPr>
                <w:b/>
                <w:bCs/>
                <w:sz w:val="24"/>
              </w:rPr>
              <w:t>2</w:t>
            </w:r>
            <w:r>
              <w:rPr>
                <w:rFonts w:hint="eastAsia"/>
                <w:b/>
                <w:bCs/>
                <w:sz w:val="24"/>
              </w:rPr>
              <w:t>、</w:t>
            </w:r>
            <w:r>
              <w:rPr>
                <w:b/>
                <w:bCs/>
                <w:sz w:val="24"/>
              </w:rPr>
              <w:t>主要产品及产能</w:t>
            </w:r>
          </w:p>
          <w:p w14:paraId="04C7C92B">
            <w:pPr>
              <w:spacing w:line="480" w:lineRule="exact"/>
              <w:ind w:firstLine="480" w:firstLineChars="200"/>
              <w:rPr>
                <w:sz w:val="24"/>
              </w:rPr>
            </w:pPr>
            <w:r>
              <w:rPr>
                <w:sz w:val="24"/>
              </w:rPr>
              <w:t>项目产品方案见表2-1。</w:t>
            </w:r>
          </w:p>
          <w:p w14:paraId="7F7D2393">
            <w:pPr>
              <w:pStyle w:val="60"/>
              <w:spacing w:line="480" w:lineRule="exact"/>
              <w:rPr>
                <w:sz w:val="24"/>
              </w:rPr>
            </w:pPr>
            <w:r>
              <w:rPr>
                <w:sz w:val="24"/>
              </w:rPr>
              <w:t>表2-1  本项目产品方案</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460"/>
              <w:gridCol w:w="3263"/>
              <w:gridCol w:w="2048"/>
              <w:gridCol w:w="1451"/>
            </w:tblGrid>
            <w:tr w14:paraId="4965A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Align w:val="center"/>
                </w:tcPr>
                <w:p w14:paraId="7ECABE00">
                  <w:pPr>
                    <w:pStyle w:val="60"/>
                    <w:rPr>
                      <w:szCs w:val="21"/>
                    </w:rPr>
                  </w:pPr>
                  <w:r>
                    <w:rPr>
                      <w:szCs w:val="21"/>
                    </w:rPr>
                    <w:t>序号</w:t>
                  </w:r>
                </w:p>
              </w:tc>
              <w:tc>
                <w:tcPr>
                  <w:tcW w:w="810" w:type="pct"/>
                  <w:vAlign w:val="center"/>
                </w:tcPr>
                <w:p w14:paraId="42E81317">
                  <w:pPr>
                    <w:pStyle w:val="60"/>
                    <w:rPr>
                      <w:szCs w:val="21"/>
                    </w:rPr>
                  </w:pPr>
                  <w:r>
                    <w:rPr>
                      <w:szCs w:val="21"/>
                    </w:rPr>
                    <w:t>产品名称</w:t>
                  </w:r>
                </w:p>
              </w:tc>
              <w:tc>
                <w:tcPr>
                  <w:tcW w:w="1810" w:type="pct"/>
                  <w:vAlign w:val="center"/>
                </w:tcPr>
                <w:p w14:paraId="5C313464">
                  <w:pPr>
                    <w:pStyle w:val="60"/>
                    <w:rPr>
                      <w:szCs w:val="21"/>
                    </w:rPr>
                  </w:pPr>
                  <w:r>
                    <w:rPr>
                      <w:rFonts w:hint="eastAsia"/>
                      <w:szCs w:val="21"/>
                    </w:rPr>
                    <w:t>规格型号</w:t>
                  </w:r>
                </w:p>
              </w:tc>
              <w:tc>
                <w:tcPr>
                  <w:tcW w:w="1136" w:type="pct"/>
                  <w:vAlign w:val="center"/>
                </w:tcPr>
                <w:p w14:paraId="66B3D4C4">
                  <w:pPr>
                    <w:pStyle w:val="60"/>
                    <w:rPr>
                      <w:szCs w:val="21"/>
                    </w:rPr>
                  </w:pPr>
                  <w:r>
                    <w:rPr>
                      <w:szCs w:val="21"/>
                    </w:rPr>
                    <w:t>设计能力</w:t>
                  </w:r>
                </w:p>
                <w:p w14:paraId="1BF64763">
                  <w:pPr>
                    <w:pStyle w:val="60"/>
                    <w:rPr>
                      <w:szCs w:val="21"/>
                    </w:rPr>
                  </w:pPr>
                  <w:r>
                    <w:rPr>
                      <w:szCs w:val="21"/>
                    </w:rPr>
                    <w:t>（</w:t>
                  </w:r>
                  <w:r>
                    <w:rPr>
                      <w:rFonts w:hint="eastAsia"/>
                      <w:szCs w:val="21"/>
                    </w:rPr>
                    <w:t>万平方米</w:t>
                  </w:r>
                  <w:r>
                    <w:rPr>
                      <w:szCs w:val="21"/>
                    </w:rPr>
                    <w:t>/年）</w:t>
                  </w:r>
                </w:p>
              </w:tc>
              <w:tc>
                <w:tcPr>
                  <w:tcW w:w="804" w:type="pct"/>
                  <w:vAlign w:val="center"/>
                </w:tcPr>
                <w:p w14:paraId="521D4ED2">
                  <w:pPr>
                    <w:pStyle w:val="60"/>
                    <w:rPr>
                      <w:szCs w:val="21"/>
                    </w:rPr>
                  </w:pPr>
                  <w:r>
                    <w:rPr>
                      <w:szCs w:val="21"/>
                    </w:rPr>
                    <w:t>年运行时数</w:t>
                  </w:r>
                </w:p>
              </w:tc>
            </w:tr>
            <w:tr w14:paraId="774F5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Align w:val="center"/>
                </w:tcPr>
                <w:p w14:paraId="5CE140CC">
                  <w:pPr>
                    <w:pStyle w:val="60"/>
                    <w:rPr>
                      <w:b w:val="0"/>
                      <w:bCs/>
                      <w:szCs w:val="21"/>
                    </w:rPr>
                  </w:pPr>
                  <w:r>
                    <w:rPr>
                      <w:b w:val="0"/>
                      <w:bCs/>
                      <w:szCs w:val="21"/>
                    </w:rPr>
                    <w:t>1</w:t>
                  </w:r>
                </w:p>
              </w:tc>
              <w:tc>
                <w:tcPr>
                  <w:tcW w:w="810" w:type="pct"/>
                  <w:vAlign w:val="center"/>
                </w:tcPr>
                <w:p w14:paraId="487FAA99">
                  <w:pPr>
                    <w:jc w:val="center"/>
                    <w:rPr>
                      <w:szCs w:val="21"/>
                    </w:rPr>
                  </w:pPr>
                  <w:r>
                    <w:rPr>
                      <w:rFonts w:hint="eastAsia"/>
                      <w:szCs w:val="21"/>
                    </w:rPr>
                    <w:t>人造草坪</w:t>
                  </w:r>
                </w:p>
              </w:tc>
              <w:tc>
                <w:tcPr>
                  <w:tcW w:w="1810" w:type="pct"/>
                  <w:vAlign w:val="center"/>
                </w:tcPr>
                <w:p w14:paraId="64C09D46">
                  <w:pPr>
                    <w:jc w:val="center"/>
                    <w:rPr>
                      <w:rFonts w:hint="default" w:eastAsia="宋体"/>
                      <w:szCs w:val="21"/>
                      <w:lang w:val="en-US" w:eastAsia="zh-CN"/>
                    </w:rPr>
                  </w:pPr>
                  <w:r>
                    <w:rPr>
                      <w:rFonts w:hint="eastAsia"/>
                      <w:szCs w:val="21"/>
                    </w:rPr>
                    <w:t>50m</w:t>
                  </w:r>
                  <w:r>
                    <w:rPr>
                      <w:rFonts w:hint="eastAsia"/>
                      <w:szCs w:val="21"/>
                      <w:vertAlign w:val="superscript"/>
                    </w:rPr>
                    <w:t>2</w:t>
                  </w:r>
                  <w:r>
                    <w:rPr>
                      <w:rFonts w:hint="eastAsia"/>
                      <w:szCs w:val="21"/>
                    </w:rPr>
                    <w:t>/卷、100m</w:t>
                  </w:r>
                  <w:r>
                    <w:rPr>
                      <w:rFonts w:hint="eastAsia"/>
                      <w:szCs w:val="21"/>
                      <w:vertAlign w:val="superscript"/>
                    </w:rPr>
                    <w:t>2</w:t>
                  </w:r>
                  <w:r>
                    <w:rPr>
                      <w:rFonts w:hint="eastAsia"/>
                      <w:szCs w:val="21"/>
                    </w:rPr>
                    <w:t>/卷、140m</w:t>
                  </w:r>
                  <w:r>
                    <w:rPr>
                      <w:rFonts w:hint="eastAsia"/>
                      <w:szCs w:val="21"/>
                      <w:vertAlign w:val="superscript"/>
                    </w:rPr>
                    <w:t>2</w:t>
                  </w:r>
                  <w:r>
                    <w:rPr>
                      <w:rFonts w:hint="eastAsia"/>
                      <w:szCs w:val="21"/>
                    </w:rPr>
                    <w:t>/卷</w:t>
                  </w:r>
                  <w:r>
                    <w:rPr>
                      <w:rFonts w:hint="eastAsia"/>
                      <w:szCs w:val="21"/>
                      <w:lang w:eastAsia="zh-CN"/>
                    </w:rPr>
                    <w:t>，</w:t>
                  </w:r>
                  <w:r>
                    <w:rPr>
                      <w:rFonts w:hint="eastAsia"/>
                      <w:szCs w:val="21"/>
                      <w:lang w:val="en-US" w:eastAsia="zh-CN"/>
                    </w:rPr>
                    <w:t>涂胶厚度约0.75mm</w:t>
                  </w:r>
                </w:p>
              </w:tc>
              <w:tc>
                <w:tcPr>
                  <w:tcW w:w="1136" w:type="pct"/>
                  <w:vAlign w:val="center"/>
                </w:tcPr>
                <w:p w14:paraId="4C5E83A2">
                  <w:pPr>
                    <w:jc w:val="center"/>
                    <w:rPr>
                      <w:color w:val="FF0000"/>
                      <w:szCs w:val="21"/>
                    </w:rPr>
                  </w:pPr>
                  <w:r>
                    <w:rPr>
                      <w:rFonts w:hint="eastAsia"/>
                      <w:color w:val="auto"/>
                      <w:szCs w:val="21"/>
                    </w:rPr>
                    <w:t>1000</w:t>
                  </w:r>
                </w:p>
              </w:tc>
              <w:tc>
                <w:tcPr>
                  <w:tcW w:w="804" w:type="pct"/>
                  <w:vAlign w:val="center"/>
                </w:tcPr>
                <w:p w14:paraId="60ECCBB2">
                  <w:pPr>
                    <w:jc w:val="center"/>
                    <w:rPr>
                      <w:szCs w:val="21"/>
                    </w:rPr>
                  </w:pPr>
                  <w:r>
                    <w:rPr>
                      <w:rFonts w:hint="eastAsia"/>
                      <w:szCs w:val="21"/>
                    </w:rPr>
                    <w:t>72</w:t>
                  </w:r>
                  <w:r>
                    <w:rPr>
                      <w:szCs w:val="21"/>
                    </w:rPr>
                    <w:t>00h</w:t>
                  </w:r>
                </w:p>
              </w:tc>
            </w:tr>
          </w:tbl>
          <w:p w14:paraId="38CDE4A8">
            <w:pPr>
              <w:spacing w:line="480" w:lineRule="exact"/>
              <w:ind w:firstLine="482" w:firstLineChars="200"/>
              <w:rPr>
                <w:b/>
                <w:bCs/>
                <w:sz w:val="24"/>
              </w:rPr>
            </w:pPr>
            <w:r>
              <w:rPr>
                <w:b/>
                <w:sz w:val="24"/>
              </w:rPr>
              <w:t>3</w:t>
            </w:r>
            <w:r>
              <w:rPr>
                <w:rFonts w:hint="eastAsia"/>
                <w:b/>
                <w:sz w:val="24"/>
              </w:rPr>
              <w:t>、</w:t>
            </w:r>
            <w:r>
              <w:rPr>
                <w:b/>
                <w:bCs/>
                <w:sz w:val="24"/>
              </w:rPr>
              <w:t>主体工程及公用、辅助、环保、储运工程概况</w:t>
            </w:r>
          </w:p>
          <w:p w14:paraId="4DC9C032">
            <w:pPr>
              <w:spacing w:line="480" w:lineRule="exact"/>
              <w:ind w:firstLine="480" w:firstLineChars="200"/>
              <w:rPr>
                <w:sz w:val="24"/>
              </w:rPr>
            </w:pPr>
            <w:r>
              <w:rPr>
                <w:sz w:val="24"/>
              </w:rPr>
              <w:t>本项目</w:t>
            </w:r>
            <w:r>
              <w:rPr>
                <w:rFonts w:hint="default" w:ascii="Times New Roman" w:hAnsi="Times New Roman" w:eastAsia="宋体" w:cs="Times New Roman"/>
                <w:sz w:val="24"/>
                <w:szCs w:val="32"/>
              </w:rPr>
              <w:t>主体工程、</w:t>
            </w:r>
            <w:r>
              <w:rPr>
                <w:rFonts w:hint="eastAsia" w:ascii="Times New Roman" w:hAnsi="Times New Roman" w:eastAsia="宋体" w:cs="Times New Roman"/>
                <w:sz w:val="24"/>
                <w:szCs w:val="32"/>
                <w:lang w:val="en-US" w:eastAsia="zh-CN"/>
              </w:rPr>
              <w:t>贮运工程、</w:t>
            </w:r>
            <w:r>
              <w:rPr>
                <w:rFonts w:hint="default" w:ascii="Times New Roman" w:hAnsi="Times New Roman" w:eastAsia="宋体" w:cs="Times New Roman"/>
                <w:sz w:val="24"/>
                <w:szCs w:val="32"/>
              </w:rPr>
              <w:t>公用工程</w:t>
            </w:r>
            <w:r>
              <w:rPr>
                <w:rFonts w:hint="eastAsia" w:ascii="Times New Roman" w:hAnsi="Times New Roman" w:eastAsia="宋体" w:cs="Times New Roman"/>
                <w:sz w:val="24"/>
                <w:szCs w:val="32"/>
                <w:lang w:val="en-US" w:eastAsia="zh-CN"/>
              </w:rPr>
              <w:t>及</w:t>
            </w:r>
            <w:r>
              <w:rPr>
                <w:rFonts w:hint="default" w:ascii="Times New Roman" w:hAnsi="Times New Roman" w:eastAsia="宋体" w:cs="Times New Roman"/>
                <w:sz w:val="24"/>
                <w:szCs w:val="32"/>
              </w:rPr>
              <w:t>环保工程</w:t>
            </w:r>
            <w:r>
              <w:rPr>
                <w:sz w:val="24"/>
              </w:rPr>
              <w:t>见</w:t>
            </w:r>
            <w:r>
              <w:rPr>
                <w:rFonts w:hint="eastAsia"/>
                <w:sz w:val="24"/>
                <w:lang w:val="en-US" w:eastAsia="zh-CN"/>
              </w:rPr>
              <w:t>下</w:t>
            </w:r>
            <w:r>
              <w:rPr>
                <w:sz w:val="24"/>
              </w:rPr>
              <w:t>表</w:t>
            </w:r>
            <w:r>
              <w:rPr>
                <w:rFonts w:hint="eastAsia"/>
                <w:sz w:val="24"/>
                <w:lang w:val="en-US" w:eastAsia="zh-CN"/>
              </w:rPr>
              <w:t>2-2</w:t>
            </w:r>
            <w:r>
              <w:rPr>
                <w:sz w:val="24"/>
              </w:rPr>
              <w:t>。</w:t>
            </w:r>
          </w:p>
          <w:p w14:paraId="49080335">
            <w:pPr>
              <w:spacing w:line="480" w:lineRule="exact"/>
              <w:jc w:val="center"/>
              <w:rPr>
                <w:b/>
                <w:sz w:val="24"/>
              </w:rPr>
            </w:pPr>
            <w:r>
              <w:rPr>
                <w:b/>
                <w:sz w:val="24"/>
              </w:rPr>
              <w:t>表2-</w:t>
            </w:r>
            <w:r>
              <w:rPr>
                <w:rFonts w:hint="eastAsia"/>
                <w:b/>
                <w:sz w:val="24"/>
                <w:lang w:val="en-US" w:eastAsia="zh-CN"/>
              </w:rPr>
              <w:t>2</w:t>
            </w:r>
            <w:r>
              <w:rPr>
                <w:b/>
                <w:sz w:val="24"/>
              </w:rPr>
              <w:t xml:space="preserve">  </w:t>
            </w:r>
            <w:r>
              <w:rPr>
                <w:rFonts w:hint="eastAsia"/>
                <w:b/>
                <w:sz w:val="24"/>
              </w:rPr>
              <w:t>本项目组成一览表</w:t>
            </w:r>
          </w:p>
          <w:tbl>
            <w:tblPr>
              <w:tblStyle w:val="27"/>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90"/>
              <w:gridCol w:w="814"/>
              <w:gridCol w:w="1432"/>
              <w:gridCol w:w="1251"/>
              <w:gridCol w:w="1471"/>
              <w:gridCol w:w="2244"/>
              <w:gridCol w:w="1421"/>
            </w:tblGrid>
            <w:tr w14:paraId="472F8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vAlign w:val="center"/>
                </w:tcPr>
                <w:p w14:paraId="536FD20F">
                  <w:pPr>
                    <w:spacing w:line="320" w:lineRule="exact"/>
                    <w:jc w:val="center"/>
                    <w:rPr>
                      <w:b/>
                      <w:szCs w:val="21"/>
                    </w:rPr>
                  </w:pPr>
                  <w:r>
                    <w:rPr>
                      <w:b/>
                      <w:szCs w:val="21"/>
                    </w:rPr>
                    <w:t>类型</w:t>
                  </w:r>
                </w:p>
              </w:tc>
              <w:tc>
                <w:tcPr>
                  <w:tcW w:w="1503" w:type="pct"/>
                  <w:gridSpan w:val="2"/>
                  <w:vAlign w:val="center"/>
                </w:tcPr>
                <w:p w14:paraId="03DA6012">
                  <w:pPr>
                    <w:spacing w:line="320" w:lineRule="exact"/>
                    <w:jc w:val="center"/>
                    <w:rPr>
                      <w:b/>
                      <w:szCs w:val="21"/>
                    </w:rPr>
                  </w:pPr>
                  <w:r>
                    <w:rPr>
                      <w:b/>
                      <w:szCs w:val="21"/>
                    </w:rPr>
                    <w:t>建筑名称</w:t>
                  </w:r>
                </w:p>
              </w:tc>
              <w:tc>
                <w:tcPr>
                  <w:tcW w:w="824" w:type="pct"/>
                  <w:vAlign w:val="center"/>
                </w:tcPr>
                <w:p w14:paraId="6BA4451D">
                  <w:pPr>
                    <w:spacing w:line="320" w:lineRule="exact"/>
                    <w:jc w:val="center"/>
                    <w:rPr>
                      <w:b/>
                      <w:szCs w:val="21"/>
                    </w:rPr>
                  </w:pPr>
                  <w:r>
                    <w:rPr>
                      <w:b/>
                      <w:szCs w:val="21"/>
                    </w:rPr>
                    <w:t>设计能力</w:t>
                  </w:r>
                </w:p>
              </w:tc>
              <w:tc>
                <w:tcPr>
                  <w:tcW w:w="2053" w:type="pct"/>
                  <w:gridSpan w:val="2"/>
                  <w:vAlign w:val="center"/>
                </w:tcPr>
                <w:p w14:paraId="17FC5AAE">
                  <w:pPr>
                    <w:spacing w:line="320" w:lineRule="exact"/>
                    <w:jc w:val="center"/>
                    <w:rPr>
                      <w:b/>
                      <w:szCs w:val="21"/>
                    </w:rPr>
                  </w:pPr>
                  <w:r>
                    <w:rPr>
                      <w:b/>
                      <w:szCs w:val="21"/>
                    </w:rPr>
                    <w:t>备注</w:t>
                  </w:r>
                </w:p>
              </w:tc>
            </w:tr>
            <w:tr w14:paraId="3ED8C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vMerge w:val="restart"/>
                  <w:vAlign w:val="center"/>
                </w:tcPr>
                <w:p w14:paraId="0A756596">
                  <w:pPr>
                    <w:spacing w:line="32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主体</w:t>
                  </w:r>
                </w:p>
                <w:p w14:paraId="55FF28F3">
                  <w:pPr>
                    <w:spacing w:line="320" w:lineRule="exact"/>
                    <w:jc w:val="center"/>
                    <w:rPr>
                      <w:rFonts w:hint="default" w:eastAsia="宋体"/>
                      <w:b/>
                      <w:szCs w:val="21"/>
                      <w:lang w:val="en-US" w:eastAsia="zh-CN"/>
                    </w:rPr>
                  </w:pPr>
                  <w:r>
                    <w:rPr>
                      <w:rFonts w:hint="eastAsia" w:ascii="Times New Roman" w:hAnsi="Times New Roman" w:eastAsia="宋体" w:cs="Times New Roman"/>
                      <w:szCs w:val="21"/>
                      <w:lang w:val="en-US" w:eastAsia="zh-CN"/>
                    </w:rPr>
                    <w:t>工程</w:t>
                  </w:r>
                </w:p>
              </w:tc>
              <w:tc>
                <w:tcPr>
                  <w:tcW w:w="1503" w:type="pct"/>
                  <w:gridSpan w:val="2"/>
                  <w:vAlign w:val="center"/>
                </w:tcPr>
                <w:p w14:paraId="3DAF3875">
                  <w:pPr>
                    <w:spacing w:line="320" w:lineRule="exact"/>
                    <w:jc w:val="center"/>
                    <w:rPr>
                      <w:rFonts w:hint="default" w:eastAsia="宋体"/>
                      <w:b w:val="0"/>
                      <w:bCs/>
                      <w:szCs w:val="21"/>
                      <w:lang w:val="en-US" w:eastAsia="zh-CN"/>
                    </w:rPr>
                  </w:pPr>
                  <w:r>
                    <w:rPr>
                      <w:rFonts w:hint="eastAsia"/>
                      <w:b w:val="0"/>
                      <w:bCs/>
                      <w:szCs w:val="21"/>
                      <w:lang w:val="en-US" w:eastAsia="zh-CN"/>
                    </w:rPr>
                    <w:t>簇绒区域</w:t>
                  </w:r>
                </w:p>
              </w:tc>
              <w:tc>
                <w:tcPr>
                  <w:tcW w:w="824" w:type="pct"/>
                  <w:vAlign w:val="center"/>
                </w:tcPr>
                <w:p w14:paraId="34AB5BD9">
                  <w:pPr>
                    <w:spacing w:line="320" w:lineRule="exact"/>
                    <w:jc w:val="center"/>
                    <w:rPr>
                      <w:rFonts w:hint="default" w:eastAsia="宋体"/>
                      <w:b w:val="0"/>
                      <w:bCs/>
                      <w:szCs w:val="21"/>
                      <w:lang w:val="en-US" w:eastAsia="zh-CN"/>
                    </w:rPr>
                  </w:pPr>
                  <w:r>
                    <w:rPr>
                      <w:rFonts w:hint="eastAsia"/>
                      <w:b w:val="0"/>
                      <w:bCs/>
                      <w:szCs w:val="21"/>
                      <w:lang w:val="en-US" w:eastAsia="zh-CN"/>
                    </w:rPr>
                    <w:t>300</w:t>
                  </w:r>
                  <w:r>
                    <w:rPr>
                      <w:szCs w:val="21"/>
                    </w:rPr>
                    <w:t>m</w:t>
                  </w:r>
                  <w:r>
                    <w:rPr>
                      <w:szCs w:val="21"/>
                      <w:vertAlign w:val="superscript"/>
                    </w:rPr>
                    <w:t>2</w:t>
                  </w:r>
                </w:p>
              </w:tc>
              <w:tc>
                <w:tcPr>
                  <w:tcW w:w="2053" w:type="pct"/>
                  <w:gridSpan w:val="2"/>
                  <w:vAlign w:val="center"/>
                </w:tcPr>
                <w:p w14:paraId="7BD16C21">
                  <w:pPr>
                    <w:spacing w:line="320" w:lineRule="exact"/>
                    <w:jc w:val="center"/>
                    <w:rPr>
                      <w:rFonts w:hint="eastAsia" w:eastAsia="宋体"/>
                      <w:b w:val="0"/>
                      <w:bCs/>
                      <w:szCs w:val="21"/>
                      <w:lang w:val="en-US" w:eastAsia="zh-CN"/>
                    </w:rPr>
                  </w:pPr>
                  <w:r>
                    <w:rPr>
                      <w:rFonts w:hint="eastAsia"/>
                      <w:b w:val="0"/>
                      <w:bCs/>
                      <w:szCs w:val="21"/>
                      <w:lang w:val="en-US" w:eastAsia="zh-CN"/>
                    </w:rPr>
                    <w:t>簇绒</w:t>
                  </w:r>
                </w:p>
              </w:tc>
            </w:tr>
            <w:tr w14:paraId="28E6D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vMerge w:val="continue"/>
                  <w:vAlign w:val="center"/>
                </w:tcPr>
                <w:p w14:paraId="2DF2C35E">
                  <w:pPr>
                    <w:spacing w:line="320" w:lineRule="exact"/>
                    <w:jc w:val="center"/>
                    <w:rPr>
                      <w:b/>
                      <w:szCs w:val="21"/>
                    </w:rPr>
                  </w:pPr>
                </w:p>
              </w:tc>
              <w:tc>
                <w:tcPr>
                  <w:tcW w:w="1503" w:type="pct"/>
                  <w:gridSpan w:val="2"/>
                  <w:vAlign w:val="center"/>
                </w:tcPr>
                <w:p w14:paraId="40195F2F">
                  <w:pPr>
                    <w:spacing w:line="320" w:lineRule="exact"/>
                    <w:jc w:val="center"/>
                    <w:rPr>
                      <w:rFonts w:hint="default" w:eastAsia="宋体"/>
                      <w:b w:val="0"/>
                      <w:bCs/>
                      <w:szCs w:val="21"/>
                      <w:lang w:val="en-US" w:eastAsia="zh-CN"/>
                    </w:rPr>
                  </w:pPr>
                  <w:r>
                    <w:rPr>
                      <w:rFonts w:hint="eastAsia"/>
                      <w:b w:val="0"/>
                      <w:bCs/>
                      <w:szCs w:val="21"/>
                      <w:lang w:val="en-US" w:eastAsia="zh-CN"/>
                    </w:rPr>
                    <w:t>调配区域</w:t>
                  </w:r>
                </w:p>
              </w:tc>
              <w:tc>
                <w:tcPr>
                  <w:tcW w:w="824" w:type="pct"/>
                  <w:vAlign w:val="center"/>
                </w:tcPr>
                <w:p w14:paraId="085CD0EA">
                  <w:pPr>
                    <w:spacing w:line="320" w:lineRule="exact"/>
                    <w:jc w:val="center"/>
                    <w:rPr>
                      <w:rFonts w:hint="default" w:eastAsia="宋体"/>
                      <w:b w:val="0"/>
                      <w:bCs/>
                      <w:szCs w:val="21"/>
                      <w:lang w:val="en-US" w:eastAsia="zh-CN"/>
                    </w:rPr>
                  </w:pPr>
                  <w:r>
                    <w:rPr>
                      <w:rFonts w:hint="eastAsia"/>
                      <w:b w:val="0"/>
                      <w:bCs/>
                      <w:szCs w:val="21"/>
                      <w:lang w:val="en-US" w:eastAsia="zh-CN"/>
                    </w:rPr>
                    <w:t>200</w:t>
                  </w:r>
                  <w:r>
                    <w:rPr>
                      <w:szCs w:val="21"/>
                    </w:rPr>
                    <w:t>m</w:t>
                  </w:r>
                  <w:r>
                    <w:rPr>
                      <w:szCs w:val="21"/>
                      <w:vertAlign w:val="superscript"/>
                    </w:rPr>
                    <w:t>2</w:t>
                  </w:r>
                </w:p>
              </w:tc>
              <w:tc>
                <w:tcPr>
                  <w:tcW w:w="2053" w:type="pct"/>
                  <w:gridSpan w:val="2"/>
                  <w:vAlign w:val="center"/>
                </w:tcPr>
                <w:p w14:paraId="776FDBA9">
                  <w:pPr>
                    <w:spacing w:line="320" w:lineRule="exact"/>
                    <w:jc w:val="center"/>
                    <w:rPr>
                      <w:rFonts w:hint="eastAsia" w:eastAsia="宋体"/>
                      <w:b w:val="0"/>
                      <w:bCs/>
                      <w:szCs w:val="21"/>
                      <w:lang w:val="en-US" w:eastAsia="zh-CN"/>
                    </w:rPr>
                  </w:pPr>
                  <w:r>
                    <w:rPr>
                      <w:rFonts w:hint="eastAsia"/>
                      <w:b w:val="0"/>
                      <w:bCs/>
                      <w:szCs w:val="21"/>
                      <w:lang w:val="en-US" w:eastAsia="zh-CN"/>
                    </w:rPr>
                    <w:t>调配</w:t>
                  </w:r>
                </w:p>
              </w:tc>
            </w:tr>
            <w:tr w14:paraId="428C4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vMerge w:val="continue"/>
                  <w:vAlign w:val="center"/>
                </w:tcPr>
                <w:p w14:paraId="5E03C135">
                  <w:pPr>
                    <w:spacing w:line="320" w:lineRule="exact"/>
                    <w:jc w:val="center"/>
                    <w:rPr>
                      <w:b/>
                      <w:szCs w:val="21"/>
                    </w:rPr>
                  </w:pPr>
                </w:p>
              </w:tc>
              <w:tc>
                <w:tcPr>
                  <w:tcW w:w="1503" w:type="pct"/>
                  <w:gridSpan w:val="2"/>
                  <w:vAlign w:val="center"/>
                </w:tcPr>
                <w:p w14:paraId="170CC593">
                  <w:pPr>
                    <w:spacing w:line="320" w:lineRule="exact"/>
                    <w:jc w:val="center"/>
                    <w:rPr>
                      <w:rFonts w:hint="default" w:eastAsia="宋体"/>
                      <w:b w:val="0"/>
                      <w:bCs/>
                      <w:szCs w:val="21"/>
                      <w:lang w:val="en-US" w:eastAsia="zh-CN"/>
                    </w:rPr>
                  </w:pPr>
                  <w:r>
                    <w:rPr>
                      <w:rFonts w:hint="eastAsia"/>
                      <w:b w:val="0"/>
                      <w:bCs/>
                      <w:szCs w:val="21"/>
                      <w:lang w:val="en-US" w:eastAsia="zh-CN"/>
                    </w:rPr>
                    <w:t>背胶、烘干区域</w:t>
                  </w:r>
                </w:p>
              </w:tc>
              <w:tc>
                <w:tcPr>
                  <w:tcW w:w="824" w:type="pct"/>
                  <w:vAlign w:val="center"/>
                </w:tcPr>
                <w:p w14:paraId="4A551DFA">
                  <w:pPr>
                    <w:spacing w:line="320" w:lineRule="exact"/>
                    <w:jc w:val="center"/>
                    <w:rPr>
                      <w:rFonts w:hint="default" w:eastAsia="宋体"/>
                      <w:b w:val="0"/>
                      <w:bCs/>
                      <w:szCs w:val="21"/>
                      <w:lang w:val="en-US" w:eastAsia="zh-CN"/>
                    </w:rPr>
                  </w:pPr>
                  <w:r>
                    <w:rPr>
                      <w:rFonts w:hint="eastAsia"/>
                      <w:b w:val="0"/>
                      <w:bCs/>
                      <w:szCs w:val="21"/>
                      <w:lang w:val="en-US" w:eastAsia="zh-CN"/>
                    </w:rPr>
                    <w:t>500</w:t>
                  </w:r>
                  <w:r>
                    <w:rPr>
                      <w:szCs w:val="21"/>
                    </w:rPr>
                    <w:t>m</w:t>
                  </w:r>
                  <w:r>
                    <w:rPr>
                      <w:szCs w:val="21"/>
                      <w:vertAlign w:val="superscript"/>
                    </w:rPr>
                    <w:t>2</w:t>
                  </w:r>
                </w:p>
              </w:tc>
              <w:tc>
                <w:tcPr>
                  <w:tcW w:w="2053" w:type="pct"/>
                  <w:gridSpan w:val="2"/>
                  <w:vAlign w:val="center"/>
                </w:tcPr>
                <w:p w14:paraId="168227A1">
                  <w:pPr>
                    <w:spacing w:line="320" w:lineRule="exact"/>
                    <w:jc w:val="center"/>
                    <w:rPr>
                      <w:b w:val="0"/>
                      <w:bCs/>
                      <w:szCs w:val="21"/>
                    </w:rPr>
                  </w:pPr>
                  <w:r>
                    <w:rPr>
                      <w:rFonts w:hint="eastAsia"/>
                      <w:b w:val="0"/>
                      <w:bCs/>
                      <w:szCs w:val="21"/>
                      <w:lang w:val="en-US" w:eastAsia="zh-CN"/>
                    </w:rPr>
                    <w:t>背胶、烘干</w:t>
                  </w:r>
                </w:p>
              </w:tc>
            </w:tr>
            <w:tr w14:paraId="2351E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vMerge w:val="continue"/>
                  <w:vAlign w:val="center"/>
                </w:tcPr>
                <w:p w14:paraId="35501076">
                  <w:pPr>
                    <w:spacing w:line="320" w:lineRule="exact"/>
                    <w:jc w:val="center"/>
                    <w:rPr>
                      <w:b/>
                      <w:szCs w:val="21"/>
                    </w:rPr>
                  </w:pPr>
                </w:p>
              </w:tc>
              <w:tc>
                <w:tcPr>
                  <w:tcW w:w="1503" w:type="pct"/>
                  <w:gridSpan w:val="2"/>
                  <w:vAlign w:val="center"/>
                </w:tcPr>
                <w:p w14:paraId="2796243D">
                  <w:pPr>
                    <w:spacing w:line="320" w:lineRule="exact"/>
                    <w:jc w:val="center"/>
                    <w:rPr>
                      <w:rFonts w:hint="default" w:eastAsia="宋体"/>
                      <w:b w:val="0"/>
                      <w:bCs/>
                      <w:szCs w:val="21"/>
                      <w:lang w:val="en-US" w:eastAsia="zh-CN"/>
                    </w:rPr>
                  </w:pPr>
                  <w:r>
                    <w:rPr>
                      <w:rFonts w:hint="eastAsia"/>
                      <w:b w:val="0"/>
                      <w:bCs/>
                      <w:szCs w:val="21"/>
                      <w:lang w:val="en-US" w:eastAsia="zh-CN"/>
                    </w:rPr>
                    <w:t>裁剪区域</w:t>
                  </w:r>
                </w:p>
              </w:tc>
              <w:tc>
                <w:tcPr>
                  <w:tcW w:w="824" w:type="pct"/>
                  <w:vAlign w:val="center"/>
                </w:tcPr>
                <w:p w14:paraId="7892644E">
                  <w:pPr>
                    <w:spacing w:line="320" w:lineRule="exact"/>
                    <w:jc w:val="center"/>
                    <w:rPr>
                      <w:b w:val="0"/>
                      <w:bCs/>
                      <w:szCs w:val="21"/>
                    </w:rPr>
                  </w:pPr>
                  <w:r>
                    <w:rPr>
                      <w:rFonts w:hint="eastAsia"/>
                      <w:b w:val="0"/>
                      <w:bCs/>
                      <w:szCs w:val="21"/>
                      <w:lang w:val="en-US" w:eastAsia="zh-CN"/>
                    </w:rPr>
                    <w:t>200</w:t>
                  </w:r>
                  <w:r>
                    <w:rPr>
                      <w:szCs w:val="21"/>
                    </w:rPr>
                    <w:t>m</w:t>
                  </w:r>
                  <w:r>
                    <w:rPr>
                      <w:szCs w:val="21"/>
                      <w:vertAlign w:val="superscript"/>
                    </w:rPr>
                    <w:t>2</w:t>
                  </w:r>
                </w:p>
              </w:tc>
              <w:tc>
                <w:tcPr>
                  <w:tcW w:w="2053" w:type="pct"/>
                  <w:gridSpan w:val="2"/>
                  <w:vAlign w:val="center"/>
                </w:tcPr>
                <w:p w14:paraId="4C0FE57D">
                  <w:pPr>
                    <w:spacing w:line="320" w:lineRule="exact"/>
                    <w:jc w:val="center"/>
                    <w:rPr>
                      <w:b w:val="0"/>
                      <w:bCs/>
                      <w:szCs w:val="21"/>
                    </w:rPr>
                  </w:pPr>
                  <w:r>
                    <w:rPr>
                      <w:rFonts w:hint="eastAsia"/>
                      <w:b w:val="0"/>
                      <w:bCs/>
                      <w:szCs w:val="21"/>
                      <w:lang w:val="en-US" w:eastAsia="zh-CN"/>
                    </w:rPr>
                    <w:t>裁剪</w:t>
                  </w:r>
                </w:p>
              </w:tc>
            </w:tr>
            <w:tr w14:paraId="34795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vMerge w:val="continue"/>
                  <w:vAlign w:val="center"/>
                </w:tcPr>
                <w:p w14:paraId="4A6F2F99">
                  <w:pPr>
                    <w:spacing w:line="320" w:lineRule="exact"/>
                    <w:jc w:val="center"/>
                    <w:rPr>
                      <w:b/>
                      <w:szCs w:val="21"/>
                    </w:rPr>
                  </w:pPr>
                </w:p>
              </w:tc>
              <w:tc>
                <w:tcPr>
                  <w:tcW w:w="1503" w:type="pct"/>
                  <w:gridSpan w:val="2"/>
                  <w:vAlign w:val="center"/>
                </w:tcPr>
                <w:p w14:paraId="69BE9DFD">
                  <w:pPr>
                    <w:spacing w:line="320" w:lineRule="exact"/>
                    <w:jc w:val="center"/>
                    <w:rPr>
                      <w:rFonts w:hint="default" w:eastAsia="宋体"/>
                      <w:b w:val="0"/>
                      <w:bCs/>
                      <w:szCs w:val="21"/>
                      <w:lang w:val="en-US" w:eastAsia="zh-CN"/>
                    </w:rPr>
                  </w:pPr>
                  <w:r>
                    <w:rPr>
                      <w:rFonts w:hint="eastAsia"/>
                      <w:b w:val="0"/>
                      <w:bCs/>
                      <w:szCs w:val="21"/>
                      <w:lang w:val="en-US" w:eastAsia="zh-CN"/>
                    </w:rPr>
                    <w:t>检验区域</w:t>
                  </w:r>
                </w:p>
              </w:tc>
              <w:tc>
                <w:tcPr>
                  <w:tcW w:w="824" w:type="pct"/>
                  <w:vAlign w:val="center"/>
                </w:tcPr>
                <w:p w14:paraId="44530644">
                  <w:pPr>
                    <w:spacing w:line="320" w:lineRule="exact"/>
                    <w:jc w:val="center"/>
                    <w:rPr>
                      <w:b w:val="0"/>
                      <w:bCs/>
                      <w:szCs w:val="21"/>
                    </w:rPr>
                  </w:pPr>
                  <w:r>
                    <w:rPr>
                      <w:rFonts w:hint="eastAsia"/>
                      <w:b w:val="0"/>
                      <w:bCs/>
                      <w:szCs w:val="21"/>
                      <w:lang w:val="en-US" w:eastAsia="zh-CN"/>
                    </w:rPr>
                    <w:t>100</w:t>
                  </w:r>
                  <w:r>
                    <w:rPr>
                      <w:szCs w:val="21"/>
                    </w:rPr>
                    <w:t>m</w:t>
                  </w:r>
                  <w:r>
                    <w:rPr>
                      <w:szCs w:val="21"/>
                      <w:vertAlign w:val="superscript"/>
                    </w:rPr>
                    <w:t>2</w:t>
                  </w:r>
                </w:p>
              </w:tc>
              <w:tc>
                <w:tcPr>
                  <w:tcW w:w="2053" w:type="pct"/>
                  <w:gridSpan w:val="2"/>
                  <w:vAlign w:val="center"/>
                </w:tcPr>
                <w:p w14:paraId="7A3A899A">
                  <w:pPr>
                    <w:spacing w:line="320" w:lineRule="exact"/>
                    <w:jc w:val="center"/>
                    <w:rPr>
                      <w:b w:val="0"/>
                      <w:bCs/>
                      <w:szCs w:val="21"/>
                    </w:rPr>
                  </w:pPr>
                  <w:r>
                    <w:rPr>
                      <w:rFonts w:hint="eastAsia"/>
                      <w:b w:val="0"/>
                      <w:bCs/>
                      <w:szCs w:val="21"/>
                      <w:lang w:val="en-US" w:eastAsia="zh-CN"/>
                    </w:rPr>
                    <w:t>检验</w:t>
                  </w:r>
                </w:p>
              </w:tc>
            </w:tr>
            <w:tr w14:paraId="06B9B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vMerge w:val="continue"/>
                  <w:vAlign w:val="center"/>
                </w:tcPr>
                <w:p w14:paraId="2196FAF0">
                  <w:pPr>
                    <w:spacing w:line="320" w:lineRule="exact"/>
                    <w:jc w:val="center"/>
                    <w:rPr>
                      <w:b/>
                      <w:szCs w:val="21"/>
                    </w:rPr>
                  </w:pPr>
                </w:p>
              </w:tc>
              <w:tc>
                <w:tcPr>
                  <w:tcW w:w="1503" w:type="pct"/>
                  <w:gridSpan w:val="2"/>
                  <w:vAlign w:val="center"/>
                </w:tcPr>
                <w:p w14:paraId="52559342">
                  <w:pPr>
                    <w:spacing w:line="320" w:lineRule="exact"/>
                    <w:jc w:val="center"/>
                    <w:rPr>
                      <w:rFonts w:hint="default"/>
                      <w:b w:val="0"/>
                      <w:bCs/>
                      <w:szCs w:val="21"/>
                      <w:lang w:val="en-US" w:eastAsia="zh-CN"/>
                    </w:rPr>
                  </w:pPr>
                  <w:r>
                    <w:rPr>
                      <w:rFonts w:hint="eastAsia"/>
                      <w:b w:val="0"/>
                      <w:bCs/>
                      <w:szCs w:val="21"/>
                      <w:lang w:val="en-US" w:eastAsia="zh-CN"/>
                    </w:rPr>
                    <w:t>办公区域</w:t>
                  </w:r>
                </w:p>
              </w:tc>
              <w:tc>
                <w:tcPr>
                  <w:tcW w:w="824" w:type="pct"/>
                  <w:vAlign w:val="center"/>
                </w:tcPr>
                <w:p w14:paraId="2F1AC473">
                  <w:pPr>
                    <w:spacing w:line="320" w:lineRule="exact"/>
                    <w:jc w:val="center"/>
                    <w:rPr>
                      <w:rFonts w:hint="default"/>
                      <w:b w:val="0"/>
                      <w:bCs/>
                      <w:szCs w:val="21"/>
                      <w:lang w:val="en-US" w:eastAsia="zh-CN"/>
                    </w:rPr>
                  </w:pPr>
                  <w:r>
                    <w:rPr>
                      <w:rFonts w:hint="eastAsia"/>
                      <w:b w:val="0"/>
                      <w:bCs/>
                      <w:szCs w:val="21"/>
                      <w:lang w:val="en-US" w:eastAsia="zh-CN"/>
                    </w:rPr>
                    <w:t>275</w:t>
                  </w:r>
                  <w:r>
                    <w:rPr>
                      <w:szCs w:val="21"/>
                    </w:rPr>
                    <w:t>m</w:t>
                  </w:r>
                  <w:r>
                    <w:rPr>
                      <w:szCs w:val="21"/>
                      <w:vertAlign w:val="superscript"/>
                    </w:rPr>
                    <w:t>2</w:t>
                  </w:r>
                </w:p>
              </w:tc>
              <w:tc>
                <w:tcPr>
                  <w:tcW w:w="2053" w:type="pct"/>
                  <w:gridSpan w:val="2"/>
                  <w:vAlign w:val="center"/>
                </w:tcPr>
                <w:p w14:paraId="3693AFA5">
                  <w:pPr>
                    <w:spacing w:line="320" w:lineRule="exact"/>
                    <w:jc w:val="center"/>
                    <w:rPr>
                      <w:b w:val="0"/>
                      <w:bCs/>
                      <w:szCs w:val="21"/>
                    </w:rPr>
                  </w:pPr>
                  <w:r>
                    <w:rPr>
                      <w:rFonts w:hint="eastAsia"/>
                      <w:b w:val="0"/>
                      <w:bCs/>
                      <w:szCs w:val="21"/>
                      <w:lang w:val="en-US" w:eastAsia="zh-CN"/>
                    </w:rPr>
                    <w:t>办公</w:t>
                  </w:r>
                </w:p>
              </w:tc>
            </w:tr>
            <w:tr w14:paraId="60A0E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vMerge w:val="restart"/>
                  <w:vAlign w:val="center"/>
                </w:tcPr>
                <w:p w14:paraId="04D3B6FE">
                  <w:pPr>
                    <w:spacing w:line="320" w:lineRule="exact"/>
                    <w:jc w:val="center"/>
                    <w:rPr>
                      <w:szCs w:val="21"/>
                    </w:rPr>
                  </w:pPr>
                  <w:r>
                    <w:rPr>
                      <w:szCs w:val="21"/>
                    </w:rPr>
                    <w:t>贮运</w:t>
                  </w:r>
                </w:p>
                <w:p w14:paraId="491FCF51">
                  <w:pPr>
                    <w:spacing w:line="320" w:lineRule="exact"/>
                    <w:jc w:val="center"/>
                    <w:rPr>
                      <w:szCs w:val="21"/>
                    </w:rPr>
                  </w:pPr>
                  <w:r>
                    <w:rPr>
                      <w:szCs w:val="21"/>
                    </w:rPr>
                    <w:t>工程</w:t>
                  </w:r>
                </w:p>
              </w:tc>
              <w:tc>
                <w:tcPr>
                  <w:tcW w:w="1503" w:type="pct"/>
                  <w:gridSpan w:val="2"/>
                  <w:vAlign w:val="center"/>
                </w:tcPr>
                <w:p w14:paraId="6461343C">
                  <w:pPr>
                    <w:spacing w:line="320" w:lineRule="exact"/>
                    <w:jc w:val="center"/>
                    <w:rPr>
                      <w:rFonts w:hint="eastAsia" w:eastAsia="宋体"/>
                      <w:szCs w:val="21"/>
                      <w:lang w:eastAsia="zh-CN"/>
                    </w:rPr>
                  </w:pPr>
                  <w:r>
                    <w:rPr>
                      <w:rFonts w:hint="eastAsia"/>
                      <w:szCs w:val="21"/>
                    </w:rPr>
                    <w:t>原料</w:t>
                  </w:r>
                  <w:r>
                    <w:rPr>
                      <w:rFonts w:hint="eastAsia"/>
                      <w:szCs w:val="21"/>
                      <w:lang w:val="en-US" w:eastAsia="zh-CN"/>
                    </w:rPr>
                    <w:t>堆场</w:t>
                  </w:r>
                </w:p>
              </w:tc>
              <w:tc>
                <w:tcPr>
                  <w:tcW w:w="824" w:type="pct"/>
                  <w:vAlign w:val="center"/>
                </w:tcPr>
                <w:p w14:paraId="001DCB86">
                  <w:pPr>
                    <w:spacing w:line="320" w:lineRule="exact"/>
                    <w:jc w:val="center"/>
                    <w:rPr>
                      <w:szCs w:val="21"/>
                    </w:rPr>
                  </w:pPr>
                  <w:r>
                    <w:rPr>
                      <w:rFonts w:hint="eastAsia"/>
                      <w:szCs w:val="21"/>
                      <w:lang w:val="en-US" w:eastAsia="zh-CN"/>
                    </w:rPr>
                    <w:t>20</w:t>
                  </w:r>
                  <w:r>
                    <w:rPr>
                      <w:rFonts w:hint="eastAsia"/>
                      <w:szCs w:val="21"/>
                    </w:rPr>
                    <w:t>0</w:t>
                  </w:r>
                  <w:r>
                    <w:rPr>
                      <w:szCs w:val="21"/>
                    </w:rPr>
                    <w:t>m</w:t>
                  </w:r>
                  <w:r>
                    <w:rPr>
                      <w:szCs w:val="21"/>
                      <w:vertAlign w:val="superscript"/>
                    </w:rPr>
                    <w:t>2</w:t>
                  </w:r>
                </w:p>
              </w:tc>
              <w:tc>
                <w:tcPr>
                  <w:tcW w:w="2053" w:type="pct"/>
                  <w:gridSpan w:val="2"/>
                  <w:vAlign w:val="center"/>
                </w:tcPr>
                <w:p w14:paraId="12159279">
                  <w:pPr>
                    <w:spacing w:line="320" w:lineRule="exact"/>
                    <w:jc w:val="center"/>
                    <w:rPr>
                      <w:szCs w:val="21"/>
                    </w:rPr>
                  </w:pPr>
                  <w:r>
                    <w:rPr>
                      <w:rFonts w:hint="eastAsia"/>
                      <w:lang w:val="en-US" w:eastAsia="zh-CN"/>
                    </w:rPr>
                    <w:t>储存区，</w:t>
                  </w:r>
                  <w:r>
                    <w:rPr>
                      <w:szCs w:val="21"/>
                    </w:rPr>
                    <w:t>位于</w:t>
                  </w:r>
                  <w:r>
                    <w:rPr>
                      <w:rFonts w:hint="eastAsia"/>
                      <w:kern w:val="0"/>
                      <w:szCs w:val="21"/>
                    </w:rPr>
                    <w:t>车间南</w:t>
                  </w:r>
                  <w:r>
                    <w:rPr>
                      <w:rFonts w:hint="eastAsia"/>
                      <w:kern w:val="0"/>
                      <w:szCs w:val="21"/>
                      <w:lang w:val="en-US" w:eastAsia="zh-CN"/>
                    </w:rPr>
                    <w:t>侧</w:t>
                  </w:r>
                </w:p>
              </w:tc>
            </w:tr>
            <w:tr w14:paraId="768F7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vMerge w:val="continue"/>
                  <w:vAlign w:val="center"/>
                </w:tcPr>
                <w:p w14:paraId="17E4B724">
                  <w:pPr>
                    <w:spacing w:line="320" w:lineRule="exact"/>
                    <w:jc w:val="center"/>
                    <w:rPr>
                      <w:szCs w:val="21"/>
                    </w:rPr>
                  </w:pPr>
                </w:p>
              </w:tc>
              <w:tc>
                <w:tcPr>
                  <w:tcW w:w="1503" w:type="pct"/>
                  <w:gridSpan w:val="2"/>
                  <w:vAlign w:val="center"/>
                </w:tcPr>
                <w:p w14:paraId="3C529D38">
                  <w:pPr>
                    <w:spacing w:line="320" w:lineRule="exact"/>
                    <w:jc w:val="center"/>
                    <w:rPr>
                      <w:szCs w:val="21"/>
                    </w:rPr>
                  </w:pPr>
                  <w:r>
                    <w:rPr>
                      <w:rFonts w:hint="eastAsia"/>
                      <w:szCs w:val="21"/>
                    </w:rPr>
                    <w:t>成品</w:t>
                  </w:r>
                  <w:r>
                    <w:rPr>
                      <w:rFonts w:hint="eastAsia"/>
                      <w:szCs w:val="21"/>
                      <w:lang w:val="en-US" w:eastAsia="zh-CN"/>
                    </w:rPr>
                    <w:t>堆场</w:t>
                  </w:r>
                </w:p>
              </w:tc>
              <w:tc>
                <w:tcPr>
                  <w:tcW w:w="824" w:type="pct"/>
                  <w:vAlign w:val="center"/>
                </w:tcPr>
                <w:p w14:paraId="48664F93">
                  <w:pPr>
                    <w:spacing w:line="320" w:lineRule="exact"/>
                    <w:jc w:val="center"/>
                    <w:rPr>
                      <w:szCs w:val="21"/>
                    </w:rPr>
                  </w:pPr>
                  <w:r>
                    <w:rPr>
                      <w:rFonts w:hint="eastAsia"/>
                      <w:szCs w:val="21"/>
                      <w:lang w:val="en-US" w:eastAsia="zh-CN"/>
                    </w:rPr>
                    <w:t>20</w:t>
                  </w:r>
                  <w:r>
                    <w:rPr>
                      <w:rFonts w:hint="eastAsia"/>
                      <w:szCs w:val="21"/>
                    </w:rPr>
                    <w:t>0</w:t>
                  </w:r>
                  <w:r>
                    <w:rPr>
                      <w:szCs w:val="21"/>
                    </w:rPr>
                    <w:t>m</w:t>
                  </w:r>
                  <w:r>
                    <w:rPr>
                      <w:szCs w:val="21"/>
                      <w:vertAlign w:val="superscript"/>
                    </w:rPr>
                    <w:t>2</w:t>
                  </w:r>
                </w:p>
              </w:tc>
              <w:tc>
                <w:tcPr>
                  <w:tcW w:w="2053" w:type="pct"/>
                  <w:gridSpan w:val="2"/>
                  <w:vAlign w:val="center"/>
                </w:tcPr>
                <w:p w14:paraId="18079944">
                  <w:pPr>
                    <w:spacing w:line="320" w:lineRule="exact"/>
                    <w:jc w:val="center"/>
                    <w:rPr>
                      <w:rFonts w:hint="eastAsia" w:eastAsia="宋体"/>
                      <w:szCs w:val="21"/>
                      <w:lang w:eastAsia="zh-CN"/>
                    </w:rPr>
                  </w:pPr>
                  <w:r>
                    <w:rPr>
                      <w:rFonts w:hint="eastAsia"/>
                      <w:lang w:val="en-US" w:eastAsia="zh-CN"/>
                    </w:rPr>
                    <w:t>储存区，</w:t>
                  </w:r>
                  <w:r>
                    <w:rPr>
                      <w:szCs w:val="21"/>
                    </w:rPr>
                    <w:t>位于</w:t>
                  </w:r>
                  <w:r>
                    <w:rPr>
                      <w:rFonts w:hint="eastAsia"/>
                      <w:kern w:val="0"/>
                      <w:szCs w:val="21"/>
                    </w:rPr>
                    <w:t>车间南</w:t>
                  </w:r>
                  <w:r>
                    <w:rPr>
                      <w:rFonts w:hint="eastAsia"/>
                      <w:kern w:val="0"/>
                      <w:szCs w:val="21"/>
                      <w:lang w:val="en-US" w:eastAsia="zh-CN"/>
                    </w:rPr>
                    <w:t>侧</w:t>
                  </w:r>
                </w:p>
              </w:tc>
            </w:tr>
            <w:tr w14:paraId="5EBAC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vMerge w:val="restart"/>
                  <w:vAlign w:val="center"/>
                </w:tcPr>
                <w:p w14:paraId="78E96E3A">
                  <w:pPr>
                    <w:spacing w:line="320" w:lineRule="exact"/>
                    <w:jc w:val="center"/>
                    <w:rPr>
                      <w:szCs w:val="21"/>
                    </w:rPr>
                  </w:pPr>
                  <w:r>
                    <w:rPr>
                      <w:szCs w:val="21"/>
                    </w:rPr>
                    <w:t>公用</w:t>
                  </w:r>
                </w:p>
                <w:p w14:paraId="2E368E66">
                  <w:pPr>
                    <w:spacing w:line="320" w:lineRule="exact"/>
                    <w:jc w:val="center"/>
                    <w:rPr>
                      <w:szCs w:val="21"/>
                    </w:rPr>
                  </w:pPr>
                  <w:r>
                    <w:rPr>
                      <w:szCs w:val="21"/>
                    </w:rPr>
                    <w:t>工程</w:t>
                  </w:r>
                </w:p>
              </w:tc>
              <w:tc>
                <w:tcPr>
                  <w:tcW w:w="1503" w:type="pct"/>
                  <w:gridSpan w:val="2"/>
                  <w:vAlign w:val="center"/>
                </w:tcPr>
                <w:p w14:paraId="7E01A51C">
                  <w:pPr>
                    <w:spacing w:line="320" w:lineRule="exact"/>
                    <w:jc w:val="center"/>
                    <w:rPr>
                      <w:szCs w:val="21"/>
                    </w:rPr>
                  </w:pPr>
                  <w:r>
                    <w:rPr>
                      <w:szCs w:val="21"/>
                    </w:rPr>
                    <w:t>供配电系统</w:t>
                  </w:r>
                </w:p>
              </w:tc>
              <w:tc>
                <w:tcPr>
                  <w:tcW w:w="824" w:type="pct"/>
                  <w:vAlign w:val="center"/>
                </w:tcPr>
                <w:p w14:paraId="20281D02">
                  <w:pPr>
                    <w:spacing w:line="320" w:lineRule="exact"/>
                    <w:jc w:val="center"/>
                    <w:rPr>
                      <w:szCs w:val="21"/>
                    </w:rPr>
                  </w:pPr>
                  <w:r>
                    <w:rPr>
                      <w:rFonts w:hint="eastAsia"/>
                      <w:szCs w:val="21"/>
                    </w:rPr>
                    <w:t>250</w:t>
                  </w:r>
                  <w:r>
                    <w:rPr>
                      <w:szCs w:val="21"/>
                    </w:rPr>
                    <w:t>万kWh/a</w:t>
                  </w:r>
                </w:p>
              </w:tc>
              <w:tc>
                <w:tcPr>
                  <w:tcW w:w="2053" w:type="pct"/>
                  <w:gridSpan w:val="2"/>
                  <w:vAlign w:val="center"/>
                </w:tcPr>
                <w:p w14:paraId="3DED96B1">
                  <w:pPr>
                    <w:spacing w:line="320" w:lineRule="exact"/>
                    <w:jc w:val="center"/>
                    <w:rPr>
                      <w:szCs w:val="21"/>
                    </w:rPr>
                  </w:pPr>
                  <w:r>
                    <w:rPr>
                      <w:szCs w:val="21"/>
                    </w:rPr>
                    <w:t>市政电网供给</w:t>
                  </w:r>
                </w:p>
              </w:tc>
            </w:tr>
            <w:tr w14:paraId="7A1DA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vMerge w:val="continue"/>
                  <w:vAlign w:val="center"/>
                </w:tcPr>
                <w:p w14:paraId="3EEF1F06">
                  <w:pPr>
                    <w:spacing w:line="320" w:lineRule="exact"/>
                    <w:rPr>
                      <w:color w:val="FF0000"/>
                      <w:szCs w:val="21"/>
                    </w:rPr>
                  </w:pPr>
                </w:p>
              </w:tc>
              <w:tc>
                <w:tcPr>
                  <w:tcW w:w="1503" w:type="pct"/>
                  <w:gridSpan w:val="2"/>
                  <w:vAlign w:val="center"/>
                </w:tcPr>
                <w:p w14:paraId="7685EE1C">
                  <w:pPr>
                    <w:spacing w:line="320" w:lineRule="exact"/>
                    <w:jc w:val="center"/>
                    <w:rPr>
                      <w:szCs w:val="21"/>
                    </w:rPr>
                  </w:pPr>
                  <w:r>
                    <w:rPr>
                      <w:szCs w:val="21"/>
                    </w:rPr>
                    <w:t>给水系统</w:t>
                  </w:r>
                </w:p>
              </w:tc>
              <w:tc>
                <w:tcPr>
                  <w:tcW w:w="824" w:type="pct"/>
                  <w:vAlign w:val="center"/>
                </w:tcPr>
                <w:p w14:paraId="0B0CAC93">
                  <w:pPr>
                    <w:spacing w:line="320" w:lineRule="exact"/>
                    <w:jc w:val="center"/>
                    <w:rPr>
                      <w:szCs w:val="21"/>
                    </w:rPr>
                  </w:pPr>
                  <w:r>
                    <w:rPr>
                      <w:rFonts w:hint="eastAsia"/>
                      <w:szCs w:val="21"/>
                      <w:lang w:eastAsia="zh-CN"/>
                    </w:rPr>
                    <w:t>28</w:t>
                  </w:r>
                  <w:r>
                    <w:rPr>
                      <w:rFonts w:hint="eastAsia"/>
                      <w:szCs w:val="21"/>
                      <w:lang w:val="en-US" w:eastAsia="zh-CN"/>
                    </w:rPr>
                    <w:t>0</w:t>
                  </w:r>
                  <w:r>
                    <w:rPr>
                      <w:rFonts w:hint="eastAsia"/>
                      <w:szCs w:val="21"/>
                      <w:lang w:eastAsia="zh-CN"/>
                    </w:rPr>
                    <w:t>0</w:t>
                  </w:r>
                  <w:r>
                    <w:rPr>
                      <w:rFonts w:hint="eastAsia"/>
                      <w:szCs w:val="21"/>
                    </w:rPr>
                    <w:t>m</w:t>
                  </w:r>
                  <w:r>
                    <w:rPr>
                      <w:rFonts w:hint="eastAsia"/>
                      <w:szCs w:val="21"/>
                      <w:vertAlign w:val="superscript"/>
                    </w:rPr>
                    <w:t>3</w:t>
                  </w:r>
                  <w:r>
                    <w:rPr>
                      <w:szCs w:val="21"/>
                    </w:rPr>
                    <w:t>/a</w:t>
                  </w:r>
                </w:p>
              </w:tc>
              <w:tc>
                <w:tcPr>
                  <w:tcW w:w="2053" w:type="pct"/>
                  <w:gridSpan w:val="2"/>
                  <w:vAlign w:val="center"/>
                </w:tcPr>
                <w:p w14:paraId="00453562">
                  <w:pPr>
                    <w:spacing w:line="320" w:lineRule="exact"/>
                    <w:jc w:val="center"/>
                    <w:rPr>
                      <w:szCs w:val="21"/>
                    </w:rPr>
                  </w:pPr>
                  <w:r>
                    <w:rPr>
                      <w:szCs w:val="21"/>
                    </w:rPr>
                    <w:t>区域给水管网</w:t>
                  </w:r>
                </w:p>
              </w:tc>
            </w:tr>
            <w:tr w14:paraId="1CFAA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vMerge w:val="continue"/>
                  <w:vAlign w:val="center"/>
                </w:tcPr>
                <w:p w14:paraId="5F0F7AB8">
                  <w:pPr>
                    <w:spacing w:line="320" w:lineRule="exact"/>
                    <w:rPr>
                      <w:color w:val="FF0000"/>
                      <w:szCs w:val="21"/>
                    </w:rPr>
                  </w:pPr>
                </w:p>
              </w:tc>
              <w:tc>
                <w:tcPr>
                  <w:tcW w:w="1503" w:type="pct"/>
                  <w:gridSpan w:val="2"/>
                  <w:vAlign w:val="center"/>
                </w:tcPr>
                <w:p w14:paraId="6FE3E066">
                  <w:pPr>
                    <w:spacing w:line="320" w:lineRule="exact"/>
                    <w:jc w:val="center"/>
                    <w:rPr>
                      <w:szCs w:val="21"/>
                    </w:rPr>
                  </w:pPr>
                  <w:r>
                    <w:rPr>
                      <w:szCs w:val="21"/>
                    </w:rPr>
                    <w:t>排水系统</w:t>
                  </w:r>
                </w:p>
              </w:tc>
              <w:tc>
                <w:tcPr>
                  <w:tcW w:w="824" w:type="pct"/>
                  <w:vAlign w:val="center"/>
                </w:tcPr>
                <w:p w14:paraId="1424970D">
                  <w:pPr>
                    <w:spacing w:line="320" w:lineRule="exact"/>
                    <w:jc w:val="center"/>
                    <w:rPr>
                      <w:szCs w:val="21"/>
                    </w:rPr>
                  </w:pPr>
                  <w:r>
                    <w:rPr>
                      <w:rFonts w:hint="eastAsia"/>
                      <w:szCs w:val="21"/>
                    </w:rPr>
                    <w:t>2040m</w:t>
                  </w:r>
                  <w:r>
                    <w:rPr>
                      <w:rFonts w:hint="eastAsia"/>
                      <w:szCs w:val="21"/>
                      <w:vertAlign w:val="superscript"/>
                    </w:rPr>
                    <w:t>3</w:t>
                  </w:r>
                  <w:r>
                    <w:rPr>
                      <w:szCs w:val="21"/>
                    </w:rPr>
                    <w:t>/a</w:t>
                  </w:r>
                </w:p>
              </w:tc>
              <w:tc>
                <w:tcPr>
                  <w:tcW w:w="2053" w:type="pct"/>
                  <w:gridSpan w:val="2"/>
                  <w:vAlign w:val="center"/>
                </w:tcPr>
                <w:p w14:paraId="5AC39A13">
                  <w:pPr>
                    <w:spacing w:line="320" w:lineRule="exact"/>
                    <w:jc w:val="center"/>
                    <w:rPr>
                      <w:szCs w:val="21"/>
                    </w:rPr>
                  </w:pPr>
                  <w:r>
                    <w:rPr>
                      <w:szCs w:val="21"/>
                    </w:rPr>
                    <w:t>生活污水依托出租方厂内污水管网收集后接入市政污水管网</w:t>
                  </w:r>
                  <w:r>
                    <w:rPr>
                      <w:rFonts w:hint="eastAsia"/>
                      <w:szCs w:val="21"/>
                    </w:rPr>
                    <w:t>进入金坛区溪城污水处理有限公司</w:t>
                  </w:r>
                  <w:r>
                    <w:rPr>
                      <w:szCs w:val="21"/>
                    </w:rPr>
                    <w:t>集中处理，达标尾水排入</w:t>
                  </w:r>
                  <w:r>
                    <w:rPr>
                      <w:rFonts w:hint="eastAsia"/>
                      <w:szCs w:val="21"/>
                    </w:rPr>
                    <w:t>通济河</w:t>
                  </w:r>
                </w:p>
              </w:tc>
            </w:tr>
            <w:tr w14:paraId="444C5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vMerge w:val="continue"/>
                  <w:vAlign w:val="center"/>
                </w:tcPr>
                <w:p w14:paraId="5715F89E">
                  <w:pPr>
                    <w:spacing w:line="320" w:lineRule="exact"/>
                    <w:jc w:val="center"/>
                    <w:rPr>
                      <w:color w:val="FF0000"/>
                    </w:rPr>
                  </w:pPr>
                </w:p>
              </w:tc>
              <w:tc>
                <w:tcPr>
                  <w:tcW w:w="1503" w:type="pct"/>
                  <w:gridSpan w:val="2"/>
                  <w:vAlign w:val="center"/>
                </w:tcPr>
                <w:p w14:paraId="00EF9CEB">
                  <w:pPr>
                    <w:spacing w:line="320" w:lineRule="exact"/>
                    <w:jc w:val="center"/>
                    <w:rPr>
                      <w:szCs w:val="21"/>
                    </w:rPr>
                  </w:pPr>
                  <w:r>
                    <w:rPr>
                      <w:rFonts w:hint="eastAsia"/>
                      <w:szCs w:val="21"/>
                    </w:rPr>
                    <w:t>供气系统</w:t>
                  </w:r>
                </w:p>
              </w:tc>
              <w:tc>
                <w:tcPr>
                  <w:tcW w:w="824" w:type="pct"/>
                  <w:vAlign w:val="center"/>
                </w:tcPr>
                <w:p w14:paraId="03639CD8">
                  <w:pPr>
                    <w:pStyle w:val="112"/>
                    <w:spacing w:line="320" w:lineRule="exact"/>
                    <w:rPr>
                      <w:rFonts w:ascii="Times New Roman" w:eastAsia="宋体"/>
                      <w:szCs w:val="21"/>
                    </w:rPr>
                  </w:pPr>
                  <w:r>
                    <w:rPr>
                      <w:rFonts w:hint="eastAsia" w:ascii="Times New Roman" w:eastAsia="宋体"/>
                    </w:rPr>
                    <w:t>6万</w:t>
                  </w:r>
                  <w:r>
                    <w:rPr>
                      <w:rFonts w:ascii="Times New Roman" w:eastAsia="宋体"/>
                    </w:rPr>
                    <w:t>m</w:t>
                  </w:r>
                  <w:r>
                    <w:rPr>
                      <w:rFonts w:ascii="Times New Roman" w:eastAsia="宋体"/>
                      <w:vertAlign w:val="superscript"/>
                    </w:rPr>
                    <w:t>3</w:t>
                  </w:r>
                  <w:r>
                    <w:rPr>
                      <w:rFonts w:ascii="Times New Roman" w:eastAsia="宋体"/>
                    </w:rPr>
                    <w:t>/</w:t>
                  </w:r>
                  <w:r>
                    <w:rPr>
                      <w:rFonts w:hint="eastAsia" w:ascii="Times New Roman" w:eastAsia="宋体"/>
                    </w:rPr>
                    <w:t>a</w:t>
                  </w:r>
                </w:p>
              </w:tc>
              <w:tc>
                <w:tcPr>
                  <w:tcW w:w="2053" w:type="pct"/>
                  <w:gridSpan w:val="2"/>
                  <w:vAlign w:val="center"/>
                </w:tcPr>
                <w:p w14:paraId="1F84CA29">
                  <w:pPr>
                    <w:spacing w:line="320" w:lineRule="exact"/>
                    <w:jc w:val="center"/>
                    <w:rPr>
                      <w:szCs w:val="21"/>
                    </w:rPr>
                  </w:pPr>
                  <w:r>
                    <w:t>由区域供气供给</w:t>
                  </w:r>
                </w:p>
              </w:tc>
            </w:tr>
            <w:tr w14:paraId="0500E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163" w:type="pct"/>
                  <w:vMerge w:val="restart"/>
                  <w:vAlign w:val="center"/>
                </w:tcPr>
                <w:p w14:paraId="3F65D434">
                  <w:pPr>
                    <w:spacing w:line="320" w:lineRule="exact"/>
                    <w:jc w:val="center"/>
                    <w:rPr>
                      <w:szCs w:val="21"/>
                    </w:rPr>
                  </w:pPr>
                  <w:r>
                    <w:rPr>
                      <w:szCs w:val="21"/>
                    </w:rPr>
                    <w:t>环保工程</w:t>
                  </w:r>
                </w:p>
              </w:tc>
              <w:tc>
                <w:tcPr>
                  <w:tcW w:w="456" w:type="pct"/>
                  <w:vMerge w:val="restart"/>
                  <w:vAlign w:val="center"/>
                </w:tcPr>
                <w:p w14:paraId="408A9FF7">
                  <w:pPr>
                    <w:spacing w:line="320" w:lineRule="exact"/>
                    <w:jc w:val="center"/>
                    <w:rPr>
                      <w:szCs w:val="21"/>
                    </w:rPr>
                  </w:pPr>
                  <w:r>
                    <w:rPr>
                      <w:szCs w:val="21"/>
                    </w:rPr>
                    <w:t>废气</w:t>
                  </w:r>
                </w:p>
              </w:tc>
              <w:tc>
                <w:tcPr>
                  <w:tcW w:w="802" w:type="pct"/>
                  <w:shd w:val="clear" w:color="auto" w:fill="auto"/>
                  <w:vAlign w:val="center"/>
                </w:tcPr>
                <w:p w14:paraId="21278EBD">
                  <w:pPr>
                    <w:widowControl/>
                    <w:spacing w:line="320" w:lineRule="exact"/>
                    <w:jc w:val="center"/>
                    <w:textAlignment w:val="center"/>
                    <w:rPr>
                      <w:rFonts w:hint="eastAsia" w:ascii="Times New Roman" w:hAnsi="Times New Roman" w:eastAsia="宋体" w:cs="Times New Roman"/>
                      <w:kern w:val="0"/>
                      <w:sz w:val="21"/>
                      <w:szCs w:val="21"/>
                      <w:highlight w:val="none"/>
                      <w:lang w:val="en-US" w:eastAsia="zh-CN" w:bidi="ar"/>
                    </w:rPr>
                  </w:pPr>
                  <w:r>
                    <w:rPr>
                      <w:rFonts w:hint="eastAsia"/>
                      <w:kern w:val="0"/>
                      <w:szCs w:val="21"/>
                      <w:highlight w:val="none"/>
                      <w:lang w:val="en-US" w:eastAsia="zh-CN" w:bidi="ar"/>
                    </w:rPr>
                    <w:t>TA001</w:t>
                  </w:r>
                  <w:r>
                    <w:rPr>
                      <w:rFonts w:hint="eastAsia"/>
                      <w:kern w:val="0"/>
                      <w:szCs w:val="21"/>
                      <w:highlight w:val="none"/>
                      <w:lang w:eastAsia="zh-CN" w:bidi="ar"/>
                    </w:rPr>
                    <w:t>布袋除尘器</w:t>
                  </w:r>
                </w:p>
              </w:tc>
              <w:tc>
                <w:tcPr>
                  <w:tcW w:w="701" w:type="pct"/>
                  <w:vMerge w:val="restart"/>
                  <w:shd w:val="clear" w:color="auto" w:fill="auto"/>
                  <w:vAlign w:val="center"/>
                </w:tcPr>
                <w:p w14:paraId="059BB17F">
                  <w:pPr>
                    <w:widowControl/>
                    <w:spacing w:line="320" w:lineRule="exact"/>
                    <w:jc w:val="center"/>
                    <w:textAlignment w:val="center"/>
                    <w:rPr>
                      <w:rFonts w:hint="eastAsia" w:ascii="Times New Roman" w:hAnsi="Times New Roman" w:eastAsia="宋体" w:cs="Times New Roman"/>
                      <w:kern w:val="0"/>
                      <w:sz w:val="21"/>
                      <w:szCs w:val="21"/>
                      <w:highlight w:val="none"/>
                      <w:lang w:val="en-US" w:eastAsia="zh-CN" w:bidi="ar"/>
                    </w:rPr>
                  </w:pPr>
                  <w:r>
                    <w:rPr>
                      <w:kern w:val="0"/>
                      <w:szCs w:val="21"/>
                      <w:highlight w:val="none"/>
                      <w:lang w:bidi="ar"/>
                    </w:rPr>
                    <w:t>15m高排气筒</w:t>
                  </w:r>
                  <w:r>
                    <w:rPr>
                      <w:rFonts w:hint="eastAsia"/>
                      <w:kern w:val="0"/>
                      <w:szCs w:val="21"/>
                      <w:highlight w:val="none"/>
                      <w:lang w:eastAsia="zh-CN" w:bidi="ar"/>
                    </w:rPr>
                    <w:t>（</w:t>
                  </w:r>
                  <w:r>
                    <w:rPr>
                      <w:rFonts w:hint="eastAsia"/>
                      <w:kern w:val="0"/>
                      <w:szCs w:val="21"/>
                      <w:highlight w:val="none"/>
                      <w:lang w:val="en-US" w:eastAsia="zh-CN" w:bidi="ar"/>
                    </w:rPr>
                    <w:t>DA001</w:t>
                  </w:r>
                  <w:r>
                    <w:rPr>
                      <w:rFonts w:hint="eastAsia"/>
                      <w:kern w:val="0"/>
                      <w:szCs w:val="21"/>
                      <w:highlight w:val="none"/>
                      <w:lang w:eastAsia="zh-CN" w:bidi="ar"/>
                    </w:rPr>
                    <w:t>）</w:t>
                  </w:r>
                </w:p>
              </w:tc>
              <w:tc>
                <w:tcPr>
                  <w:tcW w:w="824" w:type="pct"/>
                  <w:vMerge w:val="restart"/>
                  <w:shd w:val="clear" w:color="auto" w:fill="auto"/>
                  <w:vAlign w:val="center"/>
                </w:tcPr>
                <w:p w14:paraId="6DE640E7">
                  <w:pPr>
                    <w:widowControl/>
                    <w:jc w:val="center"/>
                    <w:textAlignment w:val="center"/>
                    <w:rPr>
                      <w:rFonts w:ascii="Times New Roman" w:hAnsi="Times New Roman" w:eastAsia="宋体" w:cs="Times New Roman"/>
                      <w:kern w:val="0"/>
                      <w:sz w:val="21"/>
                      <w:szCs w:val="21"/>
                      <w:highlight w:val="none"/>
                      <w:lang w:val="en-US" w:eastAsia="zh-CN" w:bidi="ar"/>
                    </w:rPr>
                  </w:pPr>
                  <w:r>
                    <w:rPr>
                      <w:rFonts w:hint="eastAsia"/>
                      <w:szCs w:val="21"/>
                      <w:highlight w:val="none"/>
                    </w:rPr>
                    <w:t>100</w:t>
                  </w:r>
                  <w:r>
                    <w:rPr>
                      <w:szCs w:val="21"/>
                      <w:highlight w:val="none"/>
                    </w:rPr>
                    <w:t>00m</w:t>
                  </w:r>
                  <w:r>
                    <w:rPr>
                      <w:szCs w:val="21"/>
                      <w:highlight w:val="none"/>
                      <w:vertAlign w:val="superscript"/>
                    </w:rPr>
                    <w:t>3</w:t>
                  </w:r>
                  <w:r>
                    <w:rPr>
                      <w:szCs w:val="21"/>
                      <w:highlight w:val="none"/>
                    </w:rPr>
                    <w:t>/h</w:t>
                  </w:r>
                </w:p>
              </w:tc>
              <w:tc>
                <w:tcPr>
                  <w:tcW w:w="2053" w:type="pct"/>
                  <w:gridSpan w:val="2"/>
                  <w:vMerge w:val="restart"/>
                  <w:shd w:val="clear" w:color="auto" w:fill="auto"/>
                  <w:vAlign w:val="center"/>
                </w:tcPr>
                <w:p w14:paraId="1A2EF08C">
                  <w:pPr>
                    <w:widowControl/>
                    <w:spacing w:line="320" w:lineRule="exact"/>
                    <w:jc w:val="center"/>
                    <w:textAlignment w:val="center"/>
                    <w:rPr>
                      <w:rFonts w:ascii="Times New Roman" w:hAnsi="Times New Roman" w:eastAsia="宋体" w:cs="Times New Roman"/>
                      <w:kern w:val="2"/>
                      <w:sz w:val="21"/>
                      <w:szCs w:val="21"/>
                      <w:highlight w:val="none"/>
                      <w:lang w:val="en-US" w:eastAsia="zh-CN" w:bidi="ar-SA"/>
                    </w:rPr>
                  </w:pPr>
                  <w:r>
                    <w:rPr>
                      <w:rFonts w:hint="eastAsia"/>
                      <w:szCs w:val="21"/>
                      <w:highlight w:val="none"/>
                    </w:rPr>
                    <w:t>调配</w:t>
                  </w:r>
                  <w:r>
                    <w:rPr>
                      <w:rFonts w:hint="eastAsia"/>
                      <w:szCs w:val="21"/>
                      <w:highlight w:val="none"/>
                      <w:lang w:val="en-US" w:eastAsia="zh-CN"/>
                    </w:rPr>
                    <w:t>废气</w:t>
                  </w:r>
                  <w:r>
                    <w:rPr>
                      <w:rFonts w:hint="eastAsia"/>
                      <w:szCs w:val="21"/>
                      <w:highlight w:val="none"/>
                    </w:rPr>
                    <w:t>经</w:t>
                  </w:r>
                  <w:r>
                    <w:rPr>
                      <w:rFonts w:hint="eastAsia"/>
                      <w:szCs w:val="21"/>
                      <w:highlight w:val="none"/>
                      <w:lang w:val="en-US" w:eastAsia="zh-CN"/>
                    </w:rPr>
                    <w:t>TA001</w:t>
                  </w:r>
                  <w:r>
                    <w:rPr>
                      <w:rFonts w:hint="eastAsia"/>
                      <w:szCs w:val="21"/>
                      <w:highlight w:val="none"/>
                    </w:rPr>
                    <w:t>布袋除尘器处理后</w:t>
                  </w:r>
                  <w:r>
                    <w:rPr>
                      <w:rFonts w:hint="eastAsia"/>
                      <w:szCs w:val="21"/>
                      <w:highlight w:val="none"/>
                      <w:lang w:eastAsia="zh-CN"/>
                    </w:rPr>
                    <w:t>，</w:t>
                  </w:r>
                  <w:r>
                    <w:rPr>
                      <w:rFonts w:hint="eastAsia"/>
                      <w:szCs w:val="21"/>
                      <w:highlight w:val="none"/>
                      <w:lang w:val="en-US" w:eastAsia="zh-CN"/>
                    </w:rPr>
                    <w:t>与</w:t>
                  </w:r>
                  <w:r>
                    <w:rPr>
                      <w:rFonts w:hint="eastAsia"/>
                      <w:szCs w:val="21"/>
                      <w:highlight w:val="none"/>
                    </w:rPr>
                    <w:t>背胶</w:t>
                  </w:r>
                  <w:r>
                    <w:rPr>
                      <w:rFonts w:hint="eastAsia"/>
                      <w:szCs w:val="21"/>
                      <w:highlight w:val="none"/>
                      <w:lang w:val="en-US" w:eastAsia="zh-CN"/>
                    </w:rPr>
                    <w:t>、</w:t>
                  </w:r>
                  <w:r>
                    <w:rPr>
                      <w:rFonts w:hint="eastAsia"/>
                      <w:szCs w:val="21"/>
                      <w:highlight w:val="none"/>
                    </w:rPr>
                    <w:t>烘</w:t>
                  </w:r>
                  <w:r>
                    <w:rPr>
                      <w:rFonts w:hint="eastAsia"/>
                      <w:color w:val="auto"/>
                      <w:szCs w:val="21"/>
                      <w:highlight w:val="none"/>
                    </w:rPr>
                    <w:t>干</w:t>
                  </w:r>
                  <w:r>
                    <w:rPr>
                      <w:rFonts w:hint="eastAsia"/>
                      <w:color w:val="auto"/>
                      <w:szCs w:val="21"/>
                      <w:highlight w:val="none"/>
                      <w:lang w:val="en-US" w:eastAsia="zh-CN"/>
                    </w:rPr>
                    <w:t>、天然气燃烧和危废</w:t>
                  </w:r>
                  <w:r>
                    <w:rPr>
                      <w:rFonts w:hint="eastAsia"/>
                      <w:color w:val="auto"/>
                      <w:szCs w:val="21"/>
                      <w:highlight w:val="none"/>
                    </w:rPr>
                    <w:t>废气</w:t>
                  </w:r>
                  <w:r>
                    <w:rPr>
                      <w:rFonts w:hint="eastAsia"/>
                      <w:color w:val="auto"/>
                      <w:szCs w:val="21"/>
                      <w:highlight w:val="none"/>
                      <w:lang w:val="en-US" w:eastAsia="zh-CN"/>
                    </w:rPr>
                    <w:t>一起</w:t>
                  </w:r>
                  <w:r>
                    <w:rPr>
                      <w:rFonts w:hint="eastAsia"/>
                      <w:color w:val="auto"/>
                      <w:szCs w:val="21"/>
                      <w:highlight w:val="none"/>
                    </w:rPr>
                    <w:t>经</w:t>
                  </w:r>
                  <w:r>
                    <w:rPr>
                      <w:rFonts w:hint="eastAsia"/>
                      <w:color w:val="auto"/>
                      <w:szCs w:val="21"/>
                      <w:highlight w:val="none"/>
                      <w:lang w:val="en-US" w:eastAsia="zh-CN"/>
                    </w:rPr>
                    <w:t>TA002除水器+</w:t>
                  </w:r>
                  <w:r>
                    <w:rPr>
                      <w:rFonts w:hint="eastAsia"/>
                      <w:color w:val="auto"/>
                      <w:szCs w:val="21"/>
                      <w:highlight w:val="none"/>
                    </w:rPr>
                    <w:t>二级活性炭吸附装置处理</w:t>
                  </w:r>
                  <w:r>
                    <w:rPr>
                      <w:rFonts w:hint="eastAsia"/>
                      <w:szCs w:val="21"/>
                      <w:highlight w:val="none"/>
                    </w:rPr>
                    <w:t>后通过一根15m高</w:t>
                  </w:r>
                  <w:r>
                    <w:rPr>
                      <w:rFonts w:hint="eastAsia"/>
                      <w:szCs w:val="21"/>
                      <w:highlight w:val="none"/>
                      <w:lang w:val="en-US" w:eastAsia="zh-CN"/>
                    </w:rPr>
                    <w:t>DA001</w:t>
                  </w:r>
                  <w:r>
                    <w:rPr>
                      <w:rFonts w:hint="eastAsia"/>
                      <w:szCs w:val="21"/>
                      <w:highlight w:val="none"/>
                    </w:rPr>
                    <w:t>排气筒排放</w:t>
                  </w:r>
                </w:p>
              </w:tc>
            </w:tr>
            <w:tr w14:paraId="32CED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163" w:type="pct"/>
                  <w:vMerge w:val="continue"/>
                  <w:vAlign w:val="center"/>
                </w:tcPr>
                <w:p w14:paraId="0F20A070">
                  <w:pPr>
                    <w:spacing w:line="320" w:lineRule="exact"/>
                    <w:jc w:val="center"/>
                    <w:rPr>
                      <w:szCs w:val="21"/>
                    </w:rPr>
                  </w:pPr>
                </w:p>
              </w:tc>
              <w:tc>
                <w:tcPr>
                  <w:tcW w:w="456" w:type="pct"/>
                  <w:vMerge w:val="continue"/>
                  <w:vAlign w:val="center"/>
                </w:tcPr>
                <w:p w14:paraId="71B7B1BD">
                  <w:pPr>
                    <w:spacing w:line="320" w:lineRule="exact"/>
                    <w:jc w:val="center"/>
                    <w:rPr>
                      <w:szCs w:val="21"/>
                    </w:rPr>
                  </w:pPr>
                </w:p>
              </w:tc>
              <w:tc>
                <w:tcPr>
                  <w:tcW w:w="802" w:type="pct"/>
                  <w:shd w:val="clear" w:color="auto" w:fill="auto"/>
                  <w:vAlign w:val="center"/>
                </w:tcPr>
                <w:p w14:paraId="2F2AA3AF">
                  <w:pPr>
                    <w:widowControl/>
                    <w:spacing w:line="320" w:lineRule="exact"/>
                    <w:jc w:val="center"/>
                    <w:textAlignment w:val="center"/>
                    <w:rPr>
                      <w:rFonts w:hint="eastAsia" w:ascii="Times New Roman" w:hAnsi="Times New Roman" w:eastAsia="宋体" w:cs="Times New Roman"/>
                      <w:kern w:val="0"/>
                      <w:sz w:val="21"/>
                      <w:szCs w:val="21"/>
                      <w:highlight w:val="none"/>
                      <w:lang w:val="en-US" w:eastAsia="zh-CN" w:bidi="ar"/>
                    </w:rPr>
                  </w:pPr>
                  <w:r>
                    <w:rPr>
                      <w:rFonts w:hint="eastAsia"/>
                      <w:kern w:val="0"/>
                      <w:szCs w:val="21"/>
                      <w:highlight w:val="none"/>
                      <w:lang w:val="en-US" w:eastAsia="zh-CN" w:bidi="ar"/>
                    </w:rPr>
                    <w:t>TA002除水器+</w:t>
                  </w:r>
                  <w:r>
                    <w:rPr>
                      <w:rFonts w:hint="eastAsia"/>
                      <w:kern w:val="0"/>
                      <w:szCs w:val="21"/>
                      <w:highlight w:val="none"/>
                      <w:lang w:bidi="ar"/>
                    </w:rPr>
                    <w:t>二级活性炭吸附装置</w:t>
                  </w:r>
                </w:p>
              </w:tc>
              <w:tc>
                <w:tcPr>
                  <w:tcW w:w="701" w:type="pct"/>
                  <w:vMerge w:val="continue"/>
                  <w:shd w:val="clear" w:color="auto" w:fill="auto"/>
                  <w:vAlign w:val="center"/>
                </w:tcPr>
                <w:p w14:paraId="72E873DB">
                  <w:pPr>
                    <w:widowControl/>
                    <w:spacing w:line="320" w:lineRule="exact"/>
                    <w:jc w:val="center"/>
                    <w:textAlignment w:val="center"/>
                    <w:rPr>
                      <w:rFonts w:hint="default" w:ascii="Times New Roman" w:hAnsi="Times New Roman" w:eastAsia="宋体" w:cs="Times New Roman"/>
                      <w:kern w:val="0"/>
                      <w:sz w:val="21"/>
                      <w:szCs w:val="21"/>
                      <w:highlight w:val="none"/>
                      <w:lang w:val="en-US" w:eastAsia="zh-CN" w:bidi="ar"/>
                    </w:rPr>
                  </w:pPr>
                </w:p>
              </w:tc>
              <w:tc>
                <w:tcPr>
                  <w:tcW w:w="824" w:type="pct"/>
                  <w:vMerge w:val="continue"/>
                  <w:shd w:val="clear" w:color="auto" w:fill="auto"/>
                  <w:vAlign w:val="center"/>
                </w:tcPr>
                <w:p w14:paraId="11D64C84">
                  <w:pPr>
                    <w:widowControl/>
                    <w:jc w:val="center"/>
                    <w:textAlignment w:val="center"/>
                    <w:rPr>
                      <w:rFonts w:ascii="Times New Roman" w:hAnsi="Times New Roman" w:eastAsia="宋体" w:cs="Times New Roman"/>
                      <w:kern w:val="0"/>
                      <w:sz w:val="21"/>
                      <w:szCs w:val="21"/>
                      <w:highlight w:val="none"/>
                      <w:lang w:val="en-US" w:eastAsia="zh-CN" w:bidi="ar"/>
                    </w:rPr>
                  </w:pPr>
                </w:p>
              </w:tc>
              <w:tc>
                <w:tcPr>
                  <w:tcW w:w="2053" w:type="pct"/>
                  <w:gridSpan w:val="2"/>
                  <w:vMerge w:val="continue"/>
                  <w:shd w:val="clear" w:color="auto" w:fill="auto"/>
                  <w:vAlign w:val="center"/>
                </w:tcPr>
                <w:p w14:paraId="6542128E">
                  <w:pPr>
                    <w:widowControl/>
                    <w:spacing w:line="320" w:lineRule="exact"/>
                    <w:jc w:val="center"/>
                    <w:textAlignment w:val="center"/>
                    <w:rPr>
                      <w:rFonts w:ascii="Times New Roman" w:hAnsi="Times New Roman" w:eastAsia="宋体" w:cs="Times New Roman"/>
                      <w:kern w:val="2"/>
                      <w:sz w:val="21"/>
                      <w:szCs w:val="21"/>
                      <w:highlight w:val="none"/>
                      <w:lang w:val="en-US" w:eastAsia="zh-CN" w:bidi="ar-SA"/>
                    </w:rPr>
                  </w:pPr>
                </w:p>
              </w:tc>
            </w:tr>
            <w:tr w14:paraId="71E10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163" w:type="pct"/>
                  <w:vMerge w:val="continue"/>
                  <w:vAlign w:val="center"/>
                </w:tcPr>
                <w:p w14:paraId="4EB3E151">
                  <w:pPr>
                    <w:spacing w:line="320" w:lineRule="exact"/>
                    <w:jc w:val="center"/>
                    <w:rPr>
                      <w:szCs w:val="21"/>
                    </w:rPr>
                  </w:pPr>
                </w:p>
              </w:tc>
              <w:tc>
                <w:tcPr>
                  <w:tcW w:w="456" w:type="pct"/>
                  <w:vAlign w:val="center"/>
                </w:tcPr>
                <w:p w14:paraId="5F6F1626">
                  <w:pPr>
                    <w:spacing w:line="320" w:lineRule="exact"/>
                    <w:jc w:val="center"/>
                    <w:rPr>
                      <w:rFonts w:hint="eastAsia" w:eastAsia="宋体"/>
                      <w:szCs w:val="21"/>
                      <w:lang w:val="en-US" w:eastAsia="zh-CN"/>
                    </w:rPr>
                  </w:pPr>
                  <w:r>
                    <w:rPr>
                      <w:rFonts w:hint="eastAsia"/>
                      <w:szCs w:val="21"/>
                      <w:lang w:val="en-US" w:eastAsia="zh-CN"/>
                    </w:rPr>
                    <w:t>废水</w:t>
                  </w:r>
                </w:p>
              </w:tc>
              <w:tc>
                <w:tcPr>
                  <w:tcW w:w="1503" w:type="pct"/>
                  <w:gridSpan w:val="2"/>
                  <w:shd w:val="clear" w:color="auto" w:fill="auto"/>
                  <w:vAlign w:val="center"/>
                </w:tcPr>
                <w:p w14:paraId="549BC2A4">
                  <w:pPr>
                    <w:widowControl/>
                    <w:spacing w:line="320" w:lineRule="exact"/>
                    <w:jc w:val="center"/>
                    <w:textAlignment w:val="center"/>
                    <w:rPr>
                      <w:rFonts w:hint="eastAsia" w:eastAsia="宋体"/>
                      <w:kern w:val="0"/>
                      <w:szCs w:val="21"/>
                      <w:lang w:val="en-US" w:eastAsia="zh-CN" w:bidi="ar"/>
                    </w:rPr>
                  </w:pPr>
                  <w:r>
                    <w:rPr>
                      <w:rFonts w:hint="eastAsia"/>
                      <w:kern w:val="0"/>
                      <w:szCs w:val="21"/>
                      <w:lang w:val="en-US" w:eastAsia="zh-CN" w:bidi="ar"/>
                    </w:rPr>
                    <w:t>生活污水</w:t>
                  </w:r>
                </w:p>
              </w:tc>
              <w:tc>
                <w:tcPr>
                  <w:tcW w:w="824" w:type="pct"/>
                  <w:shd w:val="clear" w:color="auto" w:fill="auto"/>
                  <w:vAlign w:val="center"/>
                </w:tcPr>
                <w:p w14:paraId="30AE372E">
                  <w:pPr>
                    <w:widowControl/>
                    <w:jc w:val="center"/>
                    <w:textAlignment w:val="center"/>
                    <w:rPr>
                      <w:rFonts w:hint="default" w:eastAsia="宋体"/>
                      <w:szCs w:val="21"/>
                      <w:lang w:val="en-US" w:eastAsia="zh-CN"/>
                    </w:rPr>
                  </w:pPr>
                  <w:r>
                    <w:rPr>
                      <w:rFonts w:hint="eastAsia"/>
                      <w:szCs w:val="21"/>
                      <w:lang w:val="en-US" w:eastAsia="zh-CN"/>
                    </w:rPr>
                    <w:t>2040</w:t>
                  </w:r>
                  <w:r>
                    <w:rPr>
                      <w:rFonts w:ascii="Times New Roman" w:eastAsia="宋体"/>
                    </w:rPr>
                    <w:t>m</w:t>
                  </w:r>
                  <w:r>
                    <w:rPr>
                      <w:rFonts w:ascii="Times New Roman" w:eastAsia="宋体"/>
                      <w:vertAlign w:val="superscript"/>
                    </w:rPr>
                    <w:t>3</w:t>
                  </w:r>
                  <w:r>
                    <w:rPr>
                      <w:rFonts w:ascii="Times New Roman" w:eastAsia="宋体"/>
                    </w:rPr>
                    <w:t>/</w:t>
                  </w:r>
                  <w:r>
                    <w:rPr>
                      <w:rFonts w:hint="eastAsia" w:ascii="Times New Roman" w:eastAsia="宋体"/>
                    </w:rPr>
                    <w:t>a</w:t>
                  </w:r>
                </w:p>
              </w:tc>
              <w:tc>
                <w:tcPr>
                  <w:tcW w:w="2053" w:type="pct"/>
                  <w:gridSpan w:val="2"/>
                  <w:shd w:val="clear" w:color="auto" w:fill="auto"/>
                  <w:vAlign w:val="center"/>
                </w:tcPr>
                <w:p w14:paraId="66692DBA">
                  <w:pPr>
                    <w:widowControl/>
                    <w:spacing w:line="320" w:lineRule="exact"/>
                    <w:jc w:val="center"/>
                    <w:textAlignment w:val="center"/>
                    <w:rPr>
                      <w:rFonts w:hint="eastAsia"/>
                      <w:szCs w:val="21"/>
                    </w:rPr>
                  </w:pPr>
                  <w:r>
                    <w:rPr>
                      <w:rFonts w:hint="eastAsia"/>
                      <w:szCs w:val="21"/>
                      <w:lang w:val="en-US" w:eastAsia="zh-CN"/>
                    </w:rPr>
                    <w:t>接管至</w:t>
                  </w:r>
                  <w:r>
                    <w:rPr>
                      <w:rFonts w:hint="eastAsia"/>
                      <w:szCs w:val="21"/>
                    </w:rPr>
                    <w:t>金坛区溪城污水处理有限公司</w:t>
                  </w:r>
                  <w:r>
                    <w:rPr>
                      <w:szCs w:val="21"/>
                    </w:rPr>
                    <w:t>集中处理</w:t>
                  </w:r>
                </w:p>
              </w:tc>
            </w:tr>
            <w:tr w14:paraId="2807F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3" w:type="pct"/>
                  <w:vMerge w:val="continue"/>
                  <w:vAlign w:val="center"/>
                </w:tcPr>
                <w:p w14:paraId="79561CBA">
                  <w:pPr>
                    <w:spacing w:line="320" w:lineRule="exact"/>
                    <w:rPr>
                      <w:szCs w:val="21"/>
                    </w:rPr>
                  </w:pPr>
                </w:p>
              </w:tc>
              <w:tc>
                <w:tcPr>
                  <w:tcW w:w="456" w:type="pct"/>
                  <w:vMerge w:val="restart"/>
                  <w:vAlign w:val="center"/>
                </w:tcPr>
                <w:p w14:paraId="140F4392">
                  <w:pPr>
                    <w:spacing w:line="320" w:lineRule="exact"/>
                    <w:jc w:val="center"/>
                    <w:rPr>
                      <w:szCs w:val="21"/>
                    </w:rPr>
                  </w:pPr>
                  <w:r>
                    <w:rPr>
                      <w:szCs w:val="21"/>
                    </w:rPr>
                    <w:t>固废</w:t>
                  </w:r>
                </w:p>
              </w:tc>
              <w:tc>
                <w:tcPr>
                  <w:tcW w:w="1503" w:type="pct"/>
                  <w:gridSpan w:val="2"/>
                  <w:vAlign w:val="center"/>
                </w:tcPr>
                <w:p w14:paraId="28A00285">
                  <w:pPr>
                    <w:pStyle w:val="6"/>
                    <w:spacing w:line="320" w:lineRule="exact"/>
                    <w:ind w:firstLine="0" w:firstLineChars="0"/>
                    <w:jc w:val="center"/>
                    <w:rPr>
                      <w:color w:val="auto"/>
                      <w:kern w:val="0"/>
                      <w:szCs w:val="21"/>
                      <w:lang w:bidi="ar"/>
                    </w:rPr>
                  </w:pPr>
                  <w:r>
                    <w:rPr>
                      <w:color w:val="auto"/>
                      <w:kern w:val="0"/>
                      <w:szCs w:val="21"/>
                      <w:lang w:bidi="ar"/>
                    </w:rPr>
                    <w:t>一般固废</w:t>
                  </w:r>
                  <w:r>
                    <w:rPr>
                      <w:rFonts w:hint="eastAsia"/>
                      <w:color w:val="auto"/>
                      <w:kern w:val="0"/>
                      <w:szCs w:val="21"/>
                      <w:lang w:bidi="ar"/>
                    </w:rPr>
                    <w:t>堆场</w:t>
                  </w:r>
                </w:p>
              </w:tc>
              <w:tc>
                <w:tcPr>
                  <w:tcW w:w="824" w:type="pct"/>
                  <w:vAlign w:val="center"/>
                </w:tcPr>
                <w:p w14:paraId="1D8D70ED">
                  <w:pPr>
                    <w:pStyle w:val="6"/>
                    <w:spacing w:line="320" w:lineRule="exact"/>
                    <w:ind w:firstLine="0" w:firstLineChars="0"/>
                    <w:jc w:val="center"/>
                    <w:rPr>
                      <w:color w:val="auto"/>
                      <w:kern w:val="0"/>
                      <w:szCs w:val="21"/>
                      <w:lang w:bidi="ar"/>
                    </w:rPr>
                  </w:pPr>
                  <w:r>
                    <w:rPr>
                      <w:rFonts w:hint="eastAsia"/>
                      <w:color w:val="auto"/>
                      <w:kern w:val="0"/>
                      <w:szCs w:val="21"/>
                      <w:lang w:bidi="ar"/>
                    </w:rPr>
                    <w:t>1</w:t>
                  </w:r>
                  <w:r>
                    <w:rPr>
                      <w:color w:val="auto"/>
                      <w:kern w:val="0"/>
                      <w:szCs w:val="21"/>
                      <w:lang w:bidi="ar"/>
                    </w:rPr>
                    <w:t>0m</w:t>
                  </w:r>
                  <w:r>
                    <w:rPr>
                      <w:color w:val="auto"/>
                      <w:kern w:val="0"/>
                      <w:szCs w:val="21"/>
                      <w:vertAlign w:val="superscript"/>
                      <w:lang w:bidi="ar"/>
                    </w:rPr>
                    <w:t>2</w:t>
                  </w:r>
                </w:p>
              </w:tc>
              <w:tc>
                <w:tcPr>
                  <w:tcW w:w="1257" w:type="pct"/>
                  <w:vAlign w:val="center"/>
                </w:tcPr>
                <w:p w14:paraId="5631E7F2">
                  <w:pPr>
                    <w:pStyle w:val="6"/>
                    <w:spacing w:line="320" w:lineRule="exact"/>
                    <w:ind w:firstLine="0" w:firstLineChars="0"/>
                    <w:jc w:val="center"/>
                    <w:rPr>
                      <w:color w:val="auto"/>
                      <w:kern w:val="0"/>
                      <w:szCs w:val="21"/>
                      <w:lang w:bidi="ar"/>
                    </w:rPr>
                  </w:pPr>
                  <w:r>
                    <w:rPr>
                      <w:color w:val="auto"/>
                      <w:kern w:val="0"/>
                      <w:szCs w:val="21"/>
                      <w:lang w:bidi="ar"/>
                    </w:rPr>
                    <w:t>位于车间</w:t>
                  </w:r>
                  <w:r>
                    <w:rPr>
                      <w:rFonts w:hint="eastAsia"/>
                      <w:color w:val="auto"/>
                      <w:kern w:val="0"/>
                      <w:szCs w:val="21"/>
                      <w:lang w:val="en-US" w:eastAsia="zh-CN" w:bidi="ar"/>
                    </w:rPr>
                    <w:t>西</w:t>
                  </w:r>
                  <w:r>
                    <w:rPr>
                      <w:color w:val="auto"/>
                      <w:kern w:val="0"/>
                      <w:szCs w:val="21"/>
                      <w:highlight w:val="none"/>
                      <w:lang w:bidi="ar"/>
                    </w:rPr>
                    <w:t>侧</w:t>
                  </w:r>
                </w:p>
              </w:tc>
              <w:tc>
                <w:tcPr>
                  <w:tcW w:w="795" w:type="pct"/>
                  <w:vAlign w:val="center"/>
                </w:tcPr>
                <w:p w14:paraId="539C236D">
                  <w:pPr>
                    <w:pStyle w:val="6"/>
                    <w:spacing w:line="320" w:lineRule="exact"/>
                    <w:ind w:firstLine="0" w:firstLineChars="0"/>
                    <w:jc w:val="center"/>
                    <w:rPr>
                      <w:color w:val="auto"/>
                      <w:kern w:val="0"/>
                      <w:szCs w:val="21"/>
                      <w:lang w:bidi="ar"/>
                    </w:rPr>
                  </w:pPr>
                  <w:r>
                    <w:rPr>
                      <w:color w:val="auto"/>
                      <w:kern w:val="0"/>
                      <w:szCs w:val="21"/>
                      <w:lang w:bidi="ar"/>
                    </w:rPr>
                    <w:t>用于储存一般固体废物</w:t>
                  </w:r>
                </w:p>
              </w:tc>
            </w:tr>
            <w:tr w14:paraId="07C2A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3" w:type="pct"/>
                  <w:vMerge w:val="continue"/>
                  <w:vAlign w:val="center"/>
                </w:tcPr>
                <w:p w14:paraId="54B82A7C">
                  <w:pPr>
                    <w:spacing w:line="320" w:lineRule="exact"/>
                    <w:rPr>
                      <w:szCs w:val="21"/>
                    </w:rPr>
                  </w:pPr>
                </w:p>
              </w:tc>
              <w:tc>
                <w:tcPr>
                  <w:tcW w:w="456" w:type="pct"/>
                  <w:vMerge w:val="continue"/>
                  <w:vAlign w:val="center"/>
                </w:tcPr>
                <w:p w14:paraId="3842B78E">
                  <w:pPr>
                    <w:spacing w:line="320" w:lineRule="exact"/>
                    <w:jc w:val="center"/>
                    <w:rPr>
                      <w:szCs w:val="21"/>
                    </w:rPr>
                  </w:pPr>
                </w:p>
              </w:tc>
              <w:tc>
                <w:tcPr>
                  <w:tcW w:w="1503" w:type="pct"/>
                  <w:gridSpan w:val="2"/>
                  <w:vAlign w:val="center"/>
                </w:tcPr>
                <w:p w14:paraId="72889AA0">
                  <w:pPr>
                    <w:pStyle w:val="6"/>
                    <w:spacing w:line="320" w:lineRule="exact"/>
                    <w:ind w:firstLine="0" w:firstLineChars="0"/>
                    <w:jc w:val="center"/>
                    <w:rPr>
                      <w:color w:val="auto"/>
                      <w:kern w:val="0"/>
                      <w:szCs w:val="21"/>
                      <w:lang w:bidi="ar"/>
                    </w:rPr>
                  </w:pPr>
                  <w:r>
                    <w:rPr>
                      <w:rFonts w:hint="eastAsia"/>
                      <w:color w:val="auto"/>
                      <w:kern w:val="0"/>
                      <w:szCs w:val="21"/>
                      <w:lang w:bidi="ar"/>
                    </w:rPr>
                    <w:t>危废仓库</w:t>
                  </w:r>
                </w:p>
              </w:tc>
              <w:tc>
                <w:tcPr>
                  <w:tcW w:w="824" w:type="pct"/>
                  <w:vAlign w:val="center"/>
                </w:tcPr>
                <w:p w14:paraId="7DA0D65F">
                  <w:pPr>
                    <w:pStyle w:val="6"/>
                    <w:spacing w:line="320" w:lineRule="exact"/>
                    <w:ind w:firstLine="0" w:firstLineChars="0"/>
                    <w:jc w:val="center"/>
                    <w:rPr>
                      <w:color w:val="auto"/>
                      <w:kern w:val="0"/>
                      <w:szCs w:val="21"/>
                      <w:lang w:bidi="ar"/>
                    </w:rPr>
                  </w:pPr>
                  <w:r>
                    <w:rPr>
                      <w:rFonts w:hint="eastAsia"/>
                      <w:color w:val="auto"/>
                      <w:kern w:val="0"/>
                      <w:szCs w:val="21"/>
                      <w:lang w:bidi="ar"/>
                    </w:rPr>
                    <w:t>15</w:t>
                  </w:r>
                  <w:r>
                    <w:rPr>
                      <w:color w:val="auto"/>
                      <w:kern w:val="0"/>
                      <w:szCs w:val="21"/>
                      <w:lang w:bidi="ar"/>
                    </w:rPr>
                    <w:t>m</w:t>
                  </w:r>
                  <w:r>
                    <w:rPr>
                      <w:color w:val="auto"/>
                      <w:kern w:val="0"/>
                      <w:szCs w:val="21"/>
                      <w:vertAlign w:val="superscript"/>
                      <w:lang w:bidi="ar"/>
                    </w:rPr>
                    <w:t>2</w:t>
                  </w:r>
                </w:p>
              </w:tc>
              <w:tc>
                <w:tcPr>
                  <w:tcW w:w="2053" w:type="pct"/>
                  <w:gridSpan w:val="2"/>
                  <w:vAlign w:val="center"/>
                </w:tcPr>
                <w:p w14:paraId="1E4CEA3B">
                  <w:pPr>
                    <w:pStyle w:val="6"/>
                    <w:spacing w:line="320" w:lineRule="exact"/>
                    <w:ind w:firstLine="0" w:firstLineChars="0"/>
                    <w:jc w:val="center"/>
                    <w:rPr>
                      <w:color w:val="auto"/>
                      <w:kern w:val="0"/>
                      <w:szCs w:val="21"/>
                      <w:highlight w:val="none"/>
                      <w:lang w:bidi="ar"/>
                    </w:rPr>
                  </w:pPr>
                  <w:r>
                    <w:rPr>
                      <w:color w:val="auto"/>
                      <w:kern w:val="0"/>
                      <w:szCs w:val="21"/>
                      <w:highlight w:val="none"/>
                      <w:lang w:bidi="ar"/>
                    </w:rPr>
                    <w:t>位于车间</w:t>
                  </w:r>
                  <w:r>
                    <w:rPr>
                      <w:rFonts w:hint="eastAsia"/>
                      <w:color w:val="auto"/>
                      <w:kern w:val="0"/>
                      <w:szCs w:val="21"/>
                      <w:highlight w:val="none"/>
                      <w:lang w:bidi="ar"/>
                    </w:rPr>
                    <w:t>西</w:t>
                  </w:r>
                  <w:r>
                    <w:rPr>
                      <w:rFonts w:hint="eastAsia"/>
                      <w:color w:val="auto"/>
                      <w:kern w:val="0"/>
                      <w:szCs w:val="21"/>
                      <w:highlight w:val="none"/>
                      <w:lang w:val="en-US" w:eastAsia="zh-CN" w:bidi="ar"/>
                    </w:rPr>
                    <w:t>南</w:t>
                  </w:r>
                  <w:r>
                    <w:rPr>
                      <w:rFonts w:hint="eastAsia"/>
                      <w:color w:val="auto"/>
                      <w:kern w:val="0"/>
                      <w:szCs w:val="21"/>
                      <w:lang w:bidi="ar"/>
                    </w:rPr>
                    <w:t>角</w:t>
                  </w:r>
                  <w:r>
                    <w:rPr>
                      <w:color w:val="auto"/>
                      <w:kern w:val="0"/>
                      <w:szCs w:val="21"/>
                      <w:highlight w:val="none"/>
                      <w:lang w:bidi="ar"/>
                    </w:rPr>
                    <w:t>，用于储存</w:t>
                  </w:r>
                  <w:r>
                    <w:rPr>
                      <w:rFonts w:hint="eastAsia"/>
                      <w:color w:val="auto"/>
                      <w:kern w:val="0"/>
                      <w:szCs w:val="21"/>
                      <w:highlight w:val="none"/>
                      <w:lang w:bidi="ar"/>
                    </w:rPr>
                    <w:t>危废</w:t>
                  </w:r>
                </w:p>
              </w:tc>
            </w:tr>
            <w:tr w14:paraId="706C6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3" w:type="pct"/>
                  <w:vMerge w:val="continue"/>
                  <w:vAlign w:val="center"/>
                </w:tcPr>
                <w:p w14:paraId="77FAA029">
                  <w:pPr>
                    <w:spacing w:line="320" w:lineRule="exact"/>
                    <w:rPr>
                      <w:szCs w:val="21"/>
                    </w:rPr>
                  </w:pPr>
                </w:p>
              </w:tc>
              <w:tc>
                <w:tcPr>
                  <w:tcW w:w="456" w:type="pct"/>
                  <w:vAlign w:val="center"/>
                </w:tcPr>
                <w:p w14:paraId="5836E377">
                  <w:pPr>
                    <w:spacing w:line="320" w:lineRule="exact"/>
                    <w:jc w:val="center"/>
                    <w:rPr>
                      <w:rFonts w:hint="eastAsia" w:eastAsia="宋体"/>
                      <w:szCs w:val="21"/>
                      <w:lang w:val="en-US" w:eastAsia="zh-CN"/>
                    </w:rPr>
                  </w:pPr>
                  <w:r>
                    <w:rPr>
                      <w:rFonts w:hint="eastAsia"/>
                      <w:szCs w:val="21"/>
                      <w:lang w:val="en-US" w:eastAsia="zh-CN"/>
                    </w:rPr>
                    <w:t>噪声</w:t>
                  </w:r>
                </w:p>
              </w:tc>
              <w:tc>
                <w:tcPr>
                  <w:tcW w:w="4380" w:type="pct"/>
                  <w:gridSpan w:val="5"/>
                  <w:vAlign w:val="center"/>
                </w:tcPr>
                <w:p w14:paraId="1B5A1169">
                  <w:pPr>
                    <w:pStyle w:val="6"/>
                    <w:spacing w:line="320" w:lineRule="exact"/>
                    <w:ind w:firstLine="0" w:firstLineChars="0"/>
                    <w:jc w:val="center"/>
                    <w:rPr>
                      <w:color w:val="auto"/>
                      <w:kern w:val="0"/>
                      <w:szCs w:val="21"/>
                      <w:highlight w:val="none"/>
                      <w:lang w:bidi="ar"/>
                    </w:rPr>
                  </w:pPr>
                  <w:r>
                    <w:rPr>
                      <w:szCs w:val="21"/>
                    </w:rPr>
                    <w:t>选用低噪声设备，距离衰减、建筑隔声</w:t>
                  </w:r>
                </w:p>
              </w:tc>
            </w:tr>
            <w:tr w14:paraId="37282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3" w:type="pct"/>
                  <w:vMerge w:val="continue"/>
                  <w:vAlign w:val="center"/>
                </w:tcPr>
                <w:p w14:paraId="6528D3F7">
                  <w:pPr>
                    <w:spacing w:line="320" w:lineRule="exact"/>
                    <w:rPr>
                      <w:szCs w:val="21"/>
                    </w:rPr>
                  </w:pPr>
                </w:p>
              </w:tc>
              <w:tc>
                <w:tcPr>
                  <w:tcW w:w="456" w:type="pct"/>
                  <w:vAlign w:val="center"/>
                </w:tcPr>
                <w:p w14:paraId="7623557D">
                  <w:pPr>
                    <w:adjustRightInd w:val="0"/>
                    <w:snapToGrid w:val="0"/>
                    <w:jc w:val="center"/>
                    <w:rPr>
                      <w:rFonts w:hint="eastAsia" w:eastAsia="宋体"/>
                      <w:szCs w:val="21"/>
                      <w:lang w:val="en-US" w:eastAsia="zh-CN"/>
                    </w:rPr>
                  </w:pPr>
                  <w:r>
                    <w:rPr>
                      <w:szCs w:val="21"/>
                    </w:rPr>
                    <w:t>土壤及地下水污染防治措施</w:t>
                  </w:r>
                </w:p>
              </w:tc>
              <w:tc>
                <w:tcPr>
                  <w:tcW w:w="4380" w:type="pct"/>
                  <w:gridSpan w:val="5"/>
                  <w:vAlign w:val="center"/>
                </w:tcPr>
                <w:p w14:paraId="5DB58387">
                  <w:pPr>
                    <w:pStyle w:val="6"/>
                    <w:spacing w:line="320" w:lineRule="exact"/>
                    <w:ind w:firstLine="0" w:firstLineChars="0"/>
                    <w:jc w:val="center"/>
                    <w:rPr>
                      <w:color w:val="auto"/>
                      <w:kern w:val="0"/>
                      <w:szCs w:val="21"/>
                      <w:highlight w:val="none"/>
                      <w:lang w:bidi="ar"/>
                    </w:rPr>
                  </w:pPr>
                  <w:r>
                    <w:rPr>
                      <w:rFonts w:hint="eastAsia"/>
                      <w:color w:val="auto"/>
                      <w:kern w:val="0"/>
                      <w:szCs w:val="21"/>
                      <w:highlight w:val="none"/>
                      <w:lang w:bidi="ar"/>
                    </w:rPr>
                    <w:t>项目按重点污染防治区、一般污染防治区、简单防渗区分别采取不同等级的防渗措施，防渗层尽量在地表铺设，防渗材料拟选取环氧树脂和水泥基渗透结晶型防渗材料，按照污染防治分区采取不同的设计方案。</w:t>
                  </w:r>
                </w:p>
              </w:tc>
            </w:tr>
            <w:tr w14:paraId="077C9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gridSpan w:val="2"/>
                  <w:shd w:val="clear" w:color="auto" w:fill="auto"/>
                  <w:vAlign w:val="top"/>
                </w:tcPr>
                <w:p w14:paraId="4A3A7052">
                  <w:pPr>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依托</w:t>
                  </w:r>
                </w:p>
                <w:p w14:paraId="3F6AB921">
                  <w:pPr>
                    <w:snapToGrid w:val="0"/>
                    <w:jc w:val="center"/>
                    <w:rPr>
                      <w:rFonts w:hint="default" w:ascii="Times New Roman" w:hAnsi="Times New Roman" w:eastAsia="宋体" w:cs="Times New Roman"/>
                      <w:color w:val="FF0000"/>
                      <w:kern w:val="2"/>
                      <w:sz w:val="21"/>
                      <w:szCs w:val="24"/>
                      <w:lang w:val="en-US" w:eastAsia="zh-CN" w:bidi="ar-SA"/>
                    </w:rPr>
                  </w:pPr>
                  <w:r>
                    <w:rPr>
                      <w:rFonts w:hint="eastAsia" w:ascii="Times New Roman" w:hAnsi="Times New Roman" w:eastAsia="宋体" w:cs="Times New Roman"/>
                      <w:color w:val="auto"/>
                      <w:lang w:val="en-US" w:eastAsia="zh-CN"/>
                    </w:rPr>
                    <w:t>工程</w:t>
                  </w:r>
                </w:p>
              </w:tc>
              <w:tc>
                <w:tcPr>
                  <w:tcW w:w="4380" w:type="pct"/>
                  <w:gridSpan w:val="5"/>
                  <w:shd w:val="clear" w:color="auto" w:fill="auto"/>
                  <w:vAlign w:val="top"/>
                </w:tcPr>
                <w:p w14:paraId="73CED452">
                  <w:pPr>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主体工程、辅助工程、贮运工程均依托现有已建成的车间；厂区内已实施雨污分流体制，依托现有管网、雨水排放口、污水排放口，不新设排污口</w:t>
                  </w:r>
                </w:p>
              </w:tc>
            </w:tr>
          </w:tbl>
          <w:p w14:paraId="5267617B">
            <w:pPr>
              <w:pStyle w:val="69"/>
              <w:snapToGrid/>
              <w:spacing w:line="480" w:lineRule="exact"/>
              <w:ind w:firstLine="482"/>
              <w:rPr>
                <w:b/>
                <w:bCs/>
                <w:color w:val="auto"/>
                <w:sz w:val="24"/>
              </w:rPr>
            </w:pPr>
            <w:r>
              <w:rPr>
                <w:b/>
                <w:bCs/>
                <w:color w:val="auto"/>
                <w:sz w:val="24"/>
              </w:rPr>
              <w:t>4</w:t>
            </w:r>
            <w:r>
              <w:rPr>
                <w:rFonts w:hint="eastAsia"/>
                <w:b/>
                <w:bCs/>
                <w:color w:val="auto"/>
                <w:sz w:val="24"/>
              </w:rPr>
              <w:t>、</w:t>
            </w:r>
            <w:r>
              <w:rPr>
                <w:b/>
                <w:bCs/>
                <w:color w:val="auto"/>
                <w:sz w:val="24"/>
              </w:rPr>
              <w:t>主要生产设施及设施参数</w:t>
            </w:r>
          </w:p>
          <w:p w14:paraId="63139674">
            <w:pPr>
              <w:pStyle w:val="69"/>
              <w:snapToGrid/>
              <w:spacing w:line="480" w:lineRule="exact"/>
              <w:rPr>
                <w:color w:val="auto"/>
                <w:sz w:val="24"/>
              </w:rPr>
            </w:pPr>
            <w:r>
              <w:rPr>
                <w:color w:val="auto"/>
                <w:sz w:val="24"/>
              </w:rPr>
              <w:t>本项目主要设备见表2-</w:t>
            </w:r>
            <w:r>
              <w:rPr>
                <w:rFonts w:hint="eastAsia"/>
                <w:color w:val="auto"/>
                <w:sz w:val="24"/>
                <w:lang w:val="en-US" w:eastAsia="zh-CN"/>
              </w:rPr>
              <w:t>3</w:t>
            </w:r>
            <w:r>
              <w:rPr>
                <w:color w:val="auto"/>
                <w:sz w:val="24"/>
              </w:rPr>
              <w:t>。</w:t>
            </w:r>
          </w:p>
          <w:p w14:paraId="680B841B">
            <w:pPr>
              <w:pStyle w:val="69"/>
              <w:snapToGrid/>
              <w:spacing w:line="480" w:lineRule="exact"/>
              <w:ind w:firstLine="0" w:firstLineChars="0"/>
              <w:jc w:val="center"/>
              <w:rPr>
                <w:b/>
                <w:bCs/>
                <w:color w:val="auto"/>
                <w:sz w:val="24"/>
              </w:rPr>
            </w:pPr>
          </w:p>
          <w:p w14:paraId="017FDA21">
            <w:pPr>
              <w:pStyle w:val="69"/>
              <w:snapToGrid/>
              <w:spacing w:line="480" w:lineRule="exact"/>
              <w:ind w:firstLine="0" w:firstLineChars="0"/>
              <w:jc w:val="center"/>
              <w:rPr>
                <w:b/>
                <w:bCs/>
                <w:color w:val="auto"/>
                <w:sz w:val="24"/>
              </w:rPr>
            </w:pPr>
            <w:r>
              <w:rPr>
                <w:b/>
                <w:bCs/>
                <w:color w:val="auto"/>
                <w:sz w:val="24"/>
              </w:rPr>
              <w:t>表2-</w:t>
            </w:r>
            <w:r>
              <w:rPr>
                <w:rFonts w:hint="eastAsia"/>
                <w:b/>
                <w:bCs/>
                <w:color w:val="auto"/>
                <w:sz w:val="24"/>
                <w:lang w:val="en-US" w:eastAsia="zh-CN"/>
              </w:rPr>
              <w:t>3</w:t>
            </w:r>
            <w:r>
              <w:rPr>
                <w:b/>
                <w:bCs/>
                <w:color w:val="auto"/>
                <w:sz w:val="24"/>
              </w:rPr>
              <w:t xml:space="preserve">  主要设备一览表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4"/>
              <w:gridCol w:w="480"/>
              <w:gridCol w:w="1695"/>
              <w:gridCol w:w="2135"/>
              <w:gridCol w:w="1678"/>
              <w:gridCol w:w="2558"/>
            </w:tblGrid>
            <w:tr w14:paraId="6EFA7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24" w:type="pct"/>
                  <w:gridSpan w:val="2"/>
                  <w:vMerge w:val="restart"/>
                  <w:vAlign w:val="center"/>
                </w:tcPr>
                <w:p w14:paraId="20DFCC60">
                  <w:pPr>
                    <w:jc w:val="center"/>
                    <w:rPr>
                      <w:b/>
                      <w:bCs/>
                      <w:szCs w:val="21"/>
                    </w:rPr>
                  </w:pPr>
                  <w:r>
                    <w:rPr>
                      <w:b/>
                      <w:bCs/>
                      <w:szCs w:val="21"/>
                    </w:rPr>
                    <w:t>类型</w:t>
                  </w:r>
                </w:p>
              </w:tc>
              <w:tc>
                <w:tcPr>
                  <w:tcW w:w="940" w:type="pct"/>
                  <w:vMerge w:val="restart"/>
                  <w:vAlign w:val="center"/>
                </w:tcPr>
                <w:p w14:paraId="44B0550B">
                  <w:pPr>
                    <w:pStyle w:val="111"/>
                    <w:spacing w:beforeLines="0" w:line="240" w:lineRule="auto"/>
                    <w:ind w:firstLine="0" w:firstLineChars="0"/>
                    <w:jc w:val="center"/>
                    <w:rPr>
                      <w:b/>
                      <w:bCs/>
                      <w:sz w:val="21"/>
                      <w:szCs w:val="21"/>
                    </w:rPr>
                  </w:pPr>
                  <w:r>
                    <w:rPr>
                      <w:b/>
                      <w:bCs/>
                      <w:sz w:val="21"/>
                      <w:szCs w:val="21"/>
                    </w:rPr>
                    <w:t>名称</w:t>
                  </w:r>
                </w:p>
              </w:tc>
              <w:tc>
                <w:tcPr>
                  <w:tcW w:w="1184" w:type="pct"/>
                  <w:vMerge w:val="restart"/>
                  <w:vAlign w:val="center"/>
                </w:tcPr>
                <w:p w14:paraId="3BBB67FE">
                  <w:pPr>
                    <w:pStyle w:val="111"/>
                    <w:spacing w:beforeLines="0" w:line="240" w:lineRule="auto"/>
                    <w:ind w:firstLine="0" w:firstLineChars="0"/>
                    <w:jc w:val="center"/>
                    <w:rPr>
                      <w:b/>
                      <w:bCs/>
                      <w:sz w:val="21"/>
                      <w:szCs w:val="21"/>
                    </w:rPr>
                  </w:pPr>
                  <w:r>
                    <w:rPr>
                      <w:b/>
                      <w:bCs/>
                      <w:sz w:val="21"/>
                      <w:szCs w:val="21"/>
                    </w:rPr>
                    <w:t>规格型号</w:t>
                  </w:r>
                </w:p>
              </w:tc>
              <w:tc>
                <w:tcPr>
                  <w:tcW w:w="931" w:type="pct"/>
                  <w:vMerge w:val="restart"/>
                  <w:vAlign w:val="center"/>
                </w:tcPr>
                <w:p w14:paraId="1F91471A">
                  <w:pPr>
                    <w:pStyle w:val="111"/>
                    <w:spacing w:beforeLines="0" w:line="240" w:lineRule="auto"/>
                    <w:ind w:firstLine="0" w:firstLineChars="0"/>
                    <w:jc w:val="center"/>
                    <w:rPr>
                      <w:b/>
                      <w:bCs/>
                      <w:sz w:val="21"/>
                      <w:szCs w:val="21"/>
                    </w:rPr>
                  </w:pPr>
                  <w:r>
                    <w:rPr>
                      <w:rFonts w:hint="eastAsia"/>
                      <w:b/>
                      <w:bCs/>
                      <w:sz w:val="21"/>
                      <w:szCs w:val="21"/>
                    </w:rPr>
                    <w:t>数量</w:t>
                  </w:r>
                  <w:r>
                    <w:rPr>
                      <w:b/>
                      <w:bCs/>
                      <w:sz w:val="21"/>
                      <w:szCs w:val="21"/>
                    </w:rPr>
                    <w:t>（台/套）</w:t>
                  </w:r>
                </w:p>
              </w:tc>
              <w:tc>
                <w:tcPr>
                  <w:tcW w:w="1419" w:type="pct"/>
                  <w:vMerge w:val="restart"/>
                  <w:vAlign w:val="center"/>
                </w:tcPr>
                <w:p w14:paraId="23618365">
                  <w:pPr>
                    <w:pStyle w:val="111"/>
                    <w:spacing w:beforeLines="0" w:line="240" w:lineRule="auto"/>
                    <w:ind w:firstLine="0" w:firstLineChars="0"/>
                    <w:jc w:val="center"/>
                    <w:rPr>
                      <w:b/>
                      <w:bCs/>
                      <w:sz w:val="21"/>
                      <w:szCs w:val="21"/>
                    </w:rPr>
                  </w:pPr>
                  <w:r>
                    <w:rPr>
                      <w:b/>
                      <w:bCs/>
                      <w:sz w:val="21"/>
                      <w:szCs w:val="21"/>
                    </w:rPr>
                    <w:t>备注</w:t>
                  </w:r>
                </w:p>
              </w:tc>
            </w:tr>
            <w:tr w14:paraId="3D1BB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524" w:type="pct"/>
                  <w:gridSpan w:val="2"/>
                  <w:vMerge w:val="continue"/>
                  <w:vAlign w:val="center"/>
                </w:tcPr>
                <w:p w14:paraId="18AAF741">
                  <w:pPr>
                    <w:pStyle w:val="111"/>
                    <w:spacing w:beforeLines="0" w:line="240" w:lineRule="auto"/>
                    <w:ind w:firstLine="0" w:firstLineChars="0"/>
                    <w:jc w:val="center"/>
                    <w:rPr>
                      <w:b/>
                      <w:bCs/>
                      <w:sz w:val="21"/>
                      <w:szCs w:val="21"/>
                    </w:rPr>
                  </w:pPr>
                </w:p>
              </w:tc>
              <w:tc>
                <w:tcPr>
                  <w:tcW w:w="940" w:type="pct"/>
                  <w:vMerge w:val="continue"/>
                  <w:vAlign w:val="center"/>
                </w:tcPr>
                <w:p w14:paraId="71DC2472">
                  <w:pPr>
                    <w:pStyle w:val="111"/>
                    <w:spacing w:beforeLines="0" w:line="240" w:lineRule="auto"/>
                    <w:ind w:firstLine="0" w:firstLineChars="0"/>
                    <w:jc w:val="center"/>
                    <w:rPr>
                      <w:b/>
                      <w:bCs/>
                      <w:sz w:val="21"/>
                      <w:szCs w:val="21"/>
                    </w:rPr>
                  </w:pPr>
                </w:p>
              </w:tc>
              <w:tc>
                <w:tcPr>
                  <w:tcW w:w="1184" w:type="pct"/>
                  <w:vMerge w:val="continue"/>
                  <w:vAlign w:val="center"/>
                </w:tcPr>
                <w:p w14:paraId="256F0D38">
                  <w:pPr>
                    <w:pStyle w:val="111"/>
                    <w:spacing w:beforeLines="0" w:line="240" w:lineRule="auto"/>
                    <w:ind w:firstLine="0" w:firstLineChars="0"/>
                    <w:jc w:val="center"/>
                    <w:rPr>
                      <w:b/>
                      <w:bCs/>
                      <w:sz w:val="21"/>
                      <w:szCs w:val="21"/>
                    </w:rPr>
                  </w:pPr>
                </w:p>
              </w:tc>
              <w:tc>
                <w:tcPr>
                  <w:tcW w:w="931" w:type="pct"/>
                  <w:vMerge w:val="continue"/>
                  <w:vAlign w:val="center"/>
                </w:tcPr>
                <w:p w14:paraId="305AF516">
                  <w:pPr>
                    <w:pStyle w:val="111"/>
                    <w:spacing w:beforeLines="0" w:line="240" w:lineRule="auto"/>
                    <w:ind w:firstLine="0" w:firstLineChars="0"/>
                    <w:jc w:val="center"/>
                    <w:rPr>
                      <w:b/>
                      <w:bCs/>
                      <w:sz w:val="21"/>
                      <w:szCs w:val="21"/>
                    </w:rPr>
                  </w:pPr>
                </w:p>
              </w:tc>
              <w:tc>
                <w:tcPr>
                  <w:tcW w:w="1419" w:type="pct"/>
                  <w:vMerge w:val="continue"/>
                  <w:vAlign w:val="center"/>
                </w:tcPr>
                <w:p w14:paraId="2C791B5E">
                  <w:pPr>
                    <w:pStyle w:val="111"/>
                    <w:spacing w:beforeLines="0" w:line="240" w:lineRule="auto"/>
                    <w:ind w:firstLine="0" w:firstLineChars="0"/>
                    <w:jc w:val="center"/>
                    <w:rPr>
                      <w:b/>
                      <w:bCs/>
                      <w:sz w:val="21"/>
                      <w:szCs w:val="21"/>
                    </w:rPr>
                  </w:pPr>
                </w:p>
              </w:tc>
            </w:tr>
            <w:tr w14:paraId="3DB53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vMerge w:val="restart"/>
                  <w:vAlign w:val="center"/>
                </w:tcPr>
                <w:p w14:paraId="6C7501D7">
                  <w:pPr>
                    <w:jc w:val="center"/>
                    <w:rPr>
                      <w:szCs w:val="21"/>
                    </w:rPr>
                  </w:pPr>
                  <w:r>
                    <w:rPr>
                      <w:rFonts w:hint="eastAsia"/>
                      <w:szCs w:val="21"/>
                    </w:rPr>
                    <w:t>人造草坪</w:t>
                  </w:r>
                </w:p>
              </w:tc>
              <w:tc>
                <w:tcPr>
                  <w:tcW w:w="265" w:type="pct"/>
                  <w:vMerge w:val="restart"/>
                  <w:vAlign w:val="center"/>
                </w:tcPr>
                <w:p w14:paraId="5FD476BC">
                  <w:pPr>
                    <w:jc w:val="center"/>
                    <w:rPr>
                      <w:szCs w:val="21"/>
                    </w:rPr>
                  </w:pPr>
                  <w:r>
                    <w:rPr>
                      <w:szCs w:val="21"/>
                    </w:rPr>
                    <w:t>生产设备</w:t>
                  </w:r>
                </w:p>
              </w:tc>
              <w:tc>
                <w:tcPr>
                  <w:tcW w:w="940" w:type="pct"/>
                  <w:vAlign w:val="center"/>
                </w:tcPr>
                <w:p w14:paraId="74DBFE35">
                  <w:pPr>
                    <w:jc w:val="center"/>
                    <w:rPr>
                      <w:bCs/>
                      <w:szCs w:val="21"/>
                      <w:lang w:bidi="ar"/>
                    </w:rPr>
                  </w:pPr>
                  <w:r>
                    <w:rPr>
                      <w:rFonts w:hint="eastAsia"/>
                      <w:bCs/>
                      <w:szCs w:val="21"/>
                      <w:lang w:bidi="ar"/>
                    </w:rPr>
                    <w:t>草坪簇绒机</w:t>
                  </w:r>
                </w:p>
              </w:tc>
              <w:tc>
                <w:tcPr>
                  <w:tcW w:w="1184" w:type="pct"/>
                  <w:vAlign w:val="center"/>
                </w:tcPr>
                <w:p w14:paraId="36B43762">
                  <w:pPr>
                    <w:jc w:val="center"/>
                    <w:rPr>
                      <w:bCs/>
                      <w:szCs w:val="21"/>
                      <w:lang w:bidi="ar"/>
                    </w:rPr>
                  </w:pPr>
                  <w:r>
                    <w:rPr>
                      <w:rFonts w:hint="eastAsia"/>
                      <w:bCs/>
                      <w:szCs w:val="21"/>
                      <w:lang w:bidi="ar"/>
                    </w:rPr>
                    <w:t>CCR-G00C-YB</w:t>
                  </w:r>
                </w:p>
              </w:tc>
              <w:tc>
                <w:tcPr>
                  <w:tcW w:w="931" w:type="pct"/>
                  <w:vAlign w:val="center"/>
                </w:tcPr>
                <w:p w14:paraId="3ABD7575">
                  <w:pPr>
                    <w:jc w:val="center"/>
                    <w:rPr>
                      <w:bCs/>
                      <w:szCs w:val="21"/>
                      <w:lang w:bidi="ar"/>
                    </w:rPr>
                  </w:pPr>
                  <w:r>
                    <w:rPr>
                      <w:rFonts w:hint="eastAsia"/>
                      <w:bCs/>
                      <w:szCs w:val="21"/>
                      <w:lang w:bidi="ar"/>
                    </w:rPr>
                    <w:t>6</w:t>
                  </w:r>
                </w:p>
              </w:tc>
              <w:tc>
                <w:tcPr>
                  <w:tcW w:w="1419" w:type="pct"/>
                  <w:vAlign w:val="center"/>
                </w:tcPr>
                <w:p w14:paraId="114FCE97">
                  <w:pPr>
                    <w:jc w:val="center"/>
                    <w:rPr>
                      <w:szCs w:val="21"/>
                    </w:rPr>
                  </w:pPr>
                  <w:r>
                    <w:rPr>
                      <w:rFonts w:hint="eastAsia"/>
                      <w:szCs w:val="21"/>
                    </w:rPr>
                    <w:t>植绒</w:t>
                  </w:r>
                </w:p>
              </w:tc>
            </w:tr>
            <w:tr w14:paraId="14CF3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vAlign w:val="center"/>
                </w:tcPr>
                <w:p w14:paraId="6CDD7140">
                  <w:pPr>
                    <w:jc w:val="center"/>
                    <w:rPr>
                      <w:bCs/>
                      <w:szCs w:val="21"/>
                      <w:lang w:bidi="ar"/>
                    </w:rPr>
                  </w:pPr>
                </w:p>
              </w:tc>
              <w:tc>
                <w:tcPr>
                  <w:tcW w:w="265" w:type="pct"/>
                  <w:vMerge w:val="continue"/>
                  <w:vAlign w:val="center"/>
                </w:tcPr>
                <w:p w14:paraId="064EA428">
                  <w:pPr>
                    <w:jc w:val="center"/>
                    <w:rPr>
                      <w:bCs/>
                      <w:szCs w:val="21"/>
                      <w:lang w:bidi="ar"/>
                    </w:rPr>
                  </w:pPr>
                </w:p>
              </w:tc>
              <w:tc>
                <w:tcPr>
                  <w:tcW w:w="940" w:type="pct"/>
                  <w:vAlign w:val="center"/>
                </w:tcPr>
                <w:p w14:paraId="11FC4868">
                  <w:pPr>
                    <w:jc w:val="center"/>
                    <w:rPr>
                      <w:bCs/>
                      <w:szCs w:val="21"/>
                      <w:lang w:bidi="ar"/>
                    </w:rPr>
                  </w:pPr>
                  <w:r>
                    <w:rPr>
                      <w:rFonts w:hint="eastAsia"/>
                      <w:bCs/>
                      <w:szCs w:val="21"/>
                      <w:lang w:bidi="ar"/>
                    </w:rPr>
                    <w:t>草坪烘干机</w:t>
                  </w:r>
                </w:p>
              </w:tc>
              <w:tc>
                <w:tcPr>
                  <w:tcW w:w="1184" w:type="pct"/>
                  <w:vAlign w:val="center"/>
                </w:tcPr>
                <w:p w14:paraId="16728843">
                  <w:pPr>
                    <w:jc w:val="center"/>
                    <w:rPr>
                      <w:bCs/>
                      <w:szCs w:val="21"/>
                      <w:lang w:bidi="ar"/>
                    </w:rPr>
                  </w:pPr>
                  <w:r>
                    <w:rPr>
                      <w:rFonts w:hint="eastAsia"/>
                      <w:bCs/>
                      <w:szCs w:val="21"/>
                      <w:lang w:bidi="ar"/>
                    </w:rPr>
                    <w:t>4300型</w:t>
                  </w:r>
                  <w:r>
                    <w:rPr>
                      <w:rFonts w:hint="eastAsia"/>
                      <w:bCs/>
                      <w:szCs w:val="21"/>
                      <w:lang w:val="en-US" w:eastAsia="zh-CN" w:bidi="ar"/>
                    </w:rPr>
                    <w:t>，宽幅2m，处理能力3m/min</w:t>
                  </w:r>
                </w:p>
              </w:tc>
              <w:tc>
                <w:tcPr>
                  <w:tcW w:w="931" w:type="pct"/>
                  <w:vAlign w:val="center"/>
                </w:tcPr>
                <w:p w14:paraId="42E23AF2">
                  <w:pPr>
                    <w:jc w:val="center"/>
                    <w:rPr>
                      <w:rFonts w:hint="eastAsia" w:eastAsia="宋体"/>
                      <w:bCs/>
                      <w:szCs w:val="21"/>
                      <w:lang w:eastAsia="zh-CN" w:bidi="ar"/>
                    </w:rPr>
                  </w:pPr>
                  <w:r>
                    <w:rPr>
                      <w:rFonts w:hint="eastAsia"/>
                      <w:bCs/>
                      <w:szCs w:val="21"/>
                      <w:lang w:val="en-US" w:eastAsia="zh-CN" w:bidi="ar"/>
                    </w:rPr>
                    <w:t>4</w:t>
                  </w:r>
                </w:p>
              </w:tc>
              <w:tc>
                <w:tcPr>
                  <w:tcW w:w="1419" w:type="pct"/>
                  <w:vAlign w:val="center"/>
                </w:tcPr>
                <w:p w14:paraId="7BFC3020">
                  <w:pPr>
                    <w:jc w:val="center"/>
                    <w:rPr>
                      <w:bCs/>
                      <w:szCs w:val="21"/>
                      <w:lang w:bidi="ar"/>
                    </w:rPr>
                  </w:pPr>
                  <w:r>
                    <w:rPr>
                      <w:rFonts w:hint="eastAsia"/>
                      <w:szCs w:val="21"/>
                    </w:rPr>
                    <w:t>烘干</w:t>
                  </w:r>
                </w:p>
              </w:tc>
            </w:tr>
            <w:tr w14:paraId="2B2F9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vAlign w:val="center"/>
                </w:tcPr>
                <w:p w14:paraId="6B7699EF">
                  <w:pPr>
                    <w:jc w:val="center"/>
                    <w:rPr>
                      <w:bCs/>
                      <w:szCs w:val="21"/>
                      <w:lang w:bidi="ar"/>
                    </w:rPr>
                  </w:pPr>
                </w:p>
              </w:tc>
              <w:tc>
                <w:tcPr>
                  <w:tcW w:w="265" w:type="pct"/>
                  <w:vMerge w:val="continue"/>
                  <w:vAlign w:val="center"/>
                </w:tcPr>
                <w:p w14:paraId="3FFC6341">
                  <w:pPr>
                    <w:jc w:val="center"/>
                    <w:rPr>
                      <w:bCs/>
                      <w:szCs w:val="21"/>
                      <w:lang w:bidi="ar"/>
                    </w:rPr>
                  </w:pPr>
                </w:p>
              </w:tc>
              <w:tc>
                <w:tcPr>
                  <w:tcW w:w="940" w:type="pct"/>
                  <w:vAlign w:val="center"/>
                </w:tcPr>
                <w:p w14:paraId="50789126">
                  <w:pPr>
                    <w:jc w:val="center"/>
                    <w:rPr>
                      <w:bCs/>
                      <w:szCs w:val="21"/>
                      <w:lang w:bidi="ar"/>
                    </w:rPr>
                  </w:pPr>
                  <w:r>
                    <w:rPr>
                      <w:rFonts w:hint="eastAsia"/>
                      <w:bCs/>
                      <w:szCs w:val="21"/>
                      <w:lang w:bidi="ar"/>
                    </w:rPr>
                    <w:t>储料罐</w:t>
                  </w:r>
                </w:p>
              </w:tc>
              <w:tc>
                <w:tcPr>
                  <w:tcW w:w="1184" w:type="pct"/>
                  <w:vAlign w:val="center"/>
                </w:tcPr>
                <w:p w14:paraId="3C654528">
                  <w:pPr>
                    <w:jc w:val="center"/>
                    <w:rPr>
                      <w:bCs/>
                      <w:szCs w:val="21"/>
                      <w:lang w:bidi="ar"/>
                    </w:rPr>
                  </w:pPr>
                  <w:r>
                    <w:rPr>
                      <w:rFonts w:hint="eastAsia"/>
                      <w:bCs/>
                      <w:szCs w:val="21"/>
                      <w:lang w:bidi="ar"/>
                    </w:rPr>
                    <w:t>45m</w:t>
                  </w:r>
                  <w:r>
                    <w:rPr>
                      <w:rFonts w:hint="eastAsia"/>
                      <w:bCs/>
                      <w:szCs w:val="21"/>
                      <w:vertAlign w:val="superscript"/>
                      <w:lang w:bidi="ar"/>
                    </w:rPr>
                    <w:t>3</w:t>
                  </w:r>
                </w:p>
              </w:tc>
              <w:tc>
                <w:tcPr>
                  <w:tcW w:w="931" w:type="pct"/>
                  <w:vAlign w:val="center"/>
                </w:tcPr>
                <w:p w14:paraId="141AEE05">
                  <w:pPr>
                    <w:jc w:val="center"/>
                    <w:rPr>
                      <w:bCs/>
                      <w:szCs w:val="21"/>
                      <w:lang w:bidi="ar"/>
                    </w:rPr>
                  </w:pPr>
                  <w:r>
                    <w:rPr>
                      <w:rFonts w:hint="eastAsia"/>
                      <w:bCs/>
                      <w:szCs w:val="21"/>
                      <w:lang w:bidi="ar"/>
                    </w:rPr>
                    <w:t>1</w:t>
                  </w:r>
                </w:p>
              </w:tc>
              <w:tc>
                <w:tcPr>
                  <w:tcW w:w="1419" w:type="pct"/>
                  <w:vAlign w:val="center"/>
                </w:tcPr>
                <w:p w14:paraId="6829EB2A">
                  <w:pPr>
                    <w:jc w:val="center"/>
                    <w:rPr>
                      <w:szCs w:val="21"/>
                    </w:rPr>
                  </w:pPr>
                  <w:r>
                    <w:rPr>
                      <w:rFonts w:hint="eastAsia"/>
                      <w:szCs w:val="21"/>
                    </w:rPr>
                    <w:t>储料</w:t>
                  </w:r>
                </w:p>
              </w:tc>
            </w:tr>
            <w:tr w14:paraId="5E633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vAlign w:val="center"/>
                </w:tcPr>
                <w:p w14:paraId="5ACE6F07">
                  <w:pPr>
                    <w:jc w:val="center"/>
                    <w:rPr>
                      <w:bCs/>
                      <w:szCs w:val="21"/>
                      <w:lang w:bidi="ar"/>
                    </w:rPr>
                  </w:pPr>
                </w:p>
              </w:tc>
              <w:tc>
                <w:tcPr>
                  <w:tcW w:w="265" w:type="pct"/>
                  <w:vMerge w:val="continue"/>
                  <w:vAlign w:val="center"/>
                </w:tcPr>
                <w:p w14:paraId="3C863722">
                  <w:pPr>
                    <w:jc w:val="center"/>
                    <w:rPr>
                      <w:bCs/>
                      <w:szCs w:val="21"/>
                      <w:lang w:bidi="ar"/>
                    </w:rPr>
                  </w:pPr>
                </w:p>
              </w:tc>
              <w:tc>
                <w:tcPr>
                  <w:tcW w:w="940" w:type="pct"/>
                  <w:vAlign w:val="center"/>
                </w:tcPr>
                <w:p w14:paraId="03FDFA28">
                  <w:pPr>
                    <w:jc w:val="center"/>
                    <w:rPr>
                      <w:bCs/>
                      <w:szCs w:val="21"/>
                      <w:lang w:bidi="ar"/>
                    </w:rPr>
                  </w:pPr>
                  <w:r>
                    <w:rPr>
                      <w:rFonts w:hint="eastAsia"/>
                      <w:bCs/>
                      <w:szCs w:val="21"/>
                      <w:lang w:bidi="ar"/>
                    </w:rPr>
                    <w:t>搅拌罐</w:t>
                  </w:r>
                </w:p>
              </w:tc>
              <w:tc>
                <w:tcPr>
                  <w:tcW w:w="1184" w:type="pct"/>
                  <w:vAlign w:val="center"/>
                </w:tcPr>
                <w:p w14:paraId="41728C19">
                  <w:pPr>
                    <w:jc w:val="center"/>
                    <w:rPr>
                      <w:bCs/>
                      <w:szCs w:val="21"/>
                      <w:lang w:bidi="ar"/>
                    </w:rPr>
                  </w:pPr>
                  <w:r>
                    <w:rPr>
                      <w:rFonts w:hint="eastAsia"/>
                      <w:bCs/>
                      <w:szCs w:val="21"/>
                      <w:lang w:bidi="ar"/>
                    </w:rPr>
                    <w:t>3t</w:t>
                  </w:r>
                </w:p>
              </w:tc>
              <w:tc>
                <w:tcPr>
                  <w:tcW w:w="931" w:type="pct"/>
                  <w:vAlign w:val="center"/>
                </w:tcPr>
                <w:p w14:paraId="6275846E">
                  <w:pPr>
                    <w:jc w:val="center"/>
                    <w:rPr>
                      <w:bCs/>
                      <w:szCs w:val="21"/>
                      <w:lang w:bidi="ar"/>
                    </w:rPr>
                  </w:pPr>
                  <w:r>
                    <w:rPr>
                      <w:rFonts w:hint="eastAsia"/>
                      <w:bCs/>
                      <w:szCs w:val="21"/>
                      <w:lang w:bidi="ar"/>
                    </w:rPr>
                    <w:t>4</w:t>
                  </w:r>
                </w:p>
              </w:tc>
              <w:tc>
                <w:tcPr>
                  <w:tcW w:w="1419" w:type="pct"/>
                  <w:vAlign w:val="center"/>
                </w:tcPr>
                <w:p w14:paraId="516658A3">
                  <w:pPr>
                    <w:jc w:val="center"/>
                    <w:rPr>
                      <w:szCs w:val="21"/>
                    </w:rPr>
                  </w:pPr>
                  <w:r>
                    <w:rPr>
                      <w:rFonts w:hint="eastAsia"/>
                      <w:szCs w:val="21"/>
                    </w:rPr>
                    <w:t>调配</w:t>
                  </w:r>
                </w:p>
              </w:tc>
            </w:tr>
            <w:tr w14:paraId="40C2E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vAlign w:val="center"/>
                </w:tcPr>
                <w:p w14:paraId="1F09BE2F">
                  <w:pPr>
                    <w:jc w:val="center"/>
                    <w:rPr>
                      <w:bCs/>
                      <w:szCs w:val="21"/>
                      <w:lang w:bidi="ar"/>
                    </w:rPr>
                  </w:pPr>
                </w:p>
              </w:tc>
              <w:tc>
                <w:tcPr>
                  <w:tcW w:w="265" w:type="pct"/>
                  <w:vMerge w:val="continue"/>
                  <w:vAlign w:val="center"/>
                </w:tcPr>
                <w:p w14:paraId="53D1DCC0">
                  <w:pPr>
                    <w:jc w:val="center"/>
                    <w:rPr>
                      <w:bCs/>
                      <w:szCs w:val="21"/>
                      <w:lang w:bidi="ar"/>
                    </w:rPr>
                  </w:pPr>
                </w:p>
              </w:tc>
              <w:tc>
                <w:tcPr>
                  <w:tcW w:w="940" w:type="pct"/>
                  <w:vAlign w:val="center"/>
                </w:tcPr>
                <w:p w14:paraId="350E9D20">
                  <w:pPr>
                    <w:jc w:val="center"/>
                    <w:rPr>
                      <w:bCs/>
                      <w:szCs w:val="21"/>
                      <w:lang w:bidi="ar"/>
                    </w:rPr>
                  </w:pPr>
                  <w:r>
                    <w:rPr>
                      <w:rFonts w:hint="eastAsia"/>
                      <w:bCs/>
                      <w:szCs w:val="21"/>
                      <w:lang w:bidi="ar"/>
                    </w:rPr>
                    <w:t>螺旋上料机</w:t>
                  </w:r>
                </w:p>
              </w:tc>
              <w:tc>
                <w:tcPr>
                  <w:tcW w:w="1184" w:type="pct"/>
                  <w:shd w:val="clear" w:color="auto" w:fill="auto"/>
                  <w:vAlign w:val="center"/>
                </w:tcPr>
                <w:p w14:paraId="0CAE9345">
                  <w:pPr>
                    <w:jc w:val="center"/>
                    <w:rPr>
                      <w:bCs/>
                      <w:szCs w:val="21"/>
                      <w:lang w:bidi="ar"/>
                    </w:rPr>
                  </w:pPr>
                  <w:r>
                    <w:rPr>
                      <w:rFonts w:hint="eastAsia"/>
                      <w:bCs/>
                      <w:szCs w:val="21"/>
                      <w:lang w:bidi="ar"/>
                    </w:rPr>
                    <w:t>定制</w:t>
                  </w:r>
                </w:p>
              </w:tc>
              <w:tc>
                <w:tcPr>
                  <w:tcW w:w="931" w:type="pct"/>
                  <w:vAlign w:val="center"/>
                </w:tcPr>
                <w:p w14:paraId="20546BDA">
                  <w:pPr>
                    <w:jc w:val="center"/>
                    <w:rPr>
                      <w:rFonts w:hint="eastAsia" w:eastAsia="宋体"/>
                      <w:bCs/>
                      <w:szCs w:val="21"/>
                      <w:lang w:eastAsia="zh-CN" w:bidi="ar"/>
                    </w:rPr>
                  </w:pPr>
                  <w:r>
                    <w:rPr>
                      <w:rFonts w:hint="eastAsia"/>
                      <w:bCs/>
                      <w:szCs w:val="21"/>
                      <w:lang w:val="en-US" w:eastAsia="zh-CN" w:bidi="ar"/>
                    </w:rPr>
                    <w:t>4</w:t>
                  </w:r>
                </w:p>
              </w:tc>
              <w:tc>
                <w:tcPr>
                  <w:tcW w:w="1419" w:type="pct"/>
                  <w:vAlign w:val="center"/>
                </w:tcPr>
                <w:p w14:paraId="61BA3CFF">
                  <w:pPr>
                    <w:jc w:val="center"/>
                    <w:rPr>
                      <w:szCs w:val="21"/>
                    </w:rPr>
                  </w:pPr>
                  <w:r>
                    <w:rPr>
                      <w:rFonts w:hint="eastAsia"/>
                      <w:szCs w:val="21"/>
                    </w:rPr>
                    <w:t>上料</w:t>
                  </w:r>
                </w:p>
              </w:tc>
            </w:tr>
            <w:tr w14:paraId="71BC9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vAlign w:val="center"/>
                </w:tcPr>
                <w:p w14:paraId="0F713BE8">
                  <w:pPr>
                    <w:jc w:val="center"/>
                    <w:rPr>
                      <w:bCs/>
                      <w:szCs w:val="21"/>
                      <w:lang w:bidi="ar"/>
                    </w:rPr>
                  </w:pPr>
                </w:p>
              </w:tc>
              <w:tc>
                <w:tcPr>
                  <w:tcW w:w="265" w:type="pct"/>
                  <w:vMerge w:val="continue"/>
                  <w:vAlign w:val="center"/>
                </w:tcPr>
                <w:p w14:paraId="0613FE23">
                  <w:pPr>
                    <w:jc w:val="center"/>
                    <w:rPr>
                      <w:bCs/>
                      <w:szCs w:val="21"/>
                      <w:lang w:bidi="ar"/>
                    </w:rPr>
                  </w:pPr>
                </w:p>
              </w:tc>
              <w:tc>
                <w:tcPr>
                  <w:tcW w:w="940" w:type="pct"/>
                  <w:vAlign w:val="center"/>
                </w:tcPr>
                <w:p w14:paraId="480949CC">
                  <w:pPr>
                    <w:jc w:val="center"/>
                    <w:rPr>
                      <w:bCs/>
                      <w:szCs w:val="21"/>
                      <w:lang w:bidi="ar"/>
                    </w:rPr>
                  </w:pPr>
                  <w:r>
                    <w:rPr>
                      <w:rFonts w:hint="eastAsia"/>
                      <w:bCs/>
                      <w:szCs w:val="21"/>
                      <w:lang w:bidi="ar"/>
                    </w:rPr>
                    <w:t>涂布机</w:t>
                  </w:r>
                </w:p>
              </w:tc>
              <w:tc>
                <w:tcPr>
                  <w:tcW w:w="1184" w:type="pct"/>
                  <w:shd w:val="clear" w:color="auto" w:fill="auto"/>
                  <w:vAlign w:val="center"/>
                </w:tcPr>
                <w:p w14:paraId="27610315">
                  <w:pPr>
                    <w:jc w:val="center"/>
                    <w:rPr>
                      <w:rFonts w:hint="default" w:eastAsia="宋体"/>
                      <w:bCs/>
                      <w:szCs w:val="21"/>
                      <w:lang w:val="en-US" w:eastAsia="zh-CN" w:bidi="ar"/>
                    </w:rPr>
                  </w:pPr>
                  <w:r>
                    <w:rPr>
                      <w:rFonts w:hint="eastAsia"/>
                      <w:bCs/>
                      <w:szCs w:val="21"/>
                      <w:lang w:val="en-US" w:eastAsia="zh-CN" w:bidi="ar"/>
                    </w:rPr>
                    <w:t>宽幅2m，处理能力6m/min</w:t>
                  </w:r>
                </w:p>
              </w:tc>
              <w:tc>
                <w:tcPr>
                  <w:tcW w:w="931" w:type="pct"/>
                  <w:vAlign w:val="center"/>
                </w:tcPr>
                <w:p w14:paraId="4FC00CA7">
                  <w:pPr>
                    <w:jc w:val="center"/>
                    <w:rPr>
                      <w:bCs/>
                      <w:szCs w:val="21"/>
                      <w:lang w:bidi="ar"/>
                    </w:rPr>
                  </w:pPr>
                  <w:r>
                    <w:rPr>
                      <w:rFonts w:hint="eastAsia"/>
                      <w:bCs/>
                      <w:szCs w:val="21"/>
                      <w:lang w:bidi="ar"/>
                    </w:rPr>
                    <w:t>2</w:t>
                  </w:r>
                </w:p>
              </w:tc>
              <w:tc>
                <w:tcPr>
                  <w:tcW w:w="1419" w:type="pct"/>
                  <w:vAlign w:val="center"/>
                </w:tcPr>
                <w:p w14:paraId="15B23C36">
                  <w:pPr>
                    <w:jc w:val="center"/>
                    <w:rPr>
                      <w:szCs w:val="21"/>
                    </w:rPr>
                  </w:pPr>
                  <w:r>
                    <w:rPr>
                      <w:rFonts w:hint="eastAsia"/>
                      <w:szCs w:val="21"/>
                    </w:rPr>
                    <w:t>背胶</w:t>
                  </w:r>
                </w:p>
              </w:tc>
            </w:tr>
            <w:tr w14:paraId="1C88B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vMerge w:val="continue"/>
                  <w:vAlign w:val="center"/>
                </w:tcPr>
                <w:p w14:paraId="6B566161">
                  <w:pPr>
                    <w:jc w:val="center"/>
                    <w:rPr>
                      <w:szCs w:val="21"/>
                    </w:rPr>
                  </w:pPr>
                </w:p>
              </w:tc>
              <w:tc>
                <w:tcPr>
                  <w:tcW w:w="265" w:type="pct"/>
                  <w:vAlign w:val="center"/>
                </w:tcPr>
                <w:p w14:paraId="6BE2B967">
                  <w:pPr>
                    <w:jc w:val="center"/>
                    <w:rPr>
                      <w:szCs w:val="21"/>
                    </w:rPr>
                  </w:pPr>
                  <w:r>
                    <w:rPr>
                      <w:rFonts w:hint="eastAsia"/>
                      <w:szCs w:val="21"/>
                    </w:rPr>
                    <w:t>公辅设备</w:t>
                  </w:r>
                </w:p>
              </w:tc>
              <w:tc>
                <w:tcPr>
                  <w:tcW w:w="940" w:type="pct"/>
                  <w:vAlign w:val="center"/>
                </w:tcPr>
                <w:p w14:paraId="73EF854C">
                  <w:pPr>
                    <w:widowControl/>
                    <w:adjustRightInd w:val="0"/>
                    <w:snapToGrid w:val="0"/>
                    <w:jc w:val="center"/>
                    <w:rPr>
                      <w:szCs w:val="21"/>
                    </w:rPr>
                  </w:pPr>
                  <w:r>
                    <w:rPr>
                      <w:rFonts w:hint="eastAsia"/>
                      <w:szCs w:val="21"/>
                    </w:rPr>
                    <w:t>空压机</w:t>
                  </w:r>
                </w:p>
              </w:tc>
              <w:tc>
                <w:tcPr>
                  <w:tcW w:w="1184" w:type="pct"/>
                  <w:vAlign w:val="center"/>
                </w:tcPr>
                <w:p w14:paraId="46D9AF91">
                  <w:pPr>
                    <w:widowControl/>
                    <w:adjustRightInd w:val="0"/>
                    <w:snapToGrid w:val="0"/>
                    <w:jc w:val="center"/>
                    <w:rPr>
                      <w:rFonts w:hint="default" w:eastAsia="宋体"/>
                      <w:szCs w:val="21"/>
                      <w:lang w:val="en-US" w:eastAsia="zh-CN"/>
                    </w:rPr>
                  </w:pPr>
                  <w:r>
                    <w:rPr>
                      <w:rFonts w:hint="eastAsia"/>
                      <w:szCs w:val="21"/>
                      <w:lang w:val="en-US" w:eastAsia="zh-CN"/>
                    </w:rPr>
                    <w:t>10</w:t>
                  </w:r>
                  <w:r>
                    <w:rPr>
                      <w:rFonts w:hint="eastAsia"/>
                      <w:bCs/>
                      <w:szCs w:val="21"/>
                      <w:lang w:bidi="ar"/>
                    </w:rPr>
                    <w:t>m</w:t>
                  </w:r>
                  <w:r>
                    <w:rPr>
                      <w:rFonts w:hint="eastAsia"/>
                      <w:bCs/>
                      <w:szCs w:val="21"/>
                      <w:vertAlign w:val="superscript"/>
                      <w:lang w:bidi="ar"/>
                    </w:rPr>
                    <w:t>3</w:t>
                  </w:r>
                  <w:r>
                    <w:rPr>
                      <w:rFonts w:hint="eastAsia"/>
                      <w:bCs/>
                      <w:szCs w:val="21"/>
                      <w:lang w:val="en-US" w:eastAsia="zh-CN" w:bidi="ar"/>
                    </w:rPr>
                    <w:t>/min</w:t>
                  </w:r>
                </w:p>
              </w:tc>
              <w:tc>
                <w:tcPr>
                  <w:tcW w:w="931" w:type="pct"/>
                  <w:vAlign w:val="center"/>
                </w:tcPr>
                <w:p w14:paraId="28312A5D">
                  <w:pPr>
                    <w:widowControl/>
                    <w:jc w:val="center"/>
                    <w:textAlignment w:val="center"/>
                    <w:rPr>
                      <w:szCs w:val="21"/>
                    </w:rPr>
                  </w:pPr>
                  <w:r>
                    <w:rPr>
                      <w:rFonts w:hint="eastAsia"/>
                      <w:kern w:val="0"/>
                      <w:szCs w:val="21"/>
                      <w:lang w:bidi="ar"/>
                    </w:rPr>
                    <w:t>1</w:t>
                  </w:r>
                </w:p>
              </w:tc>
              <w:tc>
                <w:tcPr>
                  <w:tcW w:w="1419" w:type="pct"/>
                  <w:vAlign w:val="center"/>
                </w:tcPr>
                <w:p w14:paraId="0132FFB7">
                  <w:pPr>
                    <w:jc w:val="center"/>
                    <w:rPr>
                      <w:szCs w:val="21"/>
                    </w:rPr>
                  </w:pPr>
                  <w:r>
                    <w:rPr>
                      <w:rFonts w:hint="eastAsia"/>
                      <w:bCs/>
                      <w:szCs w:val="21"/>
                      <w:lang w:bidi="ar"/>
                    </w:rPr>
                    <w:t>提供动力</w:t>
                  </w:r>
                </w:p>
              </w:tc>
            </w:tr>
            <w:tr w14:paraId="40116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07" w:hRule="atLeast"/>
                <w:jc w:val="center"/>
              </w:trPr>
              <w:tc>
                <w:tcPr>
                  <w:tcW w:w="524" w:type="pct"/>
                  <w:gridSpan w:val="2"/>
                  <w:vMerge w:val="restart"/>
                  <w:vAlign w:val="center"/>
                </w:tcPr>
                <w:p w14:paraId="452208E2">
                  <w:pPr>
                    <w:jc w:val="center"/>
                    <w:rPr>
                      <w:szCs w:val="21"/>
                    </w:rPr>
                  </w:pPr>
                  <w:r>
                    <w:rPr>
                      <w:szCs w:val="21"/>
                    </w:rPr>
                    <w:t>环保设备</w:t>
                  </w:r>
                </w:p>
              </w:tc>
              <w:tc>
                <w:tcPr>
                  <w:tcW w:w="940" w:type="pct"/>
                  <w:shd w:val="clear" w:color="auto" w:fill="auto"/>
                  <w:vAlign w:val="center"/>
                </w:tcPr>
                <w:p w14:paraId="45BBB0FD">
                  <w:pPr>
                    <w:widowControl/>
                    <w:spacing w:line="320" w:lineRule="exact"/>
                    <w:jc w:val="center"/>
                    <w:textAlignment w:val="center"/>
                    <w:rPr>
                      <w:rFonts w:hint="eastAsia" w:ascii="Times New Roman" w:hAnsi="Times New Roman" w:eastAsia="宋体" w:cs="Times New Roman"/>
                      <w:color w:val="FF0000"/>
                      <w:kern w:val="0"/>
                      <w:sz w:val="21"/>
                      <w:szCs w:val="21"/>
                      <w:lang w:val="en-US" w:eastAsia="zh-CN" w:bidi="ar"/>
                    </w:rPr>
                  </w:pPr>
                  <w:r>
                    <w:rPr>
                      <w:rFonts w:hint="eastAsia"/>
                      <w:kern w:val="0"/>
                      <w:szCs w:val="21"/>
                      <w:lang w:eastAsia="zh-CN" w:bidi="ar"/>
                    </w:rPr>
                    <w:t>布袋除尘器</w:t>
                  </w:r>
                </w:p>
              </w:tc>
              <w:tc>
                <w:tcPr>
                  <w:tcW w:w="1184" w:type="pct"/>
                  <w:vMerge w:val="restart"/>
                  <w:shd w:val="clear" w:color="auto" w:fill="auto"/>
                  <w:vAlign w:val="center"/>
                </w:tcPr>
                <w:p w14:paraId="4E2EEDBB">
                  <w:pPr>
                    <w:widowControl/>
                    <w:spacing w:line="320" w:lineRule="exact"/>
                    <w:jc w:val="center"/>
                    <w:textAlignment w:val="center"/>
                    <w:rPr>
                      <w:rFonts w:ascii="Times New Roman" w:hAnsi="Times New Roman" w:eastAsia="宋体" w:cs="Times New Roman"/>
                      <w:kern w:val="0"/>
                      <w:sz w:val="21"/>
                      <w:szCs w:val="21"/>
                      <w:lang w:val="en-US" w:eastAsia="zh-CN" w:bidi="ar"/>
                    </w:rPr>
                  </w:pPr>
                  <w:r>
                    <w:rPr>
                      <w:rFonts w:hint="eastAsia"/>
                      <w:szCs w:val="21"/>
                    </w:rPr>
                    <w:t>100</w:t>
                  </w:r>
                  <w:r>
                    <w:rPr>
                      <w:szCs w:val="21"/>
                    </w:rPr>
                    <w:t>00m</w:t>
                  </w:r>
                  <w:r>
                    <w:rPr>
                      <w:szCs w:val="21"/>
                      <w:vertAlign w:val="superscript"/>
                    </w:rPr>
                    <w:t>3</w:t>
                  </w:r>
                  <w:r>
                    <w:rPr>
                      <w:szCs w:val="21"/>
                    </w:rPr>
                    <w:t>/h</w:t>
                  </w:r>
                </w:p>
              </w:tc>
              <w:tc>
                <w:tcPr>
                  <w:tcW w:w="931" w:type="pct"/>
                  <w:shd w:val="clear" w:color="auto" w:fill="auto"/>
                  <w:vAlign w:val="center"/>
                </w:tcPr>
                <w:p w14:paraId="249D9829">
                  <w:pPr>
                    <w:widowControl/>
                    <w:adjustRightInd w:val="0"/>
                    <w:snapToGrid w:val="0"/>
                    <w:jc w:val="center"/>
                    <w:rPr>
                      <w:rFonts w:ascii="Times New Roman" w:hAnsi="Times New Roman" w:eastAsia="宋体" w:cs="Times New Roman"/>
                      <w:bCs/>
                      <w:color w:val="FF0000"/>
                      <w:kern w:val="2"/>
                      <w:sz w:val="21"/>
                      <w:szCs w:val="21"/>
                      <w:lang w:val="en-US" w:eastAsia="zh-CN" w:bidi="ar-SA"/>
                    </w:rPr>
                  </w:pPr>
                  <w:r>
                    <w:rPr>
                      <w:rFonts w:hint="eastAsia"/>
                      <w:bCs/>
                      <w:szCs w:val="21"/>
                    </w:rPr>
                    <w:t>1</w:t>
                  </w:r>
                </w:p>
              </w:tc>
              <w:tc>
                <w:tcPr>
                  <w:tcW w:w="1419" w:type="pct"/>
                  <w:vMerge w:val="restart"/>
                  <w:shd w:val="clear" w:color="auto" w:fill="auto"/>
                  <w:vAlign w:val="center"/>
                </w:tcPr>
                <w:p w14:paraId="60EC96AC">
                  <w:pPr>
                    <w:widowControl/>
                    <w:spacing w:line="320" w:lineRule="exact"/>
                    <w:jc w:val="center"/>
                    <w:textAlignment w:val="center"/>
                    <w:rPr>
                      <w:rFonts w:hint="default" w:ascii="Times New Roman" w:hAnsi="Times New Roman" w:eastAsia="宋体" w:cs="Times New Roman"/>
                      <w:kern w:val="2"/>
                      <w:sz w:val="21"/>
                      <w:szCs w:val="21"/>
                      <w:lang w:val="en-US" w:eastAsia="zh-CN" w:bidi="ar-SA"/>
                    </w:rPr>
                  </w:pPr>
                  <w:r>
                    <w:rPr>
                      <w:rFonts w:hint="eastAsia"/>
                      <w:szCs w:val="21"/>
                      <w:highlight w:val="none"/>
                    </w:rPr>
                    <w:t>调配</w:t>
                  </w:r>
                  <w:r>
                    <w:rPr>
                      <w:rFonts w:hint="eastAsia"/>
                      <w:szCs w:val="21"/>
                      <w:highlight w:val="none"/>
                      <w:lang w:val="en-US" w:eastAsia="zh-CN"/>
                    </w:rPr>
                    <w:t>废气</w:t>
                  </w:r>
                  <w:r>
                    <w:rPr>
                      <w:rFonts w:hint="eastAsia"/>
                      <w:szCs w:val="21"/>
                      <w:highlight w:val="none"/>
                    </w:rPr>
                    <w:t>经</w:t>
                  </w:r>
                  <w:r>
                    <w:rPr>
                      <w:rFonts w:hint="eastAsia"/>
                      <w:szCs w:val="21"/>
                      <w:highlight w:val="none"/>
                      <w:lang w:val="en-US" w:eastAsia="zh-CN"/>
                    </w:rPr>
                    <w:t>TA001</w:t>
                  </w:r>
                  <w:r>
                    <w:rPr>
                      <w:rFonts w:hint="eastAsia"/>
                      <w:szCs w:val="21"/>
                      <w:highlight w:val="none"/>
                    </w:rPr>
                    <w:t>布袋除尘器处理后</w:t>
                  </w:r>
                  <w:r>
                    <w:rPr>
                      <w:rFonts w:hint="eastAsia"/>
                      <w:szCs w:val="21"/>
                      <w:highlight w:val="none"/>
                      <w:lang w:eastAsia="zh-CN"/>
                    </w:rPr>
                    <w:t>，</w:t>
                  </w:r>
                  <w:r>
                    <w:rPr>
                      <w:rFonts w:hint="eastAsia"/>
                      <w:szCs w:val="21"/>
                      <w:highlight w:val="none"/>
                      <w:lang w:val="en-US" w:eastAsia="zh-CN"/>
                    </w:rPr>
                    <w:t>与</w:t>
                  </w:r>
                  <w:r>
                    <w:rPr>
                      <w:rFonts w:hint="eastAsia"/>
                      <w:szCs w:val="21"/>
                      <w:highlight w:val="none"/>
                    </w:rPr>
                    <w:t>背胶</w:t>
                  </w:r>
                  <w:r>
                    <w:rPr>
                      <w:rFonts w:hint="eastAsia"/>
                      <w:szCs w:val="21"/>
                      <w:highlight w:val="none"/>
                      <w:lang w:val="en-US" w:eastAsia="zh-CN"/>
                    </w:rPr>
                    <w:t>、</w:t>
                  </w:r>
                  <w:r>
                    <w:rPr>
                      <w:rFonts w:hint="eastAsia"/>
                      <w:szCs w:val="21"/>
                      <w:highlight w:val="none"/>
                    </w:rPr>
                    <w:t>烘</w:t>
                  </w:r>
                  <w:r>
                    <w:rPr>
                      <w:rFonts w:hint="eastAsia"/>
                      <w:color w:val="auto"/>
                      <w:szCs w:val="21"/>
                      <w:highlight w:val="none"/>
                    </w:rPr>
                    <w:t>干</w:t>
                  </w:r>
                  <w:r>
                    <w:rPr>
                      <w:rFonts w:hint="eastAsia"/>
                      <w:color w:val="auto"/>
                      <w:szCs w:val="21"/>
                      <w:highlight w:val="none"/>
                      <w:lang w:val="en-US" w:eastAsia="zh-CN"/>
                    </w:rPr>
                    <w:t>、天然气燃烧和危废</w:t>
                  </w:r>
                  <w:r>
                    <w:rPr>
                      <w:rFonts w:hint="eastAsia"/>
                      <w:color w:val="auto"/>
                      <w:szCs w:val="21"/>
                      <w:highlight w:val="none"/>
                    </w:rPr>
                    <w:t>废气</w:t>
                  </w:r>
                  <w:r>
                    <w:rPr>
                      <w:rFonts w:hint="eastAsia"/>
                      <w:color w:val="auto"/>
                      <w:szCs w:val="21"/>
                      <w:highlight w:val="none"/>
                      <w:lang w:val="en-US" w:eastAsia="zh-CN"/>
                    </w:rPr>
                    <w:t>一起</w:t>
                  </w:r>
                  <w:r>
                    <w:rPr>
                      <w:rFonts w:hint="eastAsia"/>
                      <w:color w:val="auto"/>
                      <w:szCs w:val="21"/>
                      <w:highlight w:val="none"/>
                    </w:rPr>
                    <w:t>经</w:t>
                  </w:r>
                  <w:r>
                    <w:rPr>
                      <w:rFonts w:hint="eastAsia"/>
                      <w:color w:val="auto"/>
                      <w:szCs w:val="21"/>
                      <w:highlight w:val="none"/>
                      <w:lang w:val="en-US" w:eastAsia="zh-CN"/>
                    </w:rPr>
                    <w:t>TA002除水器+</w:t>
                  </w:r>
                  <w:r>
                    <w:rPr>
                      <w:rFonts w:hint="eastAsia"/>
                      <w:color w:val="auto"/>
                      <w:szCs w:val="21"/>
                      <w:highlight w:val="none"/>
                    </w:rPr>
                    <w:t>二级活性炭吸附装置处理</w:t>
                  </w:r>
                  <w:r>
                    <w:rPr>
                      <w:rFonts w:hint="eastAsia"/>
                      <w:szCs w:val="21"/>
                      <w:highlight w:val="none"/>
                    </w:rPr>
                    <w:t>后通过一根15m高</w:t>
                  </w:r>
                  <w:r>
                    <w:rPr>
                      <w:rFonts w:hint="eastAsia"/>
                      <w:szCs w:val="21"/>
                      <w:highlight w:val="none"/>
                      <w:lang w:val="en-US" w:eastAsia="zh-CN"/>
                    </w:rPr>
                    <w:t>DA001</w:t>
                  </w:r>
                  <w:r>
                    <w:rPr>
                      <w:rFonts w:hint="eastAsia"/>
                      <w:szCs w:val="21"/>
                      <w:highlight w:val="none"/>
                    </w:rPr>
                    <w:t>排气筒排放</w:t>
                  </w:r>
                </w:p>
              </w:tc>
            </w:tr>
            <w:tr w14:paraId="78DD7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4" w:type="pct"/>
                  <w:gridSpan w:val="2"/>
                  <w:vMerge w:val="continue"/>
                  <w:vAlign w:val="center"/>
                </w:tcPr>
                <w:p w14:paraId="7682E404">
                  <w:pPr>
                    <w:jc w:val="center"/>
                    <w:rPr>
                      <w:color w:val="FF0000"/>
                      <w:szCs w:val="21"/>
                    </w:rPr>
                  </w:pPr>
                </w:p>
              </w:tc>
              <w:tc>
                <w:tcPr>
                  <w:tcW w:w="940" w:type="pct"/>
                  <w:shd w:val="clear" w:color="auto" w:fill="auto"/>
                  <w:vAlign w:val="center"/>
                </w:tcPr>
                <w:p w14:paraId="16725B60">
                  <w:pPr>
                    <w:widowControl/>
                    <w:spacing w:line="32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Cs w:val="21"/>
                      <w:lang w:val="en-US" w:eastAsia="zh-CN" w:bidi="ar"/>
                    </w:rPr>
                    <w:t>除水器+</w:t>
                  </w:r>
                  <w:r>
                    <w:rPr>
                      <w:rFonts w:hint="eastAsia"/>
                      <w:kern w:val="0"/>
                      <w:szCs w:val="21"/>
                      <w:lang w:bidi="ar"/>
                    </w:rPr>
                    <w:t>二级活性炭吸附装置</w:t>
                  </w:r>
                </w:p>
              </w:tc>
              <w:tc>
                <w:tcPr>
                  <w:tcW w:w="1184" w:type="pct"/>
                  <w:vMerge w:val="continue"/>
                  <w:shd w:val="clear" w:color="auto" w:fill="auto"/>
                  <w:vAlign w:val="center"/>
                </w:tcPr>
                <w:p w14:paraId="3C283756">
                  <w:pPr>
                    <w:widowControl/>
                    <w:spacing w:line="320" w:lineRule="exact"/>
                    <w:jc w:val="center"/>
                    <w:textAlignment w:val="center"/>
                    <w:rPr>
                      <w:rFonts w:ascii="Times New Roman" w:hAnsi="Times New Roman" w:eastAsia="宋体" w:cs="Times New Roman"/>
                      <w:kern w:val="0"/>
                      <w:sz w:val="21"/>
                      <w:szCs w:val="21"/>
                      <w:lang w:val="en-US" w:eastAsia="zh-CN" w:bidi="ar"/>
                    </w:rPr>
                  </w:pPr>
                </w:p>
              </w:tc>
              <w:tc>
                <w:tcPr>
                  <w:tcW w:w="931" w:type="pct"/>
                  <w:shd w:val="clear" w:color="auto" w:fill="auto"/>
                  <w:vAlign w:val="center"/>
                </w:tcPr>
                <w:p w14:paraId="6DDFA054">
                  <w:pPr>
                    <w:widowControl/>
                    <w:adjustRightInd w:val="0"/>
                    <w:snapToGrid w:val="0"/>
                    <w:jc w:val="center"/>
                    <w:rPr>
                      <w:rFonts w:ascii="Times New Roman" w:hAnsi="Times New Roman" w:eastAsia="宋体" w:cs="Times New Roman"/>
                      <w:bCs/>
                      <w:kern w:val="2"/>
                      <w:sz w:val="21"/>
                      <w:szCs w:val="21"/>
                      <w:lang w:val="en-US" w:eastAsia="zh-CN" w:bidi="ar-SA"/>
                    </w:rPr>
                  </w:pPr>
                  <w:r>
                    <w:rPr>
                      <w:rFonts w:hint="eastAsia"/>
                      <w:bCs/>
                      <w:szCs w:val="21"/>
                    </w:rPr>
                    <w:t>1</w:t>
                  </w:r>
                </w:p>
              </w:tc>
              <w:tc>
                <w:tcPr>
                  <w:tcW w:w="1419" w:type="pct"/>
                  <w:vMerge w:val="continue"/>
                  <w:shd w:val="clear" w:color="auto" w:fill="auto"/>
                  <w:vAlign w:val="center"/>
                </w:tcPr>
                <w:p w14:paraId="3716984C">
                  <w:pPr>
                    <w:widowControl/>
                    <w:spacing w:line="320" w:lineRule="exact"/>
                    <w:jc w:val="center"/>
                    <w:textAlignment w:val="center"/>
                    <w:rPr>
                      <w:rFonts w:hint="default" w:ascii="Times New Roman" w:hAnsi="Times New Roman" w:eastAsia="宋体" w:cs="Times New Roman"/>
                      <w:kern w:val="2"/>
                      <w:sz w:val="21"/>
                      <w:szCs w:val="21"/>
                      <w:lang w:val="en-US" w:eastAsia="zh-CN" w:bidi="ar-SA"/>
                    </w:rPr>
                  </w:pPr>
                </w:p>
              </w:tc>
            </w:tr>
          </w:tbl>
          <w:p w14:paraId="3526B99D">
            <w:pPr>
              <w:snapToGrid w:val="0"/>
              <w:spacing w:line="360" w:lineRule="auto"/>
              <w:ind w:firstLine="480" w:firstLineChars="200"/>
              <w:rPr>
                <w:rFonts w:hint="default" w:ascii="Times New Roman" w:hAnsi="Times New Roman" w:eastAsia="宋体" w:cs="Times New Roman"/>
                <w:bCs/>
                <w:sz w:val="24"/>
                <w:lang w:val="en-US" w:eastAsia="zh-CN"/>
              </w:rPr>
            </w:pPr>
            <w:r>
              <w:rPr>
                <w:rFonts w:hint="eastAsia" w:ascii="Times New Roman" w:hAnsi="Times New Roman" w:cs="Times New Roman"/>
                <w:bCs/>
                <w:sz w:val="24"/>
                <w:lang w:val="en-US" w:eastAsia="zh-CN"/>
              </w:rPr>
              <w:t>注：本项目设备运维委外，故原辅料不涉及机油，仅在设备内存留。</w:t>
            </w:r>
          </w:p>
          <w:p w14:paraId="18109985">
            <w:pPr>
              <w:spacing w:line="480" w:lineRule="exact"/>
              <w:ind w:firstLine="482" w:firstLineChars="200"/>
              <w:rPr>
                <w:rFonts w:hint="eastAsia"/>
                <w:szCs w:val="21"/>
                <w:vertAlign w:val="baseline"/>
                <w:lang w:val="en-US" w:eastAsia="zh-CN"/>
              </w:rPr>
            </w:pPr>
            <w:r>
              <w:rPr>
                <w:rFonts w:hint="eastAsia" w:ascii="Times New Roman" w:hAnsi="Times New Roman" w:eastAsia="宋体" w:cs="Times New Roman"/>
                <w:b/>
                <w:bCs/>
                <w:sz w:val="24"/>
                <w:lang w:val="en-US" w:eastAsia="zh-CN"/>
              </w:rPr>
              <w:t>设备与产能匹配性分析：</w:t>
            </w:r>
            <w:r>
              <w:rPr>
                <w:rFonts w:hint="eastAsia" w:ascii="Times New Roman" w:hAnsi="Times New Roman" w:eastAsia="宋体" w:cs="Times New Roman"/>
                <w:sz w:val="24"/>
                <w:lang w:val="en-US" w:eastAsia="zh-CN"/>
              </w:rPr>
              <w:t>本项目涂布机2台，宽幅2m，处理能力为</w:t>
            </w:r>
            <w:r>
              <w:rPr>
                <w:rFonts w:hint="eastAsia"/>
                <w:bCs/>
                <w:szCs w:val="21"/>
                <w:lang w:val="en-US" w:eastAsia="zh-CN" w:bidi="ar"/>
              </w:rPr>
              <w:t>6m/min。产能计算为2×2×6×60×7200=10368000</w:t>
            </w:r>
            <w:r>
              <w:rPr>
                <w:szCs w:val="21"/>
              </w:rPr>
              <w:t>m</w:t>
            </w:r>
            <w:r>
              <w:rPr>
                <w:szCs w:val="21"/>
                <w:vertAlign w:val="superscript"/>
              </w:rPr>
              <w:t>2</w:t>
            </w:r>
            <w:r>
              <w:rPr>
                <w:rFonts w:hint="eastAsia"/>
                <w:szCs w:val="21"/>
                <w:vertAlign w:val="baseline"/>
                <w:lang w:val="en-US" w:eastAsia="zh-CN"/>
              </w:rPr>
              <w:t>≈100万平方米/年。</w:t>
            </w:r>
            <w:r>
              <w:rPr>
                <w:rFonts w:hint="eastAsia" w:ascii="Times New Roman" w:hAnsi="Times New Roman" w:eastAsia="宋体" w:cs="Times New Roman"/>
                <w:sz w:val="24"/>
                <w:lang w:val="en-US" w:eastAsia="zh-CN"/>
              </w:rPr>
              <w:t>本项目草坪烘干机4台，宽幅2m，处理能力为</w:t>
            </w:r>
            <w:r>
              <w:rPr>
                <w:rFonts w:hint="eastAsia"/>
                <w:bCs/>
                <w:szCs w:val="21"/>
                <w:lang w:val="en-US" w:eastAsia="zh-CN" w:bidi="ar"/>
              </w:rPr>
              <w:t>3m/min。产能计算为4×2×3×60×7200=10368000</w:t>
            </w:r>
            <w:r>
              <w:rPr>
                <w:szCs w:val="21"/>
              </w:rPr>
              <w:t>m</w:t>
            </w:r>
            <w:r>
              <w:rPr>
                <w:szCs w:val="21"/>
                <w:vertAlign w:val="superscript"/>
              </w:rPr>
              <w:t>2</w:t>
            </w:r>
            <w:r>
              <w:rPr>
                <w:rFonts w:hint="eastAsia"/>
                <w:szCs w:val="21"/>
                <w:vertAlign w:val="baseline"/>
                <w:lang w:val="en-US" w:eastAsia="zh-CN"/>
              </w:rPr>
              <w:t>≈100万平方米/年。因此设备生产效率与产品产能基本相符。</w:t>
            </w:r>
          </w:p>
          <w:p w14:paraId="0608B685">
            <w:pPr>
              <w:spacing w:line="480" w:lineRule="exact"/>
              <w:ind w:firstLine="482" w:firstLineChars="200"/>
              <w:rPr>
                <w:rFonts w:hint="default"/>
                <w:szCs w:val="21"/>
                <w:vertAlign w:val="baseline"/>
                <w:lang w:val="en-US" w:eastAsia="zh-CN"/>
              </w:rPr>
            </w:pPr>
            <w:r>
              <w:rPr>
                <w:rFonts w:hint="eastAsia" w:ascii="Times New Roman" w:hAnsi="Times New Roman" w:eastAsia="宋体" w:cs="Times New Roman"/>
                <w:b/>
                <w:bCs/>
                <w:sz w:val="24"/>
                <w:lang w:val="en-US" w:eastAsia="zh-CN"/>
              </w:rPr>
              <w:t>原辅料与产能匹配性分析：</w:t>
            </w:r>
            <w:r>
              <w:rPr>
                <w:rFonts w:hint="eastAsia" w:ascii="Times New Roman" w:hAnsi="Times New Roman" w:eastAsia="宋体" w:cs="Times New Roman"/>
                <w:sz w:val="24"/>
                <w:lang w:val="en-US" w:eastAsia="zh-CN"/>
              </w:rPr>
              <w:t>本项目涂布厚度约0.75mm，丁苯乳胶涂布面积约975万</w:t>
            </w:r>
            <w:r>
              <w:rPr>
                <w:szCs w:val="21"/>
              </w:rPr>
              <w:t>m</w:t>
            </w:r>
            <w:r>
              <w:rPr>
                <w:szCs w:val="21"/>
                <w:vertAlign w:val="superscript"/>
              </w:rPr>
              <w:t>2</w:t>
            </w:r>
            <w:r>
              <w:rPr>
                <w:rFonts w:hint="eastAsia" w:ascii="Times New Roman" w:hAnsi="Times New Roman" w:eastAsia="宋体" w:cs="Times New Roman"/>
                <w:sz w:val="24"/>
                <w:lang w:val="en-US" w:eastAsia="zh-CN"/>
              </w:rPr>
              <w:t>，调配后丁苯胶密度约1.27g/cm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vertAlign w:val="baseline"/>
                <w:lang w:val="en-US" w:eastAsia="zh-CN"/>
              </w:rPr>
              <w:t>，则丁苯胶用量约0.75</w:t>
            </w:r>
            <w:r>
              <w:rPr>
                <w:rFonts w:hint="eastAsia"/>
                <w:bCs/>
                <w:szCs w:val="21"/>
                <w:lang w:val="en-US" w:eastAsia="zh-CN" w:bidi="ar"/>
              </w:rPr>
              <w:t>×</w:t>
            </w:r>
            <w:r>
              <w:rPr>
                <w:rFonts w:hint="eastAsia" w:ascii="Times New Roman" w:hAnsi="Times New Roman" w:eastAsia="宋体" w:cs="Times New Roman"/>
                <w:sz w:val="24"/>
                <w:vertAlign w:val="baseline"/>
                <w:lang w:val="en-US" w:eastAsia="zh-CN"/>
              </w:rPr>
              <w:t>10</w:t>
            </w:r>
            <w:r>
              <w:rPr>
                <w:rFonts w:hint="eastAsia" w:ascii="Times New Roman" w:hAnsi="Times New Roman" w:eastAsia="宋体" w:cs="Times New Roman"/>
                <w:sz w:val="24"/>
                <w:vertAlign w:val="superscript"/>
                <w:lang w:val="en-US" w:eastAsia="zh-CN"/>
              </w:rPr>
              <w:t>-4</w:t>
            </w:r>
            <w:r>
              <w:rPr>
                <w:rFonts w:hint="eastAsia"/>
                <w:bCs/>
                <w:szCs w:val="21"/>
                <w:lang w:val="en-US" w:eastAsia="zh-CN" w:bidi="ar"/>
              </w:rPr>
              <w:t>×950×10</w:t>
            </w:r>
            <w:r>
              <w:rPr>
                <w:rFonts w:hint="eastAsia" w:ascii="Times New Roman" w:hAnsi="Times New Roman" w:eastAsia="宋体" w:cs="Times New Roman"/>
                <w:sz w:val="24"/>
                <w:vertAlign w:val="superscript"/>
                <w:lang w:val="en-US" w:eastAsia="zh-CN"/>
              </w:rPr>
              <w:t>4</w:t>
            </w:r>
            <w:r>
              <w:rPr>
                <w:rFonts w:hint="eastAsia"/>
                <w:bCs/>
                <w:szCs w:val="21"/>
                <w:lang w:val="en-US" w:eastAsia="zh-CN" w:bidi="ar"/>
              </w:rPr>
              <w:t>×1.27=904.875</w:t>
            </w:r>
            <w:r>
              <w:rPr>
                <w:rFonts w:hint="eastAsia"/>
                <w:szCs w:val="21"/>
                <w:vertAlign w:val="baseline"/>
                <w:lang w:val="en-US" w:eastAsia="zh-CN"/>
              </w:rPr>
              <w:t>≈900t。双组分PU胶涂布面积约25万</w:t>
            </w:r>
            <w:r>
              <w:rPr>
                <w:szCs w:val="21"/>
              </w:rPr>
              <w:t>m</w:t>
            </w:r>
            <w:r>
              <w:rPr>
                <w:szCs w:val="21"/>
                <w:vertAlign w:val="superscript"/>
              </w:rPr>
              <w:t>2</w:t>
            </w:r>
            <w:r>
              <w:rPr>
                <w:rFonts w:hint="eastAsia" w:ascii="Times New Roman" w:hAnsi="Times New Roman" w:eastAsia="宋体" w:cs="Times New Roman"/>
                <w:sz w:val="24"/>
                <w:lang w:val="en-US" w:eastAsia="zh-CN"/>
              </w:rPr>
              <w:t>，调配后</w:t>
            </w:r>
            <w:r>
              <w:rPr>
                <w:rFonts w:hint="eastAsia"/>
                <w:szCs w:val="21"/>
                <w:vertAlign w:val="baseline"/>
                <w:lang w:val="en-US" w:eastAsia="zh-CN"/>
              </w:rPr>
              <w:t>双组分PU胶</w:t>
            </w:r>
            <w:r>
              <w:rPr>
                <w:rFonts w:hint="eastAsia" w:ascii="Times New Roman" w:hAnsi="Times New Roman" w:eastAsia="宋体" w:cs="Times New Roman"/>
                <w:sz w:val="24"/>
                <w:lang w:val="en-US" w:eastAsia="zh-CN"/>
              </w:rPr>
              <w:t>密度约1.64g/cm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vertAlign w:val="baseline"/>
                <w:lang w:val="en-US" w:eastAsia="zh-CN"/>
              </w:rPr>
              <w:t>，则丁苯胶用量约0.75</w:t>
            </w:r>
            <w:r>
              <w:rPr>
                <w:rFonts w:hint="eastAsia"/>
                <w:bCs/>
                <w:szCs w:val="21"/>
                <w:lang w:val="en-US" w:eastAsia="zh-CN" w:bidi="ar"/>
              </w:rPr>
              <w:t>×</w:t>
            </w:r>
            <w:r>
              <w:rPr>
                <w:rFonts w:hint="eastAsia" w:ascii="Times New Roman" w:hAnsi="Times New Roman" w:eastAsia="宋体" w:cs="Times New Roman"/>
                <w:sz w:val="24"/>
                <w:vertAlign w:val="baseline"/>
                <w:lang w:val="en-US" w:eastAsia="zh-CN"/>
              </w:rPr>
              <w:t>10</w:t>
            </w:r>
            <w:r>
              <w:rPr>
                <w:rFonts w:hint="eastAsia" w:ascii="Times New Roman" w:hAnsi="Times New Roman" w:eastAsia="宋体" w:cs="Times New Roman"/>
                <w:sz w:val="24"/>
                <w:vertAlign w:val="superscript"/>
                <w:lang w:val="en-US" w:eastAsia="zh-CN"/>
              </w:rPr>
              <w:t>-4</w:t>
            </w:r>
            <w:r>
              <w:rPr>
                <w:rFonts w:hint="eastAsia"/>
                <w:bCs/>
                <w:szCs w:val="21"/>
                <w:lang w:val="en-US" w:eastAsia="zh-CN" w:bidi="ar"/>
              </w:rPr>
              <w:t>×25×10</w:t>
            </w:r>
            <w:r>
              <w:rPr>
                <w:rFonts w:hint="eastAsia" w:ascii="Times New Roman" w:hAnsi="Times New Roman" w:eastAsia="宋体" w:cs="Times New Roman"/>
                <w:sz w:val="24"/>
                <w:vertAlign w:val="superscript"/>
                <w:lang w:val="en-US" w:eastAsia="zh-CN"/>
              </w:rPr>
              <w:t>4</w:t>
            </w:r>
            <w:r>
              <w:rPr>
                <w:rFonts w:hint="eastAsia"/>
                <w:bCs/>
                <w:szCs w:val="21"/>
                <w:lang w:val="en-US" w:eastAsia="zh-CN" w:bidi="ar"/>
              </w:rPr>
              <w:t>×1.64=30.75</w:t>
            </w:r>
            <w:r>
              <w:rPr>
                <w:rFonts w:hint="eastAsia"/>
                <w:szCs w:val="21"/>
                <w:vertAlign w:val="baseline"/>
                <w:lang w:val="en-US" w:eastAsia="zh-CN"/>
              </w:rPr>
              <w:t>≈32t。</w:t>
            </w:r>
          </w:p>
          <w:p w14:paraId="632ECB9A">
            <w:pPr>
              <w:spacing w:line="480" w:lineRule="exact"/>
              <w:ind w:firstLine="482" w:firstLineChars="200"/>
              <w:rPr>
                <w:b/>
                <w:sz w:val="24"/>
              </w:rPr>
            </w:pPr>
            <w:r>
              <w:rPr>
                <w:b/>
                <w:sz w:val="24"/>
              </w:rPr>
              <w:t>5</w:t>
            </w:r>
            <w:r>
              <w:rPr>
                <w:rFonts w:hint="eastAsia"/>
                <w:b/>
                <w:sz w:val="24"/>
              </w:rPr>
              <w:t>、</w:t>
            </w:r>
            <w:r>
              <w:rPr>
                <w:b/>
                <w:sz w:val="24"/>
              </w:rPr>
              <w:t>主要原辅材料及燃料的种类和用量</w:t>
            </w:r>
          </w:p>
          <w:p w14:paraId="1545C4C4">
            <w:pPr>
              <w:spacing w:line="480" w:lineRule="exact"/>
              <w:ind w:firstLine="480" w:firstLineChars="200"/>
              <w:rPr>
                <w:sz w:val="24"/>
              </w:rPr>
            </w:pPr>
            <w:r>
              <w:rPr>
                <w:sz w:val="24"/>
              </w:rPr>
              <w:t>本项目主要原辅材料见表2</w:t>
            </w:r>
            <w:r>
              <w:rPr>
                <w:rFonts w:hint="eastAsia"/>
                <w:sz w:val="24"/>
              </w:rPr>
              <w:t>-</w:t>
            </w:r>
            <w:r>
              <w:rPr>
                <w:rFonts w:hint="eastAsia"/>
                <w:sz w:val="24"/>
                <w:lang w:val="en-US" w:eastAsia="zh-CN"/>
              </w:rPr>
              <w:t>4</w:t>
            </w:r>
            <w:r>
              <w:rPr>
                <w:sz w:val="24"/>
              </w:rPr>
              <w:t>。</w:t>
            </w:r>
          </w:p>
          <w:p w14:paraId="309A434F">
            <w:pPr>
              <w:spacing w:line="480" w:lineRule="exact"/>
              <w:jc w:val="center"/>
              <w:rPr>
                <w:b/>
                <w:sz w:val="24"/>
              </w:rPr>
            </w:pPr>
            <w:r>
              <w:rPr>
                <w:b/>
                <w:sz w:val="24"/>
              </w:rPr>
              <w:t>表2-</w:t>
            </w:r>
            <w:r>
              <w:rPr>
                <w:rFonts w:hint="eastAsia"/>
                <w:b/>
                <w:sz w:val="24"/>
                <w:lang w:val="en-US" w:eastAsia="zh-CN"/>
              </w:rPr>
              <w:t>4</w:t>
            </w:r>
            <w:r>
              <w:rPr>
                <w:b/>
                <w:sz w:val="24"/>
              </w:rPr>
              <w:t xml:space="preserve">  主要原辅材料及消耗情况</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3"/>
              <w:gridCol w:w="705"/>
              <w:gridCol w:w="705"/>
              <w:gridCol w:w="1889"/>
              <w:gridCol w:w="1052"/>
              <w:gridCol w:w="902"/>
              <w:gridCol w:w="1891"/>
              <w:gridCol w:w="1258"/>
            </w:tblGrid>
            <w:tr w14:paraId="7FC14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Align w:val="center"/>
                </w:tcPr>
                <w:p w14:paraId="2914F8B4">
                  <w:pPr>
                    <w:jc w:val="center"/>
                    <w:rPr>
                      <w:b/>
                      <w:bCs/>
                      <w:szCs w:val="21"/>
                    </w:rPr>
                  </w:pPr>
                  <w:r>
                    <w:rPr>
                      <w:b/>
                      <w:bCs/>
                      <w:szCs w:val="21"/>
                    </w:rPr>
                    <w:t>类别</w:t>
                  </w:r>
                </w:p>
              </w:tc>
              <w:tc>
                <w:tcPr>
                  <w:tcW w:w="782" w:type="pct"/>
                  <w:gridSpan w:val="2"/>
                  <w:vAlign w:val="center"/>
                </w:tcPr>
                <w:p w14:paraId="2495E46A">
                  <w:pPr>
                    <w:jc w:val="center"/>
                    <w:rPr>
                      <w:b/>
                      <w:bCs/>
                      <w:szCs w:val="21"/>
                    </w:rPr>
                  </w:pPr>
                  <w:r>
                    <w:rPr>
                      <w:b/>
                      <w:bCs/>
                      <w:szCs w:val="21"/>
                    </w:rPr>
                    <w:t>原辅料名称</w:t>
                  </w:r>
                </w:p>
              </w:tc>
              <w:tc>
                <w:tcPr>
                  <w:tcW w:w="1047" w:type="pct"/>
                  <w:vAlign w:val="center"/>
                </w:tcPr>
                <w:p w14:paraId="256873E0">
                  <w:pPr>
                    <w:jc w:val="center"/>
                    <w:rPr>
                      <w:b/>
                      <w:bCs/>
                      <w:szCs w:val="21"/>
                    </w:rPr>
                  </w:pPr>
                  <w:r>
                    <w:rPr>
                      <w:b/>
                      <w:bCs/>
                      <w:szCs w:val="21"/>
                    </w:rPr>
                    <w:t>规格组分</w:t>
                  </w:r>
                </w:p>
              </w:tc>
              <w:tc>
                <w:tcPr>
                  <w:tcW w:w="583" w:type="pct"/>
                  <w:vAlign w:val="center"/>
                </w:tcPr>
                <w:p w14:paraId="33322926">
                  <w:pPr>
                    <w:jc w:val="center"/>
                    <w:rPr>
                      <w:b/>
                      <w:bCs/>
                      <w:szCs w:val="21"/>
                    </w:rPr>
                  </w:pPr>
                  <w:r>
                    <w:rPr>
                      <w:rFonts w:hint="eastAsia"/>
                      <w:b/>
                      <w:bCs/>
                      <w:szCs w:val="21"/>
                    </w:rPr>
                    <w:t>年耗量</w:t>
                  </w:r>
                </w:p>
              </w:tc>
              <w:tc>
                <w:tcPr>
                  <w:tcW w:w="500" w:type="pct"/>
                  <w:vAlign w:val="center"/>
                </w:tcPr>
                <w:p w14:paraId="2661694D">
                  <w:pPr>
                    <w:jc w:val="center"/>
                    <w:rPr>
                      <w:b/>
                      <w:bCs/>
                      <w:szCs w:val="21"/>
                    </w:rPr>
                  </w:pPr>
                  <w:r>
                    <w:rPr>
                      <w:b/>
                      <w:bCs/>
                      <w:szCs w:val="21"/>
                    </w:rPr>
                    <w:t>最大存</w:t>
                  </w:r>
                </w:p>
                <w:p w14:paraId="0211884B">
                  <w:pPr>
                    <w:jc w:val="center"/>
                    <w:rPr>
                      <w:b/>
                      <w:bCs/>
                      <w:szCs w:val="21"/>
                    </w:rPr>
                  </w:pPr>
                  <w:r>
                    <w:rPr>
                      <w:b/>
                      <w:bCs/>
                      <w:szCs w:val="21"/>
                    </w:rPr>
                    <w:t>储量</w:t>
                  </w:r>
                </w:p>
              </w:tc>
              <w:tc>
                <w:tcPr>
                  <w:tcW w:w="1048" w:type="pct"/>
                  <w:vAlign w:val="center"/>
                </w:tcPr>
                <w:p w14:paraId="75A64623">
                  <w:pPr>
                    <w:jc w:val="center"/>
                    <w:rPr>
                      <w:b/>
                      <w:bCs/>
                      <w:szCs w:val="21"/>
                    </w:rPr>
                  </w:pPr>
                  <w:r>
                    <w:rPr>
                      <w:b/>
                      <w:bCs/>
                      <w:szCs w:val="21"/>
                    </w:rPr>
                    <w:t>包装及储存规格</w:t>
                  </w:r>
                </w:p>
              </w:tc>
              <w:tc>
                <w:tcPr>
                  <w:tcW w:w="697" w:type="pct"/>
                  <w:vAlign w:val="center"/>
                </w:tcPr>
                <w:p w14:paraId="06DDA2F5">
                  <w:pPr>
                    <w:jc w:val="center"/>
                    <w:rPr>
                      <w:b/>
                      <w:bCs/>
                      <w:szCs w:val="21"/>
                    </w:rPr>
                  </w:pPr>
                  <w:r>
                    <w:rPr>
                      <w:b/>
                      <w:bCs/>
                      <w:szCs w:val="21"/>
                    </w:rPr>
                    <w:t>来源及运输</w:t>
                  </w:r>
                </w:p>
              </w:tc>
            </w:tr>
            <w:tr w14:paraId="60554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5" w:hRule="atLeast"/>
                <w:jc w:val="center"/>
              </w:trPr>
              <w:tc>
                <w:tcPr>
                  <w:tcW w:w="340" w:type="pct"/>
                  <w:vMerge w:val="restart"/>
                  <w:vAlign w:val="center"/>
                </w:tcPr>
                <w:p w14:paraId="35C02519">
                  <w:pPr>
                    <w:spacing w:line="320" w:lineRule="exact"/>
                    <w:jc w:val="center"/>
                    <w:rPr>
                      <w:szCs w:val="21"/>
                    </w:rPr>
                  </w:pPr>
                  <w:r>
                    <w:rPr>
                      <w:szCs w:val="21"/>
                    </w:rPr>
                    <w:t>原</w:t>
                  </w:r>
                </w:p>
                <w:p w14:paraId="275BEF8C">
                  <w:pPr>
                    <w:spacing w:line="320" w:lineRule="exact"/>
                    <w:jc w:val="center"/>
                    <w:rPr>
                      <w:szCs w:val="21"/>
                    </w:rPr>
                  </w:pPr>
                  <w:r>
                    <w:rPr>
                      <w:rFonts w:hint="eastAsia"/>
                      <w:szCs w:val="21"/>
                    </w:rPr>
                    <w:t>辅</w:t>
                  </w:r>
                </w:p>
                <w:p w14:paraId="0D01A1EF">
                  <w:pPr>
                    <w:spacing w:line="320" w:lineRule="exact"/>
                    <w:jc w:val="center"/>
                    <w:rPr>
                      <w:szCs w:val="21"/>
                    </w:rPr>
                  </w:pPr>
                  <w:r>
                    <w:rPr>
                      <w:rFonts w:hint="eastAsia"/>
                      <w:szCs w:val="21"/>
                    </w:rPr>
                    <w:t>料</w:t>
                  </w:r>
                </w:p>
              </w:tc>
              <w:tc>
                <w:tcPr>
                  <w:tcW w:w="782" w:type="pct"/>
                  <w:gridSpan w:val="2"/>
                  <w:vAlign w:val="center"/>
                </w:tcPr>
                <w:p w14:paraId="12ADF9A9">
                  <w:pPr>
                    <w:spacing w:line="320" w:lineRule="exact"/>
                    <w:jc w:val="center"/>
                    <w:rPr>
                      <w:rFonts w:hint="default" w:eastAsia="宋体"/>
                      <w:color w:val="auto"/>
                      <w:szCs w:val="21"/>
                      <w:lang w:val="en-US" w:eastAsia="zh-CN"/>
                    </w:rPr>
                  </w:pPr>
                  <w:r>
                    <w:rPr>
                      <w:rFonts w:hint="eastAsia"/>
                      <w:color w:val="auto"/>
                      <w:szCs w:val="21"/>
                      <w:lang w:val="en-US" w:eastAsia="zh-CN"/>
                    </w:rPr>
                    <w:t>草坪基布</w:t>
                  </w:r>
                </w:p>
              </w:tc>
              <w:tc>
                <w:tcPr>
                  <w:tcW w:w="1047" w:type="pct"/>
                  <w:vAlign w:val="center"/>
                </w:tcPr>
                <w:p w14:paraId="374F85D6">
                  <w:pPr>
                    <w:spacing w:line="320" w:lineRule="exact"/>
                    <w:jc w:val="center"/>
                    <w:rPr>
                      <w:color w:val="auto"/>
                      <w:szCs w:val="21"/>
                    </w:rPr>
                  </w:pPr>
                  <w:r>
                    <w:rPr>
                      <w:rFonts w:hint="eastAsia"/>
                      <w:color w:val="auto"/>
                      <w:szCs w:val="21"/>
                      <w:lang w:val="en-US" w:eastAsia="zh-CN"/>
                    </w:rPr>
                    <w:t>PP、PE</w:t>
                  </w:r>
                  <w:r>
                    <w:rPr>
                      <w:rFonts w:hint="eastAsia"/>
                      <w:color w:val="auto"/>
                      <w:szCs w:val="21"/>
                    </w:rPr>
                    <w:t>塑料</w:t>
                  </w:r>
                </w:p>
              </w:tc>
              <w:tc>
                <w:tcPr>
                  <w:tcW w:w="583" w:type="pct"/>
                  <w:vAlign w:val="center"/>
                </w:tcPr>
                <w:p w14:paraId="00CE3A7D">
                  <w:pPr>
                    <w:spacing w:line="320" w:lineRule="exact"/>
                    <w:jc w:val="center"/>
                    <w:rPr>
                      <w:szCs w:val="21"/>
                    </w:rPr>
                  </w:pPr>
                  <w:r>
                    <w:rPr>
                      <w:rFonts w:hint="eastAsia"/>
                      <w:szCs w:val="21"/>
                    </w:rPr>
                    <w:t>50t</w:t>
                  </w:r>
                </w:p>
              </w:tc>
              <w:tc>
                <w:tcPr>
                  <w:tcW w:w="500" w:type="pct"/>
                  <w:vAlign w:val="center"/>
                </w:tcPr>
                <w:p w14:paraId="02A6756D">
                  <w:pPr>
                    <w:spacing w:line="320" w:lineRule="exact"/>
                    <w:jc w:val="center"/>
                    <w:rPr>
                      <w:szCs w:val="21"/>
                    </w:rPr>
                  </w:pPr>
                  <w:r>
                    <w:rPr>
                      <w:rFonts w:hint="eastAsia"/>
                      <w:szCs w:val="21"/>
                    </w:rPr>
                    <w:t>1t</w:t>
                  </w:r>
                </w:p>
              </w:tc>
              <w:tc>
                <w:tcPr>
                  <w:tcW w:w="1048" w:type="pct"/>
                  <w:vAlign w:val="center"/>
                </w:tcPr>
                <w:p w14:paraId="46F389ED">
                  <w:pPr>
                    <w:spacing w:line="320" w:lineRule="exact"/>
                    <w:jc w:val="center"/>
                    <w:rPr>
                      <w:szCs w:val="21"/>
                    </w:rPr>
                  </w:pPr>
                  <w:r>
                    <w:rPr>
                      <w:szCs w:val="21"/>
                    </w:rPr>
                    <w:t>固态，室内堆放</w:t>
                  </w:r>
                </w:p>
              </w:tc>
              <w:tc>
                <w:tcPr>
                  <w:tcW w:w="697" w:type="pct"/>
                  <w:vMerge w:val="restart"/>
                  <w:vAlign w:val="center"/>
                </w:tcPr>
                <w:p w14:paraId="07FF1856">
                  <w:pPr>
                    <w:jc w:val="center"/>
                    <w:rPr>
                      <w:szCs w:val="21"/>
                    </w:rPr>
                  </w:pPr>
                  <w:r>
                    <w:rPr>
                      <w:szCs w:val="21"/>
                    </w:rPr>
                    <w:t>国内汽运</w:t>
                  </w:r>
                </w:p>
              </w:tc>
            </w:tr>
            <w:tr w14:paraId="466D6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340" w:type="pct"/>
                  <w:vMerge w:val="continue"/>
                  <w:vAlign w:val="center"/>
                </w:tcPr>
                <w:p w14:paraId="21B92164">
                  <w:pPr>
                    <w:spacing w:line="320" w:lineRule="exact"/>
                    <w:jc w:val="center"/>
                    <w:rPr>
                      <w:rFonts w:hint="eastAsia"/>
                      <w:szCs w:val="21"/>
                    </w:rPr>
                  </w:pPr>
                </w:p>
              </w:tc>
              <w:tc>
                <w:tcPr>
                  <w:tcW w:w="782" w:type="pct"/>
                  <w:gridSpan w:val="2"/>
                  <w:shd w:val="clear" w:color="auto" w:fill="auto"/>
                  <w:vAlign w:val="center"/>
                </w:tcPr>
                <w:p w14:paraId="49FCC333">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网格基布</w:t>
                  </w:r>
                </w:p>
              </w:tc>
              <w:tc>
                <w:tcPr>
                  <w:tcW w:w="1047" w:type="pct"/>
                  <w:shd w:val="clear" w:color="auto" w:fill="auto"/>
                  <w:vAlign w:val="center"/>
                </w:tcPr>
                <w:p w14:paraId="337A2F60">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PP、PE</w:t>
                  </w:r>
                  <w:r>
                    <w:rPr>
                      <w:rFonts w:hint="eastAsia"/>
                      <w:color w:val="auto"/>
                      <w:szCs w:val="21"/>
                    </w:rPr>
                    <w:t>塑料</w:t>
                  </w:r>
                </w:p>
              </w:tc>
              <w:tc>
                <w:tcPr>
                  <w:tcW w:w="583" w:type="pct"/>
                  <w:shd w:val="clear" w:color="auto" w:fill="auto"/>
                  <w:vAlign w:val="center"/>
                </w:tcPr>
                <w:p w14:paraId="3C87DD52">
                  <w:pPr>
                    <w:spacing w:line="32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25</w:t>
                  </w:r>
                  <w:r>
                    <w:rPr>
                      <w:rFonts w:hint="eastAsia"/>
                      <w:szCs w:val="21"/>
                    </w:rPr>
                    <w:t>t</w:t>
                  </w:r>
                </w:p>
              </w:tc>
              <w:tc>
                <w:tcPr>
                  <w:tcW w:w="500" w:type="pct"/>
                  <w:shd w:val="clear" w:color="auto" w:fill="auto"/>
                  <w:vAlign w:val="center"/>
                </w:tcPr>
                <w:p w14:paraId="795FBB45">
                  <w:pPr>
                    <w:spacing w:line="320" w:lineRule="exact"/>
                    <w:jc w:val="center"/>
                    <w:rPr>
                      <w:rFonts w:hint="eastAsia" w:ascii="Times New Roman" w:hAnsi="Times New Roman" w:eastAsia="宋体" w:cs="Times New Roman"/>
                      <w:kern w:val="2"/>
                      <w:sz w:val="21"/>
                      <w:szCs w:val="21"/>
                      <w:lang w:val="en-US" w:eastAsia="zh-CN" w:bidi="ar-SA"/>
                    </w:rPr>
                  </w:pPr>
                  <w:r>
                    <w:rPr>
                      <w:rFonts w:hint="eastAsia"/>
                      <w:szCs w:val="21"/>
                    </w:rPr>
                    <w:t>1t</w:t>
                  </w:r>
                </w:p>
              </w:tc>
              <w:tc>
                <w:tcPr>
                  <w:tcW w:w="1048" w:type="pct"/>
                  <w:shd w:val="clear" w:color="auto" w:fill="auto"/>
                  <w:vAlign w:val="center"/>
                </w:tcPr>
                <w:p w14:paraId="67E63DD2">
                  <w:pPr>
                    <w:spacing w:line="320" w:lineRule="exact"/>
                    <w:jc w:val="center"/>
                    <w:rPr>
                      <w:rFonts w:ascii="Times New Roman" w:hAnsi="Times New Roman" w:eastAsia="宋体" w:cs="Times New Roman"/>
                      <w:kern w:val="2"/>
                      <w:sz w:val="21"/>
                      <w:szCs w:val="21"/>
                      <w:lang w:val="en-US" w:eastAsia="zh-CN" w:bidi="ar-SA"/>
                    </w:rPr>
                  </w:pPr>
                  <w:r>
                    <w:rPr>
                      <w:szCs w:val="21"/>
                    </w:rPr>
                    <w:t>固态，室内堆放</w:t>
                  </w:r>
                </w:p>
              </w:tc>
              <w:tc>
                <w:tcPr>
                  <w:tcW w:w="697" w:type="pct"/>
                  <w:vMerge w:val="continue"/>
                  <w:vAlign w:val="center"/>
                </w:tcPr>
                <w:p w14:paraId="3D714753">
                  <w:pPr>
                    <w:jc w:val="center"/>
                    <w:rPr>
                      <w:szCs w:val="21"/>
                    </w:rPr>
                  </w:pPr>
                </w:p>
              </w:tc>
            </w:tr>
            <w:tr w14:paraId="798FF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028ED2E4">
                  <w:pPr>
                    <w:spacing w:line="320" w:lineRule="exact"/>
                    <w:jc w:val="center"/>
                    <w:rPr>
                      <w:szCs w:val="21"/>
                    </w:rPr>
                  </w:pPr>
                </w:p>
              </w:tc>
              <w:tc>
                <w:tcPr>
                  <w:tcW w:w="782" w:type="pct"/>
                  <w:gridSpan w:val="2"/>
                  <w:vAlign w:val="center"/>
                </w:tcPr>
                <w:p w14:paraId="43484E1C">
                  <w:pPr>
                    <w:spacing w:line="320" w:lineRule="exact"/>
                    <w:jc w:val="center"/>
                    <w:rPr>
                      <w:szCs w:val="21"/>
                    </w:rPr>
                  </w:pPr>
                  <w:r>
                    <w:rPr>
                      <w:rFonts w:hint="eastAsia"/>
                      <w:szCs w:val="21"/>
                    </w:rPr>
                    <w:t>丁苯乳胶</w:t>
                  </w:r>
                </w:p>
              </w:tc>
              <w:tc>
                <w:tcPr>
                  <w:tcW w:w="1047" w:type="pct"/>
                  <w:vAlign w:val="center"/>
                </w:tcPr>
                <w:p w14:paraId="47E953C6">
                  <w:pPr>
                    <w:spacing w:line="320" w:lineRule="exact"/>
                    <w:jc w:val="center"/>
                    <w:rPr>
                      <w:rFonts w:hint="eastAsia" w:eastAsia="宋体"/>
                      <w:szCs w:val="21"/>
                      <w:lang w:val="en-US" w:eastAsia="zh-CN"/>
                    </w:rPr>
                  </w:pPr>
                  <w:r>
                    <w:rPr>
                      <w:rFonts w:hint="eastAsia"/>
                      <w:szCs w:val="21"/>
                      <w:lang w:val="en-US" w:eastAsia="zh-CN"/>
                    </w:rPr>
                    <w:t>苯乙烯/丁二烯聚合物45</w:t>
                  </w:r>
                  <w:r>
                    <w:rPr>
                      <w:rFonts w:hint="eastAsia"/>
                      <w:szCs w:val="21"/>
                    </w:rPr>
                    <w:t>-</w:t>
                  </w:r>
                  <w:r>
                    <w:rPr>
                      <w:rFonts w:hint="eastAsia"/>
                      <w:szCs w:val="21"/>
                      <w:lang w:val="en-US" w:eastAsia="zh-CN"/>
                    </w:rPr>
                    <w:t>55%</w:t>
                  </w:r>
                  <w:r>
                    <w:rPr>
                      <w:rFonts w:hint="eastAsia"/>
                      <w:szCs w:val="21"/>
                    </w:rPr>
                    <w:t>、</w:t>
                  </w:r>
                  <w:r>
                    <w:rPr>
                      <w:rFonts w:hint="eastAsia"/>
                      <w:szCs w:val="21"/>
                      <w:lang w:val="en-US" w:eastAsia="zh-CN"/>
                    </w:rPr>
                    <w:t>水45</w:t>
                  </w:r>
                  <w:r>
                    <w:rPr>
                      <w:rFonts w:hint="eastAsia"/>
                      <w:szCs w:val="21"/>
                    </w:rPr>
                    <w:t>-</w:t>
                  </w:r>
                  <w:r>
                    <w:rPr>
                      <w:rFonts w:hint="eastAsia"/>
                      <w:szCs w:val="21"/>
                      <w:lang w:val="en-US" w:eastAsia="zh-CN"/>
                    </w:rPr>
                    <w:t>55%</w:t>
                  </w:r>
                </w:p>
              </w:tc>
              <w:tc>
                <w:tcPr>
                  <w:tcW w:w="583" w:type="pct"/>
                  <w:vAlign w:val="center"/>
                </w:tcPr>
                <w:p w14:paraId="5D3FB755">
                  <w:pPr>
                    <w:spacing w:line="320" w:lineRule="exact"/>
                    <w:jc w:val="center"/>
                    <w:rPr>
                      <w:szCs w:val="21"/>
                    </w:rPr>
                  </w:pPr>
                  <w:r>
                    <w:rPr>
                      <w:rFonts w:hint="eastAsia"/>
                      <w:szCs w:val="21"/>
                    </w:rPr>
                    <w:t>200t</w:t>
                  </w:r>
                </w:p>
              </w:tc>
              <w:tc>
                <w:tcPr>
                  <w:tcW w:w="500" w:type="pct"/>
                  <w:vAlign w:val="center"/>
                </w:tcPr>
                <w:p w14:paraId="70692100">
                  <w:pPr>
                    <w:spacing w:line="320" w:lineRule="exact"/>
                    <w:jc w:val="center"/>
                    <w:rPr>
                      <w:szCs w:val="21"/>
                    </w:rPr>
                  </w:pPr>
                  <w:r>
                    <w:rPr>
                      <w:rFonts w:hint="eastAsia"/>
                      <w:szCs w:val="21"/>
                    </w:rPr>
                    <w:t>1t</w:t>
                  </w:r>
                </w:p>
              </w:tc>
              <w:tc>
                <w:tcPr>
                  <w:tcW w:w="1048" w:type="pct"/>
                  <w:vAlign w:val="center"/>
                </w:tcPr>
                <w:p w14:paraId="0C23F723">
                  <w:pPr>
                    <w:spacing w:line="320" w:lineRule="exact"/>
                    <w:jc w:val="center"/>
                    <w:rPr>
                      <w:szCs w:val="21"/>
                    </w:rPr>
                  </w:pPr>
                  <w:r>
                    <w:rPr>
                      <w:szCs w:val="21"/>
                    </w:rPr>
                    <w:t>液态，</w:t>
                  </w:r>
                  <w:r>
                    <w:rPr>
                      <w:rFonts w:hint="eastAsia"/>
                      <w:szCs w:val="21"/>
                    </w:rPr>
                    <w:t>500</w:t>
                  </w:r>
                  <w:r>
                    <w:rPr>
                      <w:szCs w:val="21"/>
                    </w:rPr>
                    <w:t>kg/桶</w:t>
                  </w:r>
                </w:p>
              </w:tc>
              <w:tc>
                <w:tcPr>
                  <w:tcW w:w="697" w:type="pct"/>
                  <w:vMerge w:val="continue"/>
                  <w:vAlign w:val="center"/>
                </w:tcPr>
                <w:p w14:paraId="5ACCB030">
                  <w:pPr>
                    <w:jc w:val="center"/>
                    <w:rPr>
                      <w:szCs w:val="21"/>
                    </w:rPr>
                  </w:pPr>
                </w:p>
              </w:tc>
            </w:tr>
            <w:tr w14:paraId="62780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23F540FA">
                  <w:pPr>
                    <w:jc w:val="center"/>
                    <w:rPr>
                      <w:rStyle w:val="118"/>
                      <w:rFonts w:hint="default" w:ascii="Times New Roman" w:hAnsi="Times New Roman" w:cs="Times New Roman"/>
                      <w:color w:val="auto"/>
                      <w:lang w:bidi="ar"/>
                    </w:rPr>
                  </w:pPr>
                </w:p>
              </w:tc>
              <w:tc>
                <w:tcPr>
                  <w:tcW w:w="782" w:type="pct"/>
                  <w:gridSpan w:val="2"/>
                  <w:vAlign w:val="center"/>
                </w:tcPr>
                <w:p w14:paraId="12CA6DBF">
                  <w:pPr>
                    <w:spacing w:line="320" w:lineRule="exact"/>
                    <w:jc w:val="center"/>
                    <w:rPr>
                      <w:szCs w:val="21"/>
                    </w:rPr>
                  </w:pPr>
                  <w:r>
                    <w:rPr>
                      <w:rFonts w:hint="eastAsia"/>
                      <w:szCs w:val="21"/>
                    </w:rPr>
                    <w:t>PE草丝</w:t>
                  </w:r>
                </w:p>
              </w:tc>
              <w:tc>
                <w:tcPr>
                  <w:tcW w:w="1047" w:type="pct"/>
                  <w:vAlign w:val="center"/>
                </w:tcPr>
                <w:p w14:paraId="7AE0F154">
                  <w:pPr>
                    <w:spacing w:line="320" w:lineRule="exact"/>
                    <w:jc w:val="center"/>
                    <w:rPr>
                      <w:szCs w:val="21"/>
                    </w:rPr>
                  </w:pPr>
                  <w:r>
                    <w:rPr>
                      <w:rFonts w:hint="eastAsia"/>
                      <w:szCs w:val="21"/>
                    </w:rPr>
                    <w:t>聚丙烯</w:t>
                  </w:r>
                </w:p>
              </w:tc>
              <w:tc>
                <w:tcPr>
                  <w:tcW w:w="583" w:type="pct"/>
                  <w:vAlign w:val="center"/>
                </w:tcPr>
                <w:p w14:paraId="22972585">
                  <w:pPr>
                    <w:spacing w:line="320" w:lineRule="exact"/>
                    <w:jc w:val="center"/>
                    <w:rPr>
                      <w:szCs w:val="21"/>
                    </w:rPr>
                  </w:pPr>
                  <w:r>
                    <w:rPr>
                      <w:rFonts w:hint="eastAsia"/>
                      <w:szCs w:val="21"/>
                    </w:rPr>
                    <w:t>1000t</w:t>
                  </w:r>
                </w:p>
              </w:tc>
              <w:tc>
                <w:tcPr>
                  <w:tcW w:w="500" w:type="pct"/>
                  <w:vAlign w:val="center"/>
                </w:tcPr>
                <w:p w14:paraId="1B87187D">
                  <w:pPr>
                    <w:spacing w:line="320" w:lineRule="exact"/>
                    <w:jc w:val="center"/>
                    <w:rPr>
                      <w:szCs w:val="21"/>
                    </w:rPr>
                  </w:pPr>
                  <w:r>
                    <w:rPr>
                      <w:rFonts w:hint="eastAsia"/>
                      <w:szCs w:val="21"/>
                    </w:rPr>
                    <w:t>1t</w:t>
                  </w:r>
                </w:p>
              </w:tc>
              <w:tc>
                <w:tcPr>
                  <w:tcW w:w="1048" w:type="pct"/>
                  <w:vAlign w:val="center"/>
                </w:tcPr>
                <w:p w14:paraId="28C33D97">
                  <w:pPr>
                    <w:spacing w:line="320" w:lineRule="exact"/>
                    <w:jc w:val="center"/>
                    <w:rPr>
                      <w:szCs w:val="21"/>
                    </w:rPr>
                  </w:pPr>
                  <w:r>
                    <w:rPr>
                      <w:rFonts w:hint="eastAsia"/>
                      <w:szCs w:val="21"/>
                    </w:rPr>
                    <w:t>固态，25kg/袋</w:t>
                  </w:r>
                </w:p>
              </w:tc>
              <w:tc>
                <w:tcPr>
                  <w:tcW w:w="697" w:type="pct"/>
                  <w:vMerge w:val="continue"/>
                  <w:vAlign w:val="center"/>
                </w:tcPr>
                <w:p w14:paraId="651E9CF3">
                  <w:pPr>
                    <w:jc w:val="center"/>
                    <w:rPr>
                      <w:rStyle w:val="118"/>
                      <w:rFonts w:hint="default" w:ascii="Times New Roman" w:hAnsi="Times New Roman" w:cs="Times New Roman"/>
                      <w:color w:val="auto"/>
                      <w:lang w:bidi="ar"/>
                    </w:rPr>
                  </w:pPr>
                </w:p>
              </w:tc>
            </w:tr>
            <w:tr w14:paraId="026C7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30CA4379">
                  <w:pPr>
                    <w:jc w:val="center"/>
                    <w:rPr>
                      <w:rStyle w:val="118"/>
                      <w:rFonts w:hint="default" w:ascii="Times New Roman" w:hAnsi="Times New Roman" w:cs="Times New Roman"/>
                      <w:color w:val="auto"/>
                      <w:lang w:bidi="ar"/>
                    </w:rPr>
                  </w:pPr>
                </w:p>
              </w:tc>
              <w:tc>
                <w:tcPr>
                  <w:tcW w:w="782" w:type="pct"/>
                  <w:gridSpan w:val="2"/>
                  <w:vAlign w:val="center"/>
                </w:tcPr>
                <w:p w14:paraId="5A8B4BD4">
                  <w:pPr>
                    <w:spacing w:line="320" w:lineRule="exact"/>
                    <w:jc w:val="center"/>
                    <w:rPr>
                      <w:szCs w:val="21"/>
                    </w:rPr>
                  </w:pPr>
                  <w:r>
                    <w:rPr>
                      <w:rFonts w:hint="eastAsia"/>
                      <w:szCs w:val="21"/>
                    </w:rPr>
                    <w:t>碳酸钙</w:t>
                  </w:r>
                </w:p>
              </w:tc>
              <w:tc>
                <w:tcPr>
                  <w:tcW w:w="1047" w:type="pct"/>
                  <w:vAlign w:val="center"/>
                </w:tcPr>
                <w:p w14:paraId="2CE8D9CF">
                  <w:pPr>
                    <w:spacing w:line="320" w:lineRule="exact"/>
                    <w:jc w:val="center"/>
                    <w:rPr>
                      <w:rFonts w:hint="default" w:eastAsia="宋体"/>
                      <w:szCs w:val="21"/>
                      <w:lang w:val="en-US" w:eastAsia="zh-CN"/>
                    </w:rPr>
                  </w:pPr>
                  <w:r>
                    <w:rPr>
                      <w:szCs w:val="21"/>
                    </w:rPr>
                    <w:t>CaCO</w:t>
                  </w:r>
                  <w:r>
                    <w:rPr>
                      <w:szCs w:val="21"/>
                      <w:vertAlign w:val="subscript"/>
                    </w:rPr>
                    <w:t>3</w:t>
                  </w:r>
                  <w:r>
                    <w:rPr>
                      <w:rFonts w:hint="eastAsia"/>
                      <w:szCs w:val="21"/>
                    </w:rPr>
                    <w:t>，粉状</w:t>
                  </w:r>
                  <w:r>
                    <w:rPr>
                      <w:rFonts w:hint="eastAsia"/>
                      <w:szCs w:val="21"/>
                      <w:lang w:eastAsia="zh-CN"/>
                    </w:rPr>
                    <w:t>，</w:t>
                  </w:r>
                  <w:r>
                    <w:rPr>
                      <w:rFonts w:hint="eastAsia"/>
                      <w:szCs w:val="21"/>
                      <w:lang w:val="en-US" w:eastAsia="zh-CN"/>
                    </w:rPr>
                    <w:t>粒径1-3</w:t>
                  </w:r>
                  <w:r>
                    <w:rPr>
                      <w:rFonts w:hint="default" w:ascii="Times New Roman" w:hAnsi="Times New Roman" w:cs="Times New Roman"/>
                      <w:szCs w:val="21"/>
                      <w:lang w:val="en-US" w:eastAsia="zh-CN"/>
                    </w:rPr>
                    <w:t>μm</w:t>
                  </w:r>
                </w:p>
              </w:tc>
              <w:tc>
                <w:tcPr>
                  <w:tcW w:w="583" w:type="pct"/>
                  <w:vAlign w:val="center"/>
                </w:tcPr>
                <w:p w14:paraId="7BF8B336">
                  <w:pPr>
                    <w:spacing w:line="320" w:lineRule="exact"/>
                    <w:jc w:val="center"/>
                    <w:rPr>
                      <w:szCs w:val="21"/>
                    </w:rPr>
                  </w:pPr>
                  <w:r>
                    <w:rPr>
                      <w:rFonts w:hint="eastAsia"/>
                      <w:szCs w:val="21"/>
                    </w:rPr>
                    <w:t>300t</w:t>
                  </w:r>
                </w:p>
              </w:tc>
              <w:tc>
                <w:tcPr>
                  <w:tcW w:w="500" w:type="pct"/>
                  <w:vAlign w:val="center"/>
                </w:tcPr>
                <w:p w14:paraId="0F0016BB">
                  <w:pPr>
                    <w:spacing w:line="320" w:lineRule="exact"/>
                    <w:jc w:val="center"/>
                    <w:rPr>
                      <w:szCs w:val="21"/>
                    </w:rPr>
                  </w:pPr>
                  <w:r>
                    <w:rPr>
                      <w:rFonts w:hint="eastAsia"/>
                      <w:szCs w:val="21"/>
                    </w:rPr>
                    <w:t>1t</w:t>
                  </w:r>
                </w:p>
              </w:tc>
              <w:tc>
                <w:tcPr>
                  <w:tcW w:w="1048" w:type="pct"/>
                  <w:vAlign w:val="center"/>
                </w:tcPr>
                <w:p w14:paraId="1174BE02">
                  <w:pPr>
                    <w:spacing w:line="320" w:lineRule="exact"/>
                    <w:jc w:val="center"/>
                    <w:rPr>
                      <w:szCs w:val="21"/>
                    </w:rPr>
                  </w:pPr>
                  <w:r>
                    <w:rPr>
                      <w:rFonts w:hint="eastAsia"/>
                      <w:szCs w:val="21"/>
                    </w:rPr>
                    <w:t>固态，750kg/袋</w:t>
                  </w:r>
                </w:p>
              </w:tc>
              <w:tc>
                <w:tcPr>
                  <w:tcW w:w="697" w:type="pct"/>
                  <w:vMerge w:val="continue"/>
                  <w:vAlign w:val="center"/>
                </w:tcPr>
                <w:p w14:paraId="46A9FD70">
                  <w:pPr>
                    <w:jc w:val="center"/>
                    <w:rPr>
                      <w:rStyle w:val="118"/>
                      <w:rFonts w:hint="default" w:ascii="Times New Roman" w:hAnsi="Times New Roman" w:cs="Times New Roman"/>
                      <w:color w:val="auto"/>
                      <w:lang w:bidi="ar"/>
                    </w:rPr>
                  </w:pPr>
                </w:p>
              </w:tc>
            </w:tr>
            <w:tr w14:paraId="49DA4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340" w:type="pct"/>
                  <w:vMerge w:val="continue"/>
                  <w:vAlign w:val="center"/>
                </w:tcPr>
                <w:p w14:paraId="16856A7F">
                  <w:pPr>
                    <w:jc w:val="center"/>
                    <w:rPr>
                      <w:rStyle w:val="118"/>
                      <w:rFonts w:hint="default" w:ascii="Times New Roman" w:hAnsi="Times New Roman" w:cs="Times New Roman"/>
                      <w:color w:val="auto"/>
                      <w:lang w:bidi="ar"/>
                    </w:rPr>
                  </w:pPr>
                </w:p>
              </w:tc>
              <w:tc>
                <w:tcPr>
                  <w:tcW w:w="391" w:type="pct"/>
                  <w:vMerge w:val="restart"/>
                  <w:vAlign w:val="center"/>
                </w:tcPr>
                <w:p w14:paraId="175352E6">
                  <w:pPr>
                    <w:spacing w:line="320" w:lineRule="exact"/>
                    <w:jc w:val="center"/>
                    <w:rPr>
                      <w:szCs w:val="21"/>
                    </w:rPr>
                  </w:pPr>
                  <w:r>
                    <w:rPr>
                      <w:rFonts w:hint="eastAsia"/>
                      <w:szCs w:val="21"/>
                    </w:rPr>
                    <w:t>双组份PU胶（7:1）</w:t>
                  </w:r>
                </w:p>
              </w:tc>
              <w:tc>
                <w:tcPr>
                  <w:tcW w:w="390" w:type="pct"/>
                  <w:vAlign w:val="center"/>
                </w:tcPr>
                <w:p w14:paraId="729FF3FB">
                  <w:pPr>
                    <w:spacing w:line="320" w:lineRule="exact"/>
                    <w:jc w:val="center"/>
                    <w:rPr>
                      <w:szCs w:val="21"/>
                      <w:highlight w:val="none"/>
                    </w:rPr>
                  </w:pPr>
                  <w:r>
                    <w:rPr>
                      <w:rFonts w:hint="eastAsia"/>
                      <w:szCs w:val="21"/>
                      <w:highlight w:val="none"/>
                    </w:rPr>
                    <w:t>YF-6265</w:t>
                  </w:r>
                </w:p>
              </w:tc>
              <w:tc>
                <w:tcPr>
                  <w:tcW w:w="1047" w:type="pct"/>
                  <w:vAlign w:val="center"/>
                </w:tcPr>
                <w:p w14:paraId="7D5FC763">
                  <w:pPr>
                    <w:spacing w:line="320" w:lineRule="exact"/>
                    <w:jc w:val="center"/>
                    <w:rPr>
                      <w:szCs w:val="21"/>
                      <w:highlight w:val="none"/>
                    </w:rPr>
                  </w:pPr>
                  <w:r>
                    <w:rPr>
                      <w:rFonts w:hint="eastAsia"/>
                      <w:szCs w:val="21"/>
                      <w:highlight w:val="none"/>
                    </w:rPr>
                    <w:t>碳酸钙40-65%、多元醇35-60%</w:t>
                  </w:r>
                </w:p>
              </w:tc>
              <w:tc>
                <w:tcPr>
                  <w:tcW w:w="583" w:type="pct"/>
                  <w:vAlign w:val="center"/>
                </w:tcPr>
                <w:p w14:paraId="5E710DAF">
                  <w:pPr>
                    <w:spacing w:line="320" w:lineRule="exact"/>
                    <w:jc w:val="center"/>
                    <w:rPr>
                      <w:szCs w:val="21"/>
                      <w:highlight w:val="none"/>
                    </w:rPr>
                  </w:pPr>
                  <w:r>
                    <w:rPr>
                      <w:rFonts w:hint="eastAsia"/>
                      <w:szCs w:val="21"/>
                      <w:highlight w:val="none"/>
                    </w:rPr>
                    <w:t>28t</w:t>
                  </w:r>
                </w:p>
              </w:tc>
              <w:tc>
                <w:tcPr>
                  <w:tcW w:w="500" w:type="pct"/>
                  <w:vAlign w:val="center"/>
                </w:tcPr>
                <w:p w14:paraId="3226E1FE">
                  <w:pPr>
                    <w:spacing w:line="320" w:lineRule="exact"/>
                    <w:jc w:val="center"/>
                    <w:rPr>
                      <w:szCs w:val="21"/>
                      <w:highlight w:val="none"/>
                    </w:rPr>
                  </w:pPr>
                  <w:r>
                    <w:rPr>
                      <w:rFonts w:hint="eastAsia"/>
                      <w:szCs w:val="21"/>
                      <w:highlight w:val="none"/>
                    </w:rPr>
                    <w:t>1t</w:t>
                  </w:r>
                </w:p>
              </w:tc>
              <w:tc>
                <w:tcPr>
                  <w:tcW w:w="1048" w:type="pct"/>
                  <w:vAlign w:val="center"/>
                </w:tcPr>
                <w:p w14:paraId="18B8AAF0">
                  <w:pPr>
                    <w:spacing w:line="320" w:lineRule="exact"/>
                    <w:jc w:val="center"/>
                    <w:rPr>
                      <w:szCs w:val="21"/>
                      <w:highlight w:val="none"/>
                    </w:rPr>
                  </w:pPr>
                  <w:r>
                    <w:rPr>
                      <w:szCs w:val="21"/>
                      <w:highlight w:val="none"/>
                    </w:rPr>
                    <w:t>液态，</w:t>
                  </w:r>
                  <w:r>
                    <w:rPr>
                      <w:rFonts w:hint="eastAsia"/>
                      <w:szCs w:val="21"/>
                      <w:highlight w:val="none"/>
                    </w:rPr>
                    <w:t>500</w:t>
                  </w:r>
                  <w:r>
                    <w:rPr>
                      <w:szCs w:val="21"/>
                      <w:highlight w:val="none"/>
                    </w:rPr>
                    <w:t>kg/桶</w:t>
                  </w:r>
                </w:p>
              </w:tc>
              <w:tc>
                <w:tcPr>
                  <w:tcW w:w="697" w:type="pct"/>
                  <w:vMerge w:val="continue"/>
                  <w:vAlign w:val="center"/>
                </w:tcPr>
                <w:p w14:paraId="7F826E9C">
                  <w:pPr>
                    <w:jc w:val="center"/>
                    <w:rPr>
                      <w:rStyle w:val="118"/>
                      <w:rFonts w:hint="default" w:ascii="Times New Roman" w:hAnsi="Times New Roman" w:cs="Times New Roman"/>
                      <w:color w:val="auto"/>
                      <w:lang w:bidi="ar"/>
                    </w:rPr>
                  </w:pPr>
                </w:p>
              </w:tc>
            </w:tr>
            <w:tr w14:paraId="7C6E4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58" w:hRule="atLeast"/>
                <w:jc w:val="center"/>
              </w:trPr>
              <w:tc>
                <w:tcPr>
                  <w:tcW w:w="340" w:type="pct"/>
                  <w:vMerge w:val="continue"/>
                  <w:vAlign w:val="center"/>
                </w:tcPr>
                <w:p w14:paraId="55722182">
                  <w:pPr>
                    <w:jc w:val="center"/>
                    <w:rPr>
                      <w:rStyle w:val="118"/>
                      <w:rFonts w:hint="default" w:ascii="Times New Roman" w:hAnsi="Times New Roman" w:cs="Times New Roman"/>
                      <w:color w:val="auto"/>
                      <w:lang w:bidi="ar"/>
                    </w:rPr>
                  </w:pPr>
                </w:p>
              </w:tc>
              <w:tc>
                <w:tcPr>
                  <w:tcW w:w="391" w:type="pct"/>
                  <w:vMerge w:val="continue"/>
                  <w:vAlign w:val="center"/>
                </w:tcPr>
                <w:p w14:paraId="167C5032">
                  <w:pPr>
                    <w:spacing w:line="320" w:lineRule="exact"/>
                    <w:jc w:val="center"/>
                    <w:rPr>
                      <w:szCs w:val="21"/>
                    </w:rPr>
                  </w:pPr>
                </w:p>
              </w:tc>
              <w:tc>
                <w:tcPr>
                  <w:tcW w:w="390" w:type="pct"/>
                  <w:vAlign w:val="center"/>
                </w:tcPr>
                <w:p w14:paraId="3A1D4B15">
                  <w:pPr>
                    <w:spacing w:line="320" w:lineRule="exact"/>
                    <w:jc w:val="center"/>
                    <w:rPr>
                      <w:szCs w:val="21"/>
                      <w:highlight w:val="none"/>
                    </w:rPr>
                  </w:pPr>
                  <w:r>
                    <w:rPr>
                      <w:rFonts w:hint="eastAsia"/>
                      <w:szCs w:val="21"/>
                      <w:highlight w:val="none"/>
                    </w:rPr>
                    <w:t>YF-6201</w:t>
                  </w:r>
                </w:p>
              </w:tc>
              <w:tc>
                <w:tcPr>
                  <w:tcW w:w="1047" w:type="pct"/>
                  <w:vAlign w:val="center"/>
                </w:tcPr>
                <w:p w14:paraId="10D631F5">
                  <w:pPr>
                    <w:spacing w:line="320" w:lineRule="exact"/>
                    <w:jc w:val="center"/>
                    <w:rPr>
                      <w:szCs w:val="21"/>
                      <w:highlight w:val="none"/>
                    </w:rPr>
                  </w:pPr>
                  <w:r>
                    <w:rPr>
                      <w:rFonts w:hint="eastAsia"/>
                      <w:szCs w:val="21"/>
                      <w:highlight w:val="none"/>
                    </w:rPr>
                    <w:t>异氰酸聚亚甲基聚亚苯基酯</w:t>
                  </w:r>
                </w:p>
              </w:tc>
              <w:tc>
                <w:tcPr>
                  <w:tcW w:w="583" w:type="pct"/>
                  <w:vAlign w:val="center"/>
                </w:tcPr>
                <w:p w14:paraId="044748DE">
                  <w:pPr>
                    <w:spacing w:line="320" w:lineRule="exact"/>
                    <w:jc w:val="center"/>
                    <w:rPr>
                      <w:szCs w:val="21"/>
                      <w:highlight w:val="none"/>
                    </w:rPr>
                  </w:pPr>
                  <w:r>
                    <w:rPr>
                      <w:rFonts w:hint="eastAsia"/>
                      <w:szCs w:val="21"/>
                      <w:highlight w:val="none"/>
                    </w:rPr>
                    <w:t>4t</w:t>
                  </w:r>
                </w:p>
              </w:tc>
              <w:tc>
                <w:tcPr>
                  <w:tcW w:w="500" w:type="pct"/>
                  <w:vAlign w:val="center"/>
                </w:tcPr>
                <w:p w14:paraId="3DC31D5A">
                  <w:pPr>
                    <w:spacing w:line="320" w:lineRule="exact"/>
                    <w:jc w:val="center"/>
                    <w:rPr>
                      <w:szCs w:val="21"/>
                      <w:highlight w:val="none"/>
                    </w:rPr>
                  </w:pPr>
                  <w:r>
                    <w:rPr>
                      <w:rFonts w:hint="eastAsia"/>
                      <w:szCs w:val="21"/>
                      <w:highlight w:val="none"/>
                    </w:rPr>
                    <w:t>0.25t</w:t>
                  </w:r>
                </w:p>
              </w:tc>
              <w:tc>
                <w:tcPr>
                  <w:tcW w:w="1048" w:type="pct"/>
                  <w:vAlign w:val="center"/>
                </w:tcPr>
                <w:p w14:paraId="0149E216">
                  <w:pPr>
                    <w:spacing w:line="320" w:lineRule="exact"/>
                    <w:jc w:val="center"/>
                    <w:rPr>
                      <w:szCs w:val="21"/>
                      <w:highlight w:val="none"/>
                    </w:rPr>
                  </w:pPr>
                  <w:r>
                    <w:rPr>
                      <w:szCs w:val="21"/>
                      <w:highlight w:val="none"/>
                    </w:rPr>
                    <w:t>液态，250kg/桶</w:t>
                  </w:r>
                </w:p>
              </w:tc>
              <w:tc>
                <w:tcPr>
                  <w:tcW w:w="697" w:type="pct"/>
                  <w:vMerge w:val="continue"/>
                  <w:vAlign w:val="center"/>
                </w:tcPr>
                <w:p w14:paraId="0A73180C">
                  <w:pPr>
                    <w:jc w:val="center"/>
                    <w:rPr>
                      <w:rStyle w:val="118"/>
                      <w:rFonts w:hint="default" w:ascii="Times New Roman" w:hAnsi="Times New Roman" w:cs="Times New Roman"/>
                      <w:color w:val="auto"/>
                      <w:lang w:bidi="ar"/>
                    </w:rPr>
                  </w:pPr>
                </w:p>
              </w:tc>
            </w:tr>
            <w:tr w14:paraId="010FC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restart"/>
                  <w:vAlign w:val="center"/>
                </w:tcPr>
                <w:p w14:paraId="66B1AA5D">
                  <w:pPr>
                    <w:spacing w:line="320" w:lineRule="exact"/>
                    <w:jc w:val="center"/>
                    <w:rPr>
                      <w:szCs w:val="21"/>
                    </w:rPr>
                  </w:pPr>
                  <w:r>
                    <w:rPr>
                      <w:szCs w:val="21"/>
                    </w:rPr>
                    <w:t>资源</w:t>
                  </w:r>
                </w:p>
                <w:p w14:paraId="48E1AE8A">
                  <w:pPr>
                    <w:spacing w:line="320" w:lineRule="exact"/>
                    <w:jc w:val="center"/>
                    <w:rPr>
                      <w:szCs w:val="21"/>
                    </w:rPr>
                  </w:pPr>
                  <w:r>
                    <w:rPr>
                      <w:szCs w:val="21"/>
                    </w:rPr>
                    <w:t>能源</w:t>
                  </w:r>
                </w:p>
              </w:tc>
              <w:tc>
                <w:tcPr>
                  <w:tcW w:w="782" w:type="pct"/>
                  <w:gridSpan w:val="2"/>
                  <w:vAlign w:val="center"/>
                </w:tcPr>
                <w:p w14:paraId="14F1CE89">
                  <w:pPr>
                    <w:jc w:val="center"/>
                    <w:rPr>
                      <w:szCs w:val="21"/>
                    </w:rPr>
                  </w:pPr>
                  <w:r>
                    <w:rPr>
                      <w:szCs w:val="21"/>
                    </w:rPr>
                    <w:t>水</w:t>
                  </w:r>
                </w:p>
              </w:tc>
              <w:tc>
                <w:tcPr>
                  <w:tcW w:w="1047" w:type="pct"/>
                  <w:vAlign w:val="center"/>
                </w:tcPr>
                <w:p w14:paraId="1B8D0E8D">
                  <w:pPr>
                    <w:jc w:val="center"/>
                    <w:rPr>
                      <w:szCs w:val="21"/>
                    </w:rPr>
                  </w:pPr>
                  <w:r>
                    <w:rPr>
                      <w:szCs w:val="21"/>
                    </w:rPr>
                    <w:t>/</w:t>
                  </w:r>
                </w:p>
              </w:tc>
              <w:tc>
                <w:tcPr>
                  <w:tcW w:w="583" w:type="pct"/>
                  <w:vAlign w:val="center"/>
                </w:tcPr>
                <w:p w14:paraId="0D73F438">
                  <w:pPr>
                    <w:jc w:val="center"/>
                    <w:rPr>
                      <w:szCs w:val="21"/>
                    </w:rPr>
                  </w:pPr>
                  <w:r>
                    <w:rPr>
                      <w:rFonts w:hint="eastAsia"/>
                      <w:szCs w:val="21"/>
                    </w:rPr>
                    <w:t>2</w:t>
                  </w:r>
                  <w:r>
                    <w:rPr>
                      <w:rFonts w:hint="eastAsia"/>
                      <w:szCs w:val="21"/>
                      <w:lang w:val="en-US" w:eastAsia="zh-CN"/>
                    </w:rPr>
                    <w:t>800</w:t>
                  </w:r>
                  <w:r>
                    <w:rPr>
                      <w:rFonts w:hint="eastAsia"/>
                      <w:szCs w:val="21"/>
                    </w:rPr>
                    <w:t>m</w:t>
                  </w:r>
                  <w:r>
                    <w:rPr>
                      <w:rFonts w:hint="eastAsia"/>
                      <w:szCs w:val="21"/>
                      <w:vertAlign w:val="superscript"/>
                    </w:rPr>
                    <w:t>3</w:t>
                  </w:r>
                </w:p>
              </w:tc>
              <w:tc>
                <w:tcPr>
                  <w:tcW w:w="500" w:type="pct"/>
                  <w:vAlign w:val="center"/>
                </w:tcPr>
                <w:p w14:paraId="346CB647">
                  <w:pPr>
                    <w:jc w:val="center"/>
                    <w:rPr>
                      <w:szCs w:val="21"/>
                    </w:rPr>
                  </w:pPr>
                  <w:r>
                    <w:rPr>
                      <w:szCs w:val="21"/>
                    </w:rPr>
                    <w:t>/</w:t>
                  </w:r>
                </w:p>
              </w:tc>
              <w:tc>
                <w:tcPr>
                  <w:tcW w:w="1048" w:type="pct"/>
                  <w:vAlign w:val="center"/>
                </w:tcPr>
                <w:p w14:paraId="49998288">
                  <w:pPr>
                    <w:jc w:val="center"/>
                    <w:rPr>
                      <w:kern w:val="0"/>
                      <w:szCs w:val="21"/>
                      <w:lang w:bidi="ar"/>
                    </w:rPr>
                  </w:pPr>
                  <w:r>
                    <w:rPr>
                      <w:szCs w:val="21"/>
                    </w:rPr>
                    <w:t>/</w:t>
                  </w:r>
                </w:p>
              </w:tc>
              <w:tc>
                <w:tcPr>
                  <w:tcW w:w="697" w:type="pct"/>
                  <w:vAlign w:val="center"/>
                </w:tcPr>
                <w:p w14:paraId="213172DA">
                  <w:pPr>
                    <w:widowControl/>
                    <w:jc w:val="center"/>
                    <w:textAlignment w:val="center"/>
                    <w:rPr>
                      <w:kern w:val="0"/>
                      <w:szCs w:val="21"/>
                      <w:lang w:bidi="ar"/>
                    </w:rPr>
                  </w:pPr>
                  <w:r>
                    <w:rPr>
                      <w:kern w:val="0"/>
                      <w:szCs w:val="21"/>
                      <w:lang w:bidi="ar"/>
                    </w:rPr>
                    <w:t>区域给水管网</w:t>
                  </w:r>
                </w:p>
              </w:tc>
            </w:tr>
            <w:tr w14:paraId="0DC7B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556CE1D6">
                  <w:pPr>
                    <w:spacing w:line="320" w:lineRule="exact"/>
                    <w:jc w:val="center"/>
                    <w:rPr>
                      <w:szCs w:val="21"/>
                    </w:rPr>
                  </w:pPr>
                </w:p>
              </w:tc>
              <w:tc>
                <w:tcPr>
                  <w:tcW w:w="782" w:type="pct"/>
                  <w:gridSpan w:val="2"/>
                  <w:vAlign w:val="center"/>
                </w:tcPr>
                <w:p w14:paraId="4D20B758">
                  <w:pPr>
                    <w:jc w:val="center"/>
                    <w:rPr>
                      <w:szCs w:val="21"/>
                    </w:rPr>
                  </w:pPr>
                  <w:r>
                    <w:rPr>
                      <w:szCs w:val="21"/>
                    </w:rPr>
                    <w:t>电</w:t>
                  </w:r>
                </w:p>
              </w:tc>
              <w:tc>
                <w:tcPr>
                  <w:tcW w:w="1047" w:type="pct"/>
                  <w:vAlign w:val="center"/>
                </w:tcPr>
                <w:p w14:paraId="7B267FC9">
                  <w:pPr>
                    <w:jc w:val="center"/>
                    <w:rPr>
                      <w:szCs w:val="21"/>
                    </w:rPr>
                  </w:pPr>
                  <w:r>
                    <w:rPr>
                      <w:szCs w:val="21"/>
                    </w:rPr>
                    <w:t>/</w:t>
                  </w:r>
                </w:p>
              </w:tc>
              <w:tc>
                <w:tcPr>
                  <w:tcW w:w="583" w:type="pct"/>
                  <w:vAlign w:val="center"/>
                </w:tcPr>
                <w:p w14:paraId="0F01338A">
                  <w:pPr>
                    <w:jc w:val="center"/>
                    <w:rPr>
                      <w:szCs w:val="21"/>
                    </w:rPr>
                  </w:pPr>
                  <w:r>
                    <w:rPr>
                      <w:rFonts w:hint="eastAsia"/>
                      <w:szCs w:val="21"/>
                    </w:rPr>
                    <w:t>250</w:t>
                  </w:r>
                  <w:r>
                    <w:rPr>
                      <w:szCs w:val="21"/>
                    </w:rPr>
                    <w:t>万kWh</w:t>
                  </w:r>
                </w:p>
              </w:tc>
              <w:tc>
                <w:tcPr>
                  <w:tcW w:w="500" w:type="pct"/>
                  <w:vAlign w:val="center"/>
                </w:tcPr>
                <w:p w14:paraId="3C22EFCD">
                  <w:pPr>
                    <w:jc w:val="center"/>
                    <w:rPr>
                      <w:szCs w:val="21"/>
                    </w:rPr>
                  </w:pPr>
                  <w:r>
                    <w:rPr>
                      <w:szCs w:val="21"/>
                    </w:rPr>
                    <w:t>/</w:t>
                  </w:r>
                </w:p>
              </w:tc>
              <w:tc>
                <w:tcPr>
                  <w:tcW w:w="1048" w:type="pct"/>
                  <w:vAlign w:val="center"/>
                </w:tcPr>
                <w:p w14:paraId="23566DEE">
                  <w:pPr>
                    <w:jc w:val="center"/>
                    <w:rPr>
                      <w:kern w:val="0"/>
                      <w:szCs w:val="21"/>
                      <w:lang w:bidi="ar"/>
                    </w:rPr>
                  </w:pPr>
                  <w:r>
                    <w:rPr>
                      <w:szCs w:val="21"/>
                    </w:rPr>
                    <w:t>/</w:t>
                  </w:r>
                </w:p>
              </w:tc>
              <w:tc>
                <w:tcPr>
                  <w:tcW w:w="697" w:type="pct"/>
                  <w:vAlign w:val="center"/>
                </w:tcPr>
                <w:p w14:paraId="45C410DD">
                  <w:pPr>
                    <w:widowControl/>
                    <w:jc w:val="center"/>
                    <w:textAlignment w:val="center"/>
                    <w:rPr>
                      <w:kern w:val="0"/>
                      <w:szCs w:val="21"/>
                      <w:lang w:bidi="ar"/>
                    </w:rPr>
                  </w:pPr>
                  <w:r>
                    <w:rPr>
                      <w:kern w:val="0"/>
                      <w:szCs w:val="21"/>
                      <w:lang w:bidi="ar"/>
                    </w:rPr>
                    <w:t>区域供电</w:t>
                  </w:r>
                </w:p>
              </w:tc>
            </w:tr>
            <w:tr w14:paraId="3F152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0" w:type="pct"/>
                  <w:vMerge w:val="continue"/>
                  <w:vAlign w:val="center"/>
                </w:tcPr>
                <w:p w14:paraId="423BBD7B">
                  <w:pPr>
                    <w:spacing w:line="320" w:lineRule="exact"/>
                    <w:jc w:val="center"/>
                    <w:rPr>
                      <w:szCs w:val="21"/>
                    </w:rPr>
                  </w:pPr>
                </w:p>
              </w:tc>
              <w:tc>
                <w:tcPr>
                  <w:tcW w:w="782" w:type="pct"/>
                  <w:gridSpan w:val="2"/>
                  <w:vAlign w:val="center"/>
                </w:tcPr>
                <w:p w14:paraId="08E0F473">
                  <w:pPr>
                    <w:jc w:val="center"/>
                    <w:rPr>
                      <w:szCs w:val="21"/>
                    </w:rPr>
                  </w:pPr>
                  <w:r>
                    <w:rPr>
                      <w:rFonts w:hint="eastAsia"/>
                      <w:szCs w:val="21"/>
                    </w:rPr>
                    <w:t>天然气</w:t>
                  </w:r>
                </w:p>
              </w:tc>
              <w:tc>
                <w:tcPr>
                  <w:tcW w:w="1047" w:type="pct"/>
                  <w:vAlign w:val="center"/>
                </w:tcPr>
                <w:p w14:paraId="390E8E4F">
                  <w:pPr>
                    <w:jc w:val="center"/>
                    <w:rPr>
                      <w:szCs w:val="21"/>
                    </w:rPr>
                  </w:pPr>
                  <w:r>
                    <w:rPr>
                      <w:rFonts w:hint="eastAsia"/>
                      <w:szCs w:val="21"/>
                    </w:rPr>
                    <w:t>/</w:t>
                  </w:r>
                </w:p>
              </w:tc>
              <w:tc>
                <w:tcPr>
                  <w:tcW w:w="583" w:type="pct"/>
                  <w:vAlign w:val="center"/>
                </w:tcPr>
                <w:p w14:paraId="7E763ED1">
                  <w:pPr>
                    <w:jc w:val="center"/>
                    <w:rPr>
                      <w:szCs w:val="21"/>
                    </w:rPr>
                  </w:pPr>
                  <w:r>
                    <w:rPr>
                      <w:rFonts w:hint="eastAsia"/>
                      <w:szCs w:val="21"/>
                    </w:rPr>
                    <w:t>6万m</w:t>
                  </w:r>
                  <w:r>
                    <w:rPr>
                      <w:rFonts w:hint="eastAsia"/>
                      <w:szCs w:val="21"/>
                      <w:vertAlign w:val="superscript"/>
                    </w:rPr>
                    <w:t>3</w:t>
                  </w:r>
                </w:p>
              </w:tc>
              <w:tc>
                <w:tcPr>
                  <w:tcW w:w="500" w:type="pct"/>
                  <w:vAlign w:val="center"/>
                </w:tcPr>
                <w:p w14:paraId="1954DB21">
                  <w:pPr>
                    <w:jc w:val="center"/>
                    <w:rPr>
                      <w:szCs w:val="21"/>
                    </w:rPr>
                  </w:pPr>
                  <w:r>
                    <w:rPr>
                      <w:rFonts w:hint="eastAsia"/>
                      <w:szCs w:val="21"/>
                    </w:rPr>
                    <w:t>/</w:t>
                  </w:r>
                </w:p>
              </w:tc>
              <w:tc>
                <w:tcPr>
                  <w:tcW w:w="1048" w:type="pct"/>
                  <w:vAlign w:val="center"/>
                </w:tcPr>
                <w:p w14:paraId="6767368F">
                  <w:pPr>
                    <w:jc w:val="center"/>
                    <w:rPr>
                      <w:szCs w:val="21"/>
                    </w:rPr>
                  </w:pPr>
                  <w:r>
                    <w:rPr>
                      <w:rFonts w:hint="eastAsia"/>
                      <w:szCs w:val="21"/>
                    </w:rPr>
                    <w:t>/</w:t>
                  </w:r>
                </w:p>
              </w:tc>
              <w:tc>
                <w:tcPr>
                  <w:tcW w:w="697" w:type="pct"/>
                  <w:vAlign w:val="center"/>
                </w:tcPr>
                <w:p w14:paraId="7DA50747">
                  <w:pPr>
                    <w:widowControl/>
                    <w:jc w:val="center"/>
                    <w:textAlignment w:val="center"/>
                    <w:rPr>
                      <w:kern w:val="0"/>
                      <w:szCs w:val="21"/>
                      <w:lang w:bidi="ar"/>
                    </w:rPr>
                  </w:pPr>
                  <w:r>
                    <w:rPr>
                      <w:rFonts w:hint="eastAsia"/>
                      <w:kern w:val="0"/>
                      <w:szCs w:val="21"/>
                      <w:lang w:bidi="ar"/>
                    </w:rPr>
                    <w:t>区域供气</w:t>
                  </w:r>
                </w:p>
              </w:tc>
            </w:tr>
          </w:tbl>
          <w:p w14:paraId="2A9BFFAE">
            <w:pPr>
              <w:pStyle w:val="60"/>
              <w:spacing w:line="480" w:lineRule="exact"/>
              <w:rPr>
                <w:sz w:val="24"/>
              </w:rPr>
            </w:pPr>
            <w:r>
              <w:rPr>
                <w:sz w:val="24"/>
              </w:rPr>
              <w:t>表2-</w:t>
            </w:r>
            <w:r>
              <w:rPr>
                <w:rFonts w:hint="eastAsia"/>
                <w:sz w:val="24"/>
                <w:lang w:val="en-US" w:eastAsia="zh-CN"/>
              </w:rPr>
              <w:t>5</w:t>
            </w:r>
            <w:r>
              <w:rPr>
                <w:sz w:val="24"/>
              </w:rPr>
              <w:t xml:space="preserve">  项目所用原辅材料理化性质一览表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3"/>
              <w:gridCol w:w="5165"/>
              <w:gridCol w:w="822"/>
              <w:gridCol w:w="1990"/>
            </w:tblGrid>
            <w:tr w14:paraId="23259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pct"/>
                  <w:vAlign w:val="center"/>
                </w:tcPr>
                <w:p w14:paraId="3DAC730E">
                  <w:pPr>
                    <w:pStyle w:val="91"/>
                    <w:rPr>
                      <w:b/>
                      <w:sz w:val="21"/>
                      <w:szCs w:val="21"/>
                    </w:rPr>
                  </w:pPr>
                  <w:r>
                    <w:rPr>
                      <w:b/>
                      <w:sz w:val="21"/>
                      <w:szCs w:val="21"/>
                    </w:rPr>
                    <w:t>名称</w:t>
                  </w:r>
                </w:p>
              </w:tc>
              <w:tc>
                <w:tcPr>
                  <w:tcW w:w="2865" w:type="pct"/>
                  <w:vAlign w:val="center"/>
                </w:tcPr>
                <w:p w14:paraId="1BC6A672">
                  <w:pPr>
                    <w:pStyle w:val="91"/>
                    <w:rPr>
                      <w:b/>
                      <w:sz w:val="21"/>
                      <w:szCs w:val="21"/>
                    </w:rPr>
                  </w:pPr>
                  <w:r>
                    <w:rPr>
                      <w:b/>
                      <w:sz w:val="21"/>
                      <w:szCs w:val="21"/>
                    </w:rPr>
                    <w:t>理化性质</w:t>
                  </w:r>
                </w:p>
              </w:tc>
              <w:tc>
                <w:tcPr>
                  <w:tcW w:w="456" w:type="pct"/>
                  <w:vAlign w:val="center"/>
                </w:tcPr>
                <w:p w14:paraId="2EEC2C65">
                  <w:pPr>
                    <w:pStyle w:val="91"/>
                    <w:rPr>
                      <w:b/>
                      <w:sz w:val="21"/>
                      <w:szCs w:val="21"/>
                    </w:rPr>
                  </w:pPr>
                  <w:r>
                    <w:rPr>
                      <w:b/>
                      <w:sz w:val="21"/>
                      <w:szCs w:val="21"/>
                    </w:rPr>
                    <w:t>燃烧爆炸性</w:t>
                  </w:r>
                </w:p>
              </w:tc>
              <w:tc>
                <w:tcPr>
                  <w:tcW w:w="1104" w:type="pct"/>
                  <w:vAlign w:val="center"/>
                </w:tcPr>
                <w:p w14:paraId="356FF562">
                  <w:pPr>
                    <w:pStyle w:val="91"/>
                    <w:rPr>
                      <w:b/>
                      <w:sz w:val="21"/>
                      <w:szCs w:val="21"/>
                    </w:rPr>
                  </w:pPr>
                  <w:r>
                    <w:rPr>
                      <w:b/>
                      <w:sz w:val="21"/>
                      <w:szCs w:val="21"/>
                    </w:rPr>
                    <w:t>毒理毒性</w:t>
                  </w:r>
                </w:p>
              </w:tc>
            </w:tr>
            <w:tr w14:paraId="077E1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pct"/>
                  <w:vAlign w:val="center"/>
                </w:tcPr>
                <w:p w14:paraId="7325B83F">
                  <w:pPr>
                    <w:pStyle w:val="2"/>
                    <w:spacing w:before="0" w:after="0" w:line="240" w:lineRule="auto"/>
                    <w:ind w:right="0"/>
                    <w:jc w:val="center"/>
                    <w:rPr>
                      <w:sz w:val="21"/>
                      <w:szCs w:val="21"/>
                    </w:rPr>
                  </w:pPr>
                  <w:r>
                    <w:rPr>
                      <w:rFonts w:hint="eastAsia"/>
                      <w:kern w:val="2"/>
                      <w:sz w:val="21"/>
                      <w:szCs w:val="21"/>
                    </w:rPr>
                    <w:t>丁苯胶乳</w:t>
                  </w:r>
                </w:p>
              </w:tc>
              <w:tc>
                <w:tcPr>
                  <w:tcW w:w="2865" w:type="pct"/>
                  <w:vAlign w:val="center"/>
                </w:tcPr>
                <w:p w14:paraId="091A2DBE">
                  <w:pPr>
                    <w:rPr>
                      <w:szCs w:val="21"/>
                    </w:rPr>
                  </w:pPr>
                  <w:r>
                    <w:rPr>
                      <w:rFonts w:hint="eastAsia"/>
                      <w:szCs w:val="21"/>
                    </w:rPr>
                    <w:t>液态，白色分散体；气味：芳香的嗅觉；熔点：0℃；沸点：100℃；蒸汽压：23.4hPa（20℃）；可与水混溶。</w:t>
                  </w:r>
                </w:p>
              </w:tc>
              <w:tc>
                <w:tcPr>
                  <w:tcW w:w="456" w:type="pct"/>
                  <w:vAlign w:val="center"/>
                </w:tcPr>
                <w:p w14:paraId="4C599861">
                  <w:pPr>
                    <w:jc w:val="center"/>
                    <w:rPr>
                      <w:szCs w:val="21"/>
                    </w:rPr>
                  </w:pPr>
                  <w:r>
                    <w:rPr>
                      <w:rFonts w:hint="eastAsia"/>
                      <w:szCs w:val="21"/>
                    </w:rPr>
                    <w:t>不可燃</w:t>
                  </w:r>
                </w:p>
              </w:tc>
              <w:tc>
                <w:tcPr>
                  <w:tcW w:w="1104" w:type="pct"/>
                  <w:vAlign w:val="center"/>
                </w:tcPr>
                <w:p w14:paraId="2437B095">
                  <w:pPr>
                    <w:snapToGrid w:val="0"/>
                    <w:jc w:val="center"/>
                    <w:rPr>
                      <w:szCs w:val="21"/>
                    </w:rPr>
                  </w:pPr>
                  <w:r>
                    <w:rPr>
                      <w:rFonts w:hint="eastAsia"/>
                      <w:szCs w:val="21"/>
                    </w:rPr>
                    <w:t>大鼠（口服）：＞2000～10000mg/kg</w:t>
                  </w:r>
                </w:p>
              </w:tc>
            </w:tr>
            <w:tr w14:paraId="60EE9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pct"/>
                  <w:vAlign w:val="center"/>
                </w:tcPr>
                <w:p w14:paraId="0BD7CA33">
                  <w:pPr>
                    <w:jc w:val="center"/>
                    <w:rPr>
                      <w:szCs w:val="21"/>
                    </w:rPr>
                  </w:pPr>
                  <w:r>
                    <w:rPr>
                      <w:rFonts w:hint="eastAsia"/>
                      <w:szCs w:val="21"/>
                    </w:rPr>
                    <w:t>碳酸钙</w:t>
                  </w:r>
                </w:p>
              </w:tc>
              <w:tc>
                <w:tcPr>
                  <w:tcW w:w="2865" w:type="pct"/>
                  <w:vAlign w:val="center"/>
                </w:tcPr>
                <w:p w14:paraId="7074CD2F">
                  <w:pPr>
                    <w:rPr>
                      <w:szCs w:val="21"/>
                    </w:rPr>
                  </w:pPr>
                  <w:r>
                    <w:rPr>
                      <w:szCs w:val="21"/>
                    </w:rPr>
                    <w:t>无机化合物，化学式为CaCO₃，是石灰石、大理石等的主要成分。碳酸钙通常为白色晶体，无味，基本上不溶于水，易与酸反应放出二氧化碳</w:t>
                  </w:r>
                  <w:r>
                    <w:rPr>
                      <w:rFonts w:hint="eastAsia"/>
                      <w:szCs w:val="21"/>
                    </w:rPr>
                    <w:t>。熔点1339℃，密度2.7至2.9g/cm</w:t>
                  </w:r>
                  <w:r>
                    <w:rPr>
                      <w:rFonts w:hint="eastAsia"/>
                      <w:szCs w:val="21"/>
                      <w:vertAlign w:val="superscript"/>
                    </w:rPr>
                    <w:t>3</w:t>
                  </w:r>
                  <w:r>
                    <w:rPr>
                      <w:rFonts w:hint="eastAsia"/>
                      <w:szCs w:val="21"/>
                    </w:rPr>
                    <w:t>。几乎不溶于水，在含有铵盐或三氧化二铁的水中溶解，不溶于醇。</w:t>
                  </w:r>
                </w:p>
              </w:tc>
              <w:tc>
                <w:tcPr>
                  <w:tcW w:w="456" w:type="pct"/>
                  <w:vAlign w:val="center"/>
                </w:tcPr>
                <w:p w14:paraId="4BF068ED">
                  <w:pPr>
                    <w:jc w:val="center"/>
                    <w:rPr>
                      <w:szCs w:val="21"/>
                    </w:rPr>
                  </w:pPr>
                  <w:r>
                    <w:rPr>
                      <w:rFonts w:hint="eastAsia"/>
                      <w:szCs w:val="21"/>
                    </w:rPr>
                    <w:t>不可燃</w:t>
                  </w:r>
                </w:p>
              </w:tc>
              <w:tc>
                <w:tcPr>
                  <w:tcW w:w="1104" w:type="pct"/>
                  <w:vAlign w:val="center"/>
                </w:tcPr>
                <w:p w14:paraId="60F638D1">
                  <w:pPr>
                    <w:jc w:val="center"/>
                    <w:rPr>
                      <w:szCs w:val="21"/>
                    </w:rPr>
                  </w:pPr>
                  <w:r>
                    <w:rPr>
                      <w:szCs w:val="21"/>
                    </w:rPr>
                    <w:t>急性毒性：LD</w:t>
                  </w:r>
                  <w:r>
                    <w:rPr>
                      <w:szCs w:val="21"/>
                      <w:vertAlign w:val="subscript"/>
                    </w:rPr>
                    <w:t>50</w:t>
                  </w:r>
                  <w:r>
                    <w:rPr>
                      <w:rFonts w:hint="eastAsia"/>
                      <w:szCs w:val="21"/>
                    </w:rPr>
                    <w:t>:</w:t>
                  </w:r>
                  <w:r>
                    <w:rPr>
                      <w:szCs w:val="21"/>
                    </w:rPr>
                    <w:t>6450mg/kg（大白鼠经口）</w:t>
                  </w:r>
                </w:p>
              </w:tc>
            </w:tr>
            <w:tr w14:paraId="40CCE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pct"/>
                  <w:vAlign w:val="center"/>
                </w:tcPr>
                <w:p w14:paraId="3C7AC2C2">
                  <w:pPr>
                    <w:widowControl/>
                    <w:jc w:val="center"/>
                    <w:textAlignment w:val="center"/>
                    <w:rPr>
                      <w:szCs w:val="21"/>
                    </w:rPr>
                  </w:pPr>
                  <w:r>
                    <w:rPr>
                      <w:rFonts w:hint="eastAsia"/>
                      <w:szCs w:val="21"/>
                    </w:rPr>
                    <w:t>多元醇</w:t>
                  </w:r>
                </w:p>
              </w:tc>
              <w:tc>
                <w:tcPr>
                  <w:tcW w:w="2865" w:type="pct"/>
                  <w:vAlign w:val="center"/>
                </w:tcPr>
                <w:p w14:paraId="4C8E6C62">
                  <w:pPr>
                    <w:rPr>
                      <w:szCs w:val="21"/>
                    </w:rPr>
                  </w:pPr>
                  <w:r>
                    <w:rPr>
                      <w:szCs w:val="21"/>
                    </w:rPr>
                    <w:t>多元醇是一个化学术语，即分子中含有二个或二个以上羟基的一大类醇类。其通式为CnH</w:t>
                  </w:r>
                  <w:r>
                    <w:rPr>
                      <w:szCs w:val="21"/>
                      <w:vertAlign w:val="subscript"/>
                    </w:rPr>
                    <w:t>2</w:t>
                  </w:r>
                  <w:r>
                    <w:rPr>
                      <w:szCs w:val="21"/>
                    </w:rPr>
                    <w:t>n+</w:t>
                  </w:r>
                  <w:r>
                    <w:rPr>
                      <w:szCs w:val="21"/>
                      <w:vertAlign w:val="subscript"/>
                    </w:rPr>
                    <w:t>2</w:t>
                  </w:r>
                  <w:r>
                    <w:rPr>
                      <w:szCs w:val="21"/>
                    </w:rPr>
                    <w:t>-x(OH)x(x≥2)</w:t>
                  </w:r>
                  <w:r>
                    <w:rPr>
                      <w:rFonts w:hint="eastAsia"/>
                      <w:szCs w:val="21"/>
                    </w:rPr>
                    <w:t>。多元醇一般溶于水，大多数多元醇都是具有沸点高，对极性物质溶解能力强，毒性和挥发性小等特性的黏性液体或结晶状固体。其沸点、黏度、相对密度和熔点等随分子量增加而增加。</w:t>
                  </w:r>
                </w:p>
              </w:tc>
              <w:tc>
                <w:tcPr>
                  <w:tcW w:w="456" w:type="pct"/>
                  <w:vAlign w:val="center"/>
                </w:tcPr>
                <w:p w14:paraId="0EE0D8A0">
                  <w:pPr>
                    <w:jc w:val="center"/>
                    <w:rPr>
                      <w:szCs w:val="21"/>
                    </w:rPr>
                  </w:pPr>
                  <w:r>
                    <w:rPr>
                      <w:rFonts w:hint="eastAsia"/>
                      <w:szCs w:val="21"/>
                    </w:rPr>
                    <w:t>不易燃</w:t>
                  </w:r>
                </w:p>
              </w:tc>
              <w:tc>
                <w:tcPr>
                  <w:tcW w:w="1104" w:type="pct"/>
                  <w:vAlign w:val="center"/>
                </w:tcPr>
                <w:p w14:paraId="62E3309D">
                  <w:pPr>
                    <w:snapToGrid w:val="0"/>
                    <w:jc w:val="center"/>
                    <w:rPr>
                      <w:szCs w:val="21"/>
                    </w:rPr>
                  </w:pPr>
                  <w:r>
                    <w:rPr>
                      <w:rFonts w:hint="eastAsia"/>
                      <w:szCs w:val="21"/>
                    </w:rPr>
                    <w:t>无资料</w:t>
                  </w:r>
                </w:p>
              </w:tc>
            </w:tr>
            <w:tr w14:paraId="507B2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pct"/>
                  <w:vAlign w:val="center"/>
                </w:tcPr>
                <w:p w14:paraId="0F4492B8">
                  <w:pPr>
                    <w:widowControl/>
                    <w:jc w:val="center"/>
                    <w:textAlignment w:val="center"/>
                    <w:rPr>
                      <w:szCs w:val="21"/>
                    </w:rPr>
                  </w:pPr>
                  <w:r>
                    <w:rPr>
                      <w:rFonts w:hint="eastAsia"/>
                      <w:szCs w:val="21"/>
                    </w:rPr>
                    <w:t>异氰酸聚亚甲基聚亚苯基酯</w:t>
                  </w:r>
                </w:p>
              </w:tc>
              <w:tc>
                <w:tcPr>
                  <w:tcW w:w="2865" w:type="pct"/>
                  <w:vAlign w:val="center"/>
                </w:tcPr>
                <w:p w14:paraId="54BD556A">
                  <w:pPr>
                    <w:rPr>
                      <w:szCs w:val="21"/>
                    </w:rPr>
                  </w:pPr>
                  <w:r>
                    <w:rPr>
                      <w:rFonts w:hint="eastAsia"/>
                      <w:szCs w:val="21"/>
                    </w:rPr>
                    <w:t>CAS号：9016-87-9，棕色液体，密度约1.23g/cm</w:t>
                  </w:r>
                  <w:r>
                    <w:rPr>
                      <w:rFonts w:hint="eastAsia"/>
                      <w:szCs w:val="21"/>
                      <w:vertAlign w:val="superscript"/>
                    </w:rPr>
                    <w:t>3</w:t>
                  </w:r>
                  <w:r>
                    <w:rPr>
                      <w:rFonts w:hint="eastAsia"/>
                      <w:szCs w:val="21"/>
                    </w:rPr>
                    <w:t>，蒸气压：1hPa（20℃），沸点：&gt;300℃，闪点：&gt;200℃，粘度 (23℃) : 250-300mPa.s。</w:t>
                  </w:r>
                </w:p>
              </w:tc>
              <w:tc>
                <w:tcPr>
                  <w:tcW w:w="456" w:type="pct"/>
                  <w:vAlign w:val="center"/>
                </w:tcPr>
                <w:p w14:paraId="7E82A2AA">
                  <w:pPr>
                    <w:jc w:val="center"/>
                    <w:rPr>
                      <w:rFonts w:hint="eastAsia" w:eastAsia="宋体"/>
                      <w:szCs w:val="21"/>
                      <w:lang w:val="en-US" w:eastAsia="zh-CN"/>
                    </w:rPr>
                  </w:pPr>
                  <w:r>
                    <w:rPr>
                      <w:rFonts w:hint="eastAsia"/>
                      <w:szCs w:val="21"/>
                      <w:lang w:val="en-US" w:eastAsia="zh-CN"/>
                    </w:rPr>
                    <w:t>可燃</w:t>
                  </w:r>
                </w:p>
              </w:tc>
              <w:tc>
                <w:tcPr>
                  <w:tcW w:w="1104" w:type="pct"/>
                  <w:vAlign w:val="center"/>
                </w:tcPr>
                <w:p w14:paraId="74A747D2">
                  <w:pPr>
                    <w:snapToGrid w:val="0"/>
                    <w:jc w:val="center"/>
                    <w:rPr>
                      <w:szCs w:val="21"/>
                    </w:rPr>
                  </w:pPr>
                  <w:r>
                    <w:rPr>
                      <w:szCs w:val="21"/>
                    </w:rPr>
                    <w:t>急性毒性：L</w:t>
                  </w:r>
                  <w:r>
                    <w:rPr>
                      <w:rFonts w:hint="eastAsia"/>
                      <w:szCs w:val="21"/>
                    </w:rPr>
                    <w:t>C</w:t>
                  </w:r>
                  <w:r>
                    <w:rPr>
                      <w:szCs w:val="21"/>
                      <w:vertAlign w:val="subscript"/>
                    </w:rPr>
                    <w:t>50</w:t>
                  </w:r>
                  <w:r>
                    <w:rPr>
                      <w:rFonts w:hint="eastAsia"/>
                      <w:szCs w:val="21"/>
                    </w:rPr>
                    <w:t>:490</w:t>
                  </w:r>
                  <w:r>
                    <w:rPr>
                      <w:szCs w:val="21"/>
                    </w:rPr>
                    <w:t>mg/</w:t>
                  </w:r>
                  <w:r>
                    <w:rPr>
                      <w:rFonts w:hint="eastAsia"/>
                      <w:szCs w:val="21"/>
                    </w:rPr>
                    <w:t>m</w:t>
                  </w:r>
                  <w:r>
                    <w:rPr>
                      <w:rFonts w:hint="eastAsia"/>
                      <w:szCs w:val="21"/>
                      <w:vertAlign w:val="superscript"/>
                    </w:rPr>
                    <w:t>3</w:t>
                  </w:r>
                  <w:r>
                    <w:rPr>
                      <w:szCs w:val="21"/>
                    </w:rPr>
                    <w:t>（大鼠</w:t>
                  </w:r>
                  <w:r>
                    <w:rPr>
                      <w:rFonts w:hint="eastAsia"/>
                      <w:szCs w:val="21"/>
                    </w:rPr>
                    <w:t>吸入</w:t>
                  </w:r>
                  <w:r>
                    <w:rPr>
                      <w:szCs w:val="21"/>
                    </w:rPr>
                    <w:t>）</w:t>
                  </w:r>
                </w:p>
              </w:tc>
            </w:tr>
          </w:tbl>
          <w:p w14:paraId="202FF4AF">
            <w:pPr>
              <w:spacing w:line="480" w:lineRule="exact"/>
              <w:ind w:firstLine="482" w:firstLineChars="200"/>
              <w:rPr>
                <w:b/>
                <w:sz w:val="24"/>
              </w:rPr>
            </w:pPr>
            <w:r>
              <w:rPr>
                <w:b/>
                <w:sz w:val="24"/>
              </w:rPr>
              <w:t>6</w:t>
            </w:r>
            <w:r>
              <w:rPr>
                <w:rFonts w:hint="eastAsia"/>
                <w:b/>
                <w:sz w:val="24"/>
              </w:rPr>
              <w:t>、</w:t>
            </w:r>
            <w:r>
              <w:rPr>
                <w:b/>
                <w:sz w:val="24"/>
              </w:rPr>
              <w:t>劳动定员及工作制度</w:t>
            </w:r>
          </w:p>
          <w:p w14:paraId="6ACA9851">
            <w:pPr>
              <w:tabs>
                <w:tab w:val="left" w:pos="4151"/>
              </w:tabs>
              <w:spacing w:line="480" w:lineRule="exact"/>
              <w:ind w:firstLine="480" w:firstLineChars="200"/>
              <w:rPr>
                <w:b/>
                <w:sz w:val="24"/>
              </w:rPr>
            </w:pPr>
            <w:r>
              <w:rPr>
                <w:bCs/>
                <w:sz w:val="24"/>
              </w:rPr>
              <w:t>本次员工</w:t>
            </w:r>
            <w:r>
              <w:rPr>
                <w:rFonts w:hint="eastAsia"/>
                <w:bCs/>
                <w:sz w:val="24"/>
              </w:rPr>
              <w:t>100</w:t>
            </w:r>
            <w:r>
              <w:rPr>
                <w:bCs/>
                <w:sz w:val="24"/>
              </w:rPr>
              <w:t>人，年工作日300天，</w:t>
            </w:r>
            <w:r>
              <w:rPr>
                <w:rFonts w:hint="eastAsia"/>
                <w:bCs/>
                <w:sz w:val="24"/>
              </w:rPr>
              <w:t>两</w:t>
            </w:r>
            <w:r>
              <w:rPr>
                <w:bCs/>
                <w:sz w:val="24"/>
              </w:rPr>
              <w:t>班制，每班8小时，年生产</w:t>
            </w:r>
            <w:r>
              <w:rPr>
                <w:rFonts w:hint="eastAsia"/>
                <w:bCs/>
                <w:sz w:val="24"/>
              </w:rPr>
              <w:t>48</w:t>
            </w:r>
            <w:r>
              <w:rPr>
                <w:bCs/>
                <w:sz w:val="24"/>
              </w:rPr>
              <w:t>00小时。厂内</w:t>
            </w:r>
            <w:r>
              <w:rPr>
                <w:rFonts w:hint="eastAsia"/>
                <w:bCs/>
                <w:sz w:val="24"/>
              </w:rPr>
              <w:t>不</w:t>
            </w:r>
            <w:r>
              <w:rPr>
                <w:bCs/>
                <w:sz w:val="24"/>
              </w:rPr>
              <w:t>设食堂</w:t>
            </w:r>
            <w:r>
              <w:rPr>
                <w:rFonts w:hint="eastAsia"/>
                <w:bCs/>
                <w:sz w:val="24"/>
              </w:rPr>
              <w:t>、</w:t>
            </w:r>
            <w:r>
              <w:rPr>
                <w:bCs/>
                <w:sz w:val="24"/>
              </w:rPr>
              <w:t>浴室、宿舍等生活区。</w:t>
            </w:r>
          </w:p>
          <w:p w14:paraId="794244D9">
            <w:pPr>
              <w:spacing w:line="480" w:lineRule="exact"/>
              <w:ind w:firstLine="482" w:firstLineChars="200"/>
              <w:rPr>
                <w:b/>
                <w:sz w:val="24"/>
              </w:rPr>
            </w:pPr>
            <w:r>
              <w:rPr>
                <w:b/>
                <w:sz w:val="24"/>
              </w:rPr>
              <w:t>7</w:t>
            </w:r>
            <w:r>
              <w:rPr>
                <w:rFonts w:hint="eastAsia"/>
                <w:b/>
                <w:sz w:val="24"/>
              </w:rPr>
              <w:t>、</w:t>
            </w:r>
            <w:r>
              <w:rPr>
                <w:b/>
                <w:sz w:val="24"/>
              </w:rPr>
              <w:t>项目周边概况和厂区平面布置情况</w:t>
            </w:r>
          </w:p>
          <w:p w14:paraId="7E58288C">
            <w:pPr>
              <w:spacing w:line="480" w:lineRule="exact"/>
              <w:ind w:firstLine="480" w:firstLineChars="200"/>
              <w:rPr>
                <w:bCs/>
                <w:sz w:val="24"/>
              </w:rPr>
            </w:pPr>
            <w:r>
              <w:rPr>
                <w:bCs/>
                <w:sz w:val="24"/>
              </w:rPr>
              <w:t>（1）项目周边概况</w:t>
            </w:r>
          </w:p>
          <w:p w14:paraId="17187C79">
            <w:pPr>
              <w:spacing w:line="480" w:lineRule="exact"/>
              <w:ind w:firstLine="480" w:firstLineChars="200"/>
              <w:rPr>
                <w:bCs/>
                <w:color w:val="FF0000"/>
                <w:sz w:val="24"/>
              </w:rPr>
            </w:pPr>
            <w:r>
              <w:rPr>
                <w:bCs/>
                <w:sz w:val="24"/>
              </w:rPr>
              <w:t>本项目位于</w:t>
            </w:r>
            <w:r>
              <w:rPr>
                <w:sz w:val="24"/>
              </w:rPr>
              <w:t>常州市</w:t>
            </w:r>
            <w:r>
              <w:rPr>
                <w:rFonts w:hint="eastAsia"/>
                <w:sz w:val="24"/>
              </w:rPr>
              <w:t>江苏省常州市金坛区朱林镇永顺路2号</w:t>
            </w:r>
            <w:r>
              <w:rPr>
                <w:bCs/>
                <w:sz w:val="24"/>
              </w:rPr>
              <w:t>，</w:t>
            </w:r>
            <w:r>
              <w:rPr>
                <w:rFonts w:hint="eastAsia"/>
                <w:bCs/>
                <w:sz w:val="24"/>
              </w:rPr>
              <w:t>厂区</w:t>
            </w:r>
            <w:r>
              <w:rPr>
                <w:bCs/>
                <w:sz w:val="24"/>
              </w:rPr>
              <w:t>东侧为</w:t>
            </w:r>
            <w:r>
              <w:rPr>
                <w:rFonts w:hint="eastAsia"/>
                <w:bCs/>
                <w:sz w:val="24"/>
              </w:rPr>
              <w:t>江苏科菱库精工科技</w:t>
            </w:r>
            <w:r>
              <w:rPr>
                <w:rFonts w:hint="eastAsia"/>
                <w:sz w:val="24"/>
              </w:rPr>
              <w:t>有限公司，</w:t>
            </w:r>
            <w:r>
              <w:rPr>
                <w:rFonts w:hint="eastAsia"/>
                <w:sz w:val="24"/>
                <w:lang w:val="en-US" w:eastAsia="zh-CN"/>
              </w:rPr>
              <w:t>南</w:t>
            </w:r>
            <w:r>
              <w:rPr>
                <w:rFonts w:hint="eastAsia"/>
                <w:sz w:val="24"/>
              </w:rPr>
              <w:t>侧为江苏荣科塑业科技有限公司，西侧为常州京洋半导体材料科技有限公司，</w:t>
            </w:r>
            <w:r>
              <w:rPr>
                <w:rFonts w:hint="eastAsia"/>
                <w:sz w:val="24"/>
                <w:lang w:val="en-US" w:eastAsia="zh-CN"/>
              </w:rPr>
              <w:t>北</w:t>
            </w:r>
            <w:r>
              <w:rPr>
                <w:rFonts w:hint="eastAsia"/>
                <w:sz w:val="24"/>
              </w:rPr>
              <w:t>侧为</w:t>
            </w:r>
            <w:r>
              <w:rPr>
                <w:rFonts w:hint="eastAsia"/>
                <w:sz w:val="24"/>
                <w:lang w:val="en-US" w:eastAsia="zh-CN"/>
              </w:rPr>
              <w:t>后阳街</w:t>
            </w:r>
            <w:r>
              <w:rPr>
                <w:rFonts w:hint="eastAsia"/>
                <w:sz w:val="24"/>
              </w:rPr>
              <w:t>，隔路为空地。</w:t>
            </w:r>
          </w:p>
          <w:p w14:paraId="216BD9F1">
            <w:pPr>
              <w:spacing w:line="480" w:lineRule="exact"/>
              <w:ind w:firstLine="480" w:firstLineChars="200"/>
              <w:rPr>
                <w:bCs/>
                <w:sz w:val="24"/>
              </w:rPr>
            </w:pPr>
            <w:r>
              <w:rPr>
                <w:bCs/>
                <w:sz w:val="24"/>
              </w:rPr>
              <w:t>本项目周边500m范围内有</w:t>
            </w:r>
            <w:r>
              <w:rPr>
                <w:rFonts w:hint="eastAsia"/>
                <w:bCs/>
                <w:sz w:val="24"/>
              </w:rPr>
              <w:t>大姆墩（NE，</w:t>
            </w:r>
            <w:r>
              <w:rPr>
                <w:rFonts w:hint="eastAsia"/>
                <w:bCs/>
                <w:sz w:val="24"/>
                <w:lang w:val="en-US" w:eastAsia="zh-CN"/>
              </w:rPr>
              <w:t>260</w:t>
            </w:r>
            <w:r>
              <w:rPr>
                <w:rFonts w:hint="eastAsia"/>
                <w:bCs/>
                <w:sz w:val="24"/>
              </w:rPr>
              <w:t>m）、田舍大村</w:t>
            </w:r>
            <w:r>
              <w:rPr>
                <w:bCs/>
                <w:sz w:val="24"/>
              </w:rPr>
              <w:t>（</w:t>
            </w:r>
            <w:r>
              <w:rPr>
                <w:rFonts w:hint="eastAsia"/>
                <w:bCs/>
                <w:sz w:val="24"/>
                <w:lang w:val="en-US" w:eastAsia="zh-CN"/>
              </w:rPr>
              <w:t>N</w:t>
            </w:r>
            <w:r>
              <w:rPr>
                <w:rFonts w:hint="eastAsia"/>
                <w:bCs/>
                <w:sz w:val="24"/>
              </w:rPr>
              <w:t>W</w:t>
            </w:r>
            <w:r>
              <w:rPr>
                <w:bCs/>
                <w:sz w:val="24"/>
              </w:rPr>
              <w:t>，</w:t>
            </w:r>
            <w:r>
              <w:rPr>
                <w:rFonts w:hint="eastAsia"/>
                <w:bCs/>
                <w:sz w:val="24"/>
                <w:lang w:val="en-US" w:eastAsia="zh-CN"/>
              </w:rPr>
              <w:t>275</w:t>
            </w:r>
            <w:r>
              <w:rPr>
                <w:bCs/>
                <w:sz w:val="24"/>
              </w:rPr>
              <w:t>m）</w:t>
            </w:r>
            <w:r>
              <w:rPr>
                <w:rFonts w:hint="eastAsia"/>
                <w:bCs/>
                <w:sz w:val="24"/>
              </w:rPr>
              <w:t>、</w:t>
            </w:r>
            <w:r>
              <w:rPr>
                <w:rFonts w:hint="eastAsia"/>
                <w:bCs/>
                <w:sz w:val="24"/>
                <w:lang w:val="en-US" w:eastAsia="zh-CN"/>
              </w:rPr>
              <w:t>六姆墩</w:t>
            </w:r>
            <w:r>
              <w:rPr>
                <w:bCs/>
                <w:sz w:val="24"/>
              </w:rPr>
              <w:t>（</w:t>
            </w:r>
            <w:r>
              <w:rPr>
                <w:rFonts w:hint="eastAsia"/>
                <w:bCs/>
                <w:sz w:val="24"/>
                <w:lang w:val="en-US" w:eastAsia="zh-CN"/>
              </w:rPr>
              <w:t>N</w:t>
            </w:r>
            <w:r>
              <w:rPr>
                <w:bCs/>
                <w:sz w:val="24"/>
              </w:rPr>
              <w:t>，</w:t>
            </w:r>
            <w:r>
              <w:rPr>
                <w:rFonts w:hint="eastAsia"/>
                <w:bCs/>
                <w:sz w:val="24"/>
                <w:lang w:val="en-US" w:eastAsia="zh-CN"/>
              </w:rPr>
              <w:t>295</w:t>
            </w:r>
            <w:r>
              <w:rPr>
                <w:bCs/>
                <w:sz w:val="24"/>
              </w:rPr>
              <w:t>m）</w:t>
            </w:r>
            <w:r>
              <w:rPr>
                <w:rFonts w:hint="eastAsia"/>
                <w:bCs/>
                <w:sz w:val="24"/>
              </w:rPr>
              <w:t>，</w:t>
            </w:r>
            <w:r>
              <w:rPr>
                <w:bCs/>
                <w:sz w:val="24"/>
              </w:rPr>
              <w:t>此外无其他敏感点。项目周边500m土地利用现状见附图2。</w:t>
            </w:r>
          </w:p>
          <w:p w14:paraId="4194BDEE">
            <w:pPr>
              <w:spacing w:line="480" w:lineRule="exact"/>
              <w:ind w:firstLine="480" w:firstLineChars="200"/>
              <w:rPr>
                <w:bCs/>
                <w:sz w:val="24"/>
              </w:rPr>
            </w:pPr>
            <w:r>
              <w:rPr>
                <w:bCs/>
                <w:sz w:val="24"/>
              </w:rPr>
              <w:t>（2）厂区平面布局</w:t>
            </w:r>
          </w:p>
          <w:p w14:paraId="024722F7">
            <w:pPr>
              <w:spacing w:line="480" w:lineRule="exact"/>
              <w:ind w:firstLine="480" w:firstLineChars="200"/>
              <w:rPr>
                <w:bCs/>
                <w:color w:val="FF0000"/>
                <w:sz w:val="24"/>
              </w:rPr>
            </w:pPr>
            <w:r>
              <w:rPr>
                <w:rFonts w:hint="eastAsia"/>
                <w:bCs/>
                <w:sz w:val="24"/>
              </w:rPr>
              <w:t>本项目租用企业新建厂房，用于生产人造草坪。</w:t>
            </w:r>
            <w:r>
              <w:rPr>
                <w:snapToGrid w:val="0"/>
                <w:kern w:val="0"/>
                <w:sz w:val="24"/>
              </w:rPr>
              <w:t>项目厂区平面布置图见附图3</w:t>
            </w:r>
            <w:r>
              <w:rPr>
                <w:bCs/>
                <w:sz w:val="24"/>
              </w:rPr>
              <w:t>。</w:t>
            </w:r>
          </w:p>
          <w:p w14:paraId="7E15067D">
            <w:pPr>
              <w:spacing w:line="480" w:lineRule="exact"/>
              <w:ind w:firstLine="482" w:firstLineChars="200"/>
              <w:rPr>
                <w:b/>
                <w:sz w:val="24"/>
              </w:rPr>
            </w:pPr>
            <w:r>
              <w:rPr>
                <w:b/>
                <w:sz w:val="24"/>
              </w:rPr>
              <w:t>8</w:t>
            </w:r>
            <w:r>
              <w:rPr>
                <w:rFonts w:hint="eastAsia"/>
                <w:b/>
                <w:sz w:val="24"/>
              </w:rPr>
              <w:t>、</w:t>
            </w:r>
            <w:r>
              <w:rPr>
                <w:b/>
                <w:sz w:val="24"/>
              </w:rPr>
              <w:t>水平衡</w:t>
            </w:r>
          </w:p>
          <w:p w14:paraId="07A6E26D">
            <w:pPr>
              <w:pStyle w:val="2"/>
              <w:jc w:val="center"/>
              <w:rPr>
                <w:b/>
                <w:bCs/>
                <w:sz w:val="24"/>
              </w:rPr>
            </w:pPr>
            <w:r>
              <w:rPr>
                <w:bCs/>
                <w:sz w:val="24"/>
                <w:szCs w:val="24"/>
              </w:rPr>
              <w:drawing>
                <wp:inline distT="0" distB="0" distL="114300" distR="114300">
                  <wp:extent cx="5020310" cy="1781810"/>
                  <wp:effectExtent l="0" t="0" r="8890" b="1270"/>
                  <wp:docPr id="10" name="F360BE8B-6686-4F3D-AEAF-501FE73E4058-1" descr="C:/Users/周大帅/AppData/Local/Temp/绘图1(4).png绘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0BE8B-6686-4F3D-AEAF-501FE73E4058-1" descr="C:/Users/周大帅/AppData/Local/Temp/绘图1(4).png绘图1(4)"/>
                          <pic:cNvPicPr>
                            <a:picLocks noChangeAspect="1"/>
                          </pic:cNvPicPr>
                        </pic:nvPicPr>
                        <pic:blipFill>
                          <a:blip r:embed="rId10"/>
                          <a:stretch>
                            <a:fillRect/>
                          </a:stretch>
                        </pic:blipFill>
                        <pic:spPr>
                          <a:xfrm>
                            <a:off x="0" y="0"/>
                            <a:ext cx="5020056" cy="1781556"/>
                          </a:xfrm>
                          <a:prstGeom prst="rect">
                            <a:avLst/>
                          </a:prstGeom>
                          <a:noFill/>
                          <a:ln>
                            <a:noFill/>
                          </a:ln>
                        </pic:spPr>
                      </pic:pic>
                    </a:graphicData>
                  </a:graphic>
                </wp:inline>
              </w:drawing>
            </w:r>
          </w:p>
          <w:p w14:paraId="28492121">
            <w:pPr>
              <w:pStyle w:val="2"/>
              <w:jc w:val="center"/>
              <w:rPr>
                <w:b/>
                <w:bCs/>
                <w:sz w:val="24"/>
              </w:rPr>
            </w:pPr>
            <w:r>
              <w:rPr>
                <w:b/>
                <w:bCs/>
                <w:sz w:val="24"/>
              </w:rPr>
              <w:t>图2-1  本项目建成后全厂水平衡图（单位：t/a）</w:t>
            </w:r>
          </w:p>
          <w:p w14:paraId="1888A4F0">
            <w:pPr>
              <w:pStyle w:val="3"/>
              <w:numPr>
                <w:ilvl w:val="0"/>
                <w:numId w:val="0"/>
              </w:numPr>
              <w:spacing w:line="480" w:lineRule="exact"/>
              <w:jc w:val="center"/>
              <w:rPr>
                <w:b/>
                <w:bCs/>
                <w:color w:val="FF0000"/>
                <w:sz w:val="24"/>
              </w:rPr>
            </w:pPr>
          </w:p>
          <w:p w14:paraId="7B42BAB7">
            <w:pPr>
              <w:pStyle w:val="3"/>
              <w:numPr>
                <w:ilvl w:val="0"/>
                <w:numId w:val="0"/>
              </w:numPr>
              <w:spacing w:line="480" w:lineRule="exact"/>
              <w:jc w:val="center"/>
              <w:rPr>
                <w:b/>
                <w:bCs/>
                <w:color w:val="FF0000"/>
                <w:sz w:val="24"/>
              </w:rPr>
            </w:pPr>
          </w:p>
          <w:p w14:paraId="4F840CEA">
            <w:pPr>
              <w:pStyle w:val="3"/>
              <w:numPr>
                <w:ilvl w:val="0"/>
                <w:numId w:val="0"/>
              </w:numPr>
              <w:spacing w:line="480" w:lineRule="exact"/>
              <w:jc w:val="center"/>
              <w:rPr>
                <w:b/>
                <w:bCs/>
                <w:color w:val="FF0000"/>
                <w:sz w:val="24"/>
              </w:rPr>
            </w:pPr>
          </w:p>
          <w:p w14:paraId="2791AD6B">
            <w:pPr>
              <w:pStyle w:val="3"/>
              <w:numPr>
                <w:ilvl w:val="0"/>
                <w:numId w:val="0"/>
              </w:numPr>
              <w:spacing w:line="480" w:lineRule="exact"/>
              <w:jc w:val="center"/>
              <w:rPr>
                <w:b/>
                <w:bCs/>
                <w:color w:val="FF0000"/>
                <w:sz w:val="24"/>
              </w:rPr>
            </w:pPr>
          </w:p>
          <w:p w14:paraId="204626D5">
            <w:pPr>
              <w:pStyle w:val="3"/>
              <w:numPr>
                <w:ilvl w:val="0"/>
                <w:numId w:val="0"/>
              </w:numPr>
              <w:spacing w:line="480" w:lineRule="exact"/>
              <w:jc w:val="center"/>
              <w:rPr>
                <w:b/>
                <w:bCs/>
                <w:color w:val="FF0000"/>
                <w:sz w:val="24"/>
              </w:rPr>
            </w:pPr>
          </w:p>
          <w:p w14:paraId="4A6F4C1C">
            <w:pPr>
              <w:pStyle w:val="3"/>
              <w:numPr>
                <w:ilvl w:val="0"/>
                <w:numId w:val="0"/>
              </w:numPr>
              <w:spacing w:line="480" w:lineRule="exact"/>
              <w:jc w:val="center"/>
              <w:rPr>
                <w:b/>
                <w:bCs/>
                <w:color w:val="FF0000"/>
                <w:sz w:val="24"/>
              </w:rPr>
            </w:pPr>
          </w:p>
          <w:p w14:paraId="322897E8">
            <w:pPr>
              <w:pStyle w:val="3"/>
              <w:numPr>
                <w:ilvl w:val="0"/>
                <w:numId w:val="0"/>
              </w:numPr>
              <w:spacing w:line="480" w:lineRule="exact"/>
              <w:jc w:val="center"/>
              <w:rPr>
                <w:b/>
                <w:bCs/>
                <w:color w:val="FF0000"/>
                <w:sz w:val="24"/>
              </w:rPr>
            </w:pPr>
          </w:p>
          <w:p w14:paraId="53573B95">
            <w:pPr>
              <w:pStyle w:val="3"/>
              <w:numPr>
                <w:ilvl w:val="0"/>
                <w:numId w:val="0"/>
              </w:numPr>
              <w:spacing w:line="480" w:lineRule="exact"/>
              <w:jc w:val="center"/>
              <w:rPr>
                <w:b/>
                <w:bCs/>
                <w:color w:val="FF0000"/>
                <w:sz w:val="24"/>
              </w:rPr>
            </w:pPr>
          </w:p>
          <w:p w14:paraId="0344FABF">
            <w:pPr>
              <w:pStyle w:val="3"/>
              <w:numPr>
                <w:ilvl w:val="0"/>
                <w:numId w:val="0"/>
              </w:numPr>
              <w:spacing w:line="480" w:lineRule="exact"/>
              <w:jc w:val="center"/>
              <w:rPr>
                <w:b/>
                <w:bCs/>
                <w:color w:val="FF0000"/>
                <w:sz w:val="24"/>
              </w:rPr>
            </w:pPr>
          </w:p>
          <w:p w14:paraId="6B2A5C5D">
            <w:pPr>
              <w:pStyle w:val="3"/>
              <w:numPr>
                <w:ilvl w:val="0"/>
                <w:numId w:val="0"/>
              </w:numPr>
              <w:spacing w:line="480" w:lineRule="exact"/>
              <w:jc w:val="center"/>
              <w:rPr>
                <w:b/>
                <w:bCs/>
                <w:color w:val="FF0000"/>
                <w:sz w:val="24"/>
              </w:rPr>
            </w:pPr>
          </w:p>
          <w:p w14:paraId="308EC8BF">
            <w:pPr>
              <w:pStyle w:val="3"/>
              <w:numPr>
                <w:ilvl w:val="0"/>
                <w:numId w:val="0"/>
              </w:numPr>
              <w:spacing w:line="480" w:lineRule="exact"/>
              <w:jc w:val="center"/>
              <w:rPr>
                <w:b/>
                <w:bCs/>
                <w:color w:val="FF0000"/>
                <w:sz w:val="24"/>
              </w:rPr>
            </w:pPr>
          </w:p>
          <w:p w14:paraId="64544E0B">
            <w:pPr>
              <w:pStyle w:val="3"/>
              <w:numPr>
                <w:ilvl w:val="0"/>
                <w:numId w:val="0"/>
              </w:numPr>
              <w:spacing w:line="480" w:lineRule="exact"/>
              <w:jc w:val="center"/>
              <w:rPr>
                <w:b/>
                <w:bCs/>
                <w:color w:val="FF0000"/>
                <w:sz w:val="24"/>
              </w:rPr>
            </w:pPr>
          </w:p>
          <w:p w14:paraId="70F30943">
            <w:pPr>
              <w:pStyle w:val="3"/>
              <w:numPr>
                <w:ilvl w:val="0"/>
                <w:numId w:val="0"/>
              </w:numPr>
              <w:spacing w:line="480" w:lineRule="exact"/>
              <w:jc w:val="center"/>
              <w:rPr>
                <w:b/>
                <w:bCs/>
                <w:color w:val="FF0000"/>
                <w:sz w:val="24"/>
              </w:rPr>
            </w:pPr>
          </w:p>
          <w:p w14:paraId="07351849">
            <w:pPr>
              <w:pStyle w:val="3"/>
              <w:numPr>
                <w:ilvl w:val="0"/>
                <w:numId w:val="0"/>
              </w:numPr>
              <w:spacing w:line="480" w:lineRule="exact"/>
              <w:jc w:val="center"/>
              <w:rPr>
                <w:b/>
                <w:bCs/>
                <w:color w:val="FF0000"/>
                <w:sz w:val="24"/>
              </w:rPr>
            </w:pPr>
          </w:p>
          <w:p w14:paraId="332F2409">
            <w:pPr>
              <w:pStyle w:val="3"/>
              <w:numPr>
                <w:ilvl w:val="0"/>
                <w:numId w:val="0"/>
              </w:numPr>
              <w:spacing w:line="480" w:lineRule="exact"/>
              <w:jc w:val="center"/>
              <w:rPr>
                <w:b/>
                <w:bCs/>
                <w:color w:val="FF0000"/>
                <w:sz w:val="24"/>
              </w:rPr>
            </w:pPr>
          </w:p>
          <w:p w14:paraId="0BC98D11">
            <w:pPr>
              <w:pStyle w:val="3"/>
              <w:numPr>
                <w:ilvl w:val="0"/>
                <w:numId w:val="0"/>
              </w:numPr>
              <w:spacing w:line="480" w:lineRule="exact"/>
              <w:jc w:val="center"/>
              <w:rPr>
                <w:b/>
                <w:bCs/>
                <w:color w:val="FF0000"/>
                <w:sz w:val="24"/>
              </w:rPr>
            </w:pPr>
          </w:p>
        </w:tc>
      </w:tr>
      <w:tr w14:paraId="418FA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1" w:hRule="atLeast"/>
          <w:jc w:val="center"/>
        </w:trPr>
        <w:tc>
          <w:tcPr>
            <w:tcW w:w="379" w:type="dxa"/>
            <w:tcBorders>
              <w:tl2br w:val="nil"/>
              <w:tr2bl w:val="nil"/>
            </w:tcBorders>
            <w:vAlign w:val="center"/>
          </w:tcPr>
          <w:p w14:paraId="39EA9DB3">
            <w:pPr>
              <w:pStyle w:val="23"/>
              <w:adjustRightInd w:val="0"/>
              <w:snapToGrid w:val="0"/>
              <w:spacing w:before="0" w:beforeAutospacing="0" w:after="0" w:afterAutospacing="0"/>
              <w:jc w:val="center"/>
              <w:rPr>
                <w:rFonts w:ascii="Times New Roman" w:hAnsi="Times New Roman"/>
                <w:color w:val="FF0000"/>
                <w:sz w:val="21"/>
                <w:szCs w:val="21"/>
              </w:rPr>
            </w:pPr>
            <w:r>
              <w:rPr>
                <w:rFonts w:ascii="Times New Roman" w:hAnsi="Times New Roman"/>
                <w:b/>
                <w:bCs/>
                <w:szCs w:val="24"/>
              </w:rPr>
              <w:t>工艺流程和产排污环节</w:t>
            </w:r>
          </w:p>
        </w:tc>
        <w:tc>
          <w:tcPr>
            <w:tcW w:w="8605" w:type="dxa"/>
            <w:tcBorders>
              <w:tl2br w:val="nil"/>
              <w:tr2bl w:val="nil"/>
            </w:tcBorders>
          </w:tcPr>
          <w:p w14:paraId="78B0B69D">
            <w:pPr>
              <w:pStyle w:val="92"/>
              <w:overflowPunct w:val="0"/>
              <w:spacing w:line="480" w:lineRule="exact"/>
              <w:ind w:firstLine="482"/>
              <w:rPr>
                <w:b/>
                <w:bCs/>
                <w:sz w:val="24"/>
                <w:szCs w:val="24"/>
              </w:rPr>
            </w:pPr>
            <w:r>
              <w:rPr>
                <w:b/>
                <w:bCs/>
                <w:sz w:val="24"/>
                <w:szCs w:val="24"/>
              </w:rPr>
              <w:t>工艺流程简述及产污环节分析：</w:t>
            </w:r>
          </w:p>
          <w:p w14:paraId="2E5A9607">
            <w:pPr>
              <w:pStyle w:val="2"/>
              <w:numPr>
                <w:ilvl w:val="0"/>
                <w:numId w:val="2"/>
              </w:numPr>
              <w:overflowPunct w:val="0"/>
              <w:spacing w:before="0" w:after="0" w:line="480" w:lineRule="atLeast"/>
              <w:ind w:right="0" w:firstLine="480" w:firstLineChars="200"/>
              <w:rPr>
                <w:sz w:val="24"/>
                <w:szCs w:val="24"/>
              </w:rPr>
            </w:pPr>
            <w:r>
              <w:rPr>
                <w:rFonts w:hint="eastAsia"/>
                <w:sz w:val="24"/>
                <w:szCs w:val="24"/>
              </w:rPr>
              <w:t>人造草坪生产工艺流程</w:t>
            </w:r>
          </w:p>
          <w:p w14:paraId="643A6115">
            <w:pPr>
              <w:widowControl/>
              <w:jc w:val="center"/>
            </w:pPr>
            <w:r>
              <w:rPr>
                <w:rFonts w:eastAsia="仿宋"/>
                <w:b/>
                <w:bCs/>
                <w:sz w:val="28"/>
                <w:szCs w:val="28"/>
              </w:rPr>
              <w:object>
                <v:shape id="_x0000_i1025" o:spt="75" type="#_x0000_t75" style="height:350.85pt;width:328.8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p>
          <w:p w14:paraId="3BFEAC78">
            <w:pPr>
              <w:overflowPunct w:val="0"/>
              <w:spacing w:line="480" w:lineRule="exact"/>
              <w:jc w:val="center"/>
              <w:rPr>
                <w:b/>
                <w:sz w:val="24"/>
              </w:rPr>
            </w:pPr>
            <w:r>
              <w:rPr>
                <w:b/>
                <w:sz w:val="24"/>
              </w:rPr>
              <w:t>图2-</w:t>
            </w:r>
            <w:r>
              <w:rPr>
                <w:rFonts w:hint="eastAsia"/>
                <w:b/>
                <w:sz w:val="24"/>
              </w:rPr>
              <w:t>2</w:t>
            </w:r>
            <w:r>
              <w:rPr>
                <w:b/>
                <w:sz w:val="24"/>
              </w:rPr>
              <w:t xml:space="preserve">  </w:t>
            </w:r>
            <w:r>
              <w:rPr>
                <w:rFonts w:hint="eastAsia"/>
                <w:b/>
                <w:sz w:val="24"/>
              </w:rPr>
              <w:t>人造草坪</w:t>
            </w:r>
            <w:r>
              <w:rPr>
                <w:b/>
                <w:sz w:val="24"/>
              </w:rPr>
              <w:t>生产工艺流程图</w:t>
            </w:r>
          </w:p>
          <w:p w14:paraId="342B5BD9">
            <w:pPr>
              <w:overflowPunct w:val="0"/>
              <w:spacing w:line="480" w:lineRule="exact"/>
              <w:ind w:left="479" w:leftChars="228" w:firstLine="0" w:firstLineChars="0"/>
              <w:rPr>
                <w:b/>
                <w:sz w:val="24"/>
              </w:rPr>
            </w:pPr>
            <w:r>
              <w:rPr>
                <w:rFonts w:hint="eastAsia"/>
                <w:sz w:val="24"/>
                <w:lang w:val="en-US" w:eastAsia="zh-CN"/>
              </w:rPr>
              <w:t>本项目背胶/烘干为自动流水线设计，整体设施密闭，仅涂胶处和烘干出口未密闭。</w:t>
            </w:r>
            <w:r>
              <w:rPr>
                <w:b/>
                <w:sz w:val="24"/>
              </w:rPr>
              <w:t>工艺流程简述：</w:t>
            </w:r>
          </w:p>
          <w:p w14:paraId="7E6F6F04">
            <w:pPr>
              <w:overflowPunct w:val="0"/>
              <w:spacing w:line="480" w:lineRule="exact"/>
              <w:ind w:firstLine="482" w:firstLineChars="200"/>
              <w:rPr>
                <w:sz w:val="24"/>
              </w:rPr>
            </w:pPr>
            <w:r>
              <w:rPr>
                <w:b/>
                <w:bCs/>
                <w:sz w:val="24"/>
              </w:rPr>
              <w:t>簇绒：</w:t>
            </w:r>
            <w:r>
              <w:rPr>
                <w:sz w:val="24"/>
              </w:rPr>
              <w:t>通过簇绒机上的簇绒针上下反复运动将</w:t>
            </w:r>
            <w:r>
              <w:rPr>
                <w:rFonts w:hint="eastAsia"/>
                <w:sz w:val="24"/>
              </w:rPr>
              <w:t>购置的</w:t>
            </w:r>
            <w:r>
              <w:rPr>
                <w:sz w:val="24"/>
              </w:rPr>
              <w:t>塑料丝植入草坪基布和网格基布（部分产品不需要用到网格基布</w:t>
            </w:r>
            <w:r>
              <w:rPr>
                <w:rFonts w:hint="eastAsia"/>
                <w:sz w:val="24"/>
              </w:rPr>
              <w:t>，根据产品的不同，采取单层或双层簇绒</w:t>
            </w:r>
            <w:r>
              <w:rPr>
                <w:sz w:val="24"/>
              </w:rPr>
              <w:t>），进行簇绒。</w:t>
            </w:r>
            <w:r>
              <w:rPr>
                <w:rFonts w:hint="eastAsia"/>
                <w:sz w:val="24"/>
              </w:rPr>
              <w:t>此</w:t>
            </w:r>
            <w:r>
              <w:rPr>
                <w:sz w:val="24"/>
              </w:rPr>
              <w:t>工序产生废塑料丝S1。</w:t>
            </w:r>
          </w:p>
          <w:p w14:paraId="1402EED5">
            <w:pPr>
              <w:overflowPunct w:val="0"/>
              <w:spacing w:line="480" w:lineRule="exact"/>
              <w:ind w:firstLine="480" w:firstLineChars="200"/>
              <w:rPr>
                <w:sz w:val="24"/>
              </w:rPr>
            </w:pPr>
            <w:r>
              <w:rPr>
                <w:rFonts w:hint="eastAsia"/>
                <w:sz w:val="24"/>
              </w:rPr>
              <w:t>根据工艺要求，需在簇绒后的半成品基布背面涂上</w:t>
            </w:r>
            <w:r>
              <w:rPr>
                <w:sz w:val="24"/>
              </w:rPr>
              <w:t>丁苯胶</w:t>
            </w:r>
            <w:r>
              <w:rPr>
                <w:rFonts w:hint="eastAsia"/>
                <w:sz w:val="24"/>
              </w:rPr>
              <w:t>，具体工艺流程如下：</w:t>
            </w:r>
          </w:p>
          <w:p w14:paraId="4F9116F4">
            <w:pPr>
              <w:overflowPunct w:val="0"/>
              <w:spacing w:line="480" w:lineRule="exact"/>
              <w:ind w:firstLine="482" w:firstLineChars="200"/>
              <w:rPr>
                <w:b/>
                <w:bCs/>
                <w:i/>
                <w:iCs/>
                <w:sz w:val="24"/>
                <w:u w:val="double"/>
              </w:rPr>
            </w:pPr>
            <w:r>
              <w:rPr>
                <w:rFonts w:hint="eastAsia"/>
                <w:b/>
                <w:bCs/>
                <w:sz w:val="24"/>
              </w:rPr>
              <w:t>调配：</w:t>
            </w:r>
          </w:p>
          <w:p w14:paraId="0C2A639D">
            <w:pPr>
              <w:overflowPunct w:val="0"/>
              <w:spacing w:line="480" w:lineRule="exact"/>
              <w:ind w:firstLine="482" w:firstLineChars="200"/>
              <w:rPr>
                <w:sz w:val="24"/>
              </w:rPr>
            </w:pPr>
            <w:r>
              <w:rPr>
                <w:b/>
                <w:bCs/>
                <w:sz w:val="24"/>
                <w:u w:val="single"/>
              </w:rPr>
              <w:t>丁苯胶</w:t>
            </w:r>
            <w:r>
              <w:rPr>
                <w:rFonts w:hint="eastAsia"/>
                <w:b/>
                <w:bCs/>
                <w:sz w:val="24"/>
                <w:u w:val="single"/>
              </w:rPr>
              <w:t>：</w:t>
            </w:r>
            <w:r>
              <w:rPr>
                <w:sz w:val="24"/>
              </w:rPr>
              <w:t>将丁苯胶乳、碳酸钙</w:t>
            </w:r>
            <w:r>
              <w:rPr>
                <w:rFonts w:hint="eastAsia"/>
                <w:sz w:val="24"/>
              </w:rPr>
              <w:t>和</w:t>
            </w:r>
            <w:r>
              <w:rPr>
                <w:sz w:val="24"/>
              </w:rPr>
              <w:t>水按一定的比例</w:t>
            </w:r>
            <w:r>
              <w:rPr>
                <w:rFonts w:hint="eastAsia"/>
                <w:sz w:val="24"/>
              </w:rPr>
              <w:t>（1:1.5:2）</w:t>
            </w:r>
            <w:r>
              <w:rPr>
                <w:sz w:val="24"/>
              </w:rPr>
              <w:t>投入</w:t>
            </w:r>
            <w:r>
              <w:rPr>
                <w:rFonts w:hint="eastAsia"/>
                <w:sz w:val="24"/>
                <w:lang w:val="en-US" w:eastAsia="zh-CN"/>
              </w:rPr>
              <w:t>密闭</w:t>
            </w:r>
            <w:r>
              <w:rPr>
                <w:rFonts w:hint="eastAsia"/>
                <w:sz w:val="24"/>
              </w:rPr>
              <w:t>拌胶机</w:t>
            </w:r>
            <w:r>
              <w:rPr>
                <w:sz w:val="24"/>
              </w:rPr>
              <w:t>中，</w:t>
            </w:r>
            <w:r>
              <w:rPr>
                <w:rFonts w:hint="eastAsia"/>
                <w:sz w:val="24"/>
              </w:rPr>
              <w:t>其中</w:t>
            </w:r>
            <w:r>
              <w:rPr>
                <w:sz w:val="24"/>
              </w:rPr>
              <w:t>丁苯胶乳、碳酸钙</w:t>
            </w:r>
            <w:r>
              <w:rPr>
                <w:rFonts w:hint="eastAsia"/>
                <w:sz w:val="24"/>
              </w:rPr>
              <w:t>为自动密闭吸料，</w:t>
            </w:r>
            <w:r>
              <w:rPr>
                <w:sz w:val="24"/>
              </w:rPr>
              <w:t>常温搅拌约半小时</w:t>
            </w:r>
            <w:r>
              <w:rPr>
                <w:rFonts w:hint="eastAsia"/>
                <w:sz w:val="24"/>
              </w:rPr>
              <w:t>，拌胶机搅拌过程中设备密闭。</w:t>
            </w:r>
          </w:p>
          <w:p w14:paraId="513C30C3">
            <w:pPr>
              <w:overflowPunct w:val="0"/>
              <w:spacing w:line="480" w:lineRule="exact"/>
              <w:ind w:firstLine="480" w:firstLineChars="200"/>
              <w:rPr>
                <w:sz w:val="24"/>
              </w:rPr>
            </w:pPr>
            <w:r>
              <w:rPr>
                <w:rFonts w:hint="eastAsia"/>
                <w:sz w:val="24"/>
              </w:rPr>
              <w:t>此工序产生</w:t>
            </w:r>
            <w:r>
              <w:rPr>
                <w:rFonts w:hint="eastAsia"/>
                <w:sz w:val="24"/>
                <w:lang w:val="en-US" w:eastAsia="zh-CN"/>
              </w:rPr>
              <w:t>调配废气（颗粒物、有机废气）</w:t>
            </w:r>
            <w:r>
              <w:rPr>
                <w:rFonts w:hint="eastAsia"/>
                <w:sz w:val="24"/>
              </w:rPr>
              <w:t>G1、含胶废物S2。</w:t>
            </w:r>
          </w:p>
          <w:p w14:paraId="67AA9FB6">
            <w:pPr>
              <w:overflowPunct w:val="0"/>
              <w:spacing w:line="480" w:lineRule="exact"/>
              <w:ind w:firstLine="482" w:firstLineChars="200"/>
              <w:rPr>
                <w:rFonts w:hint="eastAsia"/>
                <w:sz w:val="24"/>
              </w:rPr>
            </w:pPr>
            <w:r>
              <w:rPr>
                <w:rFonts w:hint="eastAsia"/>
                <w:b/>
                <w:bCs/>
                <w:sz w:val="24"/>
                <w:u w:val="single"/>
              </w:rPr>
              <w:t>PU</w:t>
            </w:r>
            <w:r>
              <w:rPr>
                <w:b/>
                <w:bCs/>
                <w:sz w:val="24"/>
                <w:u w:val="single"/>
              </w:rPr>
              <w:t>胶</w:t>
            </w:r>
            <w:r>
              <w:rPr>
                <w:rFonts w:hint="eastAsia"/>
                <w:b/>
                <w:bCs/>
                <w:sz w:val="24"/>
                <w:u w:val="single"/>
              </w:rPr>
              <w:t>：</w:t>
            </w:r>
            <w:r>
              <w:rPr>
                <w:sz w:val="24"/>
              </w:rPr>
              <w:t>将</w:t>
            </w:r>
            <w:r>
              <w:rPr>
                <w:rFonts w:hint="eastAsia"/>
                <w:sz w:val="24"/>
              </w:rPr>
              <w:t>双组份PU胶</w:t>
            </w:r>
            <w:r>
              <w:rPr>
                <w:sz w:val="24"/>
              </w:rPr>
              <w:t>按一定的比例</w:t>
            </w:r>
            <w:r>
              <w:rPr>
                <w:rFonts w:hint="eastAsia"/>
                <w:sz w:val="24"/>
              </w:rPr>
              <w:t>（7:1）进行配比。</w:t>
            </w:r>
          </w:p>
          <w:p w14:paraId="0D27818F">
            <w:pPr>
              <w:overflowPunct w:val="0"/>
              <w:spacing w:line="480" w:lineRule="exact"/>
              <w:ind w:firstLine="480" w:firstLineChars="200"/>
            </w:pPr>
            <w:r>
              <w:rPr>
                <w:rFonts w:hint="eastAsia"/>
                <w:sz w:val="24"/>
              </w:rPr>
              <w:t>此工序产生调配废气G</w:t>
            </w:r>
            <w:r>
              <w:rPr>
                <w:rFonts w:hint="eastAsia"/>
                <w:sz w:val="24"/>
                <w:lang w:val="en-US" w:eastAsia="zh-CN"/>
              </w:rPr>
              <w:t>1</w:t>
            </w:r>
            <w:r>
              <w:rPr>
                <w:rFonts w:hint="eastAsia"/>
                <w:sz w:val="24"/>
              </w:rPr>
              <w:t>、含胶废物S2。</w:t>
            </w:r>
          </w:p>
          <w:p w14:paraId="3FA200D3">
            <w:pPr>
              <w:overflowPunct w:val="0"/>
              <w:spacing w:line="480" w:lineRule="exact"/>
              <w:ind w:firstLine="482" w:firstLineChars="200"/>
              <w:rPr>
                <w:sz w:val="24"/>
              </w:rPr>
            </w:pPr>
            <w:r>
              <w:rPr>
                <w:b/>
                <w:bCs/>
                <w:sz w:val="24"/>
              </w:rPr>
              <w:t>背胶：</w:t>
            </w:r>
            <w:r>
              <w:rPr>
                <w:sz w:val="24"/>
              </w:rPr>
              <w:t>将调制好的丁苯胶</w:t>
            </w:r>
            <w:r>
              <w:rPr>
                <w:rFonts w:hint="eastAsia"/>
                <w:sz w:val="24"/>
              </w:rPr>
              <w:t>/PU胶</w:t>
            </w:r>
            <w:r>
              <w:rPr>
                <w:rFonts w:hint="eastAsia"/>
                <w:sz w:val="24"/>
                <w:lang w:val="en-US" w:eastAsia="zh-CN"/>
              </w:rPr>
              <w:t>根据产品质量需求不同，</w:t>
            </w:r>
            <w:r>
              <w:rPr>
                <w:sz w:val="24"/>
              </w:rPr>
              <w:t>经管道</w:t>
            </w:r>
            <w:r>
              <w:rPr>
                <w:rFonts w:hint="eastAsia"/>
                <w:sz w:val="24"/>
              </w:rPr>
              <w:t>密闭</w:t>
            </w:r>
            <w:r>
              <w:rPr>
                <w:sz w:val="24"/>
              </w:rPr>
              <w:t>输送到簇绒后的半成品</w:t>
            </w:r>
            <w:r>
              <w:rPr>
                <w:rFonts w:hint="eastAsia"/>
                <w:sz w:val="24"/>
              </w:rPr>
              <w:t>基布背面</w:t>
            </w:r>
            <w:r>
              <w:rPr>
                <w:sz w:val="24"/>
              </w:rPr>
              <w:t>，并均匀</w:t>
            </w:r>
            <w:r>
              <w:rPr>
                <w:rFonts w:hint="eastAsia"/>
                <w:sz w:val="24"/>
              </w:rPr>
              <w:t>涂</w:t>
            </w:r>
            <w:r>
              <w:rPr>
                <w:sz w:val="24"/>
              </w:rPr>
              <w:t>至半成品</w:t>
            </w:r>
            <w:r>
              <w:rPr>
                <w:rFonts w:hint="eastAsia"/>
                <w:sz w:val="24"/>
              </w:rPr>
              <w:t>基布背面</w:t>
            </w:r>
            <w:r>
              <w:rPr>
                <w:sz w:val="24"/>
              </w:rPr>
              <w:t>。</w:t>
            </w:r>
            <w:r>
              <w:rPr>
                <w:rFonts w:hint="eastAsia"/>
                <w:sz w:val="24"/>
                <w:lang w:val="en-US" w:eastAsia="zh-CN"/>
              </w:rPr>
              <w:t xml:space="preserve">  </w:t>
            </w:r>
            <w:r>
              <w:rPr>
                <w:sz w:val="24"/>
              </w:rPr>
              <w:t>该工序产生背胶废气G</w:t>
            </w:r>
            <w:r>
              <w:rPr>
                <w:rFonts w:hint="eastAsia"/>
                <w:sz w:val="24"/>
                <w:lang w:val="en-US" w:eastAsia="zh-CN"/>
              </w:rPr>
              <w:t>2</w:t>
            </w:r>
            <w:r>
              <w:rPr>
                <w:rFonts w:hint="eastAsia"/>
                <w:sz w:val="24"/>
              </w:rPr>
              <w:t>、含胶废物S3</w:t>
            </w:r>
            <w:r>
              <w:rPr>
                <w:sz w:val="24"/>
              </w:rPr>
              <w:t>。</w:t>
            </w:r>
          </w:p>
          <w:p w14:paraId="0BAD1668">
            <w:pPr>
              <w:overflowPunct w:val="0"/>
              <w:spacing w:line="480" w:lineRule="exact"/>
              <w:ind w:firstLine="482" w:firstLineChars="200"/>
              <w:rPr>
                <w:rFonts w:hint="default"/>
                <w:b/>
                <w:bCs/>
                <w:sz w:val="24"/>
                <w:lang w:val="en-US" w:eastAsia="zh-CN"/>
              </w:rPr>
            </w:pPr>
            <w:r>
              <w:rPr>
                <w:rFonts w:hint="eastAsia"/>
                <w:b/>
                <w:bCs/>
                <w:sz w:val="24"/>
                <w:lang w:val="en-US" w:eastAsia="zh-CN"/>
              </w:rPr>
              <w:t>注：丁苯胶用于预算有限且对性能要求不高的场景（如普通休闲草坪）。 PU胶适用于专业运动场地或对耐用性要求较高的场景。</w:t>
            </w:r>
          </w:p>
          <w:p w14:paraId="45066922">
            <w:pPr>
              <w:overflowPunct w:val="0"/>
              <w:spacing w:line="480" w:lineRule="exact"/>
              <w:ind w:firstLine="482" w:firstLineChars="200"/>
              <w:rPr>
                <w:rFonts w:hint="default" w:eastAsia="宋体"/>
                <w:b/>
                <w:bCs/>
                <w:sz w:val="24"/>
                <w:lang w:val="en-US" w:eastAsia="zh-CN"/>
              </w:rPr>
            </w:pPr>
            <w:r>
              <w:rPr>
                <w:rFonts w:hint="eastAsia"/>
                <w:b/>
                <w:bCs/>
                <w:sz w:val="24"/>
              </w:rPr>
              <w:t>烘干：</w:t>
            </w:r>
            <w:r>
              <w:rPr>
                <w:rFonts w:hint="eastAsia"/>
                <w:sz w:val="24"/>
              </w:rPr>
              <w:t>将背胶后的半成品</w:t>
            </w:r>
            <w:r>
              <w:rPr>
                <w:rFonts w:hint="eastAsia"/>
                <w:sz w:val="24"/>
                <w:highlight w:val="none"/>
              </w:rPr>
              <w:t>通过烘干机进行烘干，烘</w:t>
            </w:r>
            <w:r>
              <w:rPr>
                <w:rFonts w:hint="eastAsia"/>
                <w:sz w:val="24"/>
              </w:rPr>
              <w:t>干机采用天然气进行</w:t>
            </w:r>
            <w:r>
              <w:rPr>
                <w:rFonts w:hint="eastAsia"/>
                <w:sz w:val="24"/>
                <w:lang w:val="en-US" w:eastAsia="zh-CN"/>
              </w:rPr>
              <w:t>直接</w:t>
            </w:r>
            <w:r>
              <w:rPr>
                <w:rFonts w:hint="eastAsia"/>
                <w:sz w:val="24"/>
              </w:rPr>
              <w:t>加热，</w:t>
            </w:r>
            <w:r>
              <w:rPr>
                <w:rFonts w:hint="eastAsia"/>
                <w:sz w:val="24"/>
                <w:lang w:val="en-US" w:eastAsia="zh-CN"/>
              </w:rPr>
              <w:t>烘干温度</w:t>
            </w:r>
            <w:r>
              <w:rPr>
                <w:rFonts w:hint="eastAsia"/>
                <w:sz w:val="24"/>
              </w:rPr>
              <w:t>约</w:t>
            </w:r>
            <w:r>
              <w:rPr>
                <w:rFonts w:hint="eastAsia"/>
                <w:sz w:val="24"/>
                <w:lang w:val="en-US" w:eastAsia="zh-CN"/>
              </w:rPr>
              <w:t>60-80</w:t>
            </w:r>
            <w:r>
              <w:rPr>
                <w:rFonts w:hint="eastAsia"/>
                <w:sz w:val="24"/>
              </w:rPr>
              <w:t>℃，</w:t>
            </w:r>
            <w:r>
              <w:rPr>
                <w:rFonts w:hint="eastAsia"/>
                <w:sz w:val="24"/>
                <w:lang w:val="en-US" w:eastAsia="zh-CN"/>
              </w:rPr>
              <w:t>烘干时长约</w:t>
            </w:r>
            <w:r>
              <w:rPr>
                <w:rFonts w:hint="eastAsia"/>
                <w:sz w:val="24"/>
              </w:rPr>
              <w:t>半小时</w:t>
            </w:r>
            <w:r>
              <w:rPr>
                <w:rFonts w:hint="eastAsia"/>
                <w:sz w:val="24"/>
                <w:lang w:eastAsia="zh-CN"/>
              </w:rPr>
              <w:t>，</w:t>
            </w:r>
            <w:r>
              <w:rPr>
                <w:rFonts w:hint="eastAsia"/>
                <w:sz w:val="24"/>
                <w:lang w:val="en-US" w:eastAsia="zh-CN"/>
              </w:rPr>
              <w:t>该工序的烘干温度低于基材和塑料丝的热分解温度，因此不考虑基材和塑料丝产生的有机废气，仅考虑胶水烘干产生的有机废气</w:t>
            </w:r>
            <w:r>
              <w:rPr>
                <w:rFonts w:hint="eastAsia"/>
                <w:sz w:val="24"/>
              </w:rPr>
              <w:t>。该工序中产生天然气燃烧废气G</w:t>
            </w:r>
            <w:r>
              <w:rPr>
                <w:rFonts w:hint="eastAsia"/>
                <w:sz w:val="24"/>
                <w:lang w:val="en-US" w:eastAsia="zh-CN"/>
              </w:rPr>
              <w:t>3</w:t>
            </w:r>
            <w:r>
              <w:rPr>
                <w:rFonts w:hint="eastAsia"/>
                <w:sz w:val="24"/>
              </w:rPr>
              <w:t>、烘干废气G</w:t>
            </w:r>
            <w:r>
              <w:rPr>
                <w:rFonts w:hint="eastAsia"/>
                <w:sz w:val="24"/>
                <w:lang w:val="en-US" w:eastAsia="zh-CN"/>
              </w:rPr>
              <w:t>4</w:t>
            </w:r>
            <w:r>
              <w:rPr>
                <w:rFonts w:hint="eastAsia"/>
                <w:sz w:val="24"/>
              </w:rPr>
              <w:t>。</w:t>
            </w:r>
          </w:p>
          <w:p w14:paraId="21FC05F6">
            <w:pPr>
              <w:overflowPunct w:val="0"/>
              <w:spacing w:line="480" w:lineRule="exact"/>
              <w:ind w:firstLine="482" w:firstLineChars="200"/>
              <w:rPr>
                <w:sz w:val="24"/>
              </w:rPr>
            </w:pPr>
            <w:r>
              <w:rPr>
                <w:b/>
                <w:bCs/>
                <w:sz w:val="24"/>
              </w:rPr>
              <w:t>裁剪</w:t>
            </w:r>
            <w:r>
              <w:rPr>
                <w:rFonts w:hint="eastAsia"/>
                <w:b/>
                <w:bCs/>
                <w:sz w:val="24"/>
              </w:rPr>
              <w:t>：</w:t>
            </w:r>
            <w:r>
              <w:rPr>
                <w:sz w:val="24"/>
              </w:rPr>
              <w:t>根据客户需要的尺寸，将加工好的产品进行人工裁剪</w:t>
            </w:r>
            <w:r>
              <w:rPr>
                <w:rFonts w:hint="eastAsia"/>
                <w:sz w:val="24"/>
              </w:rPr>
              <w:t>。此工序产生废边角料S4。</w:t>
            </w:r>
          </w:p>
          <w:p w14:paraId="5C7D6237">
            <w:pPr>
              <w:overflowPunct w:val="0"/>
              <w:spacing w:line="480" w:lineRule="exact"/>
              <w:ind w:firstLine="482" w:firstLineChars="200"/>
              <w:rPr>
                <w:rFonts w:hint="default" w:eastAsia="宋体"/>
                <w:sz w:val="24"/>
                <w:lang w:val="en-US" w:eastAsia="zh-CN"/>
              </w:rPr>
            </w:pPr>
            <w:r>
              <w:rPr>
                <w:b/>
                <w:bCs/>
                <w:sz w:val="24"/>
              </w:rPr>
              <w:t>检验：</w:t>
            </w:r>
            <w:r>
              <w:rPr>
                <w:rFonts w:hint="eastAsia"/>
                <w:sz w:val="24"/>
              </w:rPr>
              <w:t>对裁剪后产品进行</w:t>
            </w:r>
            <w:r>
              <w:rPr>
                <w:rFonts w:hint="eastAsia"/>
                <w:sz w:val="24"/>
                <w:lang w:val="en-US" w:eastAsia="zh-CN"/>
              </w:rPr>
              <w:t>人工目视</w:t>
            </w:r>
            <w:r>
              <w:rPr>
                <w:rFonts w:hint="eastAsia"/>
                <w:sz w:val="24"/>
              </w:rPr>
              <w:t>检验，以剔除不合格品S5，合格品则入成品区，待发至客户处</w:t>
            </w:r>
            <w:r>
              <w:rPr>
                <w:sz w:val="24"/>
              </w:rPr>
              <w:t>。</w:t>
            </w:r>
            <w:r>
              <w:rPr>
                <w:rFonts w:hint="eastAsia"/>
                <w:sz w:val="24"/>
                <w:lang w:val="en-US" w:eastAsia="zh-CN"/>
              </w:rPr>
              <w:t>本工段为人工检验，无其他污染物产生。</w:t>
            </w:r>
          </w:p>
          <w:p w14:paraId="512DCC7E">
            <w:pPr>
              <w:overflowPunct w:val="0"/>
              <w:spacing w:line="480" w:lineRule="exact"/>
              <w:ind w:firstLine="482" w:firstLineChars="200"/>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bCs/>
                <w:sz w:val="24"/>
                <w:lang w:val="en-US" w:eastAsia="zh-CN"/>
              </w:rPr>
              <w:t>注：</w:t>
            </w:r>
            <w:r>
              <w:rPr>
                <w:rFonts w:hint="eastAsia" w:ascii="Times New Roman" w:hAnsi="Times New Roman" w:eastAsia="宋体" w:cs="Times New Roman"/>
                <w:b w:val="0"/>
                <w:bCs w:val="0"/>
                <w:sz w:val="24"/>
                <w:lang w:val="en-US" w:eastAsia="zh-CN"/>
              </w:rPr>
              <w:t>本项目地面采用干式清洁，无地面清洁废水产生。</w:t>
            </w:r>
          </w:p>
          <w:p w14:paraId="5662B0B8">
            <w:pPr>
              <w:adjustRightInd w:val="0"/>
              <w:snapToGrid w:val="0"/>
              <w:ind w:firstLine="482" w:firstLineChars="200"/>
              <w:jc w:val="center"/>
              <w:rPr>
                <w:rFonts w:hint="eastAsia" w:eastAsia="宋体"/>
                <w:b/>
                <w:color w:val="000000"/>
                <w:sz w:val="24"/>
                <w:lang w:val="en-US" w:eastAsia="zh-CN"/>
              </w:rPr>
            </w:pPr>
            <w:r>
              <w:rPr>
                <w:rFonts w:hAnsi="宋体"/>
                <w:b/>
                <w:color w:val="000000"/>
                <w:sz w:val="24"/>
              </w:rPr>
              <w:t>表</w:t>
            </w:r>
            <w:r>
              <w:rPr>
                <w:rFonts w:hint="eastAsia"/>
                <w:b/>
                <w:color w:val="000000"/>
                <w:sz w:val="24"/>
              </w:rPr>
              <w:t>2-</w:t>
            </w:r>
            <w:r>
              <w:rPr>
                <w:rFonts w:hint="eastAsia"/>
                <w:b/>
                <w:color w:val="000000"/>
                <w:sz w:val="24"/>
                <w:lang w:val="en-US" w:eastAsia="zh-CN"/>
              </w:rPr>
              <w:t>6</w:t>
            </w:r>
            <w:r>
              <w:rPr>
                <w:b/>
                <w:color w:val="000000"/>
                <w:sz w:val="24"/>
              </w:rPr>
              <w:t xml:space="preserve">  </w:t>
            </w:r>
            <w:r>
              <w:rPr>
                <w:rFonts w:hAnsi="宋体"/>
                <w:b/>
                <w:color w:val="000000"/>
                <w:sz w:val="24"/>
              </w:rPr>
              <w:t>本项目产污环节及污染因子</w:t>
            </w:r>
            <w:r>
              <w:rPr>
                <w:rFonts w:hint="eastAsia" w:hAnsi="宋体"/>
                <w:b/>
                <w:color w:val="000000"/>
                <w:sz w:val="24"/>
                <w:lang w:val="en-US" w:eastAsia="zh-CN"/>
              </w:rPr>
              <w:t>一览表</w:t>
            </w:r>
          </w:p>
          <w:tbl>
            <w:tblPr>
              <w:tblStyle w:val="27"/>
              <w:tblW w:w="87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9"/>
              <w:gridCol w:w="916"/>
              <w:gridCol w:w="1135"/>
              <w:gridCol w:w="1728"/>
              <w:gridCol w:w="4394"/>
            </w:tblGrid>
            <w:tr w14:paraId="23A26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89" w:type="dxa"/>
                  <w:noWrap w:val="0"/>
                  <w:vAlign w:val="center"/>
                </w:tcPr>
                <w:p w14:paraId="52005FAE">
                  <w:pPr>
                    <w:pStyle w:val="13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类别</w:t>
                  </w:r>
                </w:p>
              </w:tc>
              <w:tc>
                <w:tcPr>
                  <w:tcW w:w="916" w:type="dxa"/>
                  <w:noWrap w:val="0"/>
                  <w:vAlign w:val="center"/>
                </w:tcPr>
                <w:p w14:paraId="5D2EC911">
                  <w:pPr>
                    <w:pStyle w:val="13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编号</w:t>
                  </w:r>
                </w:p>
              </w:tc>
              <w:tc>
                <w:tcPr>
                  <w:tcW w:w="1135" w:type="dxa"/>
                  <w:noWrap w:val="0"/>
                  <w:vAlign w:val="center"/>
                </w:tcPr>
                <w:p w14:paraId="7A8CAD87">
                  <w:pPr>
                    <w:pStyle w:val="13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产生环节</w:t>
                  </w:r>
                </w:p>
              </w:tc>
              <w:tc>
                <w:tcPr>
                  <w:tcW w:w="1728" w:type="dxa"/>
                  <w:noWrap w:val="0"/>
                  <w:vAlign w:val="center"/>
                </w:tcPr>
                <w:p w14:paraId="35F98464">
                  <w:pPr>
                    <w:pStyle w:val="13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4394" w:type="dxa"/>
                  <w:noWrap w:val="0"/>
                  <w:vAlign w:val="center"/>
                </w:tcPr>
                <w:p w14:paraId="35D940BD">
                  <w:pPr>
                    <w:pStyle w:val="13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拟采取的措施及去向</w:t>
                  </w:r>
                </w:p>
              </w:tc>
            </w:tr>
            <w:tr w14:paraId="1562B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89" w:type="dxa"/>
                  <w:vMerge w:val="restart"/>
                  <w:noWrap w:val="0"/>
                  <w:vAlign w:val="center"/>
                </w:tcPr>
                <w:p w14:paraId="5DBA0425">
                  <w:pPr>
                    <w:pStyle w:val="139"/>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Cs w:val="21"/>
                    </w:rPr>
                    <w:t>废气</w:t>
                  </w:r>
                </w:p>
              </w:tc>
              <w:tc>
                <w:tcPr>
                  <w:tcW w:w="916" w:type="dxa"/>
                  <w:noWrap w:val="0"/>
                  <w:vAlign w:val="center"/>
                </w:tcPr>
                <w:p w14:paraId="3541688D">
                  <w:pPr>
                    <w:pStyle w:val="13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G1</w:t>
                  </w:r>
                </w:p>
              </w:tc>
              <w:tc>
                <w:tcPr>
                  <w:tcW w:w="1135" w:type="dxa"/>
                  <w:noWrap w:val="0"/>
                  <w:vAlign w:val="center"/>
                </w:tcPr>
                <w:p w14:paraId="3C59D143">
                  <w:pPr>
                    <w:pStyle w:val="13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调配</w:t>
                  </w:r>
                </w:p>
              </w:tc>
              <w:tc>
                <w:tcPr>
                  <w:tcW w:w="1728" w:type="dxa"/>
                  <w:noWrap w:val="0"/>
                  <w:vAlign w:val="center"/>
                </w:tcPr>
                <w:p w14:paraId="1F824251">
                  <w:pPr>
                    <w:pStyle w:val="139"/>
                    <w:rPr>
                      <w:rFonts w:hint="default" w:ascii="Times New Roman" w:hAnsi="Times New Roman" w:eastAsia="宋体" w:cs="Times New Roman"/>
                      <w:color w:val="auto"/>
                      <w:spacing w:val="2"/>
                      <w:kern w:val="0"/>
                      <w:sz w:val="21"/>
                      <w:szCs w:val="21"/>
                      <w:highlight w:val="none"/>
                      <w:lang w:val="en-US" w:eastAsia="zh-CN" w:bidi="ar-SA"/>
                    </w:rPr>
                  </w:pPr>
                  <w:r>
                    <w:rPr>
                      <w:rFonts w:hint="eastAsia" w:ascii="Times New Roman" w:hAnsi="Times New Roman" w:eastAsia="宋体" w:cs="Times New Roman"/>
                      <w:color w:val="auto"/>
                      <w:spacing w:val="2"/>
                      <w:kern w:val="0"/>
                      <w:sz w:val="21"/>
                      <w:szCs w:val="21"/>
                      <w:highlight w:val="none"/>
                      <w:lang w:val="en-US" w:eastAsia="zh-CN" w:bidi="ar-SA"/>
                    </w:rPr>
                    <w:t>颗粒物</w:t>
                  </w:r>
                  <w:r>
                    <w:rPr>
                      <w:rFonts w:hint="eastAsia" w:cs="Times New Roman"/>
                      <w:color w:val="auto"/>
                      <w:spacing w:val="2"/>
                      <w:kern w:val="0"/>
                      <w:sz w:val="21"/>
                      <w:szCs w:val="21"/>
                      <w:highlight w:val="none"/>
                      <w:lang w:val="en-US" w:eastAsia="zh-CN" w:bidi="ar-SA"/>
                    </w:rPr>
                    <w:t>、</w:t>
                  </w:r>
                  <w:r>
                    <w:rPr>
                      <w:rFonts w:hint="eastAsia" w:cs="Times New Roman"/>
                      <w:szCs w:val="21"/>
                      <w:highlight w:val="none"/>
                      <w:lang w:val="en-US" w:eastAsia="zh-CN"/>
                    </w:rPr>
                    <w:t>挥发性有机物</w:t>
                  </w:r>
                </w:p>
              </w:tc>
              <w:tc>
                <w:tcPr>
                  <w:tcW w:w="4394" w:type="dxa"/>
                  <w:vMerge w:val="restart"/>
                  <w:noWrap w:val="0"/>
                  <w:vAlign w:val="center"/>
                </w:tcPr>
                <w:p w14:paraId="56751921">
                  <w:pPr>
                    <w:pStyle w:val="139"/>
                    <w:rPr>
                      <w:rFonts w:hint="default" w:ascii="Times New Roman" w:hAnsi="Times New Roman" w:eastAsia="宋体" w:cs="Times New Roman"/>
                      <w:color w:val="auto"/>
                      <w:spacing w:val="2"/>
                      <w:kern w:val="0"/>
                      <w:sz w:val="21"/>
                      <w:szCs w:val="21"/>
                      <w:highlight w:val="none"/>
                      <w:lang w:val="en-US" w:eastAsia="zh-CN" w:bidi="ar-SA"/>
                    </w:rPr>
                  </w:pPr>
                  <w:r>
                    <w:rPr>
                      <w:rFonts w:hint="eastAsia"/>
                      <w:szCs w:val="21"/>
                      <w:highlight w:val="none"/>
                    </w:rPr>
                    <w:t>调配</w:t>
                  </w:r>
                  <w:r>
                    <w:rPr>
                      <w:rFonts w:hint="eastAsia"/>
                      <w:szCs w:val="21"/>
                      <w:highlight w:val="none"/>
                      <w:lang w:val="en-US" w:eastAsia="zh-CN"/>
                    </w:rPr>
                    <w:t>废气</w:t>
                  </w:r>
                  <w:r>
                    <w:rPr>
                      <w:rFonts w:hint="eastAsia"/>
                      <w:szCs w:val="21"/>
                      <w:highlight w:val="none"/>
                    </w:rPr>
                    <w:t>经</w:t>
                  </w:r>
                  <w:r>
                    <w:rPr>
                      <w:rFonts w:hint="eastAsia"/>
                      <w:szCs w:val="21"/>
                      <w:highlight w:val="none"/>
                      <w:lang w:val="en-US" w:eastAsia="zh-CN"/>
                    </w:rPr>
                    <w:t>TA001</w:t>
                  </w:r>
                  <w:r>
                    <w:rPr>
                      <w:rFonts w:hint="eastAsia"/>
                      <w:szCs w:val="21"/>
                      <w:highlight w:val="none"/>
                    </w:rPr>
                    <w:t>布袋除尘器处理后</w:t>
                  </w:r>
                  <w:r>
                    <w:rPr>
                      <w:rFonts w:hint="eastAsia"/>
                      <w:szCs w:val="21"/>
                      <w:highlight w:val="none"/>
                      <w:lang w:eastAsia="zh-CN"/>
                    </w:rPr>
                    <w:t>，</w:t>
                  </w:r>
                  <w:r>
                    <w:rPr>
                      <w:rFonts w:hint="eastAsia"/>
                      <w:szCs w:val="21"/>
                      <w:highlight w:val="none"/>
                      <w:lang w:val="en-US" w:eastAsia="zh-CN"/>
                    </w:rPr>
                    <w:t>与</w:t>
                  </w:r>
                  <w:r>
                    <w:rPr>
                      <w:rFonts w:hint="eastAsia"/>
                      <w:szCs w:val="21"/>
                      <w:highlight w:val="none"/>
                    </w:rPr>
                    <w:t>背胶</w:t>
                  </w:r>
                  <w:r>
                    <w:rPr>
                      <w:rFonts w:hint="eastAsia"/>
                      <w:szCs w:val="21"/>
                      <w:highlight w:val="none"/>
                      <w:lang w:val="en-US" w:eastAsia="zh-CN"/>
                    </w:rPr>
                    <w:t>、</w:t>
                  </w:r>
                  <w:r>
                    <w:rPr>
                      <w:rFonts w:hint="eastAsia"/>
                      <w:szCs w:val="21"/>
                      <w:highlight w:val="none"/>
                    </w:rPr>
                    <w:t>烘</w:t>
                  </w:r>
                  <w:r>
                    <w:rPr>
                      <w:rFonts w:hint="eastAsia"/>
                      <w:color w:val="auto"/>
                      <w:szCs w:val="21"/>
                      <w:highlight w:val="none"/>
                    </w:rPr>
                    <w:t>干</w:t>
                  </w:r>
                  <w:r>
                    <w:rPr>
                      <w:rFonts w:hint="eastAsia"/>
                      <w:color w:val="auto"/>
                      <w:szCs w:val="21"/>
                      <w:highlight w:val="none"/>
                      <w:lang w:val="en-US" w:eastAsia="zh-CN"/>
                    </w:rPr>
                    <w:t>、天然气燃烧和危废</w:t>
                  </w:r>
                  <w:r>
                    <w:rPr>
                      <w:rFonts w:hint="eastAsia"/>
                      <w:color w:val="auto"/>
                      <w:szCs w:val="21"/>
                      <w:highlight w:val="none"/>
                    </w:rPr>
                    <w:t>废气</w:t>
                  </w:r>
                  <w:r>
                    <w:rPr>
                      <w:rFonts w:hint="eastAsia"/>
                      <w:color w:val="auto"/>
                      <w:szCs w:val="21"/>
                      <w:highlight w:val="none"/>
                      <w:lang w:val="en-US" w:eastAsia="zh-CN"/>
                    </w:rPr>
                    <w:t>一起</w:t>
                  </w:r>
                  <w:r>
                    <w:rPr>
                      <w:rFonts w:hint="eastAsia"/>
                      <w:color w:val="auto"/>
                      <w:szCs w:val="21"/>
                      <w:highlight w:val="none"/>
                    </w:rPr>
                    <w:t>经</w:t>
                  </w:r>
                  <w:r>
                    <w:rPr>
                      <w:rFonts w:hint="eastAsia"/>
                      <w:color w:val="auto"/>
                      <w:szCs w:val="21"/>
                      <w:highlight w:val="none"/>
                      <w:lang w:val="en-US" w:eastAsia="zh-CN"/>
                    </w:rPr>
                    <w:t>TA002除水器+</w:t>
                  </w:r>
                  <w:r>
                    <w:rPr>
                      <w:rFonts w:hint="eastAsia"/>
                      <w:color w:val="auto"/>
                      <w:szCs w:val="21"/>
                      <w:highlight w:val="none"/>
                    </w:rPr>
                    <w:t>二级活性炭吸附装置处理</w:t>
                  </w:r>
                  <w:r>
                    <w:rPr>
                      <w:rFonts w:hint="eastAsia"/>
                      <w:szCs w:val="21"/>
                      <w:highlight w:val="none"/>
                    </w:rPr>
                    <w:t>后通过一根15m高</w:t>
                  </w:r>
                  <w:r>
                    <w:rPr>
                      <w:rFonts w:hint="eastAsia"/>
                      <w:szCs w:val="21"/>
                      <w:highlight w:val="none"/>
                      <w:lang w:val="en-US" w:eastAsia="zh-CN"/>
                    </w:rPr>
                    <w:t>DA001</w:t>
                  </w:r>
                  <w:r>
                    <w:rPr>
                      <w:rFonts w:hint="eastAsia"/>
                      <w:szCs w:val="21"/>
                      <w:highlight w:val="none"/>
                    </w:rPr>
                    <w:t>排气筒排放</w:t>
                  </w:r>
                </w:p>
              </w:tc>
            </w:tr>
            <w:tr w14:paraId="4ADCB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89" w:type="dxa"/>
                  <w:vMerge w:val="continue"/>
                  <w:noWrap w:val="0"/>
                  <w:vAlign w:val="center"/>
                </w:tcPr>
                <w:p w14:paraId="4D0E8841">
                  <w:pPr>
                    <w:pStyle w:val="139"/>
                    <w:rPr>
                      <w:rFonts w:hint="default" w:ascii="Times New Roman" w:hAnsi="Times New Roman" w:eastAsia="宋体" w:cs="Times New Roman"/>
                      <w:color w:val="auto"/>
                      <w:szCs w:val="21"/>
                    </w:rPr>
                  </w:pPr>
                </w:p>
              </w:tc>
              <w:tc>
                <w:tcPr>
                  <w:tcW w:w="916" w:type="dxa"/>
                  <w:noWrap w:val="0"/>
                  <w:vAlign w:val="center"/>
                </w:tcPr>
                <w:p w14:paraId="662DA9B3">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G</w:t>
                  </w:r>
                  <w:r>
                    <w:rPr>
                      <w:rFonts w:hint="eastAsia" w:cs="Times New Roman"/>
                      <w:color w:val="auto"/>
                      <w:szCs w:val="21"/>
                      <w:lang w:val="en-US" w:eastAsia="zh-CN"/>
                    </w:rPr>
                    <w:t>2</w:t>
                  </w:r>
                </w:p>
              </w:tc>
              <w:tc>
                <w:tcPr>
                  <w:tcW w:w="1135" w:type="dxa"/>
                  <w:noWrap w:val="0"/>
                  <w:vAlign w:val="center"/>
                </w:tcPr>
                <w:p w14:paraId="05111D3B">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背胶</w:t>
                  </w:r>
                </w:p>
              </w:tc>
              <w:tc>
                <w:tcPr>
                  <w:tcW w:w="1728" w:type="dxa"/>
                  <w:noWrap w:val="0"/>
                  <w:vAlign w:val="center"/>
                </w:tcPr>
                <w:p w14:paraId="0C19EF6E">
                  <w:pPr>
                    <w:snapToGrid w:val="0"/>
                    <w:jc w:val="center"/>
                    <w:rPr>
                      <w:rFonts w:hint="default" w:cs="Times New Roman"/>
                      <w:kern w:val="2"/>
                      <w:sz w:val="21"/>
                      <w:szCs w:val="21"/>
                      <w:lang w:val="en-US" w:eastAsia="zh-CN" w:bidi="ar-SA"/>
                    </w:rPr>
                  </w:pPr>
                  <w:r>
                    <w:rPr>
                      <w:rFonts w:hint="eastAsia" w:cs="Times New Roman"/>
                      <w:szCs w:val="21"/>
                      <w:lang w:val="en-US" w:eastAsia="zh-CN"/>
                    </w:rPr>
                    <w:t>挥发性有机物</w:t>
                  </w:r>
                </w:p>
              </w:tc>
              <w:tc>
                <w:tcPr>
                  <w:tcW w:w="4394" w:type="dxa"/>
                  <w:vMerge w:val="continue"/>
                  <w:noWrap w:val="0"/>
                  <w:vAlign w:val="center"/>
                </w:tcPr>
                <w:p w14:paraId="5779A092">
                  <w:pPr>
                    <w:pStyle w:val="139"/>
                    <w:rPr>
                      <w:rFonts w:hint="default" w:ascii="Times New Roman" w:hAnsi="Times New Roman" w:eastAsia="宋体" w:cs="Times New Roman"/>
                      <w:color w:val="auto"/>
                      <w:szCs w:val="21"/>
                      <w:lang w:val="en-US" w:eastAsia="zh-CN"/>
                    </w:rPr>
                  </w:pPr>
                </w:p>
              </w:tc>
            </w:tr>
            <w:tr w14:paraId="7CDD2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89" w:type="dxa"/>
                  <w:vMerge w:val="continue"/>
                  <w:noWrap w:val="0"/>
                  <w:vAlign w:val="center"/>
                </w:tcPr>
                <w:p w14:paraId="6A798752">
                  <w:pPr>
                    <w:pStyle w:val="139"/>
                    <w:rPr>
                      <w:rFonts w:hint="default" w:ascii="Times New Roman" w:hAnsi="Times New Roman" w:eastAsia="宋体" w:cs="Times New Roman"/>
                      <w:color w:val="auto"/>
                      <w:szCs w:val="21"/>
                    </w:rPr>
                  </w:pPr>
                </w:p>
              </w:tc>
              <w:tc>
                <w:tcPr>
                  <w:tcW w:w="916" w:type="dxa"/>
                  <w:noWrap w:val="0"/>
                  <w:vAlign w:val="center"/>
                </w:tcPr>
                <w:p w14:paraId="08D63D08">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G</w:t>
                  </w:r>
                  <w:r>
                    <w:rPr>
                      <w:rFonts w:hint="eastAsia" w:cs="Times New Roman"/>
                      <w:color w:val="auto"/>
                      <w:szCs w:val="21"/>
                      <w:lang w:val="en-US" w:eastAsia="zh-CN"/>
                    </w:rPr>
                    <w:t>3</w:t>
                  </w:r>
                </w:p>
              </w:tc>
              <w:tc>
                <w:tcPr>
                  <w:tcW w:w="1135" w:type="dxa"/>
                  <w:noWrap w:val="0"/>
                  <w:vAlign w:val="center"/>
                </w:tcPr>
                <w:p w14:paraId="3393F0E5">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天然气燃烧</w:t>
                  </w:r>
                </w:p>
              </w:tc>
              <w:tc>
                <w:tcPr>
                  <w:tcW w:w="1728" w:type="dxa"/>
                  <w:noWrap w:val="0"/>
                  <w:vAlign w:val="center"/>
                </w:tcPr>
                <w:p w14:paraId="4166836E">
                  <w:pPr>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r>
                    <w:rPr>
                      <w:rFonts w:hint="eastAsia" w:ascii="Times New Roman" w:hAnsi="Times New Roman" w:eastAsia="宋体" w:cs="Times New Roman"/>
                      <w:color w:val="auto"/>
                      <w:szCs w:val="21"/>
                      <w:lang w:val="en-US" w:eastAsia="zh-CN"/>
                    </w:rPr>
                    <w:t>、二氧化硫、氮氧化物</w:t>
                  </w:r>
                </w:p>
              </w:tc>
              <w:tc>
                <w:tcPr>
                  <w:tcW w:w="4394" w:type="dxa"/>
                  <w:vMerge w:val="continue"/>
                  <w:noWrap w:val="0"/>
                  <w:vAlign w:val="center"/>
                </w:tcPr>
                <w:p w14:paraId="7DDFE7A8">
                  <w:pPr>
                    <w:pStyle w:val="139"/>
                    <w:rPr>
                      <w:rFonts w:hint="default" w:ascii="Times New Roman" w:hAnsi="Times New Roman" w:eastAsia="宋体" w:cs="Times New Roman"/>
                      <w:color w:val="auto"/>
                      <w:szCs w:val="21"/>
                      <w:lang w:val="en-US" w:eastAsia="zh-CN"/>
                    </w:rPr>
                  </w:pPr>
                </w:p>
              </w:tc>
            </w:tr>
            <w:tr w14:paraId="73CD3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589" w:type="dxa"/>
                  <w:vMerge w:val="continue"/>
                  <w:noWrap w:val="0"/>
                  <w:vAlign w:val="center"/>
                </w:tcPr>
                <w:p w14:paraId="205D080E">
                  <w:pPr>
                    <w:pStyle w:val="139"/>
                    <w:rPr>
                      <w:rFonts w:hint="default" w:ascii="Times New Roman" w:hAnsi="Times New Roman" w:eastAsia="宋体" w:cs="Times New Roman"/>
                      <w:color w:val="auto"/>
                      <w:szCs w:val="21"/>
                    </w:rPr>
                  </w:pPr>
                </w:p>
              </w:tc>
              <w:tc>
                <w:tcPr>
                  <w:tcW w:w="916" w:type="dxa"/>
                  <w:noWrap w:val="0"/>
                  <w:vAlign w:val="center"/>
                </w:tcPr>
                <w:p w14:paraId="0ED59562">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G</w:t>
                  </w:r>
                  <w:r>
                    <w:rPr>
                      <w:rFonts w:hint="eastAsia" w:cs="Times New Roman"/>
                      <w:color w:val="auto"/>
                      <w:szCs w:val="21"/>
                      <w:lang w:val="en-US" w:eastAsia="zh-CN"/>
                    </w:rPr>
                    <w:t>4</w:t>
                  </w:r>
                </w:p>
              </w:tc>
              <w:tc>
                <w:tcPr>
                  <w:tcW w:w="1135" w:type="dxa"/>
                  <w:noWrap w:val="0"/>
                  <w:vAlign w:val="center"/>
                </w:tcPr>
                <w:p w14:paraId="2DD0AB43">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烘干</w:t>
                  </w:r>
                </w:p>
              </w:tc>
              <w:tc>
                <w:tcPr>
                  <w:tcW w:w="1728" w:type="dxa"/>
                  <w:noWrap w:val="0"/>
                  <w:vAlign w:val="center"/>
                </w:tcPr>
                <w:p w14:paraId="26FD89D0">
                  <w:pPr>
                    <w:snapToGrid w:val="0"/>
                    <w:jc w:val="center"/>
                    <w:rPr>
                      <w:rFonts w:hint="default" w:ascii="Times New Roman" w:hAnsi="Times New Roman" w:cs="Times New Roman"/>
                      <w:szCs w:val="21"/>
                      <w:lang w:val="en-US" w:eastAsia="zh-CN"/>
                    </w:rPr>
                  </w:pPr>
                  <w:r>
                    <w:rPr>
                      <w:rFonts w:hint="eastAsia" w:cs="Times New Roman"/>
                      <w:szCs w:val="21"/>
                      <w:lang w:val="en-US" w:eastAsia="zh-CN"/>
                    </w:rPr>
                    <w:t>挥发性有机物</w:t>
                  </w:r>
                </w:p>
              </w:tc>
              <w:tc>
                <w:tcPr>
                  <w:tcW w:w="4394" w:type="dxa"/>
                  <w:vMerge w:val="continue"/>
                  <w:noWrap w:val="0"/>
                  <w:vAlign w:val="center"/>
                </w:tcPr>
                <w:p w14:paraId="39A50CBF">
                  <w:pPr>
                    <w:pStyle w:val="139"/>
                    <w:rPr>
                      <w:rFonts w:hint="default" w:ascii="Times New Roman" w:hAnsi="Times New Roman" w:eastAsia="宋体" w:cs="Times New Roman"/>
                      <w:color w:val="auto"/>
                      <w:spacing w:val="2"/>
                      <w:kern w:val="0"/>
                      <w:sz w:val="21"/>
                      <w:szCs w:val="21"/>
                      <w:lang w:val="en-US" w:eastAsia="zh-CN" w:bidi="ar-SA"/>
                    </w:rPr>
                  </w:pPr>
                </w:p>
              </w:tc>
            </w:tr>
            <w:tr w14:paraId="330EB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89" w:type="dxa"/>
                  <w:vMerge w:val="continue"/>
                  <w:noWrap w:val="0"/>
                  <w:vAlign w:val="center"/>
                </w:tcPr>
                <w:p w14:paraId="04976F1A">
                  <w:pPr>
                    <w:pStyle w:val="139"/>
                    <w:rPr>
                      <w:rFonts w:hint="default" w:ascii="Times New Roman" w:hAnsi="Times New Roman" w:eastAsia="宋体" w:cs="Times New Roman"/>
                      <w:color w:val="auto"/>
                      <w:szCs w:val="21"/>
                    </w:rPr>
                  </w:pPr>
                </w:p>
              </w:tc>
              <w:tc>
                <w:tcPr>
                  <w:tcW w:w="916" w:type="dxa"/>
                  <w:noWrap w:val="0"/>
                  <w:vAlign w:val="center"/>
                </w:tcPr>
                <w:p w14:paraId="15F04183">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35" w:type="dxa"/>
                  <w:noWrap w:val="0"/>
                  <w:vAlign w:val="center"/>
                </w:tcPr>
                <w:p w14:paraId="0B29E4D6">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危废仓库</w:t>
                  </w:r>
                </w:p>
              </w:tc>
              <w:tc>
                <w:tcPr>
                  <w:tcW w:w="1728" w:type="dxa"/>
                  <w:noWrap w:val="0"/>
                  <w:vAlign w:val="center"/>
                </w:tcPr>
                <w:p w14:paraId="33704263">
                  <w:pPr>
                    <w:snapToGrid w:val="0"/>
                    <w:jc w:val="center"/>
                    <w:rPr>
                      <w:rFonts w:hint="default" w:ascii="Times New Roman" w:hAnsi="Times New Roman" w:cs="Times New Roman"/>
                      <w:szCs w:val="21"/>
                      <w:lang w:val="en-US" w:eastAsia="zh-CN"/>
                    </w:rPr>
                  </w:pPr>
                  <w:r>
                    <w:rPr>
                      <w:rFonts w:hint="eastAsia" w:cs="Times New Roman"/>
                      <w:szCs w:val="21"/>
                      <w:lang w:val="en-US" w:eastAsia="zh-CN"/>
                    </w:rPr>
                    <w:t>挥发性有机物</w:t>
                  </w:r>
                </w:p>
              </w:tc>
              <w:tc>
                <w:tcPr>
                  <w:tcW w:w="4394" w:type="dxa"/>
                  <w:vMerge w:val="continue"/>
                  <w:noWrap w:val="0"/>
                  <w:vAlign w:val="center"/>
                </w:tcPr>
                <w:p w14:paraId="0D6FFB1D">
                  <w:pPr>
                    <w:pStyle w:val="139"/>
                    <w:rPr>
                      <w:rFonts w:hint="default" w:ascii="Times New Roman" w:hAnsi="Times New Roman" w:eastAsia="宋体" w:cs="Times New Roman"/>
                      <w:color w:val="auto"/>
                      <w:spacing w:val="2"/>
                      <w:kern w:val="0"/>
                      <w:sz w:val="21"/>
                      <w:szCs w:val="21"/>
                      <w:lang w:val="en-US" w:eastAsia="zh-CN" w:bidi="ar-SA"/>
                    </w:rPr>
                  </w:pPr>
                </w:p>
              </w:tc>
            </w:tr>
            <w:tr w14:paraId="2D20A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89" w:type="dxa"/>
                  <w:noWrap w:val="0"/>
                  <w:vAlign w:val="center"/>
                </w:tcPr>
                <w:p w14:paraId="732A7F9E">
                  <w:pPr>
                    <w:pStyle w:val="13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916" w:type="dxa"/>
                  <w:noWrap w:val="0"/>
                  <w:vAlign w:val="center"/>
                </w:tcPr>
                <w:p w14:paraId="4293DD86">
                  <w:pPr>
                    <w:pStyle w:val="13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w:t>
                  </w:r>
                </w:p>
              </w:tc>
              <w:tc>
                <w:tcPr>
                  <w:tcW w:w="1135" w:type="dxa"/>
                  <w:noWrap w:val="0"/>
                  <w:vAlign w:val="center"/>
                </w:tcPr>
                <w:p w14:paraId="71D7AE3A">
                  <w:pPr>
                    <w:pStyle w:val="13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机械设备</w:t>
                  </w:r>
                </w:p>
              </w:tc>
              <w:tc>
                <w:tcPr>
                  <w:tcW w:w="1728" w:type="dxa"/>
                  <w:noWrap w:val="0"/>
                  <w:vAlign w:val="center"/>
                </w:tcPr>
                <w:p w14:paraId="17C50382">
                  <w:pPr>
                    <w:pStyle w:val="13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设备运转噪声</w:t>
                  </w:r>
                </w:p>
              </w:tc>
              <w:tc>
                <w:tcPr>
                  <w:tcW w:w="4394" w:type="dxa"/>
                  <w:noWrap w:val="0"/>
                  <w:vAlign w:val="center"/>
                </w:tcPr>
                <w:p w14:paraId="380A7B06">
                  <w:pPr>
                    <w:pStyle w:val="13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基础减振、厂房隔声、距离衰减等</w:t>
                  </w:r>
                </w:p>
              </w:tc>
            </w:tr>
            <w:tr w14:paraId="4DA02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89" w:type="dxa"/>
                  <w:vMerge w:val="restart"/>
                  <w:noWrap w:val="0"/>
                  <w:vAlign w:val="center"/>
                </w:tcPr>
                <w:p w14:paraId="23C19EC4">
                  <w:pPr>
                    <w:pStyle w:val="13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916" w:type="dxa"/>
                  <w:noWrap w:val="0"/>
                  <w:vAlign w:val="center"/>
                </w:tcPr>
                <w:p w14:paraId="3FE729D9">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S1</w:t>
                  </w:r>
                </w:p>
              </w:tc>
              <w:tc>
                <w:tcPr>
                  <w:tcW w:w="1135" w:type="dxa"/>
                  <w:noWrap w:val="0"/>
                  <w:vAlign w:val="center"/>
                </w:tcPr>
                <w:p w14:paraId="26CE7A86">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簇绒</w:t>
                  </w:r>
                </w:p>
              </w:tc>
              <w:tc>
                <w:tcPr>
                  <w:tcW w:w="1728" w:type="dxa"/>
                  <w:noWrap w:val="0"/>
                  <w:vAlign w:val="center"/>
                </w:tcPr>
                <w:p w14:paraId="243E3A13">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废边角料</w:t>
                  </w:r>
                </w:p>
              </w:tc>
              <w:tc>
                <w:tcPr>
                  <w:tcW w:w="4394" w:type="dxa"/>
                  <w:noWrap w:val="0"/>
                  <w:vAlign w:val="center"/>
                </w:tcPr>
                <w:p w14:paraId="1DEAFD82">
                  <w:pPr>
                    <w:pStyle w:val="13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外售综合利用</w:t>
                  </w:r>
                </w:p>
              </w:tc>
            </w:tr>
            <w:tr w14:paraId="776DC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89" w:type="dxa"/>
                  <w:vMerge w:val="continue"/>
                  <w:noWrap w:val="0"/>
                  <w:vAlign w:val="center"/>
                </w:tcPr>
                <w:p w14:paraId="4DA42A0F">
                  <w:pPr>
                    <w:pStyle w:val="139"/>
                    <w:rPr>
                      <w:rFonts w:hint="default" w:ascii="Times New Roman" w:hAnsi="Times New Roman" w:eastAsia="宋体" w:cs="Times New Roman"/>
                      <w:color w:val="auto"/>
                      <w:szCs w:val="21"/>
                    </w:rPr>
                  </w:pPr>
                </w:p>
              </w:tc>
              <w:tc>
                <w:tcPr>
                  <w:tcW w:w="916" w:type="dxa"/>
                  <w:noWrap w:val="0"/>
                  <w:vAlign w:val="center"/>
                </w:tcPr>
                <w:p w14:paraId="5680EF82">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S2</w:t>
                  </w:r>
                </w:p>
              </w:tc>
              <w:tc>
                <w:tcPr>
                  <w:tcW w:w="1135" w:type="dxa"/>
                  <w:noWrap w:val="0"/>
                  <w:vAlign w:val="center"/>
                </w:tcPr>
                <w:p w14:paraId="137AD5E8">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调配</w:t>
                  </w:r>
                </w:p>
              </w:tc>
              <w:tc>
                <w:tcPr>
                  <w:tcW w:w="1728" w:type="dxa"/>
                  <w:noWrap w:val="0"/>
                  <w:vAlign w:val="center"/>
                </w:tcPr>
                <w:p w14:paraId="6566AB11">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含胶废物</w:t>
                  </w:r>
                </w:p>
              </w:tc>
              <w:tc>
                <w:tcPr>
                  <w:tcW w:w="4394" w:type="dxa"/>
                  <w:noWrap w:val="0"/>
                  <w:vAlign w:val="center"/>
                </w:tcPr>
                <w:p w14:paraId="14D06BC9">
                  <w:pPr>
                    <w:pStyle w:val="13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highlight w:val="none"/>
                    </w:rPr>
                    <w:t>委托有资质单位处置</w:t>
                  </w:r>
                </w:p>
              </w:tc>
            </w:tr>
            <w:tr w14:paraId="328B3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89" w:type="dxa"/>
                  <w:vMerge w:val="continue"/>
                  <w:noWrap w:val="0"/>
                  <w:vAlign w:val="center"/>
                </w:tcPr>
                <w:p w14:paraId="4218078C">
                  <w:pPr>
                    <w:pStyle w:val="139"/>
                    <w:rPr>
                      <w:rFonts w:hint="default" w:ascii="Times New Roman" w:hAnsi="Times New Roman" w:eastAsia="宋体" w:cs="Times New Roman"/>
                      <w:color w:val="auto"/>
                      <w:szCs w:val="21"/>
                    </w:rPr>
                  </w:pPr>
                </w:p>
              </w:tc>
              <w:tc>
                <w:tcPr>
                  <w:tcW w:w="916" w:type="dxa"/>
                  <w:noWrap w:val="0"/>
                  <w:vAlign w:val="center"/>
                </w:tcPr>
                <w:p w14:paraId="350F37CC">
                  <w:pPr>
                    <w:pStyle w:val="13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S3</w:t>
                  </w:r>
                </w:p>
              </w:tc>
              <w:tc>
                <w:tcPr>
                  <w:tcW w:w="1135" w:type="dxa"/>
                  <w:noWrap w:val="0"/>
                  <w:vAlign w:val="center"/>
                </w:tcPr>
                <w:p w14:paraId="4E365220">
                  <w:pPr>
                    <w:pStyle w:val="13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背胶</w:t>
                  </w:r>
                </w:p>
              </w:tc>
              <w:tc>
                <w:tcPr>
                  <w:tcW w:w="1728" w:type="dxa"/>
                  <w:noWrap w:val="0"/>
                  <w:vAlign w:val="center"/>
                </w:tcPr>
                <w:p w14:paraId="16A1C037">
                  <w:pPr>
                    <w:pStyle w:val="13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lang w:val="en-US" w:eastAsia="zh-CN"/>
                    </w:rPr>
                    <w:t>含胶废物</w:t>
                  </w:r>
                </w:p>
              </w:tc>
              <w:tc>
                <w:tcPr>
                  <w:tcW w:w="4394" w:type="dxa"/>
                  <w:noWrap w:val="0"/>
                  <w:vAlign w:val="center"/>
                </w:tcPr>
                <w:p w14:paraId="2BD856A7">
                  <w:pPr>
                    <w:pStyle w:val="139"/>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委托有资质单位处置</w:t>
                  </w:r>
                </w:p>
              </w:tc>
            </w:tr>
            <w:tr w14:paraId="5508E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89" w:type="dxa"/>
                  <w:vMerge w:val="continue"/>
                  <w:noWrap w:val="0"/>
                  <w:vAlign w:val="center"/>
                </w:tcPr>
                <w:p w14:paraId="3C85CD58">
                  <w:pPr>
                    <w:pStyle w:val="139"/>
                    <w:rPr>
                      <w:rFonts w:hint="default" w:ascii="Times New Roman" w:hAnsi="Times New Roman" w:eastAsia="宋体" w:cs="Times New Roman"/>
                      <w:color w:val="auto"/>
                      <w:szCs w:val="21"/>
                    </w:rPr>
                  </w:pPr>
                </w:p>
              </w:tc>
              <w:tc>
                <w:tcPr>
                  <w:tcW w:w="916" w:type="dxa"/>
                  <w:noWrap w:val="0"/>
                  <w:vAlign w:val="center"/>
                </w:tcPr>
                <w:p w14:paraId="68CE07D0">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S4</w:t>
                  </w:r>
                </w:p>
              </w:tc>
              <w:tc>
                <w:tcPr>
                  <w:tcW w:w="1135" w:type="dxa"/>
                  <w:noWrap w:val="0"/>
                  <w:vAlign w:val="center"/>
                </w:tcPr>
                <w:p w14:paraId="4234A19E">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裁剪</w:t>
                  </w:r>
                </w:p>
              </w:tc>
              <w:tc>
                <w:tcPr>
                  <w:tcW w:w="1728" w:type="dxa"/>
                  <w:noWrap w:val="0"/>
                  <w:vAlign w:val="center"/>
                </w:tcPr>
                <w:p w14:paraId="1E47516E">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废边角料</w:t>
                  </w:r>
                </w:p>
              </w:tc>
              <w:tc>
                <w:tcPr>
                  <w:tcW w:w="4394" w:type="dxa"/>
                  <w:noWrap w:val="0"/>
                  <w:vAlign w:val="center"/>
                </w:tcPr>
                <w:p w14:paraId="3B1CA76A">
                  <w:pPr>
                    <w:pStyle w:val="13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外售综合利用</w:t>
                  </w:r>
                </w:p>
              </w:tc>
            </w:tr>
            <w:tr w14:paraId="3F81D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89" w:type="dxa"/>
                  <w:vMerge w:val="continue"/>
                  <w:noWrap w:val="0"/>
                  <w:vAlign w:val="center"/>
                </w:tcPr>
                <w:p w14:paraId="474698CF">
                  <w:pPr>
                    <w:pStyle w:val="139"/>
                    <w:rPr>
                      <w:rFonts w:hint="default" w:ascii="Times New Roman" w:hAnsi="Times New Roman" w:eastAsia="宋体" w:cs="Times New Roman"/>
                      <w:color w:val="auto"/>
                      <w:szCs w:val="21"/>
                    </w:rPr>
                  </w:pPr>
                </w:p>
              </w:tc>
              <w:tc>
                <w:tcPr>
                  <w:tcW w:w="916" w:type="dxa"/>
                  <w:shd w:val="clear" w:color="auto" w:fill="auto"/>
                  <w:noWrap w:val="0"/>
                  <w:vAlign w:val="center"/>
                </w:tcPr>
                <w:p w14:paraId="0291843E">
                  <w:pPr>
                    <w:pStyle w:val="139"/>
                    <w:rPr>
                      <w:rFonts w:hint="eastAsia" w:ascii="Times New Roman" w:hAnsi="Times New Roman" w:eastAsia="宋体" w:cs="Times New Roman"/>
                      <w:color w:val="auto"/>
                      <w:spacing w:val="2"/>
                      <w:kern w:val="0"/>
                      <w:sz w:val="21"/>
                      <w:szCs w:val="21"/>
                      <w:lang w:val="en-US" w:eastAsia="zh-CN" w:bidi="ar-SA"/>
                    </w:rPr>
                  </w:pPr>
                  <w:r>
                    <w:rPr>
                      <w:rFonts w:hint="eastAsia" w:ascii="Times New Roman" w:hAnsi="Times New Roman" w:eastAsia="宋体" w:cs="Times New Roman"/>
                      <w:color w:val="auto"/>
                      <w:szCs w:val="21"/>
                      <w:lang w:val="en-US" w:eastAsia="zh-CN"/>
                    </w:rPr>
                    <w:t>S5</w:t>
                  </w:r>
                </w:p>
              </w:tc>
              <w:tc>
                <w:tcPr>
                  <w:tcW w:w="1135" w:type="dxa"/>
                  <w:noWrap w:val="0"/>
                  <w:vAlign w:val="center"/>
                </w:tcPr>
                <w:p w14:paraId="59FAFCA8">
                  <w:pPr>
                    <w:pStyle w:val="13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检验</w:t>
                  </w:r>
                </w:p>
              </w:tc>
              <w:tc>
                <w:tcPr>
                  <w:tcW w:w="1728" w:type="dxa"/>
                  <w:noWrap w:val="0"/>
                  <w:vAlign w:val="center"/>
                </w:tcPr>
                <w:p w14:paraId="3AED1A1D">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不合格品</w:t>
                  </w:r>
                </w:p>
              </w:tc>
              <w:tc>
                <w:tcPr>
                  <w:tcW w:w="4394" w:type="dxa"/>
                  <w:noWrap w:val="0"/>
                  <w:vAlign w:val="center"/>
                </w:tcPr>
                <w:p w14:paraId="32966A3F">
                  <w:pPr>
                    <w:pStyle w:val="13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外售综合利用</w:t>
                  </w:r>
                </w:p>
              </w:tc>
            </w:tr>
            <w:tr w14:paraId="14B7A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89" w:type="dxa"/>
                  <w:vMerge w:val="continue"/>
                  <w:noWrap w:val="0"/>
                  <w:vAlign w:val="center"/>
                </w:tcPr>
                <w:p w14:paraId="042D40DF">
                  <w:pPr>
                    <w:pStyle w:val="139"/>
                    <w:rPr>
                      <w:rFonts w:hint="default" w:ascii="Times New Roman" w:hAnsi="Times New Roman" w:eastAsia="宋体" w:cs="Times New Roman"/>
                      <w:color w:val="auto"/>
                      <w:szCs w:val="21"/>
                    </w:rPr>
                  </w:pPr>
                </w:p>
              </w:tc>
              <w:tc>
                <w:tcPr>
                  <w:tcW w:w="916" w:type="dxa"/>
                  <w:shd w:val="clear" w:color="auto" w:fill="auto"/>
                  <w:noWrap w:val="0"/>
                  <w:vAlign w:val="center"/>
                </w:tcPr>
                <w:p w14:paraId="19B41AF4">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135" w:type="dxa"/>
                  <w:noWrap w:val="0"/>
                  <w:vAlign w:val="center"/>
                </w:tcPr>
                <w:p w14:paraId="26E34289">
                  <w:pPr>
                    <w:pStyle w:val="13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废气处理</w:t>
                  </w:r>
                </w:p>
              </w:tc>
              <w:tc>
                <w:tcPr>
                  <w:tcW w:w="1728" w:type="dxa"/>
                  <w:noWrap w:val="0"/>
                  <w:vAlign w:val="center"/>
                </w:tcPr>
                <w:p w14:paraId="1A804F34">
                  <w:pPr>
                    <w:pStyle w:val="13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除尘器收尘</w:t>
                  </w:r>
                </w:p>
              </w:tc>
              <w:tc>
                <w:tcPr>
                  <w:tcW w:w="4394" w:type="dxa"/>
                  <w:noWrap w:val="0"/>
                  <w:vAlign w:val="center"/>
                </w:tcPr>
                <w:p w14:paraId="32C9E03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外售综合利用</w:t>
                  </w:r>
                </w:p>
              </w:tc>
            </w:tr>
            <w:tr w14:paraId="46BFE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89" w:type="dxa"/>
                  <w:vMerge w:val="continue"/>
                  <w:noWrap w:val="0"/>
                  <w:vAlign w:val="center"/>
                </w:tcPr>
                <w:p w14:paraId="74452247">
                  <w:pPr>
                    <w:pStyle w:val="139"/>
                    <w:rPr>
                      <w:rFonts w:hint="default" w:ascii="Times New Roman" w:hAnsi="Times New Roman" w:eastAsia="宋体" w:cs="Times New Roman"/>
                      <w:color w:val="auto"/>
                      <w:szCs w:val="21"/>
                    </w:rPr>
                  </w:pPr>
                </w:p>
              </w:tc>
              <w:tc>
                <w:tcPr>
                  <w:tcW w:w="916" w:type="dxa"/>
                  <w:noWrap w:val="0"/>
                  <w:vAlign w:val="center"/>
                </w:tcPr>
                <w:p w14:paraId="5DDA2884">
                  <w:pPr>
                    <w:pStyle w:val="139"/>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w:t>
                  </w:r>
                </w:p>
              </w:tc>
              <w:tc>
                <w:tcPr>
                  <w:tcW w:w="1135" w:type="dxa"/>
                  <w:noWrap w:val="0"/>
                  <w:vAlign w:val="center"/>
                </w:tcPr>
                <w:p w14:paraId="2C078A2D">
                  <w:pPr>
                    <w:pStyle w:val="13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办公、生活</w:t>
                  </w:r>
                </w:p>
              </w:tc>
              <w:tc>
                <w:tcPr>
                  <w:tcW w:w="1728" w:type="dxa"/>
                  <w:noWrap w:val="0"/>
                  <w:vAlign w:val="center"/>
                </w:tcPr>
                <w:p w14:paraId="28EE0D52">
                  <w:pPr>
                    <w:pStyle w:val="13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生活垃圾</w:t>
                  </w:r>
                </w:p>
              </w:tc>
              <w:tc>
                <w:tcPr>
                  <w:tcW w:w="4394" w:type="dxa"/>
                  <w:noWrap w:val="0"/>
                  <w:vAlign w:val="center"/>
                </w:tcPr>
                <w:p w14:paraId="21144B8C">
                  <w:pPr>
                    <w:pStyle w:val="13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环卫部门统一清运</w:t>
                  </w:r>
                </w:p>
              </w:tc>
            </w:tr>
          </w:tbl>
          <w:p w14:paraId="02779B5B">
            <w:pPr>
              <w:pStyle w:val="3"/>
              <w:numPr>
                <w:ilvl w:val="0"/>
                <w:numId w:val="0"/>
              </w:numPr>
              <w:spacing w:line="480" w:lineRule="exact"/>
              <w:rPr>
                <w:color w:val="FF0000"/>
                <w:sz w:val="24"/>
              </w:rPr>
            </w:pPr>
          </w:p>
        </w:tc>
      </w:tr>
      <w:tr w14:paraId="767E26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40" w:hRule="atLeast"/>
          <w:jc w:val="center"/>
        </w:trPr>
        <w:tc>
          <w:tcPr>
            <w:tcW w:w="379" w:type="dxa"/>
            <w:tcBorders>
              <w:tl2br w:val="nil"/>
              <w:tr2bl w:val="nil"/>
            </w:tcBorders>
            <w:vAlign w:val="center"/>
          </w:tcPr>
          <w:p w14:paraId="3EEDE906">
            <w:pPr>
              <w:pStyle w:val="23"/>
              <w:adjustRightInd w:val="0"/>
              <w:snapToGrid w:val="0"/>
              <w:spacing w:before="0" w:beforeAutospacing="0" w:after="0" w:afterAutospacing="0"/>
              <w:jc w:val="center"/>
              <w:rPr>
                <w:rFonts w:ascii="Times New Roman" w:hAnsi="Times New Roman"/>
                <w:color w:val="FF0000"/>
                <w:sz w:val="21"/>
                <w:szCs w:val="21"/>
              </w:rPr>
            </w:pPr>
            <w:r>
              <w:rPr>
                <w:rFonts w:ascii="Times New Roman" w:hAnsi="Times New Roman"/>
                <w:b/>
                <w:kern w:val="2"/>
                <w:szCs w:val="24"/>
              </w:rPr>
              <w:t>与项目有关的原有环境污染问题</w:t>
            </w:r>
          </w:p>
        </w:tc>
        <w:tc>
          <w:tcPr>
            <w:tcW w:w="8605" w:type="dxa"/>
            <w:tcBorders>
              <w:tl2br w:val="nil"/>
              <w:tr2bl w:val="nil"/>
            </w:tcBorders>
          </w:tcPr>
          <w:p w14:paraId="48114E3E">
            <w:pPr>
              <w:tabs>
                <w:tab w:val="left" w:pos="3486"/>
              </w:tabs>
              <w:spacing w:line="480" w:lineRule="exact"/>
              <w:rPr>
                <w:sz w:val="24"/>
              </w:rPr>
            </w:pPr>
            <w:r>
              <w:rPr>
                <w:b/>
                <w:bCs/>
                <w:sz w:val="24"/>
              </w:rPr>
              <w:t>与本项目有关的原有污染情况及主要环境问题：</w:t>
            </w:r>
          </w:p>
          <w:p w14:paraId="5AF369CD">
            <w:pPr>
              <w:pStyle w:val="3"/>
              <w:numPr>
                <w:ilvl w:val="0"/>
                <w:numId w:val="0"/>
              </w:numPr>
              <w:spacing w:line="480" w:lineRule="exact"/>
              <w:ind w:firstLine="480" w:firstLineChars="200"/>
              <w:rPr>
                <w:rFonts w:hint="default" w:eastAsia="宋体"/>
                <w:sz w:val="24"/>
                <w:lang w:val="en-US" w:eastAsia="zh-CN"/>
              </w:rPr>
            </w:pPr>
            <w:r>
              <w:rPr>
                <w:rFonts w:hint="eastAsia"/>
                <w:sz w:val="24"/>
              </w:rPr>
              <w:t>登丰体育(常州)有限公司</w:t>
            </w:r>
            <w:r>
              <w:rPr>
                <w:snapToGrid w:val="0"/>
                <w:kern w:val="0"/>
                <w:sz w:val="24"/>
              </w:rPr>
              <w:t>租赁</w:t>
            </w:r>
            <w:r>
              <w:rPr>
                <w:rFonts w:hint="eastAsia"/>
                <w:sz w:val="24"/>
              </w:rPr>
              <w:t>江苏科奇新材料科技有限公司</w:t>
            </w:r>
            <w:r>
              <w:rPr>
                <w:sz w:val="24"/>
              </w:rPr>
              <w:t>部分区域</w:t>
            </w:r>
            <w:r>
              <w:rPr>
                <w:rFonts w:hint="eastAsia"/>
                <w:sz w:val="24"/>
              </w:rPr>
              <w:t>进行生产，</w:t>
            </w:r>
            <w:r>
              <w:rPr>
                <w:sz w:val="24"/>
              </w:rPr>
              <w:t>租用前未进行生产经营活动，无环境遗留问题。</w:t>
            </w:r>
            <w:r>
              <w:rPr>
                <w:rFonts w:hint="eastAsia"/>
                <w:sz w:val="24"/>
              </w:rPr>
              <w:t>江苏科奇新材料科技有限公司</w:t>
            </w:r>
            <w:r>
              <w:rPr>
                <w:rFonts w:hint="eastAsia"/>
                <w:sz w:val="24"/>
                <w:lang w:val="en-US" w:eastAsia="zh-CN"/>
              </w:rPr>
              <w:t>建厂房至今未进行生产，无环评、验收等相关手续。</w:t>
            </w:r>
          </w:p>
          <w:p w14:paraId="472ED00A">
            <w:pPr>
              <w:spacing w:line="480" w:lineRule="exact"/>
              <w:ind w:firstLine="480" w:firstLineChars="200"/>
              <w:rPr>
                <w:b/>
                <w:bCs/>
                <w:sz w:val="24"/>
              </w:rPr>
            </w:pPr>
            <w:r>
              <w:rPr>
                <w:sz w:val="24"/>
              </w:rPr>
              <w:t>经现场核实，厂区供水、供电、污水管网、燃气、环卫、通信等基础设施均已到位，厂区内已实现</w:t>
            </w:r>
            <w:r>
              <w:rPr>
                <w:rFonts w:hint="eastAsia"/>
                <w:sz w:val="24"/>
              </w:rPr>
              <w:t>“</w:t>
            </w:r>
            <w:r>
              <w:rPr>
                <w:sz w:val="24"/>
              </w:rPr>
              <w:t>雨污分流</w:t>
            </w:r>
            <w:r>
              <w:rPr>
                <w:rFonts w:hint="eastAsia"/>
                <w:sz w:val="24"/>
              </w:rPr>
              <w:t>”</w:t>
            </w:r>
            <w:r>
              <w:rPr>
                <w:sz w:val="24"/>
              </w:rPr>
              <w:t>。</w:t>
            </w:r>
          </w:p>
          <w:p w14:paraId="69EFDF0E">
            <w:pPr>
              <w:spacing w:line="480" w:lineRule="exact"/>
              <w:rPr>
                <w:sz w:val="24"/>
              </w:rPr>
            </w:pPr>
            <w:r>
              <w:rPr>
                <w:b/>
                <w:bCs/>
                <w:sz w:val="24"/>
              </w:rPr>
              <w:t>本项目与</w:t>
            </w:r>
            <w:r>
              <w:rPr>
                <w:rFonts w:hint="eastAsia"/>
                <w:b/>
                <w:bCs/>
                <w:sz w:val="24"/>
              </w:rPr>
              <w:t>江苏科奇新材料科技有限公司</w:t>
            </w:r>
            <w:r>
              <w:rPr>
                <w:b/>
                <w:bCs/>
                <w:sz w:val="24"/>
              </w:rPr>
              <w:t>依托关系</w:t>
            </w:r>
          </w:p>
          <w:p w14:paraId="324D0A9B">
            <w:pPr>
              <w:spacing w:line="480" w:lineRule="exact"/>
              <w:ind w:firstLine="480" w:firstLineChars="200"/>
              <w:rPr>
                <w:sz w:val="24"/>
              </w:rPr>
            </w:pPr>
            <w:r>
              <w:rPr>
                <w:rFonts w:hint="eastAsia"/>
                <w:sz w:val="24"/>
              </w:rPr>
              <w:t>出租方</w:t>
            </w:r>
            <w:r>
              <w:rPr>
                <w:sz w:val="24"/>
              </w:rPr>
              <w:t>厂房在无环境遗留问题的情况下出租给</w:t>
            </w:r>
            <w:r>
              <w:rPr>
                <w:rFonts w:hint="eastAsia"/>
                <w:sz w:val="24"/>
              </w:rPr>
              <w:t>登丰体育(常州)有限公司</w:t>
            </w:r>
            <w:r>
              <w:rPr>
                <w:sz w:val="24"/>
              </w:rPr>
              <w:t>生产人造草坪。</w:t>
            </w:r>
          </w:p>
          <w:p w14:paraId="509CB313">
            <w:pPr>
              <w:spacing w:line="480" w:lineRule="exact"/>
              <w:ind w:firstLine="480" w:firstLineChars="200"/>
              <w:rPr>
                <w:sz w:val="24"/>
              </w:rPr>
            </w:pPr>
            <w:r>
              <w:rPr>
                <w:sz w:val="24"/>
              </w:rPr>
              <w:t>本项目厂区已按照</w:t>
            </w:r>
            <w:r>
              <w:rPr>
                <w:rFonts w:hint="eastAsia"/>
                <w:sz w:val="24"/>
              </w:rPr>
              <w:t>“</w:t>
            </w:r>
            <w:r>
              <w:rPr>
                <w:sz w:val="24"/>
              </w:rPr>
              <w:t>雨污分流、清污分流</w:t>
            </w:r>
            <w:r>
              <w:rPr>
                <w:rFonts w:hint="eastAsia"/>
                <w:sz w:val="24"/>
              </w:rPr>
              <w:t>”</w:t>
            </w:r>
            <w:r>
              <w:rPr>
                <w:sz w:val="24"/>
              </w:rPr>
              <w:t>的原则进行建设，设置一个污水接管口和雨水排口，具体依托关系如下：</w:t>
            </w:r>
          </w:p>
          <w:p w14:paraId="268EC6C8">
            <w:pPr>
              <w:pStyle w:val="13"/>
              <w:spacing w:line="480" w:lineRule="exact"/>
              <w:ind w:firstLine="480" w:firstLineChars="200"/>
              <w:rPr>
                <w:rFonts w:ascii="Times New Roman" w:hAnsi="Times New Roman"/>
                <w:sz w:val="24"/>
              </w:rPr>
            </w:pPr>
            <w:r>
              <w:rPr>
                <w:rFonts w:ascii="Times New Roman" w:hAnsi="Times New Roman"/>
                <w:sz w:val="24"/>
              </w:rPr>
              <w:t>（1）本项目依托</w:t>
            </w:r>
            <w:r>
              <w:rPr>
                <w:rFonts w:hint="eastAsia" w:ascii="Times New Roman" w:hAnsi="Times New Roman"/>
                <w:sz w:val="24"/>
              </w:rPr>
              <w:t>江苏科奇新材料科技有限公司</w:t>
            </w:r>
            <w:r>
              <w:rPr>
                <w:rFonts w:ascii="Times New Roman" w:hAnsi="Times New Roman"/>
                <w:sz w:val="24"/>
              </w:rPr>
              <w:t>厂区内已有污水管网及污水排口，生活污水接管至</w:t>
            </w:r>
            <w:r>
              <w:rPr>
                <w:rFonts w:hint="eastAsia" w:ascii="Times New Roman" w:hAnsi="Times New Roman"/>
                <w:sz w:val="24"/>
              </w:rPr>
              <w:t>金坛区溪城污水处理有限公司</w:t>
            </w:r>
            <w:r>
              <w:rPr>
                <w:rFonts w:ascii="Times New Roman" w:hAnsi="Times New Roman"/>
                <w:sz w:val="24"/>
              </w:rPr>
              <w:t>集中处理，尾水排入</w:t>
            </w:r>
            <w:r>
              <w:rPr>
                <w:rFonts w:hint="eastAsia" w:ascii="Times New Roman" w:hAnsi="Times New Roman"/>
                <w:sz w:val="24"/>
              </w:rPr>
              <w:t>通济河</w:t>
            </w:r>
            <w:r>
              <w:rPr>
                <w:rFonts w:ascii="Times New Roman" w:hAnsi="Times New Roman"/>
                <w:sz w:val="24"/>
              </w:rPr>
              <w:t>。本项目污水在接入租赁厂区已有污水管网前设置一个采样口，一旦总排污口发生污染事故，通过水质监测数据的达标情况即可明确责任主体；设置符合规定的环境保护图形标牌，采样口的环境管理以及相关环保责任由</w:t>
            </w:r>
            <w:r>
              <w:rPr>
                <w:rFonts w:hint="eastAsia" w:ascii="Times New Roman" w:hAnsi="Times New Roman"/>
                <w:sz w:val="24"/>
              </w:rPr>
              <w:t>登丰体育(常州)有限公司</w:t>
            </w:r>
            <w:r>
              <w:rPr>
                <w:rFonts w:ascii="Times New Roman" w:hAnsi="Times New Roman"/>
                <w:bCs/>
                <w:sz w:val="24"/>
              </w:rPr>
              <w:t>来承担。</w:t>
            </w:r>
          </w:p>
          <w:p w14:paraId="4E6CA931">
            <w:pPr>
              <w:pStyle w:val="13"/>
              <w:spacing w:line="480" w:lineRule="exact"/>
              <w:ind w:firstLine="480" w:firstLineChars="200"/>
              <w:rPr>
                <w:rFonts w:ascii="Times New Roman" w:hAnsi="Times New Roman"/>
                <w:sz w:val="24"/>
              </w:rPr>
            </w:pPr>
            <w:r>
              <w:rPr>
                <w:rFonts w:ascii="Times New Roman" w:hAnsi="Times New Roman"/>
                <w:sz w:val="24"/>
              </w:rPr>
              <w:t>（2）本项目不增设雨水管网及雨水排口，依托</w:t>
            </w:r>
            <w:r>
              <w:rPr>
                <w:rFonts w:hint="eastAsia" w:ascii="Times New Roman" w:hAnsi="Times New Roman"/>
                <w:sz w:val="24"/>
              </w:rPr>
              <w:t>江苏科奇新材料科技有限公司</w:t>
            </w:r>
            <w:r>
              <w:rPr>
                <w:rFonts w:ascii="Times New Roman" w:hAnsi="Times New Roman"/>
                <w:sz w:val="24"/>
              </w:rPr>
              <w:t>厂区已有雨水管网及雨水排口。</w:t>
            </w:r>
          </w:p>
          <w:p w14:paraId="39A3A208">
            <w:pPr>
              <w:pStyle w:val="13"/>
              <w:spacing w:line="480" w:lineRule="exact"/>
              <w:ind w:firstLine="480" w:firstLineChars="200"/>
              <w:rPr>
                <w:rFonts w:ascii="Times New Roman" w:hAnsi="Times New Roman"/>
                <w:b/>
                <w:bCs/>
                <w:snapToGrid w:val="0"/>
                <w:kern w:val="0"/>
                <w:sz w:val="24"/>
              </w:rPr>
            </w:pPr>
            <w:r>
              <w:rPr>
                <w:rFonts w:ascii="Times New Roman" w:hAnsi="Times New Roman"/>
                <w:sz w:val="24"/>
              </w:rPr>
              <w:t>（3）本项目供水、供电、供气</w:t>
            </w:r>
            <w:r>
              <w:rPr>
                <w:rFonts w:hint="eastAsia" w:ascii="Times New Roman" w:hAnsi="Times New Roman"/>
                <w:sz w:val="24"/>
              </w:rPr>
              <w:t>、蒸汽</w:t>
            </w:r>
            <w:r>
              <w:rPr>
                <w:rFonts w:ascii="Times New Roman" w:hAnsi="Times New Roman"/>
                <w:sz w:val="24"/>
              </w:rPr>
              <w:t>等基础设施均依托</w:t>
            </w:r>
            <w:r>
              <w:rPr>
                <w:rFonts w:hint="eastAsia" w:ascii="Times New Roman" w:hAnsi="Times New Roman"/>
                <w:sz w:val="24"/>
              </w:rPr>
              <w:t>江苏科奇新材料科技有限公司</w:t>
            </w:r>
            <w:r>
              <w:rPr>
                <w:rFonts w:ascii="Times New Roman" w:hAnsi="Times New Roman"/>
                <w:sz w:val="24"/>
              </w:rPr>
              <w:t>厂区。</w:t>
            </w:r>
          </w:p>
          <w:p w14:paraId="4E3B116A">
            <w:pPr>
              <w:pStyle w:val="13"/>
              <w:spacing w:line="480" w:lineRule="exact"/>
              <w:ind w:firstLine="480" w:firstLineChars="200"/>
              <w:rPr>
                <w:rFonts w:hint="default" w:ascii="Times New Roman" w:hAnsi="Times New Roman"/>
                <w:sz w:val="24"/>
                <w:lang w:val="en-US" w:eastAsia="zh-CN"/>
              </w:rPr>
            </w:pPr>
            <w:r>
              <w:rPr>
                <w:rFonts w:hint="eastAsia" w:ascii="Times New Roman" w:hAnsi="Times New Roman"/>
                <w:sz w:val="24"/>
                <w:lang w:eastAsia="zh-CN"/>
              </w:rPr>
              <w:t>（</w:t>
            </w:r>
            <w:r>
              <w:rPr>
                <w:rFonts w:hint="eastAsia" w:ascii="Times New Roman" w:hAnsi="Times New Roman"/>
                <w:sz w:val="24"/>
                <w:lang w:val="en-US" w:eastAsia="zh-CN"/>
              </w:rPr>
              <w:t>4</w:t>
            </w:r>
            <w:r>
              <w:rPr>
                <w:rFonts w:hint="eastAsia" w:ascii="Times New Roman" w:hAnsi="Times New Roman"/>
                <w:sz w:val="24"/>
                <w:lang w:eastAsia="zh-CN"/>
              </w:rPr>
              <w:t>）</w:t>
            </w:r>
            <w:r>
              <w:rPr>
                <w:rFonts w:hint="eastAsia" w:ascii="Times New Roman" w:hAnsi="Times New Roman"/>
                <w:sz w:val="24"/>
                <w:lang w:val="en-US" w:eastAsia="zh-CN"/>
              </w:rPr>
              <w:t>出租方暂未建设应急设施，本项目需自行建设应急设施，包括雨污水排口的截流阀、事故应急池等。</w:t>
            </w:r>
          </w:p>
          <w:p w14:paraId="558BCF97">
            <w:pPr>
              <w:pStyle w:val="13"/>
              <w:spacing w:line="480" w:lineRule="exact"/>
              <w:ind w:firstLine="480" w:firstLineChars="200"/>
              <w:rPr>
                <w:rFonts w:ascii="Times New Roman" w:hAnsi="Times New Roman"/>
                <w:sz w:val="24"/>
              </w:rPr>
            </w:pPr>
            <w:r>
              <w:rPr>
                <w:rFonts w:hint="eastAsia" w:ascii="Times New Roman" w:hAnsi="Times New Roman"/>
                <w:sz w:val="24"/>
                <w:lang w:val="en-US" w:eastAsia="zh-CN"/>
              </w:rPr>
              <w:t>厂区内其他租赁企业主要从事塑料制品制造，</w:t>
            </w:r>
            <w:r>
              <w:rPr>
                <w:rFonts w:ascii="Times New Roman" w:hAnsi="Times New Roman"/>
                <w:sz w:val="24"/>
              </w:rPr>
              <w:t>本项目与厂区内其他租赁企业无依托关系；环保工程、公辅工程、贮运工程均由</w:t>
            </w:r>
            <w:r>
              <w:rPr>
                <w:rFonts w:hint="eastAsia" w:ascii="Times New Roman" w:hAnsi="Times New Roman"/>
                <w:sz w:val="24"/>
              </w:rPr>
              <w:t>登丰体育(常州)有限公司</w:t>
            </w:r>
            <w:r>
              <w:rPr>
                <w:rFonts w:ascii="Times New Roman" w:hAnsi="Times New Roman"/>
                <w:sz w:val="24"/>
              </w:rPr>
              <w:t>自建。</w:t>
            </w:r>
          </w:p>
          <w:p w14:paraId="6FA7C705">
            <w:pPr>
              <w:pStyle w:val="13"/>
              <w:spacing w:line="480" w:lineRule="exact"/>
              <w:ind w:firstLine="480" w:firstLineChars="200"/>
              <w:jc w:val="left"/>
              <w:rPr>
                <w:rFonts w:ascii="Times New Roman" w:hAnsi="Times New Roman"/>
                <w:color w:val="FF0000"/>
                <w:sz w:val="24"/>
              </w:rPr>
            </w:pPr>
          </w:p>
          <w:p w14:paraId="128AEBA0">
            <w:pPr>
              <w:pStyle w:val="13"/>
              <w:spacing w:line="480" w:lineRule="exact"/>
              <w:ind w:firstLine="480" w:firstLineChars="200"/>
              <w:jc w:val="left"/>
              <w:rPr>
                <w:rFonts w:ascii="Times New Roman" w:hAnsi="Times New Roman"/>
                <w:color w:val="FF0000"/>
                <w:sz w:val="24"/>
              </w:rPr>
            </w:pPr>
          </w:p>
        </w:tc>
      </w:tr>
    </w:tbl>
    <w:p w14:paraId="609E949C">
      <w:pPr>
        <w:pStyle w:val="23"/>
        <w:jc w:val="both"/>
        <w:rPr>
          <w:rFonts w:ascii="Times New Roman" w:hAnsi="Times New Roman"/>
          <w:snapToGrid w:val="0"/>
          <w:color w:val="FF0000"/>
          <w:sz w:val="36"/>
          <w:szCs w:val="36"/>
        </w:rPr>
        <w:sectPr>
          <w:pgSz w:w="11906" w:h="16838"/>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p w14:paraId="3EB815E4">
      <w:pPr>
        <w:pStyle w:val="23"/>
        <w:adjustRightInd w:val="0"/>
        <w:snapToGrid w:val="0"/>
        <w:spacing w:before="0" w:beforeAutospacing="0" w:after="0" w:afterAutospacing="0" w:line="14" w:lineRule="auto"/>
        <w:jc w:val="center"/>
        <w:rPr>
          <w:rFonts w:ascii="Times New Roman" w:hAnsi="Times New Roman"/>
          <w:snapToGrid w:val="0"/>
          <w:color w:val="FF0000"/>
          <w:sz w:val="30"/>
          <w:szCs w:val="30"/>
        </w:rPr>
      </w:pPr>
    </w:p>
    <w:p w14:paraId="372C90EA">
      <w:pPr>
        <w:pStyle w:val="23"/>
        <w:spacing w:before="0" w:beforeAutospacing="0" w:after="0" w:afterAutospacing="0"/>
        <w:jc w:val="center"/>
        <w:outlineLvl w:val="0"/>
        <w:rPr>
          <w:rFonts w:ascii="Times New Roman" w:hAnsi="Times New Roman"/>
          <w:b/>
          <w:bCs/>
          <w:snapToGrid w:val="0"/>
          <w:sz w:val="30"/>
          <w:szCs w:val="30"/>
        </w:rPr>
      </w:pPr>
      <w:r>
        <w:rPr>
          <w:rFonts w:ascii="Times New Roman" w:hAnsi="Times New Roman"/>
          <w:b/>
          <w:bCs/>
          <w:snapToGrid w:val="0"/>
          <w:sz w:val="30"/>
          <w:szCs w:val="30"/>
        </w:rPr>
        <w:t>三、区域环境质量现状、环境保护目标及评价标准</w:t>
      </w:r>
    </w:p>
    <w:tbl>
      <w:tblPr>
        <w:tblStyle w:val="27"/>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9154"/>
      </w:tblGrid>
      <w:tr w14:paraId="7DE19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0" w:type="dxa"/>
            <w:tcBorders>
              <w:tl2br w:val="nil"/>
              <w:tr2bl w:val="nil"/>
            </w:tcBorders>
            <w:vAlign w:val="center"/>
          </w:tcPr>
          <w:p w14:paraId="43C0269E">
            <w:pPr>
              <w:adjustRightInd w:val="0"/>
              <w:snapToGrid w:val="0"/>
              <w:jc w:val="center"/>
              <w:rPr>
                <w:color w:val="FF0000"/>
                <w:kern w:val="0"/>
                <w:szCs w:val="21"/>
              </w:rPr>
            </w:pPr>
            <w:r>
              <w:rPr>
                <w:b/>
                <w:bCs/>
                <w:kern w:val="0"/>
                <w:sz w:val="24"/>
              </w:rPr>
              <w:t>区域环境质量现状</w:t>
            </w:r>
          </w:p>
        </w:tc>
        <w:tc>
          <w:tcPr>
            <w:tcW w:w="8641" w:type="dxa"/>
            <w:tcBorders>
              <w:tl2br w:val="nil"/>
              <w:tr2bl w:val="nil"/>
            </w:tcBorders>
            <w:vAlign w:val="center"/>
          </w:tcPr>
          <w:p w14:paraId="3D964B6C">
            <w:pPr>
              <w:numPr>
                <w:ilvl w:val="0"/>
                <w:numId w:val="3"/>
              </w:numPr>
              <w:spacing w:line="480" w:lineRule="exact"/>
              <w:ind w:left="0" w:firstLine="422"/>
              <w:rPr>
                <w:b/>
                <w:bCs/>
                <w:sz w:val="24"/>
              </w:rPr>
            </w:pPr>
            <w:r>
              <w:rPr>
                <w:b/>
                <w:bCs/>
                <w:sz w:val="24"/>
              </w:rPr>
              <w:t>地表水环境质量现状</w:t>
            </w:r>
          </w:p>
          <w:p w14:paraId="49D847C6">
            <w:pPr>
              <w:adjustRightInd w:val="0"/>
              <w:snapToGrid w:val="0"/>
              <w:spacing w:line="480" w:lineRule="exact"/>
              <w:ind w:firstLine="480" w:firstLineChars="200"/>
              <w:rPr>
                <w:sz w:val="24"/>
              </w:rPr>
            </w:pPr>
            <w:r>
              <w:rPr>
                <w:sz w:val="24"/>
              </w:rPr>
              <w:t>（1）</w:t>
            </w:r>
            <w:r>
              <w:rPr>
                <w:rFonts w:hint="eastAsia"/>
                <w:sz w:val="24"/>
              </w:rPr>
              <w:t>水环境功能区划</w:t>
            </w:r>
          </w:p>
          <w:p w14:paraId="09465318">
            <w:pPr>
              <w:spacing w:line="480" w:lineRule="exact"/>
              <w:ind w:firstLine="480" w:firstLineChars="200"/>
              <w:rPr>
                <w:sz w:val="24"/>
              </w:rPr>
            </w:pPr>
            <w:r>
              <w:rPr>
                <w:sz w:val="24"/>
              </w:rPr>
              <w:t>根据《江苏省地表水（环境）功能区划（2021-2030年）》（苏环办</w:t>
            </w:r>
            <w:r>
              <w:rPr>
                <w:rFonts w:hint="eastAsia"/>
                <w:sz w:val="24"/>
              </w:rPr>
              <w:t>〔2022〕82号</w:t>
            </w:r>
            <w:r>
              <w:rPr>
                <w:sz w:val="24"/>
              </w:rPr>
              <w:t>），</w:t>
            </w:r>
            <w:r>
              <w:rPr>
                <w:rFonts w:hint="eastAsia"/>
                <w:sz w:val="24"/>
              </w:rPr>
              <w:t>通济河</w:t>
            </w:r>
            <w:r>
              <w:rPr>
                <w:sz w:val="24"/>
              </w:rPr>
              <w:t>执行《地表水环境质量标准》（GB3838-2002）的III类标准。具体标准见表3-1。</w:t>
            </w:r>
          </w:p>
          <w:p w14:paraId="69EE833A">
            <w:pPr>
              <w:spacing w:line="480" w:lineRule="exact"/>
              <w:jc w:val="center"/>
              <w:rPr>
                <w:b/>
                <w:bCs/>
                <w:sz w:val="24"/>
              </w:rPr>
            </w:pPr>
            <w:r>
              <w:rPr>
                <w:b/>
                <w:bCs/>
                <w:sz w:val="24"/>
              </w:rPr>
              <w:t>表3-1  地表水环境质量标准限值表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541"/>
              <w:gridCol w:w="2052"/>
              <w:gridCol w:w="1321"/>
              <w:gridCol w:w="1600"/>
              <w:gridCol w:w="1099"/>
              <w:gridCol w:w="1321"/>
            </w:tblGrid>
            <w:tr w14:paraId="00C77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exact"/>
                <w:jc w:val="center"/>
              </w:trPr>
              <w:tc>
                <w:tcPr>
                  <w:tcW w:w="862" w:type="pct"/>
                  <w:vAlign w:val="center"/>
                </w:tcPr>
                <w:p w14:paraId="7E2D3B28">
                  <w:pPr>
                    <w:jc w:val="center"/>
                    <w:rPr>
                      <w:b/>
                      <w:bCs/>
                      <w:szCs w:val="21"/>
                    </w:rPr>
                  </w:pPr>
                  <w:r>
                    <w:rPr>
                      <w:b/>
                      <w:bCs/>
                      <w:szCs w:val="21"/>
                    </w:rPr>
                    <w:t>水域名</w:t>
                  </w:r>
                </w:p>
              </w:tc>
              <w:tc>
                <w:tcPr>
                  <w:tcW w:w="1148" w:type="pct"/>
                  <w:vAlign w:val="center"/>
                </w:tcPr>
                <w:p w14:paraId="28436DBC">
                  <w:pPr>
                    <w:jc w:val="center"/>
                    <w:rPr>
                      <w:b/>
                      <w:bCs/>
                      <w:szCs w:val="21"/>
                    </w:rPr>
                  </w:pPr>
                  <w:r>
                    <w:rPr>
                      <w:b/>
                      <w:bCs/>
                      <w:szCs w:val="21"/>
                    </w:rPr>
                    <w:t>执行标准</w:t>
                  </w:r>
                </w:p>
              </w:tc>
              <w:tc>
                <w:tcPr>
                  <w:tcW w:w="739" w:type="pct"/>
                  <w:vAlign w:val="center"/>
                </w:tcPr>
                <w:p w14:paraId="3DD5970B">
                  <w:pPr>
                    <w:jc w:val="center"/>
                    <w:rPr>
                      <w:b/>
                      <w:bCs/>
                      <w:szCs w:val="21"/>
                    </w:rPr>
                  </w:pPr>
                  <w:r>
                    <w:rPr>
                      <w:b/>
                      <w:bCs/>
                      <w:szCs w:val="21"/>
                    </w:rPr>
                    <w:t>表号及级别</w:t>
                  </w:r>
                </w:p>
              </w:tc>
              <w:tc>
                <w:tcPr>
                  <w:tcW w:w="895" w:type="pct"/>
                  <w:vAlign w:val="center"/>
                </w:tcPr>
                <w:p w14:paraId="4610615B">
                  <w:pPr>
                    <w:jc w:val="center"/>
                    <w:rPr>
                      <w:b/>
                      <w:bCs/>
                      <w:szCs w:val="21"/>
                    </w:rPr>
                  </w:pPr>
                  <w:r>
                    <w:rPr>
                      <w:b/>
                      <w:bCs/>
                      <w:szCs w:val="21"/>
                    </w:rPr>
                    <w:t>污染物指标</w:t>
                  </w:r>
                </w:p>
              </w:tc>
              <w:tc>
                <w:tcPr>
                  <w:tcW w:w="615" w:type="pct"/>
                  <w:vAlign w:val="center"/>
                </w:tcPr>
                <w:p w14:paraId="7D73AA29">
                  <w:pPr>
                    <w:jc w:val="center"/>
                    <w:rPr>
                      <w:b/>
                      <w:bCs/>
                      <w:szCs w:val="21"/>
                    </w:rPr>
                  </w:pPr>
                  <w:r>
                    <w:rPr>
                      <w:b/>
                      <w:bCs/>
                      <w:szCs w:val="21"/>
                    </w:rPr>
                    <w:t>单位</w:t>
                  </w:r>
                </w:p>
              </w:tc>
              <w:tc>
                <w:tcPr>
                  <w:tcW w:w="739" w:type="pct"/>
                  <w:vAlign w:val="center"/>
                </w:tcPr>
                <w:p w14:paraId="5953D962">
                  <w:pPr>
                    <w:jc w:val="center"/>
                    <w:rPr>
                      <w:b/>
                      <w:bCs/>
                      <w:szCs w:val="21"/>
                    </w:rPr>
                  </w:pPr>
                  <w:r>
                    <w:rPr>
                      <w:b/>
                      <w:bCs/>
                      <w:szCs w:val="21"/>
                    </w:rPr>
                    <w:t>标准限值</w:t>
                  </w:r>
                </w:p>
              </w:tc>
            </w:tr>
            <w:tr w14:paraId="298C3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exact"/>
                <w:jc w:val="center"/>
              </w:trPr>
              <w:tc>
                <w:tcPr>
                  <w:tcW w:w="862" w:type="pct"/>
                  <w:vMerge w:val="restart"/>
                  <w:vAlign w:val="center"/>
                </w:tcPr>
                <w:p w14:paraId="7EA3C282">
                  <w:pPr>
                    <w:jc w:val="center"/>
                    <w:rPr>
                      <w:szCs w:val="21"/>
                    </w:rPr>
                  </w:pPr>
                  <w:r>
                    <w:rPr>
                      <w:rFonts w:hint="eastAsia"/>
                      <w:szCs w:val="21"/>
                    </w:rPr>
                    <w:t>通济河</w:t>
                  </w:r>
                </w:p>
              </w:tc>
              <w:tc>
                <w:tcPr>
                  <w:tcW w:w="1148" w:type="pct"/>
                  <w:vMerge w:val="restart"/>
                  <w:vAlign w:val="center"/>
                </w:tcPr>
                <w:p w14:paraId="6B69F1FB">
                  <w:pPr>
                    <w:jc w:val="center"/>
                    <w:rPr>
                      <w:szCs w:val="21"/>
                    </w:rPr>
                  </w:pPr>
                  <w:r>
                    <w:rPr>
                      <w:szCs w:val="21"/>
                    </w:rPr>
                    <w:t>《地表水环境质量标准》（GB3838-2002）</w:t>
                  </w:r>
                </w:p>
              </w:tc>
              <w:tc>
                <w:tcPr>
                  <w:tcW w:w="739" w:type="pct"/>
                  <w:vMerge w:val="restart"/>
                  <w:vAlign w:val="center"/>
                </w:tcPr>
                <w:p w14:paraId="5A752032">
                  <w:pPr>
                    <w:jc w:val="center"/>
                    <w:rPr>
                      <w:szCs w:val="21"/>
                    </w:rPr>
                  </w:pPr>
                  <w:r>
                    <w:rPr>
                      <w:szCs w:val="21"/>
                      <w:lang w:bidi="ar"/>
                    </w:rPr>
                    <w:t>表1</w:t>
                  </w:r>
                </w:p>
                <w:p w14:paraId="5A60FB4C">
                  <w:pPr>
                    <w:jc w:val="center"/>
                    <w:rPr>
                      <w:szCs w:val="21"/>
                    </w:rPr>
                  </w:pPr>
                  <w:r>
                    <w:rPr>
                      <w:szCs w:val="21"/>
                      <w:lang w:bidi="ar"/>
                    </w:rPr>
                    <w:t>III类</w:t>
                  </w:r>
                </w:p>
              </w:tc>
              <w:tc>
                <w:tcPr>
                  <w:tcW w:w="895" w:type="pct"/>
                  <w:vAlign w:val="center"/>
                </w:tcPr>
                <w:p w14:paraId="55958A58">
                  <w:pPr>
                    <w:jc w:val="center"/>
                    <w:rPr>
                      <w:szCs w:val="21"/>
                    </w:rPr>
                  </w:pPr>
                  <w:r>
                    <w:rPr>
                      <w:szCs w:val="21"/>
                      <w:lang w:bidi="ar"/>
                    </w:rPr>
                    <w:t>pH</w:t>
                  </w:r>
                </w:p>
              </w:tc>
              <w:tc>
                <w:tcPr>
                  <w:tcW w:w="615" w:type="pct"/>
                  <w:vAlign w:val="center"/>
                </w:tcPr>
                <w:p w14:paraId="64E935D9">
                  <w:pPr>
                    <w:jc w:val="center"/>
                    <w:rPr>
                      <w:szCs w:val="21"/>
                    </w:rPr>
                  </w:pPr>
                  <w:r>
                    <w:rPr>
                      <w:rFonts w:hint="eastAsia"/>
                      <w:szCs w:val="21"/>
                      <w:lang w:bidi="ar"/>
                    </w:rPr>
                    <w:t>无量纲</w:t>
                  </w:r>
                </w:p>
              </w:tc>
              <w:tc>
                <w:tcPr>
                  <w:tcW w:w="739" w:type="pct"/>
                  <w:vAlign w:val="center"/>
                </w:tcPr>
                <w:p w14:paraId="61C3A48A">
                  <w:pPr>
                    <w:jc w:val="center"/>
                    <w:rPr>
                      <w:szCs w:val="21"/>
                    </w:rPr>
                  </w:pPr>
                  <w:r>
                    <w:rPr>
                      <w:szCs w:val="21"/>
                      <w:lang w:bidi="ar"/>
                    </w:rPr>
                    <w:t>6</w:t>
                  </w:r>
                  <w:r>
                    <w:rPr>
                      <w:rFonts w:hint="eastAsia"/>
                      <w:szCs w:val="21"/>
                      <w:lang w:bidi="ar"/>
                    </w:rPr>
                    <w:t>~</w:t>
                  </w:r>
                  <w:r>
                    <w:rPr>
                      <w:szCs w:val="21"/>
                      <w:lang w:bidi="ar"/>
                    </w:rPr>
                    <w:t>9</w:t>
                  </w:r>
                </w:p>
              </w:tc>
            </w:tr>
            <w:tr w14:paraId="73B1D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exact"/>
                <w:jc w:val="center"/>
              </w:trPr>
              <w:tc>
                <w:tcPr>
                  <w:tcW w:w="862" w:type="pct"/>
                  <w:vMerge w:val="continue"/>
                  <w:vAlign w:val="center"/>
                </w:tcPr>
                <w:p w14:paraId="0283C9D1">
                  <w:pPr>
                    <w:ind w:firstLine="480"/>
                    <w:jc w:val="center"/>
                    <w:rPr>
                      <w:szCs w:val="21"/>
                    </w:rPr>
                  </w:pPr>
                </w:p>
              </w:tc>
              <w:tc>
                <w:tcPr>
                  <w:tcW w:w="1148" w:type="pct"/>
                  <w:vMerge w:val="continue"/>
                  <w:vAlign w:val="center"/>
                </w:tcPr>
                <w:p w14:paraId="14E21724">
                  <w:pPr>
                    <w:ind w:firstLine="480"/>
                    <w:jc w:val="center"/>
                    <w:rPr>
                      <w:szCs w:val="21"/>
                    </w:rPr>
                  </w:pPr>
                </w:p>
              </w:tc>
              <w:tc>
                <w:tcPr>
                  <w:tcW w:w="739" w:type="pct"/>
                  <w:vMerge w:val="continue"/>
                  <w:vAlign w:val="center"/>
                </w:tcPr>
                <w:p w14:paraId="409E8D1B">
                  <w:pPr>
                    <w:ind w:firstLine="480"/>
                    <w:jc w:val="center"/>
                    <w:rPr>
                      <w:szCs w:val="21"/>
                    </w:rPr>
                  </w:pPr>
                </w:p>
              </w:tc>
              <w:tc>
                <w:tcPr>
                  <w:tcW w:w="895" w:type="pct"/>
                  <w:vAlign w:val="center"/>
                </w:tcPr>
                <w:p w14:paraId="1D982B2A">
                  <w:pPr>
                    <w:jc w:val="center"/>
                    <w:rPr>
                      <w:szCs w:val="21"/>
                    </w:rPr>
                  </w:pPr>
                  <w:r>
                    <w:rPr>
                      <w:szCs w:val="21"/>
                      <w:lang w:bidi="ar"/>
                    </w:rPr>
                    <w:t>COD</w:t>
                  </w:r>
                </w:p>
              </w:tc>
              <w:tc>
                <w:tcPr>
                  <w:tcW w:w="615" w:type="pct"/>
                  <w:vAlign w:val="center"/>
                </w:tcPr>
                <w:p w14:paraId="71BCA260">
                  <w:pPr>
                    <w:jc w:val="center"/>
                    <w:rPr>
                      <w:szCs w:val="21"/>
                    </w:rPr>
                  </w:pPr>
                  <w:r>
                    <w:rPr>
                      <w:szCs w:val="21"/>
                      <w:lang w:bidi="ar"/>
                    </w:rPr>
                    <w:t>mg/L</w:t>
                  </w:r>
                </w:p>
              </w:tc>
              <w:tc>
                <w:tcPr>
                  <w:tcW w:w="739" w:type="pct"/>
                  <w:vAlign w:val="center"/>
                </w:tcPr>
                <w:p w14:paraId="6CAE3EF3">
                  <w:pPr>
                    <w:widowControl/>
                    <w:jc w:val="center"/>
                    <w:rPr>
                      <w:szCs w:val="21"/>
                    </w:rPr>
                  </w:pPr>
                  <w:r>
                    <w:rPr>
                      <w:kern w:val="0"/>
                      <w:szCs w:val="21"/>
                      <w:lang w:bidi="ar"/>
                    </w:rPr>
                    <w:t>20</w:t>
                  </w:r>
                </w:p>
              </w:tc>
            </w:tr>
            <w:tr w14:paraId="17A98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exact"/>
                <w:jc w:val="center"/>
              </w:trPr>
              <w:tc>
                <w:tcPr>
                  <w:tcW w:w="862" w:type="pct"/>
                  <w:vMerge w:val="continue"/>
                  <w:vAlign w:val="center"/>
                </w:tcPr>
                <w:p w14:paraId="08869CEC">
                  <w:pPr>
                    <w:jc w:val="center"/>
                    <w:rPr>
                      <w:szCs w:val="21"/>
                    </w:rPr>
                  </w:pPr>
                </w:p>
              </w:tc>
              <w:tc>
                <w:tcPr>
                  <w:tcW w:w="1148" w:type="pct"/>
                  <w:vMerge w:val="continue"/>
                  <w:vAlign w:val="center"/>
                </w:tcPr>
                <w:p w14:paraId="2F3EC202">
                  <w:pPr>
                    <w:ind w:firstLine="480"/>
                    <w:jc w:val="center"/>
                    <w:rPr>
                      <w:szCs w:val="21"/>
                    </w:rPr>
                  </w:pPr>
                </w:p>
              </w:tc>
              <w:tc>
                <w:tcPr>
                  <w:tcW w:w="739" w:type="pct"/>
                  <w:vMerge w:val="continue"/>
                  <w:vAlign w:val="center"/>
                </w:tcPr>
                <w:p w14:paraId="15A58A04">
                  <w:pPr>
                    <w:ind w:firstLine="480"/>
                    <w:jc w:val="center"/>
                    <w:rPr>
                      <w:szCs w:val="21"/>
                    </w:rPr>
                  </w:pPr>
                </w:p>
              </w:tc>
              <w:tc>
                <w:tcPr>
                  <w:tcW w:w="895" w:type="pct"/>
                  <w:vAlign w:val="center"/>
                </w:tcPr>
                <w:p w14:paraId="0AAC7347">
                  <w:pPr>
                    <w:jc w:val="center"/>
                    <w:rPr>
                      <w:szCs w:val="21"/>
                    </w:rPr>
                  </w:pPr>
                  <w:r>
                    <w:rPr>
                      <w:szCs w:val="21"/>
                      <w:lang w:bidi="ar"/>
                    </w:rPr>
                    <w:t>氨氮</w:t>
                  </w:r>
                </w:p>
              </w:tc>
              <w:tc>
                <w:tcPr>
                  <w:tcW w:w="615" w:type="pct"/>
                  <w:vAlign w:val="center"/>
                </w:tcPr>
                <w:p w14:paraId="14CF2AA3">
                  <w:pPr>
                    <w:jc w:val="center"/>
                    <w:rPr>
                      <w:szCs w:val="21"/>
                    </w:rPr>
                  </w:pPr>
                  <w:r>
                    <w:rPr>
                      <w:szCs w:val="21"/>
                      <w:lang w:bidi="ar"/>
                    </w:rPr>
                    <w:t>mg/L</w:t>
                  </w:r>
                </w:p>
              </w:tc>
              <w:tc>
                <w:tcPr>
                  <w:tcW w:w="739" w:type="pct"/>
                  <w:vAlign w:val="center"/>
                </w:tcPr>
                <w:p w14:paraId="6AA35966">
                  <w:pPr>
                    <w:widowControl/>
                    <w:jc w:val="center"/>
                    <w:rPr>
                      <w:szCs w:val="21"/>
                    </w:rPr>
                  </w:pPr>
                  <w:r>
                    <w:rPr>
                      <w:kern w:val="0"/>
                      <w:szCs w:val="21"/>
                      <w:lang w:bidi="ar"/>
                    </w:rPr>
                    <w:t>1.0</w:t>
                  </w:r>
                </w:p>
              </w:tc>
            </w:tr>
            <w:tr w14:paraId="2827B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exact"/>
                <w:jc w:val="center"/>
              </w:trPr>
              <w:tc>
                <w:tcPr>
                  <w:tcW w:w="862" w:type="pct"/>
                  <w:vMerge w:val="continue"/>
                  <w:vAlign w:val="center"/>
                </w:tcPr>
                <w:p w14:paraId="5CED6C67">
                  <w:pPr>
                    <w:ind w:firstLine="480"/>
                    <w:jc w:val="center"/>
                    <w:rPr>
                      <w:szCs w:val="21"/>
                    </w:rPr>
                  </w:pPr>
                </w:p>
              </w:tc>
              <w:tc>
                <w:tcPr>
                  <w:tcW w:w="1148" w:type="pct"/>
                  <w:vMerge w:val="continue"/>
                  <w:vAlign w:val="center"/>
                </w:tcPr>
                <w:p w14:paraId="1B6497EB">
                  <w:pPr>
                    <w:ind w:firstLine="480"/>
                    <w:jc w:val="center"/>
                    <w:rPr>
                      <w:szCs w:val="21"/>
                    </w:rPr>
                  </w:pPr>
                </w:p>
              </w:tc>
              <w:tc>
                <w:tcPr>
                  <w:tcW w:w="739" w:type="pct"/>
                  <w:vMerge w:val="continue"/>
                  <w:vAlign w:val="center"/>
                </w:tcPr>
                <w:p w14:paraId="7D24C671">
                  <w:pPr>
                    <w:ind w:firstLine="688" w:firstLineChars="328"/>
                    <w:rPr>
                      <w:szCs w:val="21"/>
                    </w:rPr>
                  </w:pPr>
                </w:p>
              </w:tc>
              <w:tc>
                <w:tcPr>
                  <w:tcW w:w="895" w:type="pct"/>
                  <w:vAlign w:val="center"/>
                </w:tcPr>
                <w:p w14:paraId="06DDE679">
                  <w:pPr>
                    <w:jc w:val="center"/>
                    <w:rPr>
                      <w:szCs w:val="21"/>
                    </w:rPr>
                  </w:pPr>
                  <w:r>
                    <w:rPr>
                      <w:szCs w:val="21"/>
                      <w:lang w:bidi="ar"/>
                    </w:rPr>
                    <w:t>总磷</w:t>
                  </w:r>
                </w:p>
              </w:tc>
              <w:tc>
                <w:tcPr>
                  <w:tcW w:w="615" w:type="pct"/>
                  <w:vAlign w:val="center"/>
                </w:tcPr>
                <w:p w14:paraId="09DF6888">
                  <w:pPr>
                    <w:jc w:val="center"/>
                    <w:rPr>
                      <w:szCs w:val="21"/>
                    </w:rPr>
                  </w:pPr>
                  <w:r>
                    <w:rPr>
                      <w:szCs w:val="21"/>
                      <w:lang w:bidi="ar"/>
                    </w:rPr>
                    <w:t>mg/L</w:t>
                  </w:r>
                </w:p>
              </w:tc>
              <w:tc>
                <w:tcPr>
                  <w:tcW w:w="739" w:type="pct"/>
                  <w:vAlign w:val="center"/>
                </w:tcPr>
                <w:p w14:paraId="5AB9E233">
                  <w:pPr>
                    <w:widowControl/>
                    <w:jc w:val="center"/>
                    <w:rPr>
                      <w:szCs w:val="21"/>
                    </w:rPr>
                  </w:pPr>
                  <w:r>
                    <w:rPr>
                      <w:kern w:val="0"/>
                      <w:szCs w:val="21"/>
                      <w:lang w:bidi="ar"/>
                    </w:rPr>
                    <w:t>0.2</w:t>
                  </w:r>
                </w:p>
              </w:tc>
            </w:tr>
          </w:tbl>
          <w:p w14:paraId="15FB328F">
            <w:pPr>
              <w:spacing w:line="480" w:lineRule="exact"/>
              <w:ind w:firstLine="480" w:firstLineChars="200"/>
              <w:rPr>
                <w:sz w:val="24"/>
              </w:rPr>
            </w:pPr>
            <w:r>
              <w:rPr>
                <w:sz w:val="24"/>
              </w:rPr>
              <w:t>（2）区域水环境状况</w:t>
            </w:r>
          </w:p>
          <w:p w14:paraId="60CF5A69">
            <w:pPr>
              <w:pStyle w:val="99"/>
              <w:spacing w:line="480" w:lineRule="exact"/>
              <w:ind w:firstLine="480"/>
              <w:jc w:val="both"/>
              <w:rPr>
                <w:rFonts w:ascii="Times New Roman" w:hAnsi="Times New Roman" w:cs="Times New Roman"/>
                <w:szCs w:val="24"/>
              </w:rPr>
            </w:pPr>
            <w:r>
              <w:rPr>
                <w:rFonts w:hint="eastAsia" w:ascii="Times New Roman" w:hAnsi="Times New Roman" w:cs="Times New Roman"/>
                <w:szCs w:val="24"/>
              </w:rPr>
              <w:t>根据《2024年常州市生态环境状况公报》，2024年，常州市纳入“十四五”国家地表水环境质量考核的20个断面中，年均水质达到或好于《地表水环境质量标准》（GB 3838-2002）Ⅲ类标准的断面比例为85%，无劣于Ⅴ类断面。纳入江苏省“十四五”水环境质量目标考核的51个断面，年均水质达到或好于Ⅲ类的比例为94.1%，无劣于Ⅴ类断面。国考、省考断面水质达到或好于Ⅲ类比例完成省定考核要求，太湖水质自2007年蓝藻时间以来首次达Ⅲ、重回“良好”湖泊，连续17年实现安全度夏。长江干流（常州段）水质连续8年稳定在Ⅱ类水平，主要入湖河道、集中式饮用水源地水质达到省定考核目标</w:t>
            </w:r>
            <w:r>
              <w:rPr>
                <w:rFonts w:ascii="Times New Roman" w:hAnsi="Times New Roman" w:cs="Times New Roman"/>
                <w:szCs w:val="24"/>
              </w:rPr>
              <w:t>。</w:t>
            </w:r>
          </w:p>
          <w:p w14:paraId="0DCC4C68">
            <w:pPr>
              <w:spacing w:line="480" w:lineRule="exact"/>
              <w:ind w:firstLine="480" w:firstLineChars="200"/>
              <w:rPr>
                <w:sz w:val="24"/>
              </w:rPr>
            </w:pPr>
            <w:r>
              <w:rPr>
                <w:sz w:val="24"/>
              </w:rPr>
              <w:t>（3）纳污水体环境质量现状</w:t>
            </w:r>
          </w:p>
          <w:p w14:paraId="719BF896">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为了解</w:t>
            </w:r>
            <w:r>
              <w:rPr>
                <w:rFonts w:hint="eastAsia" w:ascii="Times New Roman" w:hAnsi="Times New Roman" w:cs="Times New Roman"/>
                <w:szCs w:val="24"/>
              </w:rPr>
              <w:t>受纳</w:t>
            </w:r>
            <w:r>
              <w:rPr>
                <w:rFonts w:ascii="Times New Roman" w:hAnsi="Times New Roman" w:cs="Times New Roman"/>
                <w:szCs w:val="24"/>
              </w:rPr>
              <w:t>水体</w:t>
            </w:r>
            <w:r>
              <w:rPr>
                <w:rFonts w:hint="eastAsia" w:ascii="Times New Roman" w:hAnsi="Times New Roman" w:cs="Times New Roman"/>
                <w:szCs w:val="24"/>
              </w:rPr>
              <w:t>通济河</w:t>
            </w:r>
            <w:r>
              <w:rPr>
                <w:rFonts w:ascii="Times New Roman" w:hAnsi="Times New Roman" w:cs="Times New Roman"/>
                <w:szCs w:val="24"/>
              </w:rPr>
              <w:t>水质现状，本项目地表水环境质量现状评价设立2个引用断面，W1、W2分别引用</w:t>
            </w:r>
            <w:r>
              <w:rPr>
                <w:rFonts w:hint="eastAsia" w:ascii="Times New Roman" w:hAnsi="Times New Roman" w:cs="Times New Roman"/>
              </w:rPr>
              <w:t>江苏云居检测技术有限公司</w:t>
            </w:r>
            <w:r>
              <w:rPr>
                <w:rFonts w:ascii="Times New Roman" w:hAnsi="Times New Roman" w:cs="Times New Roman"/>
              </w:rPr>
              <w:t>于202</w:t>
            </w:r>
            <w:r>
              <w:rPr>
                <w:rFonts w:hint="eastAsia" w:ascii="Times New Roman" w:hAnsi="Times New Roman" w:cs="Times New Roman"/>
              </w:rPr>
              <w:t>5</w:t>
            </w:r>
            <w:r>
              <w:rPr>
                <w:rFonts w:ascii="Times New Roman" w:hAnsi="Times New Roman" w:cs="Times New Roman"/>
              </w:rPr>
              <w:t>年</w:t>
            </w:r>
            <w:r>
              <w:rPr>
                <w:rFonts w:hint="eastAsia" w:ascii="Times New Roman" w:hAnsi="Times New Roman" w:cs="Times New Roman"/>
              </w:rPr>
              <w:t>2</w:t>
            </w:r>
            <w:r>
              <w:rPr>
                <w:rFonts w:ascii="Times New Roman" w:hAnsi="Times New Roman" w:cs="Times New Roman"/>
              </w:rPr>
              <w:t>月</w:t>
            </w:r>
            <w:r>
              <w:rPr>
                <w:rFonts w:hint="eastAsia" w:ascii="Times New Roman" w:hAnsi="Times New Roman" w:cs="Times New Roman"/>
              </w:rPr>
              <w:t>24</w:t>
            </w:r>
            <w:r>
              <w:rPr>
                <w:rFonts w:ascii="Times New Roman" w:hAnsi="Times New Roman" w:cs="Times New Roman"/>
              </w:rPr>
              <w:t>日至</w:t>
            </w:r>
            <w:r>
              <w:rPr>
                <w:rFonts w:hint="eastAsia" w:ascii="Times New Roman" w:hAnsi="Times New Roman" w:cs="Times New Roman"/>
              </w:rPr>
              <w:t>2</w:t>
            </w:r>
            <w:r>
              <w:rPr>
                <w:rFonts w:ascii="Times New Roman" w:hAnsi="Times New Roman" w:cs="Times New Roman"/>
              </w:rPr>
              <w:t>月</w:t>
            </w:r>
            <w:r>
              <w:rPr>
                <w:rFonts w:hint="eastAsia" w:ascii="Times New Roman" w:hAnsi="Times New Roman" w:cs="Times New Roman"/>
              </w:rPr>
              <w:t>26</w:t>
            </w:r>
            <w:r>
              <w:rPr>
                <w:rFonts w:ascii="Times New Roman" w:hAnsi="Times New Roman" w:cs="Times New Roman"/>
              </w:rPr>
              <w:t>日对</w:t>
            </w:r>
            <w:r>
              <w:rPr>
                <w:rFonts w:hint="eastAsia" w:ascii="Times New Roman" w:hAnsi="Times New Roman" w:cs="Times New Roman"/>
              </w:rPr>
              <w:t>通济河</w:t>
            </w:r>
            <w:r>
              <w:rPr>
                <w:rFonts w:ascii="Times New Roman" w:hAnsi="Times New Roman" w:cs="Times New Roman"/>
              </w:rPr>
              <w:t>（W1</w:t>
            </w:r>
            <w:r>
              <w:rPr>
                <w:rFonts w:hint="eastAsia" w:ascii="Times New Roman" w:hAnsi="Times New Roman" w:cs="Times New Roman"/>
              </w:rPr>
              <w:t>金坛区溪城污水处理有限公司</w:t>
            </w:r>
            <w:r>
              <w:rPr>
                <w:rFonts w:ascii="Times New Roman" w:hAnsi="Times New Roman" w:cs="Times New Roman"/>
              </w:rPr>
              <w:t>排口上游500m、W2</w:t>
            </w:r>
            <w:r>
              <w:rPr>
                <w:rFonts w:hint="eastAsia" w:ascii="Times New Roman" w:hAnsi="Times New Roman" w:cs="Times New Roman"/>
              </w:rPr>
              <w:t>金坛区溪城污水处理有限公司</w:t>
            </w:r>
            <w:r>
              <w:rPr>
                <w:rFonts w:ascii="Times New Roman" w:hAnsi="Times New Roman" w:cs="Times New Roman"/>
              </w:rPr>
              <w:t>排口下游1500m）的历史监测数据</w:t>
            </w:r>
            <w:r>
              <w:rPr>
                <w:rFonts w:ascii="Times New Roman" w:hAnsi="Times New Roman" w:cs="Times New Roman"/>
                <w:szCs w:val="24"/>
              </w:rPr>
              <w:t>，引用报告编号：J</w:t>
            </w:r>
            <w:r>
              <w:rPr>
                <w:rFonts w:hint="eastAsia" w:ascii="Times New Roman" w:hAnsi="Times New Roman" w:cs="Times New Roman"/>
                <w:szCs w:val="24"/>
              </w:rPr>
              <w:t>JH25022104</w:t>
            </w:r>
            <w:r>
              <w:rPr>
                <w:rFonts w:ascii="Times New Roman" w:hAnsi="Times New Roman" w:cs="Times New Roman"/>
                <w:szCs w:val="24"/>
              </w:rPr>
              <w:t>。</w:t>
            </w:r>
          </w:p>
          <w:p w14:paraId="079C8549">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引用数据时效性分析：①</w:t>
            </w:r>
            <w:r>
              <w:rPr>
                <w:rFonts w:hint="eastAsia" w:ascii="Times New Roman" w:hAnsi="Times New Roman" w:cs="Times New Roman"/>
                <w:szCs w:val="24"/>
              </w:rPr>
              <w:t>江苏云居检测技术有限公司</w:t>
            </w:r>
            <w:r>
              <w:rPr>
                <w:rFonts w:ascii="Times New Roman" w:hAnsi="Times New Roman" w:cs="Times New Roman"/>
              </w:rPr>
              <w:t>于202</w:t>
            </w:r>
            <w:r>
              <w:rPr>
                <w:rFonts w:hint="eastAsia" w:ascii="Times New Roman" w:hAnsi="Times New Roman" w:cs="Times New Roman"/>
              </w:rPr>
              <w:t>5</w:t>
            </w:r>
            <w:r>
              <w:rPr>
                <w:rFonts w:ascii="Times New Roman" w:hAnsi="Times New Roman" w:cs="Times New Roman"/>
              </w:rPr>
              <w:t>年</w:t>
            </w:r>
            <w:r>
              <w:rPr>
                <w:rFonts w:hint="eastAsia" w:ascii="Times New Roman" w:hAnsi="Times New Roman" w:cs="Times New Roman"/>
              </w:rPr>
              <w:t>2</w:t>
            </w:r>
            <w:r>
              <w:rPr>
                <w:rFonts w:ascii="Times New Roman" w:hAnsi="Times New Roman" w:cs="Times New Roman"/>
              </w:rPr>
              <w:t>月</w:t>
            </w:r>
            <w:r>
              <w:rPr>
                <w:rFonts w:hint="eastAsia" w:ascii="Times New Roman" w:hAnsi="Times New Roman" w:cs="Times New Roman"/>
              </w:rPr>
              <w:t>24</w:t>
            </w:r>
            <w:r>
              <w:rPr>
                <w:rFonts w:ascii="Times New Roman" w:hAnsi="Times New Roman" w:cs="Times New Roman"/>
              </w:rPr>
              <w:t>日至</w:t>
            </w:r>
            <w:r>
              <w:rPr>
                <w:rFonts w:hint="eastAsia" w:ascii="Times New Roman" w:hAnsi="Times New Roman" w:cs="Times New Roman"/>
              </w:rPr>
              <w:t>2</w:t>
            </w:r>
            <w:r>
              <w:rPr>
                <w:rFonts w:ascii="Times New Roman" w:hAnsi="Times New Roman" w:cs="Times New Roman"/>
              </w:rPr>
              <w:t>月</w:t>
            </w:r>
            <w:r>
              <w:rPr>
                <w:rFonts w:hint="eastAsia" w:ascii="Times New Roman" w:hAnsi="Times New Roman" w:cs="Times New Roman"/>
              </w:rPr>
              <w:t>26</w:t>
            </w:r>
            <w:r>
              <w:rPr>
                <w:rFonts w:ascii="Times New Roman" w:hAnsi="Times New Roman" w:cs="Times New Roman"/>
                <w:szCs w:val="24"/>
              </w:rPr>
              <w:t>对</w:t>
            </w:r>
            <w:r>
              <w:rPr>
                <w:rFonts w:hint="eastAsia" w:ascii="Times New Roman" w:hAnsi="Times New Roman" w:cs="Times New Roman"/>
                <w:szCs w:val="24"/>
              </w:rPr>
              <w:t>金坛区溪城污水处理有限公司</w:t>
            </w:r>
            <w:r>
              <w:rPr>
                <w:rFonts w:ascii="Times New Roman" w:hAnsi="Times New Roman" w:cs="Times New Roman"/>
                <w:szCs w:val="24"/>
              </w:rPr>
              <w:t>排口上游500m、</w:t>
            </w:r>
            <w:r>
              <w:rPr>
                <w:rFonts w:hint="eastAsia" w:ascii="Times New Roman" w:hAnsi="Times New Roman" w:cs="Times New Roman"/>
                <w:szCs w:val="24"/>
              </w:rPr>
              <w:t>金坛区溪城污水处理有限公司</w:t>
            </w:r>
            <w:r>
              <w:rPr>
                <w:rFonts w:ascii="Times New Roman" w:hAnsi="Times New Roman" w:cs="Times New Roman"/>
                <w:szCs w:val="24"/>
              </w:rPr>
              <w:t>排口下游</w:t>
            </w:r>
            <w:r>
              <w:rPr>
                <w:rFonts w:hint="eastAsia" w:ascii="Times New Roman" w:hAnsi="Times New Roman" w:cs="Times New Roman"/>
                <w:szCs w:val="24"/>
              </w:rPr>
              <w:t>15</w:t>
            </w:r>
            <w:r>
              <w:rPr>
                <w:rFonts w:ascii="Times New Roman" w:hAnsi="Times New Roman" w:cs="Times New Roman"/>
                <w:szCs w:val="24"/>
              </w:rPr>
              <w:t>00m处进行监测，引用时间不超过3年，水环境引用时间有效；②项目所在区域污染源未发生重大变化，可引用3年内地表水的监测数据；③引用点位在项目纳污河道评价范围内，则地表水环境引用点位有效。</w:t>
            </w:r>
          </w:p>
          <w:p w14:paraId="1AB1FF7D">
            <w:pPr>
              <w:pStyle w:val="99"/>
              <w:spacing w:line="480" w:lineRule="exact"/>
              <w:ind w:firstLine="480"/>
              <w:rPr>
                <w:rFonts w:ascii="Times New Roman" w:hAnsi="Times New Roman" w:cs="Times New Roman"/>
                <w:szCs w:val="24"/>
              </w:rPr>
            </w:pPr>
            <w:r>
              <w:rPr>
                <w:rFonts w:ascii="Times New Roman" w:hAnsi="Times New Roman" w:cs="Times New Roman"/>
                <w:szCs w:val="24"/>
              </w:rPr>
              <w:t>检测断面布置和检测统计结果详见表3-</w:t>
            </w:r>
            <w:r>
              <w:rPr>
                <w:rFonts w:hint="eastAsia" w:ascii="Times New Roman" w:hAnsi="Times New Roman" w:cs="Times New Roman"/>
                <w:szCs w:val="24"/>
              </w:rPr>
              <w:t>2</w:t>
            </w:r>
            <w:r>
              <w:rPr>
                <w:rFonts w:ascii="Times New Roman" w:hAnsi="Times New Roman" w:cs="Times New Roman"/>
                <w:szCs w:val="24"/>
              </w:rPr>
              <w:t>、3-</w:t>
            </w:r>
            <w:r>
              <w:rPr>
                <w:rFonts w:hint="eastAsia" w:ascii="Times New Roman" w:hAnsi="Times New Roman" w:cs="Times New Roman"/>
                <w:szCs w:val="24"/>
              </w:rPr>
              <w:t>3</w:t>
            </w:r>
            <w:r>
              <w:rPr>
                <w:rFonts w:ascii="Times New Roman" w:hAnsi="Times New Roman" w:cs="Times New Roman"/>
                <w:szCs w:val="24"/>
              </w:rPr>
              <w:t>。</w:t>
            </w:r>
          </w:p>
          <w:p w14:paraId="413114C8">
            <w:pPr>
              <w:pStyle w:val="6"/>
              <w:adjustRightInd/>
              <w:snapToGrid/>
              <w:spacing w:line="480" w:lineRule="exact"/>
              <w:ind w:firstLine="0" w:firstLineChars="0"/>
              <w:jc w:val="center"/>
              <w:rPr>
                <w:b/>
                <w:bCs/>
                <w:color w:val="auto"/>
                <w:sz w:val="24"/>
              </w:rPr>
            </w:pPr>
            <w:r>
              <w:rPr>
                <w:b/>
                <w:bCs/>
                <w:color w:val="auto"/>
                <w:sz w:val="24"/>
              </w:rPr>
              <w:t>表3-</w:t>
            </w:r>
            <w:r>
              <w:rPr>
                <w:rFonts w:hint="eastAsia"/>
                <w:b/>
                <w:bCs/>
                <w:color w:val="auto"/>
                <w:sz w:val="24"/>
              </w:rPr>
              <w:t>2</w:t>
            </w:r>
            <w:r>
              <w:rPr>
                <w:b/>
                <w:bCs/>
                <w:color w:val="auto"/>
                <w:sz w:val="24"/>
              </w:rPr>
              <w:t xml:space="preserve">  水质监测断面布置</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63"/>
              <w:gridCol w:w="794"/>
              <w:gridCol w:w="2740"/>
              <w:gridCol w:w="1170"/>
              <w:gridCol w:w="1291"/>
              <w:gridCol w:w="2080"/>
            </w:tblGrid>
            <w:tr w14:paraId="2D8BB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3" w:type="pct"/>
                  <w:vAlign w:val="center"/>
                </w:tcPr>
                <w:p w14:paraId="12F718F9">
                  <w:pPr>
                    <w:jc w:val="center"/>
                    <w:rPr>
                      <w:b/>
                      <w:bCs/>
                      <w:szCs w:val="21"/>
                    </w:rPr>
                  </w:pPr>
                  <w:r>
                    <w:rPr>
                      <w:b/>
                      <w:bCs/>
                      <w:szCs w:val="21"/>
                    </w:rPr>
                    <w:t>河流</w:t>
                  </w:r>
                </w:p>
                <w:p w14:paraId="2C85B38B">
                  <w:pPr>
                    <w:jc w:val="center"/>
                    <w:rPr>
                      <w:b/>
                      <w:bCs/>
                      <w:szCs w:val="21"/>
                    </w:rPr>
                  </w:pPr>
                  <w:r>
                    <w:rPr>
                      <w:b/>
                      <w:bCs/>
                      <w:szCs w:val="21"/>
                    </w:rPr>
                    <w:t>名称</w:t>
                  </w:r>
                </w:p>
              </w:tc>
              <w:tc>
                <w:tcPr>
                  <w:tcW w:w="444" w:type="pct"/>
                  <w:vAlign w:val="center"/>
                </w:tcPr>
                <w:p w14:paraId="20459FFC">
                  <w:pPr>
                    <w:jc w:val="center"/>
                    <w:rPr>
                      <w:b/>
                      <w:bCs/>
                      <w:szCs w:val="21"/>
                    </w:rPr>
                  </w:pPr>
                  <w:r>
                    <w:rPr>
                      <w:b/>
                      <w:bCs/>
                      <w:szCs w:val="21"/>
                    </w:rPr>
                    <w:t>引用</w:t>
                  </w:r>
                </w:p>
                <w:p w14:paraId="2A173AC6">
                  <w:pPr>
                    <w:jc w:val="center"/>
                    <w:rPr>
                      <w:b/>
                      <w:bCs/>
                      <w:szCs w:val="21"/>
                    </w:rPr>
                  </w:pPr>
                  <w:r>
                    <w:rPr>
                      <w:b/>
                      <w:bCs/>
                      <w:szCs w:val="21"/>
                    </w:rPr>
                    <w:t>断面</w:t>
                  </w:r>
                </w:p>
              </w:tc>
              <w:tc>
                <w:tcPr>
                  <w:tcW w:w="1532" w:type="pct"/>
                  <w:vAlign w:val="center"/>
                </w:tcPr>
                <w:p w14:paraId="5836888F">
                  <w:pPr>
                    <w:jc w:val="center"/>
                    <w:rPr>
                      <w:b/>
                      <w:bCs/>
                      <w:szCs w:val="21"/>
                    </w:rPr>
                  </w:pPr>
                  <w:r>
                    <w:rPr>
                      <w:b/>
                      <w:bCs/>
                      <w:szCs w:val="21"/>
                    </w:rPr>
                    <w:t>断面位置</w:t>
                  </w:r>
                </w:p>
              </w:tc>
              <w:tc>
                <w:tcPr>
                  <w:tcW w:w="654" w:type="pct"/>
                  <w:vAlign w:val="center"/>
                </w:tcPr>
                <w:p w14:paraId="3F21AC7E">
                  <w:pPr>
                    <w:jc w:val="center"/>
                    <w:rPr>
                      <w:b/>
                      <w:bCs/>
                      <w:szCs w:val="21"/>
                    </w:rPr>
                  </w:pPr>
                  <w:r>
                    <w:rPr>
                      <w:b/>
                      <w:bCs/>
                      <w:szCs w:val="21"/>
                    </w:rPr>
                    <w:t>断面位置</w:t>
                  </w:r>
                </w:p>
              </w:tc>
              <w:tc>
                <w:tcPr>
                  <w:tcW w:w="722" w:type="pct"/>
                  <w:vAlign w:val="center"/>
                </w:tcPr>
                <w:p w14:paraId="09E32FC0">
                  <w:pPr>
                    <w:jc w:val="center"/>
                    <w:rPr>
                      <w:b/>
                      <w:bCs/>
                      <w:szCs w:val="21"/>
                    </w:rPr>
                  </w:pPr>
                  <w:r>
                    <w:rPr>
                      <w:b/>
                      <w:bCs/>
                      <w:szCs w:val="21"/>
                    </w:rPr>
                    <w:t>引用因子</w:t>
                  </w:r>
                </w:p>
              </w:tc>
              <w:tc>
                <w:tcPr>
                  <w:tcW w:w="1163" w:type="pct"/>
                  <w:vAlign w:val="center"/>
                </w:tcPr>
                <w:p w14:paraId="6BAB8149">
                  <w:pPr>
                    <w:jc w:val="center"/>
                    <w:rPr>
                      <w:b/>
                      <w:bCs/>
                      <w:szCs w:val="21"/>
                    </w:rPr>
                  </w:pPr>
                  <w:r>
                    <w:rPr>
                      <w:b/>
                      <w:bCs/>
                      <w:szCs w:val="21"/>
                    </w:rPr>
                    <w:t>环境功能</w:t>
                  </w:r>
                </w:p>
              </w:tc>
            </w:tr>
            <w:tr w14:paraId="446DD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3" w:type="pct"/>
                  <w:vMerge w:val="restart"/>
                  <w:vAlign w:val="center"/>
                </w:tcPr>
                <w:p w14:paraId="632A1460">
                  <w:pPr>
                    <w:jc w:val="center"/>
                    <w:rPr>
                      <w:szCs w:val="21"/>
                    </w:rPr>
                  </w:pPr>
                  <w:r>
                    <w:rPr>
                      <w:rFonts w:hint="eastAsia"/>
                      <w:szCs w:val="21"/>
                    </w:rPr>
                    <w:t>通济河</w:t>
                  </w:r>
                </w:p>
              </w:tc>
              <w:tc>
                <w:tcPr>
                  <w:tcW w:w="444" w:type="pct"/>
                  <w:vAlign w:val="center"/>
                </w:tcPr>
                <w:p w14:paraId="605C8B21">
                  <w:pPr>
                    <w:jc w:val="center"/>
                    <w:rPr>
                      <w:szCs w:val="21"/>
                    </w:rPr>
                  </w:pPr>
                  <w:r>
                    <w:rPr>
                      <w:szCs w:val="21"/>
                    </w:rPr>
                    <w:t>W1</w:t>
                  </w:r>
                </w:p>
              </w:tc>
              <w:tc>
                <w:tcPr>
                  <w:tcW w:w="1532" w:type="pct"/>
                  <w:vAlign w:val="center"/>
                </w:tcPr>
                <w:p w14:paraId="59524C2D">
                  <w:pPr>
                    <w:jc w:val="center"/>
                    <w:rPr>
                      <w:szCs w:val="21"/>
                    </w:rPr>
                  </w:pPr>
                  <w:r>
                    <w:rPr>
                      <w:rFonts w:hint="eastAsia"/>
                      <w:kern w:val="0"/>
                      <w:szCs w:val="21"/>
                    </w:rPr>
                    <w:t>金坛区溪城污水处理有限公司排口上游500m</w:t>
                  </w:r>
                </w:p>
              </w:tc>
              <w:tc>
                <w:tcPr>
                  <w:tcW w:w="654" w:type="pct"/>
                  <w:vMerge w:val="restart"/>
                  <w:vAlign w:val="center"/>
                </w:tcPr>
                <w:p w14:paraId="4541365C">
                  <w:pPr>
                    <w:jc w:val="center"/>
                    <w:rPr>
                      <w:szCs w:val="21"/>
                    </w:rPr>
                  </w:pPr>
                  <w:r>
                    <w:rPr>
                      <w:szCs w:val="21"/>
                    </w:rPr>
                    <w:t>河道中央</w:t>
                  </w:r>
                </w:p>
              </w:tc>
              <w:tc>
                <w:tcPr>
                  <w:tcW w:w="722" w:type="pct"/>
                  <w:vMerge w:val="restart"/>
                  <w:vAlign w:val="center"/>
                </w:tcPr>
                <w:p w14:paraId="71CF435B">
                  <w:pPr>
                    <w:jc w:val="center"/>
                    <w:rPr>
                      <w:szCs w:val="21"/>
                    </w:rPr>
                  </w:pPr>
                  <w:r>
                    <w:rPr>
                      <w:szCs w:val="21"/>
                    </w:rPr>
                    <w:t>pH、COD、氨氮、总磷</w:t>
                  </w:r>
                </w:p>
              </w:tc>
              <w:tc>
                <w:tcPr>
                  <w:tcW w:w="1163" w:type="pct"/>
                  <w:vMerge w:val="restart"/>
                  <w:vAlign w:val="center"/>
                </w:tcPr>
                <w:p w14:paraId="3757F564">
                  <w:pPr>
                    <w:jc w:val="center"/>
                    <w:rPr>
                      <w:szCs w:val="21"/>
                    </w:rPr>
                  </w:pPr>
                  <w:r>
                    <w:rPr>
                      <w:szCs w:val="21"/>
                    </w:rPr>
                    <w:t>《地表水环境质量标准》（GB3838-2002）中的Ⅲ类</w:t>
                  </w:r>
                </w:p>
              </w:tc>
            </w:tr>
            <w:tr w14:paraId="7C617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3" w:type="pct"/>
                  <w:vMerge w:val="continue"/>
                  <w:vAlign w:val="center"/>
                </w:tcPr>
                <w:p w14:paraId="44CD5F54">
                  <w:pPr>
                    <w:jc w:val="center"/>
                    <w:rPr>
                      <w:szCs w:val="21"/>
                    </w:rPr>
                  </w:pPr>
                </w:p>
              </w:tc>
              <w:tc>
                <w:tcPr>
                  <w:tcW w:w="444" w:type="pct"/>
                  <w:vAlign w:val="center"/>
                </w:tcPr>
                <w:p w14:paraId="15CEED83">
                  <w:pPr>
                    <w:jc w:val="center"/>
                    <w:rPr>
                      <w:szCs w:val="21"/>
                    </w:rPr>
                  </w:pPr>
                  <w:r>
                    <w:rPr>
                      <w:szCs w:val="21"/>
                    </w:rPr>
                    <w:t>W2</w:t>
                  </w:r>
                </w:p>
              </w:tc>
              <w:tc>
                <w:tcPr>
                  <w:tcW w:w="1532" w:type="pct"/>
                  <w:vAlign w:val="center"/>
                </w:tcPr>
                <w:p w14:paraId="3E7A85D1">
                  <w:pPr>
                    <w:jc w:val="center"/>
                    <w:rPr>
                      <w:szCs w:val="21"/>
                    </w:rPr>
                  </w:pPr>
                  <w:r>
                    <w:rPr>
                      <w:rFonts w:hint="eastAsia"/>
                      <w:kern w:val="0"/>
                      <w:szCs w:val="21"/>
                    </w:rPr>
                    <w:t>金坛区溪城污水处理有限公司排口下游1500m</w:t>
                  </w:r>
                </w:p>
              </w:tc>
              <w:tc>
                <w:tcPr>
                  <w:tcW w:w="654" w:type="pct"/>
                  <w:vMerge w:val="continue"/>
                  <w:vAlign w:val="center"/>
                </w:tcPr>
                <w:p w14:paraId="7D6C8AD9">
                  <w:pPr>
                    <w:jc w:val="center"/>
                    <w:rPr>
                      <w:szCs w:val="21"/>
                    </w:rPr>
                  </w:pPr>
                </w:p>
              </w:tc>
              <w:tc>
                <w:tcPr>
                  <w:tcW w:w="722" w:type="pct"/>
                  <w:vMerge w:val="continue"/>
                  <w:vAlign w:val="center"/>
                </w:tcPr>
                <w:p w14:paraId="4817A490">
                  <w:pPr>
                    <w:jc w:val="center"/>
                    <w:rPr>
                      <w:szCs w:val="21"/>
                    </w:rPr>
                  </w:pPr>
                </w:p>
              </w:tc>
              <w:tc>
                <w:tcPr>
                  <w:tcW w:w="1163" w:type="pct"/>
                  <w:vMerge w:val="continue"/>
                  <w:vAlign w:val="center"/>
                </w:tcPr>
                <w:p w14:paraId="4E10FA5C">
                  <w:pPr>
                    <w:jc w:val="center"/>
                    <w:rPr>
                      <w:szCs w:val="21"/>
                    </w:rPr>
                  </w:pPr>
                </w:p>
              </w:tc>
            </w:tr>
          </w:tbl>
          <w:p w14:paraId="414403DE">
            <w:pPr>
              <w:pStyle w:val="6"/>
              <w:adjustRightInd/>
              <w:snapToGrid/>
              <w:spacing w:line="480" w:lineRule="exact"/>
              <w:ind w:firstLine="0" w:firstLineChars="0"/>
              <w:jc w:val="center"/>
              <w:rPr>
                <w:b/>
                <w:bCs/>
                <w:color w:val="auto"/>
                <w:sz w:val="24"/>
              </w:rPr>
            </w:pPr>
            <w:r>
              <w:rPr>
                <w:b/>
                <w:bCs/>
                <w:color w:val="auto"/>
                <w:sz w:val="24"/>
              </w:rPr>
              <w:t>表3-</w:t>
            </w:r>
            <w:r>
              <w:rPr>
                <w:rFonts w:hint="eastAsia"/>
                <w:b/>
                <w:bCs/>
                <w:color w:val="auto"/>
                <w:sz w:val="24"/>
              </w:rPr>
              <w:t>3</w:t>
            </w:r>
            <w:r>
              <w:rPr>
                <w:b/>
                <w:bCs/>
                <w:color w:val="auto"/>
                <w:sz w:val="24"/>
              </w:rPr>
              <w:t xml:space="preserve">  水环境质量</w:t>
            </w:r>
            <w:r>
              <w:rPr>
                <w:rFonts w:hint="eastAsia"/>
                <w:b/>
                <w:bCs/>
                <w:color w:val="auto"/>
                <w:sz w:val="24"/>
              </w:rPr>
              <w:t>监测</w:t>
            </w:r>
            <w:r>
              <w:rPr>
                <w:b/>
                <w:bCs/>
                <w:color w:val="auto"/>
                <w:sz w:val="24"/>
              </w:rPr>
              <w:t>统计结果</w:t>
            </w:r>
            <w:r>
              <w:rPr>
                <w:rFonts w:hint="eastAsia"/>
                <w:b/>
                <w:bCs/>
                <w:color w:val="auto"/>
                <w:sz w:val="24"/>
              </w:rPr>
              <w:t>（</w:t>
            </w:r>
            <w:r>
              <w:rPr>
                <w:b/>
                <w:bCs/>
                <w:color w:val="auto"/>
                <w:sz w:val="24"/>
              </w:rPr>
              <w:t>单位：mg/L，pH无量纲</w:t>
            </w:r>
            <w:r>
              <w:rPr>
                <w:rFonts w:hint="eastAsia"/>
                <w:b/>
                <w:bCs/>
                <w:color w:val="auto"/>
                <w:sz w:val="24"/>
              </w:rPr>
              <w:t>）</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18"/>
              <w:gridCol w:w="1581"/>
              <w:gridCol w:w="1583"/>
              <w:gridCol w:w="1377"/>
              <w:gridCol w:w="1581"/>
              <w:gridCol w:w="1598"/>
            </w:tblGrid>
            <w:tr w14:paraId="04A5E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1" w:type="pct"/>
                  <w:vAlign w:val="center"/>
                </w:tcPr>
                <w:p w14:paraId="69552959">
                  <w:pPr>
                    <w:jc w:val="center"/>
                    <w:rPr>
                      <w:b/>
                      <w:szCs w:val="21"/>
                    </w:rPr>
                  </w:pPr>
                  <w:r>
                    <w:rPr>
                      <w:b/>
                      <w:szCs w:val="21"/>
                    </w:rPr>
                    <w:t>断面</w:t>
                  </w:r>
                </w:p>
                <w:p w14:paraId="03202309">
                  <w:pPr>
                    <w:jc w:val="center"/>
                    <w:rPr>
                      <w:b/>
                      <w:szCs w:val="21"/>
                    </w:rPr>
                  </w:pPr>
                  <w:r>
                    <w:rPr>
                      <w:b/>
                      <w:szCs w:val="21"/>
                    </w:rPr>
                    <w:t>编号</w:t>
                  </w:r>
                </w:p>
              </w:tc>
              <w:tc>
                <w:tcPr>
                  <w:tcW w:w="884" w:type="pct"/>
                  <w:vAlign w:val="center"/>
                </w:tcPr>
                <w:p w14:paraId="02ECD2BC">
                  <w:pPr>
                    <w:jc w:val="center"/>
                    <w:rPr>
                      <w:b/>
                      <w:szCs w:val="21"/>
                    </w:rPr>
                  </w:pPr>
                  <w:r>
                    <w:rPr>
                      <w:b/>
                      <w:szCs w:val="21"/>
                    </w:rPr>
                    <w:t>项目</w:t>
                  </w:r>
                </w:p>
              </w:tc>
              <w:tc>
                <w:tcPr>
                  <w:tcW w:w="885" w:type="pct"/>
                  <w:vAlign w:val="center"/>
                </w:tcPr>
                <w:p w14:paraId="525D2E32">
                  <w:pPr>
                    <w:pStyle w:val="66"/>
                    <w:pBdr>
                      <w:bottom w:val="none" w:color="auto" w:sz="0" w:space="0"/>
                    </w:pBdr>
                    <w:spacing w:before="0" w:after="0"/>
                    <w:rPr>
                      <w:rFonts w:ascii="Times New Roman" w:hAnsi="Times New Roman"/>
                      <w:b/>
                      <w:szCs w:val="21"/>
                    </w:rPr>
                  </w:pPr>
                  <w:r>
                    <w:rPr>
                      <w:rFonts w:ascii="Times New Roman" w:hAnsi="Times New Roman"/>
                      <w:b/>
                      <w:szCs w:val="21"/>
                    </w:rPr>
                    <w:t>pH</w:t>
                  </w:r>
                </w:p>
              </w:tc>
              <w:tc>
                <w:tcPr>
                  <w:tcW w:w="770" w:type="pct"/>
                  <w:vAlign w:val="center"/>
                </w:tcPr>
                <w:p w14:paraId="5BC211F8">
                  <w:pPr>
                    <w:jc w:val="center"/>
                    <w:rPr>
                      <w:b/>
                      <w:szCs w:val="21"/>
                    </w:rPr>
                  </w:pPr>
                  <w:r>
                    <w:rPr>
                      <w:b/>
                      <w:szCs w:val="21"/>
                    </w:rPr>
                    <w:t>COD</w:t>
                  </w:r>
                </w:p>
              </w:tc>
              <w:tc>
                <w:tcPr>
                  <w:tcW w:w="884" w:type="pct"/>
                  <w:vAlign w:val="center"/>
                </w:tcPr>
                <w:p w14:paraId="3F38392D">
                  <w:pPr>
                    <w:jc w:val="center"/>
                    <w:rPr>
                      <w:b/>
                      <w:szCs w:val="21"/>
                    </w:rPr>
                  </w:pPr>
                  <w:r>
                    <w:rPr>
                      <w:b/>
                      <w:szCs w:val="21"/>
                    </w:rPr>
                    <w:t>氨氮</w:t>
                  </w:r>
                </w:p>
              </w:tc>
              <w:tc>
                <w:tcPr>
                  <w:tcW w:w="893" w:type="pct"/>
                  <w:vAlign w:val="center"/>
                </w:tcPr>
                <w:p w14:paraId="6AF64445">
                  <w:pPr>
                    <w:jc w:val="center"/>
                    <w:rPr>
                      <w:b/>
                      <w:szCs w:val="21"/>
                    </w:rPr>
                  </w:pPr>
                  <w:r>
                    <w:rPr>
                      <w:b/>
                      <w:szCs w:val="21"/>
                    </w:rPr>
                    <w:t>TP</w:t>
                  </w:r>
                </w:p>
              </w:tc>
            </w:tr>
            <w:tr w14:paraId="5EE96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1" w:type="pct"/>
                  <w:vMerge w:val="restart"/>
                  <w:vAlign w:val="center"/>
                </w:tcPr>
                <w:p w14:paraId="6C485EA5">
                  <w:pPr>
                    <w:jc w:val="center"/>
                    <w:rPr>
                      <w:szCs w:val="21"/>
                    </w:rPr>
                  </w:pPr>
                  <w:r>
                    <w:rPr>
                      <w:szCs w:val="21"/>
                    </w:rPr>
                    <w:t>W1</w:t>
                  </w:r>
                </w:p>
              </w:tc>
              <w:tc>
                <w:tcPr>
                  <w:tcW w:w="884" w:type="pct"/>
                  <w:vAlign w:val="center"/>
                </w:tcPr>
                <w:p w14:paraId="2F63D548">
                  <w:pPr>
                    <w:jc w:val="center"/>
                    <w:rPr>
                      <w:szCs w:val="21"/>
                    </w:rPr>
                  </w:pPr>
                  <w:r>
                    <w:rPr>
                      <w:szCs w:val="21"/>
                    </w:rPr>
                    <w:t>浓度范围</w:t>
                  </w:r>
                </w:p>
              </w:tc>
              <w:tc>
                <w:tcPr>
                  <w:tcW w:w="885" w:type="pct"/>
                  <w:vAlign w:val="center"/>
                </w:tcPr>
                <w:p w14:paraId="23F9F004">
                  <w:pPr>
                    <w:jc w:val="center"/>
                    <w:rPr>
                      <w:szCs w:val="21"/>
                    </w:rPr>
                  </w:pPr>
                  <w:r>
                    <w:rPr>
                      <w:szCs w:val="21"/>
                    </w:rPr>
                    <w:t>7.</w:t>
                  </w:r>
                  <w:r>
                    <w:rPr>
                      <w:rFonts w:hint="eastAsia"/>
                      <w:szCs w:val="21"/>
                    </w:rPr>
                    <w:t>6~7.8</w:t>
                  </w:r>
                </w:p>
              </w:tc>
              <w:tc>
                <w:tcPr>
                  <w:tcW w:w="770" w:type="pct"/>
                  <w:vAlign w:val="center"/>
                </w:tcPr>
                <w:p w14:paraId="4679A085">
                  <w:pPr>
                    <w:jc w:val="center"/>
                    <w:rPr>
                      <w:szCs w:val="21"/>
                    </w:rPr>
                  </w:pPr>
                  <w:r>
                    <w:rPr>
                      <w:szCs w:val="21"/>
                    </w:rPr>
                    <w:t>1</w:t>
                  </w:r>
                  <w:r>
                    <w:rPr>
                      <w:rFonts w:hint="eastAsia"/>
                      <w:szCs w:val="21"/>
                    </w:rPr>
                    <w:t>3</w:t>
                  </w:r>
                  <w:r>
                    <w:rPr>
                      <w:szCs w:val="21"/>
                    </w:rPr>
                    <w:t>~1</w:t>
                  </w:r>
                  <w:r>
                    <w:rPr>
                      <w:rFonts w:hint="eastAsia"/>
                      <w:szCs w:val="21"/>
                    </w:rPr>
                    <w:t>6</w:t>
                  </w:r>
                </w:p>
              </w:tc>
              <w:tc>
                <w:tcPr>
                  <w:tcW w:w="884" w:type="pct"/>
                  <w:vAlign w:val="center"/>
                </w:tcPr>
                <w:p w14:paraId="430FEAB4">
                  <w:pPr>
                    <w:jc w:val="center"/>
                    <w:rPr>
                      <w:szCs w:val="21"/>
                    </w:rPr>
                  </w:pPr>
                  <w:r>
                    <w:rPr>
                      <w:szCs w:val="21"/>
                    </w:rPr>
                    <w:t>0.</w:t>
                  </w:r>
                  <w:r>
                    <w:rPr>
                      <w:rFonts w:hint="eastAsia"/>
                      <w:szCs w:val="21"/>
                    </w:rPr>
                    <w:t>411~</w:t>
                  </w:r>
                  <w:r>
                    <w:rPr>
                      <w:szCs w:val="21"/>
                    </w:rPr>
                    <w:t>0.</w:t>
                  </w:r>
                  <w:r>
                    <w:rPr>
                      <w:rFonts w:hint="eastAsia"/>
                      <w:szCs w:val="21"/>
                    </w:rPr>
                    <w:t>468</w:t>
                  </w:r>
                </w:p>
              </w:tc>
              <w:tc>
                <w:tcPr>
                  <w:tcW w:w="893" w:type="pct"/>
                  <w:vAlign w:val="center"/>
                </w:tcPr>
                <w:p w14:paraId="54ABD3CE">
                  <w:pPr>
                    <w:jc w:val="center"/>
                    <w:rPr>
                      <w:szCs w:val="21"/>
                    </w:rPr>
                  </w:pPr>
                  <w:r>
                    <w:rPr>
                      <w:szCs w:val="21"/>
                    </w:rPr>
                    <w:t>0.</w:t>
                  </w:r>
                  <w:r>
                    <w:rPr>
                      <w:rFonts w:hint="eastAsia"/>
                      <w:szCs w:val="21"/>
                    </w:rPr>
                    <w:t>11</w:t>
                  </w:r>
                  <w:r>
                    <w:rPr>
                      <w:szCs w:val="21"/>
                    </w:rPr>
                    <w:t>~0.1</w:t>
                  </w:r>
                  <w:r>
                    <w:rPr>
                      <w:rFonts w:hint="eastAsia"/>
                      <w:szCs w:val="21"/>
                    </w:rPr>
                    <w:t>4</w:t>
                  </w:r>
                </w:p>
              </w:tc>
            </w:tr>
            <w:tr w14:paraId="40DD8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1" w:type="pct"/>
                  <w:vMerge w:val="continue"/>
                  <w:vAlign w:val="center"/>
                </w:tcPr>
                <w:p w14:paraId="3BF6AB47">
                  <w:pPr>
                    <w:jc w:val="center"/>
                    <w:rPr>
                      <w:szCs w:val="21"/>
                    </w:rPr>
                  </w:pPr>
                </w:p>
              </w:tc>
              <w:tc>
                <w:tcPr>
                  <w:tcW w:w="884" w:type="pct"/>
                  <w:vAlign w:val="center"/>
                </w:tcPr>
                <w:p w14:paraId="011589E7">
                  <w:pPr>
                    <w:jc w:val="center"/>
                    <w:rPr>
                      <w:szCs w:val="21"/>
                    </w:rPr>
                  </w:pPr>
                  <w:r>
                    <w:rPr>
                      <w:szCs w:val="21"/>
                    </w:rPr>
                    <w:t>超标率</w:t>
                  </w:r>
                  <w:r>
                    <w:rPr>
                      <w:rFonts w:hint="eastAsia"/>
                      <w:szCs w:val="21"/>
                    </w:rPr>
                    <w:t>（</w:t>
                  </w:r>
                  <w:r>
                    <w:rPr>
                      <w:szCs w:val="21"/>
                    </w:rPr>
                    <w:t>%</w:t>
                  </w:r>
                  <w:r>
                    <w:rPr>
                      <w:rFonts w:hint="eastAsia"/>
                      <w:szCs w:val="21"/>
                    </w:rPr>
                    <w:t>）</w:t>
                  </w:r>
                </w:p>
              </w:tc>
              <w:tc>
                <w:tcPr>
                  <w:tcW w:w="885" w:type="pct"/>
                  <w:vAlign w:val="center"/>
                </w:tcPr>
                <w:p w14:paraId="325824DB">
                  <w:pPr>
                    <w:jc w:val="center"/>
                    <w:rPr>
                      <w:szCs w:val="21"/>
                    </w:rPr>
                  </w:pPr>
                  <w:r>
                    <w:rPr>
                      <w:szCs w:val="21"/>
                    </w:rPr>
                    <w:t>0.15</w:t>
                  </w:r>
                </w:p>
              </w:tc>
              <w:tc>
                <w:tcPr>
                  <w:tcW w:w="770" w:type="pct"/>
                  <w:vAlign w:val="center"/>
                </w:tcPr>
                <w:p w14:paraId="7A8AB967">
                  <w:pPr>
                    <w:jc w:val="center"/>
                    <w:rPr>
                      <w:szCs w:val="21"/>
                    </w:rPr>
                  </w:pPr>
                  <w:r>
                    <w:rPr>
                      <w:szCs w:val="21"/>
                    </w:rPr>
                    <w:t>0</w:t>
                  </w:r>
                </w:p>
              </w:tc>
              <w:tc>
                <w:tcPr>
                  <w:tcW w:w="884" w:type="pct"/>
                  <w:vAlign w:val="center"/>
                </w:tcPr>
                <w:p w14:paraId="36F79393">
                  <w:pPr>
                    <w:jc w:val="center"/>
                    <w:rPr>
                      <w:szCs w:val="21"/>
                    </w:rPr>
                  </w:pPr>
                  <w:r>
                    <w:rPr>
                      <w:szCs w:val="21"/>
                    </w:rPr>
                    <w:t>0</w:t>
                  </w:r>
                </w:p>
              </w:tc>
              <w:tc>
                <w:tcPr>
                  <w:tcW w:w="893" w:type="pct"/>
                  <w:vAlign w:val="center"/>
                </w:tcPr>
                <w:p w14:paraId="52E546E4">
                  <w:pPr>
                    <w:jc w:val="center"/>
                    <w:rPr>
                      <w:szCs w:val="21"/>
                    </w:rPr>
                  </w:pPr>
                  <w:r>
                    <w:rPr>
                      <w:szCs w:val="21"/>
                    </w:rPr>
                    <w:t>0</w:t>
                  </w:r>
                </w:p>
              </w:tc>
            </w:tr>
            <w:tr w14:paraId="6E375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1" w:type="pct"/>
                  <w:vMerge w:val="restart"/>
                  <w:vAlign w:val="center"/>
                </w:tcPr>
                <w:p w14:paraId="0D7E9986">
                  <w:pPr>
                    <w:jc w:val="center"/>
                    <w:rPr>
                      <w:szCs w:val="21"/>
                    </w:rPr>
                  </w:pPr>
                  <w:r>
                    <w:rPr>
                      <w:szCs w:val="21"/>
                    </w:rPr>
                    <w:t>W2</w:t>
                  </w:r>
                </w:p>
              </w:tc>
              <w:tc>
                <w:tcPr>
                  <w:tcW w:w="884" w:type="pct"/>
                  <w:vAlign w:val="center"/>
                </w:tcPr>
                <w:p w14:paraId="4CD47129">
                  <w:pPr>
                    <w:jc w:val="center"/>
                    <w:rPr>
                      <w:szCs w:val="21"/>
                    </w:rPr>
                  </w:pPr>
                  <w:r>
                    <w:rPr>
                      <w:szCs w:val="21"/>
                    </w:rPr>
                    <w:t>浓度范围</w:t>
                  </w:r>
                </w:p>
              </w:tc>
              <w:tc>
                <w:tcPr>
                  <w:tcW w:w="885" w:type="pct"/>
                  <w:vAlign w:val="center"/>
                </w:tcPr>
                <w:p w14:paraId="0D0616AD">
                  <w:pPr>
                    <w:jc w:val="center"/>
                    <w:rPr>
                      <w:szCs w:val="21"/>
                    </w:rPr>
                  </w:pPr>
                  <w:r>
                    <w:rPr>
                      <w:rFonts w:hint="eastAsia"/>
                      <w:szCs w:val="21"/>
                    </w:rPr>
                    <w:t>8.0</w:t>
                  </w:r>
                  <w:r>
                    <w:rPr>
                      <w:szCs w:val="21"/>
                    </w:rPr>
                    <w:t>~</w:t>
                  </w:r>
                  <w:r>
                    <w:rPr>
                      <w:rFonts w:hint="eastAsia"/>
                      <w:szCs w:val="21"/>
                    </w:rPr>
                    <w:t>8.3</w:t>
                  </w:r>
                </w:p>
              </w:tc>
              <w:tc>
                <w:tcPr>
                  <w:tcW w:w="770" w:type="pct"/>
                  <w:vAlign w:val="center"/>
                </w:tcPr>
                <w:p w14:paraId="3DA0AA16">
                  <w:pPr>
                    <w:jc w:val="center"/>
                    <w:rPr>
                      <w:szCs w:val="21"/>
                    </w:rPr>
                  </w:pPr>
                  <w:r>
                    <w:rPr>
                      <w:szCs w:val="21"/>
                    </w:rPr>
                    <w:t>1</w:t>
                  </w:r>
                  <w:r>
                    <w:rPr>
                      <w:rFonts w:hint="eastAsia"/>
                      <w:szCs w:val="21"/>
                    </w:rPr>
                    <w:t>7</w:t>
                  </w:r>
                  <w:r>
                    <w:rPr>
                      <w:szCs w:val="21"/>
                    </w:rPr>
                    <w:t>~1</w:t>
                  </w:r>
                  <w:r>
                    <w:rPr>
                      <w:rFonts w:hint="eastAsia"/>
                      <w:szCs w:val="21"/>
                    </w:rPr>
                    <w:t>9</w:t>
                  </w:r>
                </w:p>
              </w:tc>
              <w:tc>
                <w:tcPr>
                  <w:tcW w:w="884" w:type="pct"/>
                  <w:vAlign w:val="center"/>
                </w:tcPr>
                <w:p w14:paraId="57A9F385">
                  <w:pPr>
                    <w:jc w:val="center"/>
                    <w:rPr>
                      <w:szCs w:val="21"/>
                    </w:rPr>
                  </w:pPr>
                  <w:r>
                    <w:rPr>
                      <w:szCs w:val="21"/>
                    </w:rPr>
                    <w:t>0.</w:t>
                  </w:r>
                  <w:r>
                    <w:rPr>
                      <w:rFonts w:hint="eastAsia"/>
                      <w:szCs w:val="21"/>
                    </w:rPr>
                    <w:t>429</w:t>
                  </w:r>
                  <w:r>
                    <w:rPr>
                      <w:szCs w:val="21"/>
                    </w:rPr>
                    <w:t>~0.</w:t>
                  </w:r>
                  <w:r>
                    <w:rPr>
                      <w:rFonts w:hint="eastAsia"/>
                      <w:szCs w:val="21"/>
                    </w:rPr>
                    <w:t>499</w:t>
                  </w:r>
                </w:p>
              </w:tc>
              <w:tc>
                <w:tcPr>
                  <w:tcW w:w="893" w:type="pct"/>
                  <w:vAlign w:val="center"/>
                </w:tcPr>
                <w:p w14:paraId="2DF013E1">
                  <w:pPr>
                    <w:jc w:val="center"/>
                    <w:rPr>
                      <w:szCs w:val="21"/>
                    </w:rPr>
                  </w:pPr>
                  <w:r>
                    <w:rPr>
                      <w:szCs w:val="21"/>
                    </w:rPr>
                    <w:t>0</w:t>
                  </w:r>
                  <w:r>
                    <w:rPr>
                      <w:rFonts w:hint="eastAsia"/>
                      <w:szCs w:val="21"/>
                    </w:rPr>
                    <w:t>.16</w:t>
                  </w:r>
                  <w:r>
                    <w:rPr>
                      <w:szCs w:val="21"/>
                    </w:rPr>
                    <w:t>~0.1</w:t>
                  </w:r>
                  <w:r>
                    <w:rPr>
                      <w:rFonts w:hint="eastAsia"/>
                      <w:szCs w:val="21"/>
                    </w:rPr>
                    <w:t>8</w:t>
                  </w:r>
                </w:p>
              </w:tc>
            </w:tr>
            <w:tr w14:paraId="0130F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1" w:type="pct"/>
                  <w:vMerge w:val="continue"/>
                  <w:vAlign w:val="center"/>
                </w:tcPr>
                <w:p w14:paraId="5CAD0A64">
                  <w:pPr>
                    <w:jc w:val="center"/>
                    <w:rPr>
                      <w:szCs w:val="21"/>
                    </w:rPr>
                  </w:pPr>
                </w:p>
              </w:tc>
              <w:tc>
                <w:tcPr>
                  <w:tcW w:w="884" w:type="pct"/>
                  <w:vAlign w:val="center"/>
                </w:tcPr>
                <w:p w14:paraId="75748427">
                  <w:pPr>
                    <w:jc w:val="center"/>
                    <w:rPr>
                      <w:szCs w:val="21"/>
                    </w:rPr>
                  </w:pPr>
                  <w:r>
                    <w:rPr>
                      <w:szCs w:val="21"/>
                    </w:rPr>
                    <w:t>超标率</w:t>
                  </w:r>
                  <w:r>
                    <w:rPr>
                      <w:rFonts w:hint="eastAsia"/>
                      <w:szCs w:val="21"/>
                    </w:rPr>
                    <w:t>（</w:t>
                  </w:r>
                  <w:r>
                    <w:rPr>
                      <w:szCs w:val="21"/>
                    </w:rPr>
                    <w:t>%</w:t>
                  </w:r>
                  <w:r>
                    <w:rPr>
                      <w:rFonts w:hint="eastAsia"/>
                      <w:szCs w:val="21"/>
                    </w:rPr>
                    <w:t>）</w:t>
                  </w:r>
                </w:p>
              </w:tc>
              <w:tc>
                <w:tcPr>
                  <w:tcW w:w="885" w:type="pct"/>
                  <w:vAlign w:val="center"/>
                </w:tcPr>
                <w:p w14:paraId="11FEC69B">
                  <w:pPr>
                    <w:jc w:val="center"/>
                    <w:rPr>
                      <w:szCs w:val="21"/>
                    </w:rPr>
                  </w:pPr>
                  <w:r>
                    <w:rPr>
                      <w:szCs w:val="21"/>
                    </w:rPr>
                    <w:t>0.</w:t>
                  </w:r>
                  <w:r>
                    <w:rPr>
                      <w:rFonts w:hint="eastAsia"/>
                      <w:szCs w:val="21"/>
                    </w:rPr>
                    <w:t>0</w:t>
                  </w:r>
                  <w:r>
                    <w:rPr>
                      <w:szCs w:val="21"/>
                    </w:rPr>
                    <w:t>5~0.</w:t>
                  </w:r>
                  <w:r>
                    <w:rPr>
                      <w:rFonts w:hint="eastAsia"/>
                      <w:szCs w:val="21"/>
                    </w:rPr>
                    <w:t>1</w:t>
                  </w:r>
                </w:p>
              </w:tc>
              <w:tc>
                <w:tcPr>
                  <w:tcW w:w="770" w:type="pct"/>
                  <w:vAlign w:val="center"/>
                </w:tcPr>
                <w:p w14:paraId="7615D44A">
                  <w:pPr>
                    <w:jc w:val="center"/>
                    <w:rPr>
                      <w:szCs w:val="21"/>
                    </w:rPr>
                  </w:pPr>
                  <w:r>
                    <w:rPr>
                      <w:szCs w:val="21"/>
                    </w:rPr>
                    <w:t>0</w:t>
                  </w:r>
                </w:p>
              </w:tc>
              <w:tc>
                <w:tcPr>
                  <w:tcW w:w="884" w:type="pct"/>
                  <w:vAlign w:val="center"/>
                </w:tcPr>
                <w:p w14:paraId="3E7E0CA0">
                  <w:pPr>
                    <w:jc w:val="center"/>
                    <w:rPr>
                      <w:szCs w:val="21"/>
                    </w:rPr>
                  </w:pPr>
                  <w:r>
                    <w:rPr>
                      <w:szCs w:val="21"/>
                    </w:rPr>
                    <w:t>0</w:t>
                  </w:r>
                </w:p>
              </w:tc>
              <w:tc>
                <w:tcPr>
                  <w:tcW w:w="893" w:type="pct"/>
                  <w:vAlign w:val="center"/>
                </w:tcPr>
                <w:p w14:paraId="04B725C7">
                  <w:pPr>
                    <w:jc w:val="center"/>
                    <w:rPr>
                      <w:szCs w:val="21"/>
                    </w:rPr>
                  </w:pPr>
                  <w:r>
                    <w:rPr>
                      <w:szCs w:val="21"/>
                    </w:rPr>
                    <w:t>0</w:t>
                  </w:r>
                </w:p>
              </w:tc>
            </w:tr>
            <w:tr w14:paraId="105DF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1" w:type="pct"/>
                  <w:vAlign w:val="center"/>
                </w:tcPr>
                <w:p w14:paraId="4EF34FAD">
                  <w:pPr>
                    <w:jc w:val="center"/>
                    <w:rPr>
                      <w:szCs w:val="21"/>
                    </w:rPr>
                  </w:pPr>
                  <w:r>
                    <w:rPr>
                      <w:szCs w:val="21"/>
                    </w:rPr>
                    <w:t>标准值</w:t>
                  </w:r>
                </w:p>
              </w:tc>
              <w:tc>
                <w:tcPr>
                  <w:tcW w:w="884" w:type="pct"/>
                  <w:vAlign w:val="center"/>
                </w:tcPr>
                <w:p w14:paraId="674487D9">
                  <w:pPr>
                    <w:jc w:val="center"/>
                    <w:rPr>
                      <w:szCs w:val="21"/>
                    </w:rPr>
                  </w:pPr>
                  <w:r>
                    <w:rPr>
                      <w:szCs w:val="21"/>
                    </w:rPr>
                    <w:t>III类</w:t>
                  </w:r>
                </w:p>
              </w:tc>
              <w:tc>
                <w:tcPr>
                  <w:tcW w:w="885" w:type="pct"/>
                  <w:vAlign w:val="center"/>
                </w:tcPr>
                <w:p w14:paraId="4B1C79A1">
                  <w:pPr>
                    <w:jc w:val="center"/>
                    <w:rPr>
                      <w:szCs w:val="21"/>
                    </w:rPr>
                  </w:pPr>
                  <w:r>
                    <w:rPr>
                      <w:szCs w:val="21"/>
                    </w:rPr>
                    <w:t>6</w:t>
                  </w:r>
                  <w:r>
                    <w:rPr>
                      <w:rFonts w:hint="eastAsia"/>
                      <w:szCs w:val="21"/>
                    </w:rPr>
                    <w:t>~</w:t>
                  </w:r>
                  <w:r>
                    <w:rPr>
                      <w:szCs w:val="21"/>
                    </w:rPr>
                    <w:t>9</w:t>
                  </w:r>
                </w:p>
              </w:tc>
              <w:tc>
                <w:tcPr>
                  <w:tcW w:w="770" w:type="pct"/>
                  <w:vAlign w:val="center"/>
                </w:tcPr>
                <w:p w14:paraId="1E73019D">
                  <w:pPr>
                    <w:jc w:val="center"/>
                    <w:rPr>
                      <w:szCs w:val="21"/>
                    </w:rPr>
                  </w:pPr>
                  <w:r>
                    <w:rPr>
                      <w:szCs w:val="21"/>
                    </w:rPr>
                    <w:t>20</w:t>
                  </w:r>
                </w:p>
              </w:tc>
              <w:tc>
                <w:tcPr>
                  <w:tcW w:w="884" w:type="pct"/>
                  <w:vAlign w:val="center"/>
                </w:tcPr>
                <w:p w14:paraId="3D119BA2">
                  <w:pPr>
                    <w:jc w:val="center"/>
                    <w:rPr>
                      <w:szCs w:val="21"/>
                    </w:rPr>
                  </w:pPr>
                  <w:r>
                    <w:rPr>
                      <w:szCs w:val="21"/>
                    </w:rPr>
                    <w:t>1.0</w:t>
                  </w:r>
                </w:p>
              </w:tc>
              <w:tc>
                <w:tcPr>
                  <w:tcW w:w="893" w:type="pct"/>
                  <w:vAlign w:val="center"/>
                </w:tcPr>
                <w:p w14:paraId="678C6726">
                  <w:pPr>
                    <w:jc w:val="center"/>
                    <w:rPr>
                      <w:szCs w:val="21"/>
                    </w:rPr>
                  </w:pPr>
                  <w:r>
                    <w:rPr>
                      <w:szCs w:val="21"/>
                    </w:rPr>
                    <w:t>0.2</w:t>
                  </w:r>
                </w:p>
              </w:tc>
            </w:tr>
          </w:tbl>
          <w:p w14:paraId="0041C451">
            <w:pPr>
              <w:spacing w:line="480" w:lineRule="exact"/>
              <w:ind w:firstLine="480" w:firstLineChars="200"/>
              <w:rPr>
                <w:sz w:val="24"/>
              </w:rPr>
            </w:pPr>
            <w:r>
              <w:rPr>
                <w:sz w:val="24"/>
              </w:rPr>
              <w:t>由表3-3可知，</w:t>
            </w:r>
            <w:r>
              <w:rPr>
                <w:rFonts w:hint="eastAsia"/>
                <w:sz w:val="24"/>
              </w:rPr>
              <w:t>通济河</w:t>
            </w:r>
            <w:r>
              <w:rPr>
                <w:sz w:val="24"/>
              </w:rPr>
              <w:t>各监测断面中pH、化学需氧量、氨氮、总磷均能够达到《地表水环境质量标准》（GB3838-2002）III类水质标准，说明区域水环境质量较好。</w:t>
            </w:r>
          </w:p>
          <w:p w14:paraId="7614FAF0">
            <w:pPr>
              <w:snapToGrid w:val="0"/>
              <w:spacing w:line="480" w:lineRule="exact"/>
              <w:ind w:firstLine="482" w:firstLineChars="200"/>
              <w:rPr>
                <w:b/>
                <w:bCs/>
                <w:sz w:val="24"/>
              </w:rPr>
            </w:pPr>
            <w:r>
              <w:rPr>
                <w:b/>
                <w:bCs/>
                <w:sz w:val="24"/>
              </w:rPr>
              <w:t>2、环境空气质量现状</w:t>
            </w:r>
          </w:p>
          <w:p w14:paraId="1DEBCD24">
            <w:pPr>
              <w:spacing w:line="480" w:lineRule="exact"/>
              <w:ind w:firstLine="480" w:firstLineChars="200"/>
              <w:rPr>
                <w:sz w:val="24"/>
              </w:rPr>
            </w:pPr>
            <w:r>
              <w:rPr>
                <w:sz w:val="24"/>
              </w:rPr>
              <w:t>（1）大气环境质量标准</w:t>
            </w:r>
          </w:p>
          <w:p w14:paraId="7A299AFE">
            <w:pPr>
              <w:pStyle w:val="99"/>
              <w:autoSpaceDE w:val="0"/>
              <w:autoSpaceDN w:val="0"/>
              <w:spacing w:line="480" w:lineRule="exact"/>
              <w:ind w:firstLine="480"/>
              <w:jc w:val="both"/>
              <w:rPr>
                <w:rFonts w:ascii="Times New Roman" w:hAnsi="Times New Roman" w:cs="Times New Roman"/>
                <w:szCs w:val="24"/>
              </w:rPr>
            </w:pPr>
            <w:r>
              <w:rPr>
                <w:rFonts w:ascii="Times New Roman" w:hAnsi="Times New Roman" w:cs="Times New Roman"/>
                <w:szCs w:val="24"/>
              </w:rPr>
              <w:t>根据《常州市环境空气质量功能区划分规定（2017）》（常政发</w:t>
            </w:r>
            <w:r>
              <w:rPr>
                <w:rFonts w:hint="eastAsia" w:ascii="Times New Roman" w:hAnsi="Times New Roman" w:cs="Times New Roman"/>
                <w:szCs w:val="24"/>
              </w:rPr>
              <w:t>〔2017〕160号</w:t>
            </w:r>
            <w:r>
              <w:rPr>
                <w:rFonts w:ascii="Times New Roman" w:hAnsi="Times New Roman" w:cs="Times New Roman"/>
                <w:szCs w:val="24"/>
              </w:rPr>
              <w:t>），本项目所在地空气质量功能区为二类区，常规大气污染物执行《环境空气质量标准》（GB3095-2012）中二级标准，环境空气中SO</w:t>
            </w:r>
            <w:r>
              <w:rPr>
                <w:rFonts w:ascii="Times New Roman" w:hAnsi="Times New Roman" w:cs="Times New Roman"/>
                <w:szCs w:val="24"/>
                <w:vertAlign w:val="subscript"/>
              </w:rPr>
              <w:t>2</w:t>
            </w:r>
            <w:r>
              <w:rPr>
                <w:rFonts w:ascii="Times New Roman" w:hAnsi="Times New Roman" w:cs="Times New Roman"/>
                <w:szCs w:val="24"/>
              </w:rPr>
              <w:t>、NO</w:t>
            </w:r>
            <w:r>
              <w:rPr>
                <w:rFonts w:ascii="Times New Roman" w:hAnsi="Times New Roman" w:cs="Times New Roman"/>
                <w:szCs w:val="24"/>
                <w:vertAlign w:val="subscript"/>
              </w:rPr>
              <w:t>2</w:t>
            </w:r>
            <w:r>
              <w:rPr>
                <w:rFonts w:ascii="Times New Roman" w:hAnsi="Times New Roman" w:cs="Times New Roman"/>
                <w:szCs w:val="24"/>
              </w:rPr>
              <w:t>、CO、O</w:t>
            </w:r>
            <w:r>
              <w:rPr>
                <w:rFonts w:ascii="Times New Roman" w:hAnsi="Times New Roman" w:cs="Times New Roman"/>
                <w:szCs w:val="24"/>
                <w:vertAlign w:val="subscript"/>
              </w:rPr>
              <w:t>3</w:t>
            </w:r>
            <w:r>
              <w:rPr>
                <w:rFonts w:ascii="Times New Roman" w:hAnsi="Times New Roman" w:cs="Times New Roman"/>
                <w:szCs w:val="24"/>
              </w:rPr>
              <w:t>、PM</w:t>
            </w:r>
            <w:r>
              <w:rPr>
                <w:rFonts w:ascii="Times New Roman" w:hAnsi="Times New Roman" w:cs="Times New Roman"/>
                <w:szCs w:val="24"/>
                <w:vertAlign w:val="subscript"/>
              </w:rPr>
              <w:t>10</w:t>
            </w:r>
            <w:r>
              <w:rPr>
                <w:rFonts w:ascii="Times New Roman" w:hAnsi="Times New Roman" w:cs="Times New Roman"/>
                <w:szCs w:val="24"/>
              </w:rPr>
              <w:t>、PM</w:t>
            </w:r>
            <w:r>
              <w:rPr>
                <w:rFonts w:ascii="Times New Roman" w:hAnsi="Times New Roman" w:cs="Times New Roman"/>
                <w:szCs w:val="24"/>
                <w:vertAlign w:val="subscript"/>
              </w:rPr>
              <w:t>2.5</w:t>
            </w:r>
            <w:r>
              <w:rPr>
                <w:rFonts w:ascii="Times New Roman" w:hAnsi="Times New Roman" w:cs="Times New Roman"/>
                <w:szCs w:val="24"/>
              </w:rPr>
              <w:t>执行《环境空气质量标准》（GB3095-2012）表1中的二级标准。具体标准见表3-4。</w:t>
            </w:r>
          </w:p>
          <w:p w14:paraId="292BF5F7">
            <w:pPr>
              <w:pStyle w:val="6"/>
              <w:adjustRightInd/>
              <w:snapToGrid/>
              <w:spacing w:line="480" w:lineRule="exact"/>
              <w:ind w:firstLine="0" w:firstLineChars="0"/>
              <w:jc w:val="center"/>
              <w:rPr>
                <w:b/>
                <w:bCs/>
                <w:color w:val="auto"/>
                <w:sz w:val="24"/>
              </w:rPr>
            </w:pPr>
            <w:r>
              <w:rPr>
                <w:b/>
                <w:bCs/>
                <w:color w:val="auto"/>
                <w:sz w:val="24"/>
              </w:rPr>
              <w:t>表3-4  环境空气质量标准</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910"/>
              <w:gridCol w:w="1019"/>
              <w:gridCol w:w="907"/>
              <w:gridCol w:w="1511"/>
              <w:gridCol w:w="1593"/>
              <w:gridCol w:w="2445"/>
            </w:tblGrid>
            <w:tr w14:paraId="18417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vMerge w:val="restart"/>
                  <w:vAlign w:val="center"/>
                </w:tcPr>
                <w:p w14:paraId="1687C998">
                  <w:pPr>
                    <w:pStyle w:val="113"/>
                    <w:rPr>
                      <w:b/>
                      <w:szCs w:val="21"/>
                    </w:rPr>
                  </w:pPr>
                  <w:r>
                    <w:rPr>
                      <w:b/>
                      <w:szCs w:val="21"/>
                    </w:rPr>
                    <w:t>序号</w:t>
                  </w:r>
                </w:p>
              </w:tc>
              <w:tc>
                <w:tcPr>
                  <w:tcW w:w="509" w:type="pct"/>
                  <w:vMerge w:val="restart"/>
                  <w:vAlign w:val="center"/>
                </w:tcPr>
                <w:p w14:paraId="724D7CEB">
                  <w:pPr>
                    <w:pStyle w:val="113"/>
                    <w:rPr>
                      <w:b/>
                      <w:szCs w:val="21"/>
                    </w:rPr>
                  </w:pPr>
                  <w:r>
                    <w:rPr>
                      <w:b/>
                      <w:szCs w:val="21"/>
                    </w:rPr>
                    <w:t>污染物</w:t>
                  </w:r>
                </w:p>
              </w:tc>
              <w:tc>
                <w:tcPr>
                  <w:tcW w:w="570" w:type="pct"/>
                  <w:vMerge w:val="restart"/>
                  <w:vAlign w:val="center"/>
                </w:tcPr>
                <w:p w14:paraId="21BE4620">
                  <w:pPr>
                    <w:pStyle w:val="113"/>
                    <w:rPr>
                      <w:b/>
                      <w:szCs w:val="21"/>
                    </w:rPr>
                  </w:pPr>
                  <w:r>
                    <w:rPr>
                      <w:b/>
                      <w:szCs w:val="21"/>
                    </w:rPr>
                    <w:t>单位</w:t>
                  </w:r>
                </w:p>
              </w:tc>
              <w:tc>
                <w:tcPr>
                  <w:tcW w:w="2243" w:type="pct"/>
                  <w:gridSpan w:val="3"/>
                  <w:vAlign w:val="center"/>
                </w:tcPr>
                <w:p w14:paraId="1B94EBC1">
                  <w:pPr>
                    <w:pStyle w:val="113"/>
                    <w:rPr>
                      <w:b/>
                      <w:szCs w:val="21"/>
                    </w:rPr>
                  </w:pPr>
                  <w:r>
                    <w:rPr>
                      <w:b/>
                      <w:szCs w:val="21"/>
                    </w:rPr>
                    <w:t>浓度限值</w:t>
                  </w:r>
                </w:p>
              </w:tc>
              <w:tc>
                <w:tcPr>
                  <w:tcW w:w="1367" w:type="pct"/>
                  <w:vMerge w:val="restart"/>
                  <w:vAlign w:val="center"/>
                </w:tcPr>
                <w:p w14:paraId="3B251272">
                  <w:pPr>
                    <w:pStyle w:val="113"/>
                    <w:rPr>
                      <w:b/>
                      <w:szCs w:val="21"/>
                    </w:rPr>
                  </w:pPr>
                  <w:r>
                    <w:rPr>
                      <w:b/>
                      <w:szCs w:val="21"/>
                    </w:rPr>
                    <w:t>标准来源</w:t>
                  </w:r>
                </w:p>
              </w:tc>
            </w:tr>
            <w:tr w14:paraId="28E85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vMerge w:val="continue"/>
                  <w:vAlign w:val="center"/>
                </w:tcPr>
                <w:p w14:paraId="22628976">
                  <w:pPr>
                    <w:pStyle w:val="113"/>
                    <w:rPr>
                      <w:szCs w:val="21"/>
                    </w:rPr>
                  </w:pPr>
                </w:p>
              </w:tc>
              <w:tc>
                <w:tcPr>
                  <w:tcW w:w="509" w:type="pct"/>
                  <w:vMerge w:val="continue"/>
                  <w:vAlign w:val="center"/>
                </w:tcPr>
                <w:p w14:paraId="39403248">
                  <w:pPr>
                    <w:pStyle w:val="113"/>
                    <w:rPr>
                      <w:szCs w:val="21"/>
                    </w:rPr>
                  </w:pPr>
                </w:p>
              </w:tc>
              <w:tc>
                <w:tcPr>
                  <w:tcW w:w="570" w:type="pct"/>
                  <w:vMerge w:val="continue"/>
                  <w:vAlign w:val="center"/>
                </w:tcPr>
                <w:p w14:paraId="6ED5D9C2">
                  <w:pPr>
                    <w:pStyle w:val="113"/>
                    <w:rPr>
                      <w:szCs w:val="21"/>
                    </w:rPr>
                  </w:pPr>
                </w:p>
              </w:tc>
              <w:tc>
                <w:tcPr>
                  <w:tcW w:w="507" w:type="pct"/>
                  <w:vAlign w:val="center"/>
                </w:tcPr>
                <w:p w14:paraId="1D0FCD02">
                  <w:pPr>
                    <w:pStyle w:val="113"/>
                    <w:rPr>
                      <w:b/>
                      <w:szCs w:val="21"/>
                    </w:rPr>
                  </w:pPr>
                  <w:r>
                    <w:rPr>
                      <w:b/>
                      <w:szCs w:val="21"/>
                    </w:rPr>
                    <w:t>年平均</w:t>
                  </w:r>
                </w:p>
              </w:tc>
              <w:tc>
                <w:tcPr>
                  <w:tcW w:w="845" w:type="pct"/>
                  <w:vAlign w:val="center"/>
                </w:tcPr>
                <w:p w14:paraId="02387E00">
                  <w:pPr>
                    <w:pStyle w:val="113"/>
                    <w:rPr>
                      <w:b/>
                      <w:szCs w:val="21"/>
                    </w:rPr>
                  </w:pPr>
                  <w:r>
                    <w:rPr>
                      <w:b/>
                      <w:szCs w:val="21"/>
                    </w:rPr>
                    <w:t>24小时平均</w:t>
                  </w:r>
                </w:p>
              </w:tc>
              <w:tc>
                <w:tcPr>
                  <w:tcW w:w="891" w:type="pct"/>
                  <w:vAlign w:val="center"/>
                </w:tcPr>
                <w:p w14:paraId="4C468949">
                  <w:pPr>
                    <w:pStyle w:val="113"/>
                    <w:rPr>
                      <w:b/>
                      <w:szCs w:val="21"/>
                    </w:rPr>
                  </w:pPr>
                  <w:r>
                    <w:rPr>
                      <w:b/>
                      <w:szCs w:val="21"/>
                    </w:rPr>
                    <w:t>1小时平均</w:t>
                  </w:r>
                </w:p>
              </w:tc>
              <w:tc>
                <w:tcPr>
                  <w:tcW w:w="1367" w:type="pct"/>
                  <w:vMerge w:val="continue"/>
                  <w:vAlign w:val="center"/>
                </w:tcPr>
                <w:p w14:paraId="490D93B5">
                  <w:pPr>
                    <w:pStyle w:val="113"/>
                    <w:rPr>
                      <w:szCs w:val="21"/>
                    </w:rPr>
                  </w:pPr>
                </w:p>
              </w:tc>
            </w:tr>
            <w:tr w14:paraId="306A1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vAlign w:val="center"/>
                </w:tcPr>
                <w:p w14:paraId="755B7E10">
                  <w:pPr>
                    <w:pStyle w:val="113"/>
                    <w:rPr>
                      <w:szCs w:val="21"/>
                    </w:rPr>
                  </w:pPr>
                  <w:r>
                    <w:rPr>
                      <w:szCs w:val="21"/>
                    </w:rPr>
                    <w:t>1</w:t>
                  </w:r>
                </w:p>
              </w:tc>
              <w:tc>
                <w:tcPr>
                  <w:tcW w:w="509" w:type="pct"/>
                  <w:vAlign w:val="center"/>
                </w:tcPr>
                <w:p w14:paraId="52001097">
                  <w:pPr>
                    <w:pStyle w:val="113"/>
                    <w:rPr>
                      <w:szCs w:val="21"/>
                    </w:rPr>
                  </w:pPr>
                  <w:r>
                    <w:rPr>
                      <w:szCs w:val="21"/>
                    </w:rPr>
                    <w:t>SO</w:t>
                  </w:r>
                  <w:r>
                    <w:rPr>
                      <w:szCs w:val="21"/>
                      <w:vertAlign w:val="subscript"/>
                    </w:rPr>
                    <w:t>2</w:t>
                  </w:r>
                </w:p>
              </w:tc>
              <w:tc>
                <w:tcPr>
                  <w:tcW w:w="570" w:type="pct"/>
                  <w:vMerge w:val="restart"/>
                  <w:vAlign w:val="center"/>
                </w:tcPr>
                <w:p w14:paraId="67895688">
                  <w:pPr>
                    <w:pStyle w:val="113"/>
                    <w:rPr>
                      <w:szCs w:val="21"/>
                    </w:rPr>
                  </w:pPr>
                  <w:r>
                    <w:rPr>
                      <w:szCs w:val="21"/>
                    </w:rPr>
                    <w:t>μg/m³</w:t>
                  </w:r>
                </w:p>
              </w:tc>
              <w:tc>
                <w:tcPr>
                  <w:tcW w:w="507" w:type="pct"/>
                  <w:vAlign w:val="center"/>
                </w:tcPr>
                <w:p w14:paraId="1AC98BE8">
                  <w:pPr>
                    <w:pStyle w:val="113"/>
                    <w:rPr>
                      <w:szCs w:val="21"/>
                    </w:rPr>
                  </w:pPr>
                  <w:r>
                    <w:rPr>
                      <w:szCs w:val="21"/>
                    </w:rPr>
                    <w:t>60</w:t>
                  </w:r>
                </w:p>
              </w:tc>
              <w:tc>
                <w:tcPr>
                  <w:tcW w:w="845" w:type="pct"/>
                  <w:vAlign w:val="center"/>
                </w:tcPr>
                <w:p w14:paraId="4108F75B">
                  <w:pPr>
                    <w:pStyle w:val="113"/>
                    <w:rPr>
                      <w:szCs w:val="21"/>
                    </w:rPr>
                  </w:pPr>
                  <w:r>
                    <w:rPr>
                      <w:szCs w:val="21"/>
                    </w:rPr>
                    <w:t>150</w:t>
                  </w:r>
                </w:p>
              </w:tc>
              <w:tc>
                <w:tcPr>
                  <w:tcW w:w="891" w:type="pct"/>
                  <w:vAlign w:val="center"/>
                </w:tcPr>
                <w:p w14:paraId="1006411E">
                  <w:pPr>
                    <w:pStyle w:val="113"/>
                    <w:rPr>
                      <w:szCs w:val="21"/>
                    </w:rPr>
                  </w:pPr>
                  <w:r>
                    <w:rPr>
                      <w:szCs w:val="21"/>
                    </w:rPr>
                    <w:t>500</w:t>
                  </w:r>
                </w:p>
              </w:tc>
              <w:tc>
                <w:tcPr>
                  <w:tcW w:w="1367" w:type="pct"/>
                  <w:vMerge w:val="restart"/>
                  <w:vAlign w:val="center"/>
                </w:tcPr>
                <w:p w14:paraId="5AFCD451">
                  <w:pPr>
                    <w:pStyle w:val="113"/>
                    <w:rPr>
                      <w:szCs w:val="21"/>
                    </w:rPr>
                  </w:pPr>
                  <w:r>
                    <w:rPr>
                      <w:szCs w:val="21"/>
                    </w:rPr>
                    <w:t>《环境空气质量标准》（GB3095-2012）（二级）</w:t>
                  </w:r>
                </w:p>
              </w:tc>
            </w:tr>
            <w:tr w14:paraId="5DE07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vAlign w:val="center"/>
                </w:tcPr>
                <w:p w14:paraId="72348C08">
                  <w:pPr>
                    <w:pStyle w:val="113"/>
                    <w:rPr>
                      <w:szCs w:val="21"/>
                    </w:rPr>
                  </w:pPr>
                  <w:r>
                    <w:rPr>
                      <w:szCs w:val="21"/>
                    </w:rPr>
                    <w:t>2</w:t>
                  </w:r>
                </w:p>
              </w:tc>
              <w:tc>
                <w:tcPr>
                  <w:tcW w:w="509" w:type="pct"/>
                  <w:vAlign w:val="center"/>
                </w:tcPr>
                <w:p w14:paraId="64ECF5DB">
                  <w:pPr>
                    <w:pStyle w:val="113"/>
                    <w:rPr>
                      <w:szCs w:val="21"/>
                    </w:rPr>
                  </w:pPr>
                  <w:r>
                    <w:rPr>
                      <w:szCs w:val="21"/>
                    </w:rPr>
                    <w:t>NO</w:t>
                  </w:r>
                  <w:r>
                    <w:rPr>
                      <w:szCs w:val="21"/>
                      <w:vertAlign w:val="subscript"/>
                    </w:rPr>
                    <w:t>2</w:t>
                  </w:r>
                </w:p>
              </w:tc>
              <w:tc>
                <w:tcPr>
                  <w:tcW w:w="570" w:type="pct"/>
                  <w:vMerge w:val="continue"/>
                  <w:vAlign w:val="center"/>
                </w:tcPr>
                <w:p w14:paraId="71A0C293">
                  <w:pPr>
                    <w:pStyle w:val="113"/>
                    <w:rPr>
                      <w:szCs w:val="21"/>
                    </w:rPr>
                  </w:pPr>
                </w:p>
              </w:tc>
              <w:tc>
                <w:tcPr>
                  <w:tcW w:w="507" w:type="pct"/>
                  <w:vAlign w:val="center"/>
                </w:tcPr>
                <w:p w14:paraId="3F557072">
                  <w:pPr>
                    <w:pStyle w:val="113"/>
                    <w:rPr>
                      <w:szCs w:val="21"/>
                    </w:rPr>
                  </w:pPr>
                  <w:r>
                    <w:rPr>
                      <w:szCs w:val="21"/>
                    </w:rPr>
                    <w:t>40</w:t>
                  </w:r>
                </w:p>
              </w:tc>
              <w:tc>
                <w:tcPr>
                  <w:tcW w:w="845" w:type="pct"/>
                  <w:vAlign w:val="center"/>
                </w:tcPr>
                <w:p w14:paraId="4BC7A6BF">
                  <w:pPr>
                    <w:pStyle w:val="113"/>
                    <w:rPr>
                      <w:szCs w:val="21"/>
                    </w:rPr>
                  </w:pPr>
                  <w:r>
                    <w:rPr>
                      <w:szCs w:val="21"/>
                    </w:rPr>
                    <w:t>80</w:t>
                  </w:r>
                </w:p>
              </w:tc>
              <w:tc>
                <w:tcPr>
                  <w:tcW w:w="891" w:type="pct"/>
                  <w:vAlign w:val="center"/>
                </w:tcPr>
                <w:p w14:paraId="4554C55A">
                  <w:pPr>
                    <w:pStyle w:val="113"/>
                    <w:rPr>
                      <w:szCs w:val="21"/>
                    </w:rPr>
                  </w:pPr>
                  <w:r>
                    <w:rPr>
                      <w:szCs w:val="21"/>
                    </w:rPr>
                    <w:t>200</w:t>
                  </w:r>
                </w:p>
              </w:tc>
              <w:tc>
                <w:tcPr>
                  <w:tcW w:w="1367" w:type="pct"/>
                  <w:vMerge w:val="continue"/>
                  <w:vAlign w:val="center"/>
                </w:tcPr>
                <w:p w14:paraId="6023F0F9">
                  <w:pPr>
                    <w:pStyle w:val="113"/>
                    <w:rPr>
                      <w:szCs w:val="21"/>
                    </w:rPr>
                  </w:pPr>
                </w:p>
              </w:tc>
            </w:tr>
            <w:tr w14:paraId="31F15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vAlign w:val="center"/>
                </w:tcPr>
                <w:p w14:paraId="06D49AAB">
                  <w:pPr>
                    <w:pStyle w:val="113"/>
                    <w:rPr>
                      <w:szCs w:val="21"/>
                    </w:rPr>
                  </w:pPr>
                  <w:r>
                    <w:rPr>
                      <w:szCs w:val="21"/>
                    </w:rPr>
                    <w:t>3</w:t>
                  </w:r>
                </w:p>
              </w:tc>
              <w:tc>
                <w:tcPr>
                  <w:tcW w:w="509" w:type="pct"/>
                  <w:vAlign w:val="center"/>
                </w:tcPr>
                <w:p w14:paraId="253E42D4">
                  <w:pPr>
                    <w:pStyle w:val="113"/>
                    <w:rPr>
                      <w:szCs w:val="21"/>
                    </w:rPr>
                  </w:pPr>
                  <w:r>
                    <w:rPr>
                      <w:szCs w:val="21"/>
                    </w:rPr>
                    <w:t>NO</w:t>
                  </w:r>
                  <w:r>
                    <w:rPr>
                      <w:szCs w:val="21"/>
                      <w:vertAlign w:val="subscript"/>
                    </w:rPr>
                    <w:t>x</w:t>
                  </w:r>
                </w:p>
              </w:tc>
              <w:tc>
                <w:tcPr>
                  <w:tcW w:w="570" w:type="pct"/>
                  <w:vMerge w:val="continue"/>
                  <w:vAlign w:val="center"/>
                </w:tcPr>
                <w:p w14:paraId="6096750A">
                  <w:pPr>
                    <w:pStyle w:val="113"/>
                    <w:rPr>
                      <w:szCs w:val="21"/>
                    </w:rPr>
                  </w:pPr>
                </w:p>
              </w:tc>
              <w:tc>
                <w:tcPr>
                  <w:tcW w:w="507" w:type="pct"/>
                  <w:vAlign w:val="center"/>
                </w:tcPr>
                <w:p w14:paraId="0714D90D">
                  <w:pPr>
                    <w:pStyle w:val="113"/>
                    <w:rPr>
                      <w:szCs w:val="21"/>
                    </w:rPr>
                  </w:pPr>
                  <w:r>
                    <w:rPr>
                      <w:szCs w:val="21"/>
                    </w:rPr>
                    <w:t>50</w:t>
                  </w:r>
                </w:p>
              </w:tc>
              <w:tc>
                <w:tcPr>
                  <w:tcW w:w="845" w:type="pct"/>
                  <w:vAlign w:val="center"/>
                </w:tcPr>
                <w:p w14:paraId="45D78816">
                  <w:pPr>
                    <w:pStyle w:val="113"/>
                    <w:rPr>
                      <w:szCs w:val="21"/>
                    </w:rPr>
                  </w:pPr>
                  <w:r>
                    <w:rPr>
                      <w:szCs w:val="21"/>
                    </w:rPr>
                    <w:t>100</w:t>
                  </w:r>
                </w:p>
              </w:tc>
              <w:tc>
                <w:tcPr>
                  <w:tcW w:w="891" w:type="pct"/>
                  <w:vAlign w:val="center"/>
                </w:tcPr>
                <w:p w14:paraId="788C8EF4">
                  <w:pPr>
                    <w:pStyle w:val="113"/>
                    <w:rPr>
                      <w:szCs w:val="21"/>
                    </w:rPr>
                  </w:pPr>
                  <w:r>
                    <w:rPr>
                      <w:szCs w:val="21"/>
                    </w:rPr>
                    <w:t>250</w:t>
                  </w:r>
                </w:p>
              </w:tc>
              <w:tc>
                <w:tcPr>
                  <w:tcW w:w="1367" w:type="pct"/>
                  <w:vMerge w:val="continue"/>
                  <w:vAlign w:val="center"/>
                </w:tcPr>
                <w:p w14:paraId="4355141C">
                  <w:pPr>
                    <w:pStyle w:val="113"/>
                    <w:rPr>
                      <w:szCs w:val="21"/>
                    </w:rPr>
                  </w:pPr>
                </w:p>
              </w:tc>
            </w:tr>
            <w:tr w14:paraId="1A0E1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vAlign w:val="center"/>
                </w:tcPr>
                <w:p w14:paraId="13C4FBAD">
                  <w:pPr>
                    <w:pStyle w:val="113"/>
                    <w:rPr>
                      <w:szCs w:val="21"/>
                    </w:rPr>
                  </w:pPr>
                  <w:r>
                    <w:rPr>
                      <w:szCs w:val="21"/>
                    </w:rPr>
                    <w:t>4</w:t>
                  </w:r>
                </w:p>
              </w:tc>
              <w:tc>
                <w:tcPr>
                  <w:tcW w:w="509" w:type="pct"/>
                  <w:vAlign w:val="center"/>
                </w:tcPr>
                <w:p w14:paraId="06F7D506">
                  <w:pPr>
                    <w:pStyle w:val="113"/>
                    <w:rPr>
                      <w:szCs w:val="21"/>
                    </w:rPr>
                  </w:pPr>
                  <w:r>
                    <w:rPr>
                      <w:szCs w:val="21"/>
                    </w:rPr>
                    <w:t>PM</w:t>
                  </w:r>
                  <w:r>
                    <w:rPr>
                      <w:szCs w:val="21"/>
                      <w:vertAlign w:val="subscript"/>
                    </w:rPr>
                    <w:t>10</w:t>
                  </w:r>
                </w:p>
              </w:tc>
              <w:tc>
                <w:tcPr>
                  <w:tcW w:w="570" w:type="pct"/>
                  <w:vMerge w:val="continue"/>
                  <w:vAlign w:val="center"/>
                </w:tcPr>
                <w:p w14:paraId="6CB3EAFE">
                  <w:pPr>
                    <w:pStyle w:val="113"/>
                    <w:rPr>
                      <w:szCs w:val="21"/>
                    </w:rPr>
                  </w:pPr>
                </w:p>
              </w:tc>
              <w:tc>
                <w:tcPr>
                  <w:tcW w:w="507" w:type="pct"/>
                  <w:vAlign w:val="center"/>
                </w:tcPr>
                <w:p w14:paraId="4D4B0BBB">
                  <w:pPr>
                    <w:pStyle w:val="113"/>
                    <w:rPr>
                      <w:szCs w:val="21"/>
                    </w:rPr>
                  </w:pPr>
                  <w:r>
                    <w:rPr>
                      <w:szCs w:val="21"/>
                    </w:rPr>
                    <w:t>70</w:t>
                  </w:r>
                </w:p>
              </w:tc>
              <w:tc>
                <w:tcPr>
                  <w:tcW w:w="845" w:type="pct"/>
                  <w:vAlign w:val="center"/>
                </w:tcPr>
                <w:p w14:paraId="530DEFB5">
                  <w:pPr>
                    <w:pStyle w:val="113"/>
                    <w:rPr>
                      <w:szCs w:val="21"/>
                    </w:rPr>
                  </w:pPr>
                  <w:r>
                    <w:rPr>
                      <w:szCs w:val="21"/>
                    </w:rPr>
                    <w:t>150</w:t>
                  </w:r>
                </w:p>
              </w:tc>
              <w:tc>
                <w:tcPr>
                  <w:tcW w:w="891" w:type="pct"/>
                  <w:vAlign w:val="center"/>
                </w:tcPr>
                <w:p w14:paraId="58B1C65F">
                  <w:pPr>
                    <w:pStyle w:val="113"/>
                    <w:rPr>
                      <w:szCs w:val="21"/>
                    </w:rPr>
                  </w:pPr>
                  <w:r>
                    <w:rPr>
                      <w:szCs w:val="21"/>
                    </w:rPr>
                    <w:t>—</w:t>
                  </w:r>
                </w:p>
              </w:tc>
              <w:tc>
                <w:tcPr>
                  <w:tcW w:w="1367" w:type="pct"/>
                  <w:vMerge w:val="continue"/>
                  <w:vAlign w:val="center"/>
                </w:tcPr>
                <w:p w14:paraId="37141FA0">
                  <w:pPr>
                    <w:pStyle w:val="113"/>
                    <w:rPr>
                      <w:szCs w:val="21"/>
                    </w:rPr>
                  </w:pPr>
                </w:p>
              </w:tc>
            </w:tr>
            <w:tr w14:paraId="6F5EA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vAlign w:val="center"/>
                </w:tcPr>
                <w:p w14:paraId="2906F9BE">
                  <w:pPr>
                    <w:pStyle w:val="113"/>
                    <w:rPr>
                      <w:szCs w:val="21"/>
                    </w:rPr>
                  </w:pPr>
                  <w:r>
                    <w:rPr>
                      <w:szCs w:val="21"/>
                    </w:rPr>
                    <w:t>5</w:t>
                  </w:r>
                </w:p>
              </w:tc>
              <w:tc>
                <w:tcPr>
                  <w:tcW w:w="509" w:type="pct"/>
                  <w:vAlign w:val="center"/>
                </w:tcPr>
                <w:p w14:paraId="0BA7AB2B">
                  <w:pPr>
                    <w:pStyle w:val="113"/>
                    <w:rPr>
                      <w:szCs w:val="21"/>
                    </w:rPr>
                  </w:pPr>
                  <w:r>
                    <w:rPr>
                      <w:szCs w:val="21"/>
                    </w:rPr>
                    <w:t>PM</w:t>
                  </w:r>
                  <w:r>
                    <w:rPr>
                      <w:szCs w:val="21"/>
                      <w:vertAlign w:val="subscript"/>
                    </w:rPr>
                    <w:t>2.5</w:t>
                  </w:r>
                </w:p>
              </w:tc>
              <w:tc>
                <w:tcPr>
                  <w:tcW w:w="570" w:type="pct"/>
                  <w:vMerge w:val="continue"/>
                  <w:vAlign w:val="center"/>
                </w:tcPr>
                <w:p w14:paraId="3A5E4C7D">
                  <w:pPr>
                    <w:pStyle w:val="113"/>
                    <w:rPr>
                      <w:szCs w:val="21"/>
                    </w:rPr>
                  </w:pPr>
                </w:p>
              </w:tc>
              <w:tc>
                <w:tcPr>
                  <w:tcW w:w="507" w:type="pct"/>
                  <w:vAlign w:val="center"/>
                </w:tcPr>
                <w:p w14:paraId="4EA93645">
                  <w:pPr>
                    <w:pStyle w:val="113"/>
                    <w:rPr>
                      <w:szCs w:val="21"/>
                    </w:rPr>
                  </w:pPr>
                  <w:r>
                    <w:rPr>
                      <w:szCs w:val="21"/>
                    </w:rPr>
                    <w:t>35</w:t>
                  </w:r>
                </w:p>
              </w:tc>
              <w:tc>
                <w:tcPr>
                  <w:tcW w:w="845" w:type="pct"/>
                  <w:vAlign w:val="center"/>
                </w:tcPr>
                <w:p w14:paraId="4C93CD42">
                  <w:pPr>
                    <w:pStyle w:val="113"/>
                    <w:rPr>
                      <w:szCs w:val="21"/>
                    </w:rPr>
                  </w:pPr>
                  <w:r>
                    <w:rPr>
                      <w:szCs w:val="21"/>
                    </w:rPr>
                    <w:t>75</w:t>
                  </w:r>
                </w:p>
              </w:tc>
              <w:tc>
                <w:tcPr>
                  <w:tcW w:w="891" w:type="pct"/>
                  <w:vAlign w:val="center"/>
                </w:tcPr>
                <w:p w14:paraId="5D362ECC">
                  <w:pPr>
                    <w:pStyle w:val="113"/>
                    <w:rPr>
                      <w:szCs w:val="21"/>
                    </w:rPr>
                  </w:pPr>
                  <w:r>
                    <w:rPr>
                      <w:szCs w:val="21"/>
                    </w:rPr>
                    <w:t>—</w:t>
                  </w:r>
                </w:p>
              </w:tc>
              <w:tc>
                <w:tcPr>
                  <w:tcW w:w="1367" w:type="pct"/>
                  <w:vMerge w:val="continue"/>
                  <w:vAlign w:val="center"/>
                </w:tcPr>
                <w:p w14:paraId="02AE2F71">
                  <w:pPr>
                    <w:pStyle w:val="113"/>
                    <w:rPr>
                      <w:szCs w:val="21"/>
                    </w:rPr>
                  </w:pPr>
                </w:p>
              </w:tc>
            </w:tr>
            <w:tr w14:paraId="386C6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vAlign w:val="center"/>
                </w:tcPr>
                <w:p w14:paraId="1C6D0FFE">
                  <w:pPr>
                    <w:pStyle w:val="113"/>
                    <w:rPr>
                      <w:szCs w:val="21"/>
                    </w:rPr>
                  </w:pPr>
                  <w:r>
                    <w:rPr>
                      <w:szCs w:val="21"/>
                    </w:rPr>
                    <w:t>6</w:t>
                  </w:r>
                </w:p>
              </w:tc>
              <w:tc>
                <w:tcPr>
                  <w:tcW w:w="509" w:type="pct"/>
                  <w:vAlign w:val="center"/>
                </w:tcPr>
                <w:p w14:paraId="1F0B38D9">
                  <w:pPr>
                    <w:pStyle w:val="113"/>
                    <w:rPr>
                      <w:szCs w:val="21"/>
                    </w:rPr>
                  </w:pPr>
                  <w:r>
                    <w:rPr>
                      <w:szCs w:val="21"/>
                    </w:rPr>
                    <w:t>CO</w:t>
                  </w:r>
                </w:p>
              </w:tc>
              <w:tc>
                <w:tcPr>
                  <w:tcW w:w="570" w:type="pct"/>
                  <w:vAlign w:val="center"/>
                </w:tcPr>
                <w:p w14:paraId="0C90B1CE">
                  <w:pPr>
                    <w:pStyle w:val="113"/>
                    <w:rPr>
                      <w:szCs w:val="21"/>
                    </w:rPr>
                  </w:pPr>
                  <w:r>
                    <w:rPr>
                      <w:szCs w:val="21"/>
                    </w:rPr>
                    <w:t>mg/m³</w:t>
                  </w:r>
                </w:p>
              </w:tc>
              <w:tc>
                <w:tcPr>
                  <w:tcW w:w="507" w:type="pct"/>
                  <w:vAlign w:val="center"/>
                </w:tcPr>
                <w:p w14:paraId="2601DE90">
                  <w:pPr>
                    <w:pStyle w:val="113"/>
                    <w:rPr>
                      <w:szCs w:val="21"/>
                    </w:rPr>
                  </w:pPr>
                  <w:r>
                    <w:rPr>
                      <w:szCs w:val="21"/>
                    </w:rPr>
                    <w:t>—</w:t>
                  </w:r>
                </w:p>
              </w:tc>
              <w:tc>
                <w:tcPr>
                  <w:tcW w:w="845" w:type="pct"/>
                  <w:vAlign w:val="center"/>
                </w:tcPr>
                <w:p w14:paraId="30C41307">
                  <w:pPr>
                    <w:pStyle w:val="113"/>
                    <w:rPr>
                      <w:szCs w:val="21"/>
                    </w:rPr>
                  </w:pPr>
                  <w:r>
                    <w:rPr>
                      <w:szCs w:val="21"/>
                    </w:rPr>
                    <w:t>4</w:t>
                  </w:r>
                </w:p>
              </w:tc>
              <w:tc>
                <w:tcPr>
                  <w:tcW w:w="891" w:type="pct"/>
                  <w:vAlign w:val="center"/>
                </w:tcPr>
                <w:p w14:paraId="6D1ACFC7">
                  <w:pPr>
                    <w:pStyle w:val="113"/>
                    <w:rPr>
                      <w:szCs w:val="21"/>
                    </w:rPr>
                  </w:pPr>
                  <w:r>
                    <w:rPr>
                      <w:szCs w:val="21"/>
                    </w:rPr>
                    <w:t>10</w:t>
                  </w:r>
                </w:p>
              </w:tc>
              <w:tc>
                <w:tcPr>
                  <w:tcW w:w="1367" w:type="pct"/>
                  <w:vMerge w:val="continue"/>
                  <w:vAlign w:val="center"/>
                </w:tcPr>
                <w:p w14:paraId="38A1F623">
                  <w:pPr>
                    <w:pStyle w:val="113"/>
                    <w:rPr>
                      <w:szCs w:val="21"/>
                    </w:rPr>
                  </w:pPr>
                </w:p>
              </w:tc>
            </w:tr>
            <w:tr w14:paraId="24EA7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vAlign w:val="center"/>
                </w:tcPr>
                <w:p w14:paraId="317D94BF">
                  <w:pPr>
                    <w:pStyle w:val="113"/>
                    <w:rPr>
                      <w:szCs w:val="21"/>
                    </w:rPr>
                  </w:pPr>
                  <w:r>
                    <w:rPr>
                      <w:szCs w:val="21"/>
                    </w:rPr>
                    <w:t>7</w:t>
                  </w:r>
                </w:p>
              </w:tc>
              <w:tc>
                <w:tcPr>
                  <w:tcW w:w="509" w:type="pct"/>
                  <w:vAlign w:val="center"/>
                </w:tcPr>
                <w:p w14:paraId="39C0294C">
                  <w:pPr>
                    <w:pStyle w:val="113"/>
                    <w:rPr>
                      <w:szCs w:val="21"/>
                    </w:rPr>
                  </w:pPr>
                  <w:r>
                    <w:rPr>
                      <w:szCs w:val="21"/>
                    </w:rPr>
                    <w:t>O</w:t>
                  </w:r>
                  <w:r>
                    <w:rPr>
                      <w:szCs w:val="21"/>
                      <w:vertAlign w:val="subscript"/>
                    </w:rPr>
                    <w:t>3</w:t>
                  </w:r>
                </w:p>
              </w:tc>
              <w:tc>
                <w:tcPr>
                  <w:tcW w:w="570" w:type="pct"/>
                  <w:vMerge w:val="restart"/>
                  <w:vAlign w:val="center"/>
                </w:tcPr>
                <w:p w14:paraId="1BFD0E25">
                  <w:pPr>
                    <w:pStyle w:val="113"/>
                    <w:rPr>
                      <w:szCs w:val="21"/>
                    </w:rPr>
                  </w:pPr>
                  <w:r>
                    <w:rPr>
                      <w:szCs w:val="21"/>
                    </w:rPr>
                    <w:t>μg/m³</w:t>
                  </w:r>
                </w:p>
              </w:tc>
              <w:tc>
                <w:tcPr>
                  <w:tcW w:w="507" w:type="pct"/>
                  <w:vAlign w:val="center"/>
                </w:tcPr>
                <w:p w14:paraId="56146A7F">
                  <w:pPr>
                    <w:pStyle w:val="113"/>
                    <w:rPr>
                      <w:szCs w:val="21"/>
                    </w:rPr>
                  </w:pPr>
                  <w:r>
                    <w:rPr>
                      <w:szCs w:val="21"/>
                    </w:rPr>
                    <w:t>—</w:t>
                  </w:r>
                </w:p>
              </w:tc>
              <w:tc>
                <w:tcPr>
                  <w:tcW w:w="845" w:type="pct"/>
                  <w:vAlign w:val="center"/>
                </w:tcPr>
                <w:p w14:paraId="684667CC">
                  <w:pPr>
                    <w:pStyle w:val="113"/>
                    <w:rPr>
                      <w:szCs w:val="21"/>
                    </w:rPr>
                  </w:pPr>
                  <w:r>
                    <w:rPr>
                      <w:szCs w:val="21"/>
                    </w:rPr>
                    <w:t>160（8h平均）</w:t>
                  </w:r>
                </w:p>
              </w:tc>
              <w:tc>
                <w:tcPr>
                  <w:tcW w:w="891" w:type="pct"/>
                  <w:vAlign w:val="center"/>
                </w:tcPr>
                <w:p w14:paraId="7008D8E5">
                  <w:pPr>
                    <w:pStyle w:val="113"/>
                    <w:rPr>
                      <w:szCs w:val="21"/>
                    </w:rPr>
                  </w:pPr>
                  <w:r>
                    <w:rPr>
                      <w:szCs w:val="21"/>
                    </w:rPr>
                    <w:t>200</w:t>
                  </w:r>
                </w:p>
              </w:tc>
              <w:tc>
                <w:tcPr>
                  <w:tcW w:w="1367" w:type="pct"/>
                  <w:vMerge w:val="continue"/>
                  <w:vAlign w:val="center"/>
                </w:tcPr>
                <w:p w14:paraId="1E75B697">
                  <w:pPr>
                    <w:pStyle w:val="113"/>
                    <w:rPr>
                      <w:szCs w:val="21"/>
                    </w:rPr>
                  </w:pPr>
                </w:p>
              </w:tc>
            </w:tr>
            <w:tr w14:paraId="04CB2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vAlign w:val="center"/>
                </w:tcPr>
                <w:p w14:paraId="52506B9E">
                  <w:pPr>
                    <w:pStyle w:val="113"/>
                    <w:rPr>
                      <w:szCs w:val="21"/>
                    </w:rPr>
                  </w:pPr>
                  <w:r>
                    <w:rPr>
                      <w:szCs w:val="21"/>
                    </w:rPr>
                    <w:t>8</w:t>
                  </w:r>
                </w:p>
              </w:tc>
              <w:tc>
                <w:tcPr>
                  <w:tcW w:w="509" w:type="pct"/>
                  <w:vAlign w:val="center"/>
                </w:tcPr>
                <w:p w14:paraId="723D6FAD">
                  <w:pPr>
                    <w:pStyle w:val="113"/>
                    <w:rPr>
                      <w:szCs w:val="21"/>
                    </w:rPr>
                  </w:pPr>
                  <w:r>
                    <w:rPr>
                      <w:szCs w:val="21"/>
                    </w:rPr>
                    <w:t>TSP</w:t>
                  </w:r>
                </w:p>
              </w:tc>
              <w:tc>
                <w:tcPr>
                  <w:tcW w:w="570" w:type="pct"/>
                  <w:vMerge w:val="continue"/>
                  <w:vAlign w:val="center"/>
                </w:tcPr>
                <w:p w14:paraId="39F2338A">
                  <w:pPr>
                    <w:pStyle w:val="113"/>
                    <w:rPr>
                      <w:szCs w:val="21"/>
                    </w:rPr>
                  </w:pPr>
                </w:p>
              </w:tc>
              <w:tc>
                <w:tcPr>
                  <w:tcW w:w="507" w:type="pct"/>
                  <w:vAlign w:val="center"/>
                </w:tcPr>
                <w:p w14:paraId="1BAFF9FF">
                  <w:pPr>
                    <w:pStyle w:val="113"/>
                    <w:rPr>
                      <w:szCs w:val="21"/>
                    </w:rPr>
                  </w:pPr>
                  <w:r>
                    <w:rPr>
                      <w:szCs w:val="21"/>
                    </w:rPr>
                    <w:t>200</w:t>
                  </w:r>
                </w:p>
              </w:tc>
              <w:tc>
                <w:tcPr>
                  <w:tcW w:w="845" w:type="pct"/>
                  <w:vAlign w:val="center"/>
                </w:tcPr>
                <w:p w14:paraId="49165C57">
                  <w:pPr>
                    <w:pStyle w:val="113"/>
                    <w:rPr>
                      <w:szCs w:val="21"/>
                    </w:rPr>
                  </w:pPr>
                  <w:r>
                    <w:rPr>
                      <w:szCs w:val="21"/>
                    </w:rPr>
                    <w:t>300</w:t>
                  </w:r>
                </w:p>
              </w:tc>
              <w:tc>
                <w:tcPr>
                  <w:tcW w:w="891" w:type="pct"/>
                  <w:vAlign w:val="center"/>
                </w:tcPr>
                <w:p w14:paraId="79E151FD">
                  <w:pPr>
                    <w:pStyle w:val="113"/>
                    <w:rPr>
                      <w:szCs w:val="21"/>
                    </w:rPr>
                  </w:pPr>
                  <w:r>
                    <w:rPr>
                      <w:szCs w:val="21"/>
                    </w:rPr>
                    <w:t>—</w:t>
                  </w:r>
                </w:p>
              </w:tc>
              <w:tc>
                <w:tcPr>
                  <w:tcW w:w="1367" w:type="pct"/>
                  <w:vMerge w:val="continue"/>
                  <w:vAlign w:val="center"/>
                </w:tcPr>
                <w:p w14:paraId="541355B0">
                  <w:pPr>
                    <w:pStyle w:val="113"/>
                    <w:rPr>
                      <w:szCs w:val="21"/>
                    </w:rPr>
                  </w:pPr>
                </w:p>
              </w:tc>
            </w:tr>
            <w:tr w14:paraId="5D8B0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vAlign w:val="center"/>
                </w:tcPr>
                <w:p w14:paraId="00BD7FBA">
                  <w:pPr>
                    <w:pStyle w:val="113"/>
                    <w:rPr>
                      <w:szCs w:val="21"/>
                    </w:rPr>
                  </w:pPr>
                  <w:r>
                    <w:rPr>
                      <w:rFonts w:hint="eastAsia"/>
                      <w:szCs w:val="21"/>
                    </w:rPr>
                    <w:t>9</w:t>
                  </w:r>
                </w:p>
              </w:tc>
              <w:tc>
                <w:tcPr>
                  <w:tcW w:w="509" w:type="pct"/>
                  <w:vAlign w:val="center"/>
                </w:tcPr>
                <w:p w14:paraId="00D9A351">
                  <w:pPr>
                    <w:pStyle w:val="113"/>
                    <w:rPr>
                      <w:szCs w:val="21"/>
                    </w:rPr>
                  </w:pPr>
                  <w:r>
                    <w:rPr>
                      <w:szCs w:val="21"/>
                    </w:rPr>
                    <w:t>非甲烷总烃</w:t>
                  </w:r>
                </w:p>
              </w:tc>
              <w:tc>
                <w:tcPr>
                  <w:tcW w:w="570" w:type="pct"/>
                  <w:vAlign w:val="center"/>
                </w:tcPr>
                <w:p w14:paraId="385B1C5D">
                  <w:pPr>
                    <w:pStyle w:val="113"/>
                    <w:rPr>
                      <w:szCs w:val="21"/>
                    </w:rPr>
                  </w:pPr>
                  <w:r>
                    <w:rPr>
                      <w:szCs w:val="21"/>
                    </w:rPr>
                    <w:t>mg/Nm</w:t>
                  </w:r>
                  <w:r>
                    <w:rPr>
                      <w:szCs w:val="21"/>
                      <w:vertAlign w:val="superscript"/>
                    </w:rPr>
                    <w:t>3</w:t>
                  </w:r>
                </w:p>
              </w:tc>
              <w:tc>
                <w:tcPr>
                  <w:tcW w:w="507" w:type="pct"/>
                  <w:vAlign w:val="center"/>
                </w:tcPr>
                <w:p w14:paraId="1A5BFB22">
                  <w:pPr>
                    <w:pStyle w:val="113"/>
                    <w:rPr>
                      <w:szCs w:val="21"/>
                    </w:rPr>
                  </w:pPr>
                  <w:r>
                    <w:rPr>
                      <w:szCs w:val="21"/>
                    </w:rPr>
                    <w:t>—</w:t>
                  </w:r>
                </w:p>
              </w:tc>
              <w:tc>
                <w:tcPr>
                  <w:tcW w:w="845" w:type="pct"/>
                  <w:vAlign w:val="center"/>
                </w:tcPr>
                <w:p w14:paraId="55BDFC53">
                  <w:pPr>
                    <w:pStyle w:val="113"/>
                    <w:rPr>
                      <w:szCs w:val="21"/>
                    </w:rPr>
                  </w:pPr>
                  <w:r>
                    <w:rPr>
                      <w:szCs w:val="21"/>
                    </w:rPr>
                    <w:t>—</w:t>
                  </w:r>
                </w:p>
              </w:tc>
              <w:tc>
                <w:tcPr>
                  <w:tcW w:w="891" w:type="pct"/>
                  <w:vAlign w:val="center"/>
                </w:tcPr>
                <w:p w14:paraId="7485E619">
                  <w:pPr>
                    <w:pStyle w:val="113"/>
                    <w:rPr>
                      <w:szCs w:val="21"/>
                    </w:rPr>
                  </w:pPr>
                  <w:r>
                    <w:rPr>
                      <w:szCs w:val="21"/>
                    </w:rPr>
                    <w:t>2（一次）</w:t>
                  </w:r>
                </w:p>
              </w:tc>
              <w:tc>
                <w:tcPr>
                  <w:tcW w:w="1367" w:type="pct"/>
                  <w:vAlign w:val="center"/>
                </w:tcPr>
                <w:p w14:paraId="4FD94724">
                  <w:pPr>
                    <w:pStyle w:val="111"/>
                    <w:spacing w:beforeLines="0" w:line="240" w:lineRule="auto"/>
                    <w:ind w:firstLine="0" w:firstLineChars="0"/>
                    <w:jc w:val="center"/>
                    <w:rPr>
                      <w:sz w:val="21"/>
                      <w:szCs w:val="21"/>
                    </w:rPr>
                  </w:pPr>
                  <w:r>
                    <w:rPr>
                      <w:sz w:val="21"/>
                      <w:szCs w:val="21"/>
                    </w:rPr>
                    <w:t>《大气污染物综合排放标准详解》（国家环境保护局科技标准司）</w:t>
                  </w:r>
                </w:p>
              </w:tc>
            </w:tr>
          </w:tbl>
          <w:p w14:paraId="396D1507">
            <w:pPr>
              <w:snapToGrid w:val="0"/>
              <w:spacing w:line="480" w:lineRule="exact"/>
              <w:ind w:firstLine="480" w:firstLineChars="200"/>
              <w:rPr>
                <w:sz w:val="24"/>
              </w:rPr>
            </w:pPr>
            <w:r>
              <w:rPr>
                <w:sz w:val="24"/>
              </w:rPr>
              <w:t>（2）区域达标判定</w:t>
            </w:r>
          </w:p>
          <w:p w14:paraId="28CC7F4B">
            <w:pPr>
              <w:spacing w:line="480" w:lineRule="exact"/>
              <w:ind w:firstLine="480" w:firstLineChars="200"/>
              <w:rPr>
                <w:sz w:val="24"/>
              </w:rPr>
            </w:pPr>
            <w:r>
              <w:rPr>
                <w:sz w:val="24"/>
              </w:rPr>
              <w:t>本次评价选取202</w:t>
            </w:r>
            <w:r>
              <w:rPr>
                <w:rFonts w:hint="eastAsia"/>
                <w:sz w:val="24"/>
                <w:lang w:val="en-US" w:eastAsia="zh-CN"/>
              </w:rPr>
              <w:t>4</w:t>
            </w:r>
            <w:r>
              <w:rPr>
                <w:sz w:val="24"/>
              </w:rPr>
              <w:t>年作为评价基准年，根据《202</w:t>
            </w:r>
            <w:r>
              <w:rPr>
                <w:rFonts w:hint="eastAsia"/>
                <w:sz w:val="24"/>
                <w:lang w:val="en-US" w:eastAsia="zh-CN"/>
              </w:rPr>
              <w:t>4</w:t>
            </w:r>
            <w:r>
              <w:rPr>
                <w:sz w:val="24"/>
              </w:rPr>
              <w:t>年常州市生态环境质量状况公报》，项目所在区域常州市各评价因子数据见表3-5。</w:t>
            </w:r>
          </w:p>
          <w:p w14:paraId="483C1A3E">
            <w:pPr>
              <w:spacing w:line="480" w:lineRule="exact"/>
              <w:jc w:val="center"/>
              <w:rPr>
                <w:b/>
                <w:bCs/>
                <w:sz w:val="24"/>
              </w:rPr>
            </w:pPr>
            <w:r>
              <w:rPr>
                <w:b/>
                <w:bCs/>
                <w:sz w:val="24"/>
              </w:rPr>
              <w:t xml:space="preserve">表3-5 </w:t>
            </w:r>
            <w:r>
              <w:rPr>
                <w:rFonts w:hint="eastAsia"/>
                <w:b/>
                <w:bCs/>
                <w:sz w:val="24"/>
              </w:rPr>
              <w:t xml:space="preserve"> </w:t>
            </w:r>
            <w:r>
              <w:rPr>
                <w:b/>
                <w:bCs/>
                <w:sz w:val="24"/>
              </w:rPr>
              <w:t>大气基本污染物环境质量现状</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37"/>
              <w:gridCol w:w="4262"/>
              <w:gridCol w:w="1107"/>
              <w:gridCol w:w="1107"/>
              <w:gridCol w:w="744"/>
              <w:gridCol w:w="979"/>
            </w:tblGrid>
            <w:tr w14:paraId="1C855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noWrap w:val="0"/>
                  <w:vAlign w:val="center"/>
                </w:tcPr>
                <w:p w14:paraId="16F3346C">
                  <w:pPr>
                    <w:autoSpaceDE w:val="0"/>
                    <w:autoSpaceDN w:val="0"/>
                    <w:snapToGrid w:val="0"/>
                    <w:jc w:val="center"/>
                    <w:rPr>
                      <w:b/>
                      <w:kern w:val="0"/>
                      <w:szCs w:val="21"/>
                    </w:rPr>
                  </w:pPr>
                  <w:r>
                    <w:rPr>
                      <w:b/>
                      <w:kern w:val="0"/>
                      <w:szCs w:val="21"/>
                    </w:rPr>
                    <w:t>污染物</w:t>
                  </w:r>
                </w:p>
              </w:tc>
              <w:tc>
                <w:tcPr>
                  <w:tcW w:w="2383" w:type="pct"/>
                  <w:noWrap w:val="0"/>
                  <w:vAlign w:val="center"/>
                </w:tcPr>
                <w:p w14:paraId="17A8EA7D">
                  <w:pPr>
                    <w:autoSpaceDE w:val="0"/>
                    <w:autoSpaceDN w:val="0"/>
                    <w:snapToGrid w:val="0"/>
                    <w:jc w:val="center"/>
                    <w:rPr>
                      <w:b/>
                      <w:kern w:val="0"/>
                      <w:szCs w:val="21"/>
                    </w:rPr>
                  </w:pPr>
                  <w:r>
                    <w:rPr>
                      <w:b/>
                      <w:kern w:val="0"/>
                      <w:szCs w:val="21"/>
                    </w:rPr>
                    <w:t>年评价指标</w:t>
                  </w:r>
                </w:p>
              </w:tc>
              <w:tc>
                <w:tcPr>
                  <w:tcW w:w="619" w:type="pct"/>
                  <w:noWrap w:val="0"/>
                  <w:vAlign w:val="center"/>
                </w:tcPr>
                <w:p w14:paraId="057A7A7B">
                  <w:pPr>
                    <w:autoSpaceDE w:val="0"/>
                    <w:autoSpaceDN w:val="0"/>
                    <w:snapToGrid w:val="0"/>
                    <w:jc w:val="center"/>
                    <w:rPr>
                      <w:b/>
                      <w:kern w:val="0"/>
                      <w:szCs w:val="21"/>
                    </w:rPr>
                  </w:pPr>
                  <w:r>
                    <w:rPr>
                      <w:b/>
                      <w:kern w:val="0"/>
                      <w:szCs w:val="21"/>
                    </w:rPr>
                    <w:t>现状浓度</w:t>
                  </w:r>
                  <w:r>
                    <w:rPr>
                      <w:rFonts w:hint="eastAsia"/>
                      <w:b/>
                      <w:kern w:val="0"/>
                      <w:szCs w:val="21"/>
                    </w:rPr>
                    <w:t>/</w:t>
                  </w:r>
                </w:p>
                <w:p w14:paraId="41630652">
                  <w:pPr>
                    <w:autoSpaceDE w:val="0"/>
                    <w:autoSpaceDN w:val="0"/>
                    <w:snapToGrid w:val="0"/>
                    <w:jc w:val="center"/>
                    <w:rPr>
                      <w:b/>
                      <w:kern w:val="0"/>
                      <w:szCs w:val="21"/>
                    </w:rPr>
                  </w:pPr>
                  <w:r>
                    <w:rPr>
                      <w:rFonts w:hint="eastAsia"/>
                      <w:b/>
                      <w:kern w:val="0"/>
                      <w:szCs w:val="21"/>
                    </w:rPr>
                    <w:t>（</w:t>
                  </w:r>
                  <w:r>
                    <w:rPr>
                      <w:b/>
                      <w:szCs w:val="21"/>
                    </w:rPr>
                    <w:t>μg</w:t>
                  </w:r>
                  <w:r>
                    <w:rPr>
                      <w:rFonts w:hint="eastAsia"/>
                      <w:b/>
                      <w:kern w:val="0"/>
                      <w:szCs w:val="21"/>
                    </w:rPr>
                    <w:t>/m</w:t>
                  </w:r>
                  <w:r>
                    <w:rPr>
                      <w:rFonts w:hint="eastAsia"/>
                      <w:b/>
                      <w:kern w:val="0"/>
                      <w:szCs w:val="21"/>
                      <w:vertAlign w:val="superscript"/>
                    </w:rPr>
                    <w:t>3</w:t>
                  </w:r>
                  <w:r>
                    <w:rPr>
                      <w:rFonts w:hint="eastAsia"/>
                      <w:b/>
                      <w:kern w:val="0"/>
                      <w:szCs w:val="21"/>
                    </w:rPr>
                    <w:t>）</w:t>
                  </w:r>
                </w:p>
              </w:tc>
              <w:tc>
                <w:tcPr>
                  <w:tcW w:w="619" w:type="pct"/>
                  <w:noWrap w:val="0"/>
                  <w:vAlign w:val="center"/>
                </w:tcPr>
                <w:p w14:paraId="01ECAD74">
                  <w:pPr>
                    <w:autoSpaceDE w:val="0"/>
                    <w:autoSpaceDN w:val="0"/>
                    <w:snapToGrid w:val="0"/>
                    <w:jc w:val="center"/>
                    <w:rPr>
                      <w:b/>
                      <w:kern w:val="0"/>
                      <w:szCs w:val="21"/>
                    </w:rPr>
                  </w:pPr>
                  <w:r>
                    <w:rPr>
                      <w:b/>
                      <w:kern w:val="0"/>
                      <w:szCs w:val="21"/>
                    </w:rPr>
                    <w:t>标准值</w:t>
                  </w:r>
                  <w:r>
                    <w:rPr>
                      <w:rFonts w:hint="eastAsia"/>
                      <w:b/>
                      <w:kern w:val="0"/>
                      <w:szCs w:val="21"/>
                    </w:rPr>
                    <w:t>/</w:t>
                  </w:r>
                </w:p>
                <w:p w14:paraId="00DD2452">
                  <w:pPr>
                    <w:autoSpaceDE w:val="0"/>
                    <w:autoSpaceDN w:val="0"/>
                    <w:snapToGrid w:val="0"/>
                    <w:jc w:val="center"/>
                    <w:rPr>
                      <w:b/>
                      <w:kern w:val="0"/>
                      <w:szCs w:val="21"/>
                    </w:rPr>
                  </w:pPr>
                  <w:r>
                    <w:rPr>
                      <w:rFonts w:hint="eastAsia"/>
                      <w:b/>
                      <w:kern w:val="0"/>
                      <w:szCs w:val="21"/>
                    </w:rPr>
                    <w:t>（</w:t>
                  </w:r>
                  <w:r>
                    <w:rPr>
                      <w:b/>
                      <w:szCs w:val="21"/>
                    </w:rPr>
                    <w:t>μg</w:t>
                  </w:r>
                  <w:r>
                    <w:rPr>
                      <w:rFonts w:hint="eastAsia"/>
                      <w:b/>
                      <w:kern w:val="0"/>
                      <w:szCs w:val="21"/>
                    </w:rPr>
                    <w:t>/m</w:t>
                  </w:r>
                  <w:r>
                    <w:rPr>
                      <w:rFonts w:hint="eastAsia"/>
                      <w:b/>
                      <w:kern w:val="0"/>
                      <w:szCs w:val="21"/>
                      <w:vertAlign w:val="superscript"/>
                    </w:rPr>
                    <w:t>3</w:t>
                  </w:r>
                  <w:r>
                    <w:rPr>
                      <w:rFonts w:hint="eastAsia"/>
                      <w:b/>
                      <w:kern w:val="0"/>
                      <w:szCs w:val="21"/>
                    </w:rPr>
                    <w:t>）</w:t>
                  </w:r>
                </w:p>
              </w:tc>
              <w:tc>
                <w:tcPr>
                  <w:tcW w:w="416" w:type="pct"/>
                  <w:noWrap w:val="0"/>
                  <w:vAlign w:val="center"/>
                </w:tcPr>
                <w:p w14:paraId="75D7399A">
                  <w:pPr>
                    <w:autoSpaceDE w:val="0"/>
                    <w:autoSpaceDN w:val="0"/>
                    <w:snapToGrid w:val="0"/>
                    <w:jc w:val="center"/>
                    <w:rPr>
                      <w:b/>
                      <w:kern w:val="0"/>
                      <w:szCs w:val="21"/>
                    </w:rPr>
                  </w:pPr>
                  <w:r>
                    <w:rPr>
                      <w:rFonts w:hint="eastAsia"/>
                      <w:b/>
                      <w:kern w:val="0"/>
                      <w:szCs w:val="21"/>
                    </w:rPr>
                    <w:t>达</w:t>
                  </w:r>
                  <w:r>
                    <w:rPr>
                      <w:b/>
                      <w:kern w:val="0"/>
                      <w:szCs w:val="21"/>
                    </w:rPr>
                    <w:t>标率</w:t>
                  </w:r>
                </w:p>
                <w:p w14:paraId="12C6837A">
                  <w:pPr>
                    <w:autoSpaceDE w:val="0"/>
                    <w:autoSpaceDN w:val="0"/>
                    <w:snapToGrid w:val="0"/>
                    <w:jc w:val="center"/>
                    <w:rPr>
                      <w:b/>
                      <w:kern w:val="0"/>
                      <w:szCs w:val="21"/>
                    </w:rPr>
                  </w:pPr>
                  <w:r>
                    <w:rPr>
                      <w:rFonts w:hint="eastAsia"/>
                      <w:b/>
                      <w:kern w:val="0"/>
                      <w:szCs w:val="21"/>
                    </w:rPr>
                    <w:t>/</w:t>
                  </w:r>
                  <w:r>
                    <w:rPr>
                      <w:b/>
                      <w:kern w:val="0"/>
                      <w:szCs w:val="21"/>
                    </w:rPr>
                    <w:t>%</w:t>
                  </w:r>
                </w:p>
              </w:tc>
              <w:tc>
                <w:tcPr>
                  <w:tcW w:w="547" w:type="pct"/>
                  <w:noWrap w:val="0"/>
                  <w:vAlign w:val="center"/>
                </w:tcPr>
                <w:p w14:paraId="663A5016">
                  <w:pPr>
                    <w:autoSpaceDE w:val="0"/>
                    <w:autoSpaceDN w:val="0"/>
                    <w:snapToGrid w:val="0"/>
                    <w:jc w:val="center"/>
                    <w:rPr>
                      <w:b/>
                      <w:kern w:val="0"/>
                      <w:szCs w:val="21"/>
                    </w:rPr>
                  </w:pPr>
                  <w:r>
                    <w:rPr>
                      <w:b/>
                      <w:kern w:val="0"/>
                      <w:szCs w:val="21"/>
                    </w:rPr>
                    <w:t>达标情况</w:t>
                  </w:r>
                </w:p>
              </w:tc>
            </w:tr>
            <w:tr w14:paraId="54FF1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restart"/>
                  <w:noWrap w:val="0"/>
                  <w:vAlign w:val="center"/>
                </w:tcPr>
                <w:p w14:paraId="58299B8D">
                  <w:pPr>
                    <w:autoSpaceDE w:val="0"/>
                    <w:autoSpaceDN w:val="0"/>
                    <w:snapToGrid w:val="0"/>
                    <w:jc w:val="center"/>
                    <w:rPr>
                      <w:kern w:val="0"/>
                      <w:szCs w:val="21"/>
                    </w:rPr>
                  </w:pPr>
                  <w:r>
                    <w:rPr>
                      <w:kern w:val="0"/>
                      <w:szCs w:val="21"/>
                    </w:rPr>
                    <w:t>SO</w:t>
                  </w:r>
                  <w:r>
                    <w:rPr>
                      <w:kern w:val="0"/>
                      <w:szCs w:val="21"/>
                      <w:vertAlign w:val="subscript"/>
                    </w:rPr>
                    <w:t>2</w:t>
                  </w:r>
                </w:p>
              </w:tc>
              <w:tc>
                <w:tcPr>
                  <w:tcW w:w="2383" w:type="pct"/>
                  <w:noWrap w:val="0"/>
                  <w:vAlign w:val="center"/>
                </w:tcPr>
                <w:p w14:paraId="26975F86">
                  <w:pPr>
                    <w:autoSpaceDE w:val="0"/>
                    <w:autoSpaceDN w:val="0"/>
                    <w:snapToGrid w:val="0"/>
                    <w:jc w:val="center"/>
                    <w:rPr>
                      <w:kern w:val="0"/>
                      <w:szCs w:val="21"/>
                    </w:rPr>
                  </w:pPr>
                  <w:r>
                    <w:rPr>
                      <w:kern w:val="0"/>
                      <w:szCs w:val="21"/>
                    </w:rPr>
                    <w:t>年平均</w:t>
                  </w:r>
                </w:p>
              </w:tc>
              <w:tc>
                <w:tcPr>
                  <w:tcW w:w="619" w:type="pct"/>
                  <w:noWrap w:val="0"/>
                  <w:vAlign w:val="center"/>
                </w:tcPr>
                <w:p w14:paraId="3341A36C">
                  <w:pPr>
                    <w:autoSpaceDE w:val="0"/>
                    <w:autoSpaceDN w:val="0"/>
                    <w:snapToGrid w:val="0"/>
                    <w:jc w:val="center"/>
                    <w:rPr>
                      <w:kern w:val="0"/>
                      <w:szCs w:val="21"/>
                    </w:rPr>
                  </w:pPr>
                  <w:r>
                    <w:rPr>
                      <w:rFonts w:hint="eastAsia"/>
                      <w:kern w:val="0"/>
                      <w:szCs w:val="21"/>
                      <w:lang w:val="en-US" w:eastAsia="zh-CN"/>
                    </w:rPr>
                    <w:t>8</w:t>
                  </w:r>
                </w:p>
              </w:tc>
              <w:tc>
                <w:tcPr>
                  <w:tcW w:w="619" w:type="pct"/>
                  <w:noWrap w:val="0"/>
                  <w:vAlign w:val="center"/>
                </w:tcPr>
                <w:p w14:paraId="7C7FD736">
                  <w:pPr>
                    <w:autoSpaceDE w:val="0"/>
                    <w:autoSpaceDN w:val="0"/>
                    <w:snapToGrid w:val="0"/>
                    <w:jc w:val="center"/>
                    <w:rPr>
                      <w:kern w:val="0"/>
                      <w:szCs w:val="21"/>
                    </w:rPr>
                  </w:pPr>
                  <w:r>
                    <w:rPr>
                      <w:kern w:val="0"/>
                      <w:szCs w:val="21"/>
                    </w:rPr>
                    <w:t>60</w:t>
                  </w:r>
                </w:p>
              </w:tc>
              <w:tc>
                <w:tcPr>
                  <w:tcW w:w="416" w:type="pct"/>
                  <w:noWrap w:val="0"/>
                  <w:vAlign w:val="center"/>
                </w:tcPr>
                <w:p w14:paraId="40CD7C13">
                  <w:pPr>
                    <w:autoSpaceDE w:val="0"/>
                    <w:autoSpaceDN w:val="0"/>
                    <w:snapToGrid w:val="0"/>
                    <w:jc w:val="center"/>
                    <w:rPr>
                      <w:kern w:val="0"/>
                      <w:szCs w:val="21"/>
                    </w:rPr>
                  </w:pPr>
                  <w:r>
                    <w:rPr>
                      <w:rFonts w:hint="eastAsia"/>
                      <w:kern w:val="0"/>
                      <w:szCs w:val="21"/>
                    </w:rPr>
                    <w:t>100</w:t>
                  </w:r>
                </w:p>
              </w:tc>
              <w:tc>
                <w:tcPr>
                  <w:tcW w:w="547" w:type="pct"/>
                  <w:noWrap w:val="0"/>
                  <w:vAlign w:val="center"/>
                </w:tcPr>
                <w:p w14:paraId="77B50459">
                  <w:pPr>
                    <w:autoSpaceDE w:val="0"/>
                    <w:autoSpaceDN w:val="0"/>
                    <w:snapToGrid w:val="0"/>
                    <w:jc w:val="center"/>
                    <w:rPr>
                      <w:kern w:val="0"/>
                      <w:szCs w:val="21"/>
                    </w:rPr>
                  </w:pPr>
                  <w:r>
                    <w:rPr>
                      <w:rFonts w:hint="eastAsia"/>
                      <w:kern w:val="0"/>
                      <w:szCs w:val="21"/>
                    </w:rPr>
                    <w:t>达标</w:t>
                  </w:r>
                </w:p>
              </w:tc>
            </w:tr>
            <w:tr w14:paraId="6DE51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continue"/>
                  <w:noWrap w:val="0"/>
                  <w:vAlign w:val="center"/>
                </w:tcPr>
                <w:p w14:paraId="715BE51B">
                  <w:pPr>
                    <w:autoSpaceDE w:val="0"/>
                    <w:autoSpaceDN w:val="0"/>
                    <w:snapToGrid w:val="0"/>
                    <w:jc w:val="center"/>
                    <w:rPr>
                      <w:kern w:val="0"/>
                      <w:szCs w:val="21"/>
                    </w:rPr>
                  </w:pPr>
                </w:p>
              </w:tc>
              <w:tc>
                <w:tcPr>
                  <w:tcW w:w="2383" w:type="pct"/>
                  <w:noWrap w:val="0"/>
                  <w:vAlign w:val="center"/>
                </w:tcPr>
                <w:p w14:paraId="02BEB7A1">
                  <w:pPr>
                    <w:autoSpaceDE w:val="0"/>
                    <w:autoSpaceDN w:val="0"/>
                    <w:snapToGrid w:val="0"/>
                    <w:jc w:val="center"/>
                    <w:rPr>
                      <w:kern w:val="0"/>
                      <w:szCs w:val="21"/>
                    </w:rPr>
                  </w:pPr>
                  <w:r>
                    <w:rPr>
                      <w:kern w:val="0"/>
                      <w:szCs w:val="21"/>
                    </w:rPr>
                    <w:t>日平均</w:t>
                  </w:r>
                </w:p>
              </w:tc>
              <w:tc>
                <w:tcPr>
                  <w:tcW w:w="619" w:type="pct"/>
                  <w:noWrap w:val="0"/>
                  <w:vAlign w:val="center"/>
                </w:tcPr>
                <w:p w14:paraId="2B56F5D8">
                  <w:pPr>
                    <w:autoSpaceDE w:val="0"/>
                    <w:autoSpaceDN w:val="0"/>
                    <w:snapToGrid w:val="0"/>
                    <w:jc w:val="center"/>
                    <w:rPr>
                      <w:rFonts w:hint="eastAsia"/>
                      <w:kern w:val="0"/>
                      <w:szCs w:val="21"/>
                    </w:rPr>
                  </w:pPr>
                  <w:r>
                    <w:rPr>
                      <w:rFonts w:hint="eastAsia"/>
                      <w:kern w:val="0"/>
                      <w:szCs w:val="21"/>
                      <w:lang w:val="en-US" w:eastAsia="zh-CN"/>
                    </w:rPr>
                    <w:t>5~15</w:t>
                  </w:r>
                </w:p>
              </w:tc>
              <w:tc>
                <w:tcPr>
                  <w:tcW w:w="619" w:type="pct"/>
                  <w:noWrap w:val="0"/>
                  <w:vAlign w:val="center"/>
                </w:tcPr>
                <w:p w14:paraId="66D0CECF">
                  <w:pPr>
                    <w:autoSpaceDE w:val="0"/>
                    <w:autoSpaceDN w:val="0"/>
                    <w:snapToGrid w:val="0"/>
                    <w:jc w:val="center"/>
                    <w:rPr>
                      <w:kern w:val="0"/>
                      <w:szCs w:val="21"/>
                    </w:rPr>
                  </w:pPr>
                  <w:r>
                    <w:rPr>
                      <w:rFonts w:hint="eastAsia"/>
                      <w:kern w:val="0"/>
                      <w:szCs w:val="21"/>
                    </w:rPr>
                    <w:t>150</w:t>
                  </w:r>
                </w:p>
              </w:tc>
              <w:tc>
                <w:tcPr>
                  <w:tcW w:w="416" w:type="pct"/>
                  <w:noWrap w:val="0"/>
                  <w:vAlign w:val="center"/>
                </w:tcPr>
                <w:p w14:paraId="42AE0820">
                  <w:pPr>
                    <w:autoSpaceDE w:val="0"/>
                    <w:autoSpaceDN w:val="0"/>
                    <w:snapToGrid w:val="0"/>
                    <w:jc w:val="center"/>
                    <w:rPr>
                      <w:rFonts w:hint="eastAsia"/>
                      <w:kern w:val="0"/>
                      <w:szCs w:val="21"/>
                    </w:rPr>
                  </w:pPr>
                  <w:r>
                    <w:rPr>
                      <w:rFonts w:hint="eastAsia"/>
                      <w:kern w:val="0"/>
                      <w:szCs w:val="21"/>
                    </w:rPr>
                    <w:t>100</w:t>
                  </w:r>
                </w:p>
              </w:tc>
              <w:tc>
                <w:tcPr>
                  <w:tcW w:w="547" w:type="pct"/>
                  <w:noWrap w:val="0"/>
                  <w:vAlign w:val="center"/>
                </w:tcPr>
                <w:p w14:paraId="63115A99">
                  <w:pPr>
                    <w:autoSpaceDE w:val="0"/>
                    <w:autoSpaceDN w:val="0"/>
                    <w:snapToGrid w:val="0"/>
                    <w:jc w:val="center"/>
                    <w:rPr>
                      <w:rFonts w:hint="eastAsia"/>
                      <w:kern w:val="0"/>
                      <w:szCs w:val="21"/>
                    </w:rPr>
                  </w:pPr>
                  <w:r>
                    <w:rPr>
                      <w:rFonts w:hint="eastAsia"/>
                      <w:kern w:val="0"/>
                      <w:szCs w:val="21"/>
                    </w:rPr>
                    <w:t>达标</w:t>
                  </w:r>
                </w:p>
              </w:tc>
            </w:tr>
            <w:tr w14:paraId="066B2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restart"/>
                  <w:noWrap w:val="0"/>
                  <w:vAlign w:val="center"/>
                </w:tcPr>
                <w:p w14:paraId="702D7017">
                  <w:pPr>
                    <w:autoSpaceDE w:val="0"/>
                    <w:autoSpaceDN w:val="0"/>
                    <w:snapToGrid w:val="0"/>
                    <w:jc w:val="center"/>
                    <w:rPr>
                      <w:kern w:val="0"/>
                      <w:szCs w:val="21"/>
                    </w:rPr>
                  </w:pPr>
                  <w:r>
                    <w:rPr>
                      <w:kern w:val="0"/>
                      <w:szCs w:val="21"/>
                    </w:rPr>
                    <w:t>NO</w:t>
                  </w:r>
                  <w:r>
                    <w:rPr>
                      <w:kern w:val="0"/>
                      <w:szCs w:val="21"/>
                      <w:vertAlign w:val="subscript"/>
                    </w:rPr>
                    <w:t>2</w:t>
                  </w:r>
                </w:p>
              </w:tc>
              <w:tc>
                <w:tcPr>
                  <w:tcW w:w="2383" w:type="pct"/>
                  <w:noWrap w:val="0"/>
                  <w:vAlign w:val="center"/>
                </w:tcPr>
                <w:p w14:paraId="52C5C2F5">
                  <w:pPr>
                    <w:autoSpaceDE w:val="0"/>
                    <w:autoSpaceDN w:val="0"/>
                    <w:snapToGrid w:val="0"/>
                    <w:jc w:val="center"/>
                    <w:rPr>
                      <w:kern w:val="0"/>
                      <w:szCs w:val="21"/>
                    </w:rPr>
                  </w:pPr>
                  <w:r>
                    <w:rPr>
                      <w:kern w:val="0"/>
                      <w:szCs w:val="21"/>
                    </w:rPr>
                    <w:t>年平均</w:t>
                  </w:r>
                </w:p>
              </w:tc>
              <w:tc>
                <w:tcPr>
                  <w:tcW w:w="619" w:type="pct"/>
                  <w:noWrap w:val="0"/>
                  <w:vAlign w:val="center"/>
                </w:tcPr>
                <w:p w14:paraId="24B24295">
                  <w:pPr>
                    <w:autoSpaceDE w:val="0"/>
                    <w:autoSpaceDN w:val="0"/>
                    <w:snapToGrid w:val="0"/>
                    <w:jc w:val="center"/>
                    <w:rPr>
                      <w:rFonts w:hint="default"/>
                      <w:kern w:val="0"/>
                      <w:szCs w:val="21"/>
                      <w:lang w:val="en-US"/>
                    </w:rPr>
                  </w:pPr>
                  <w:r>
                    <w:rPr>
                      <w:rFonts w:hint="eastAsia"/>
                      <w:kern w:val="0"/>
                      <w:szCs w:val="21"/>
                      <w:lang w:val="en-US" w:eastAsia="zh-CN"/>
                    </w:rPr>
                    <w:t>26</w:t>
                  </w:r>
                </w:p>
              </w:tc>
              <w:tc>
                <w:tcPr>
                  <w:tcW w:w="619" w:type="pct"/>
                  <w:noWrap w:val="0"/>
                  <w:vAlign w:val="center"/>
                </w:tcPr>
                <w:p w14:paraId="62F469F0">
                  <w:pPr>
                    <w:autoSpaceDE w:val="0"/>
                    <w:autoSpaceDN w:val="0"/>
                    <w:snapToGrid w:val="0"/>
                    <w:jc w:val="center"/>
                    <w:rPr>
                      <w:kern w:val="0"/>
                      <w:szCs w:val="21"/>
                    </w:rPr>
                  </w:pPr>
                  <w:r>
                    <w:rPr>
                      <w:kern w:val="0"/>
                      <w:szCs w:val="21"/>
                    </w:rPr>
                    <w:t>40</w:t>
                  </w:r>
                </w:p>
              </w:tc>
              <w:tc>
                <w:tcPr>
                  <w:tcW w:w="416" w:type="pct"/>
                  <w:noWrap w:val="0"/>
                  <w:vAlign w:val="center"/>
                </w:tcPr>
                <w:p w14:paraId="39C3621E">
                  <w:pPr>
                    <w:autoSpaceDE w:val="0"/>
                    <w:autoSpaceDN w:val="0"/>
                    <w:snapToGrid w:val="0"/>
                    <w:jc w:val="center"/>
                    <w:rPr>
                      <w:kern w:val="0"/>
                      <w:szCs w:val="21"/>
                    </w:rPr>
                  </w:pPr>
                  <w:r>
                    <w:rPr>
                      <w:rFonts w:hint="eastAsia"/>
                      <w:kern w:val="0"/>
                      <w:szCs w:val="21"/>
                    </w:rPr>
                    <w:t>100</w:t>
                  </w:r>
                </w:p>
              </w:tc>
              <w:tc>
                <w:tcPr>
                  <w:tcW w:w="547" w:type="pct"/>
                  <w:noWrap w:val="0"/>
                  <w:vAlign w:val="center"/>
                </w:tcPr>
                <w:p w14:paraId="6BAE4AE5">
                  <w:pPr>
                    <w:autoSpaceDE w:val="0"/>
                    <w:autoSpaceDN w:val="0"/>
                    <w:snapToGrid w:val="0"/>
                    <w:jc w:val="center"/>
                    <w:rPr>
                      <w:kern w:val="0"/>
                      <w:szCs w:val="21"/>
                    </w:rPr>
                  </w:pPr>
                  <w:r>
                    <w:rPr>
                      <w:rFonts w:hint="eastAsia"/>
                      <w:kern w:val="0"/>
                      <w:szCs w:val="21"/>
                    </w:rPr>
                    <w:t>达标</w:t>
                  </w:r>
                </w:p>
              </w:tc>
            </w:tr>
            <w:tr w14:paraId="2F7B4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continue"/>
                  <w:noWrap w:val="0"/>
                  <w:vAlign w:val="center"/>
                </w:tcPr>
                <w:p w14:paraId="0815F135">
                  <w:pPr>
                    <w:autoSpaceDE w:val="0"/>
                    <w:autoSpaceDN w:val="0"/>
                    <w:snapToGrid w:val="0"/>
                    <w:jc w:val="center"/>
                    <w:rPr>
                      <w:kern w:val="0"/>
                      <w:szCs w:val="21"/>
                    </w:rPr>
                  </w:pPr>
                </w:p>
              </w:tc>
              <w:tc>
                <w:tcPr>
                  <w:tcW w:w="2383" w:type="pct"/>
                  <w:noWrap w:val="0"/>
                  <w:vAlign w:val="center"/>
                </w:tcPr>
                <w:p w14:paraId="6BDE2156">
                  <w:pPr>
                    <w:autoSpaceDE w:val="0"/>
                    <w:autoSpaceDN w:val="0"/>
                    <w:snapToGrid w:val="0"/>
                    <w:jc w:val="center"/>
                    <w:rPr>
                      <w:kern w:val="0"/>
                      <w:szCs w:val="21"/>
                    </w:rPr>
                  </w:pPr>
                  <w:r>
                    <w:rPr>
                      <w:kern w:val="0"/>
                      <w:szCs w:val="21"/>
                    </w:rPr>
                    <w:t>日平均</w:t>
                  </w:r>
                </w:p>
              </w:tc>
              <w:tc>
                <w:tcPr>
                  <w:tcW w:w="619" w:type="pct"/>
                  <w:noWrap w:val="0"/>
                  <w:vAlign w:val="center"/>
                </w:tcPr>
                <w:p w14:paraId="3EE5E686">
                  <w:pPr>
                    <w:autoSpaceDE w:val="0"/>
                    <w:autoSpaceDN w:val="0"/>
                    <w:snapToGrid w:val="0"/>
                    <w:jc w:val="center"/>
                    <w:rPr>
                      <w:rFonts w:hint="default"/>
                      <w:kern w:val="0"/>
                      <w:szCs w:val="21"/>
                      <w:lang w:val="en-US"/>
                    </w:rPr>
                  </w:pPr>
                  <w:r>
                    <w:rPr>
                      <w:rFonts w:hint="eastAsia"/>
                      <w:kern w:val="0"/>
                      <w:szCs w:val="21"/>
                      <w:lang w:val="en-US" w:eastAsia="zh-CN"/>
                    </w:rPr>
                    <w:t>5~92</w:t>
                  </w:r>
                </w:p>
              </w:tc>
              <w:tc>
                <w:tcPr>
                  <w:tcW w:w="619" w:type="pct"/>
                  <w:noWrap w:val="0"/>
                  <w:vAlign w:val="center"/>
                </w:tcPr>
                <w:p w14:paraId="7DB468D6">
                  <w:pPr>
                    <w:autoSpaceDE w:val="0"/>
                    <w:autoSpaceDN w:val="0"/>
                    <w:snapToGrid w:val="0"/>
                    <w:jc w:val="center"/>
                    <w:rPr>
                      <w:kern w:val="0"/>
                      <w:szCs w:val="21"/>
                    </w:rPr>
                  </w:pPr>
                  <w:r>
                    <w:rPr>
                      <w:rFonts w:hint="eastAsia"/>
                      <w:kern w:val="0"/>
                      <w:szCs w:val="21"/>
                    </w:rPr>
                    <w:t>80</w:t>
                  </w:r>
                </w:p>
              </w:tc>
              <w:tc>
                <w:tcPr>
                  <w:tcW w:w="416" w:type="pct"/>
                  <w:noWrap w:val="0"/>
                  <w:vAlign w:val="center"/>
                </w:tcPr>
                <w:p w14:paraId="2C062CE5">
                  <w:pPr>
                    <w:autoSpaceDE w:val="0"/>
                    <w:autoSpaceDN w:val="0"/>
                    <w:snapToGrid w:val="0"/>
                    <w:jc w:val="center"/>
                    <w:rPr>
                      <w:rFonts w:hint="default" w:eastAsia="宋体"/>
                      <w:kern w:val="0"/>
                      <w:szCs w:val="21"/>
                      <w:lang w:val="en-US" w:eastAsia="zh-CN"/>
                    </w:rPr>
                  </w:pPr>
                  <w:r>
                    <w:rPr>
                      <w:rFonts w:hint="eastAsia"/>
                      <w:kern w:val="0"/>
                      <w:szCs w:val="21"/>
                    </w:rPr>
                    <w:t>9</w:t>
                  </w:r>
                  <w:r>
                    <w:rPr>
                      <w:rFonts w:hint="eastAsia"/>
                      <w:kern w:val="0"/>
                      <w:szCs w:val="21"/>
                      <w:lang w:val="en-US" w:eastAsia="zh-CN"/>
                    </w:rPr>
                    <w:t>9.2</w:t>
                  </w:r>
                </w:p>
              </w:tc>
              <w:tc>
                <w:tcPr>
                  <w:tcW w:w="547" w:type="pct"/>
                  <w:noWrap w:val="0"/>
                  <w:vAlign w:val="center"/>
                </w:tcPr>
                <w:p w14:paraId="7EF8ACE2">
                  <w:pPr>
                    <w:autoSpaceDE w:val="0"/>
                    <w:autoSpaceDN w:val="0"/>
                    <w:snapToGrid w:val="0"/>
                    <w:jc w:val="center"/>
                    <w:rPr>
                      <w:rFonts w:hint="eastAsia"/>
                      <w:kern w:val="0"/>
                      <w:szCs w:val="21"/>
                    </w:rPr>
                  </w:pPr>
                  <w:r>
                    <w:rPr>
                      <w:rFonts w:hint="eastAsia"/>
                      <w:kern w:val="0"/>
                      <w:szCs w:val="21"/>
                    </w:rPr>
                    <w:t>达标</w:t>
                  </w:r>
                </w:p>
              </w:tc>
            </w:tr>
            <w:tr w14:paraId="1B13B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restart"/>
                  <w:noWrap w:val="0"/>
                  <w:vAlign w:val="center"/>
                </w:tcPr>
                <w:p w14:paraId="14CDE83E">
                  <w:pPr>
                    <w:autoSpaceDE w:val="0"/>
                    <w:autoSpaceDN w:val="0"/>
                    <w:snapToGrid w:val="0"/>
                    <w:jc w:val="center"/>
                    <w:rPr>
                      <w:kern w:val="0"/>
                      <w:szCs w:val="21"/>
                    </w:rPr>
                  </w:pPr>
                  <w:r>
                    <w:rPr>
                      <w:kern w:val="0"/>
                      <w:szCs w:val="21"/>
                    </w:rPr>
                    <w:t>PM</w:t>
                  </w:r>
                  <w:r>
                    <w:rPr>
                      <w:kern w:val="0"/>
                      <w:szCs w:val="21"/>
                      <w:vertAlign w:val="subscript"/>
                    </w:rPr>
                    <w:t>10</w:t>
                  </w:r>
                </w:p>
              </w:tc>
              <w:tc>
                <w:tcPr>
                  <w:tcW w:w="2383" w:type="pct"/>
                  <w:noWrap w:val="0"/>
                  <w:vAlign w:val="center"/>
                </w:tcPr>
                <w:p w14:paraId="4EFC4DF8">
                  <w:pPr>
                    <w:autoSpaceDE w:val="0"/>
                    <w:autoSpaceDN w:val="0"/>
                    <w:snapToGrid w:val="0"/>
                    <w:jc w:val="center"/>
                    <w:rPr>
                      <w:kern w:val="0"/>
                      <w:szCs w:val="21"/>
                    </w:rPr>
                  </w:pPr>
                  <w:r>
                    <w:rPr>
                      <w:kern w:val="0"/>
                      <w:szCs w:val="21"/>
                    </w:rPr>
                    <w:t>年平均</w:t>
                  </w:r>
                </w:p>
              </w:tc>
              <w:tc>
                <w:tcPr>
                  <w:tcW w:w="619" w:type="pct"/>
                  <w:noWrap w:val="0"/>
                  <w:vAlign w:val="center"/>
                </w:tcPr>
                <w:p w14:paraId="5B3E7CDB">
                  <w:pPr>
                    <w:autoSpaceDE w:val="0"/>
                    <w:autoSpaceDN w:val="0"/>
                    <w:snapToGrid w:val="0"/>
                    <w:jc w:val="center"/>
                    <w:rPr>
                      <w:rFonts w:hint="default"/>
                      <w:kern w:val="0"/>
                      <w:szCs w:val="21"/>
                      <w:lang w:val="en-US"/>
                    </w:rPr>
                  </w:pPr>
                  <w:r>
                    <w:rPr>
                      <w:rFonts w:hint="eastAsia"/>
                      <w:kern w:val="0"/>
                      <w:szCs w:val="21"/>
                      <w:lang w:val="en-US" w:eastAsia="zh-CN"/>
                    </w:rPr>
                    <w:t>53</w:t>
                  </w:r>
                </w:p>
              </w:tc>
              <w:tc>
                <w:tcPr>
                  <w:tcW w:w="619" w:type="pct"/>
                  <w:noWrap w:val="0"/>
                  <w:vAlign w:val="center"/>
                </w:tcPr>
                <w:p w14:paraId="320DB0EE">
                  <w:pPr>
                    <w:autoSpaceDE w:val="0"/>
                    <w:autoSpaceDN w:val="0"/>
                    <w:snapToGrid w:val="0"/>
                    <w:jc w:val="center"/>
                    <w:rPr>
                      <w:kern w:val="0"/>
                      <w:szCs w:val="21"/>
                    </w:rPr>
                  </w:pPr>
                  <w:r>
                    <w:rPr>
                      <w:kern w:val="0"/>
                      <w:szCs w:val="21"/>
                    </w:rPr>
                    <w:t>70</w:t>
                  </w:r>
                </w:p>
              </w:tc>
              <w:tc>
                <w:tcPr>
                  <w:tcW w:w="416" w:type="pct"/>
                  <w:noWrap w:val="0"/>
                  <w:vAlign w:val="center"/>
                </w:tcPr>
                <w:p w14:paraId="69A9A746">
                  <w:pPr>
                    <w:autoSpaceDE w:val="0"/>
                    <w:autoSpaceDN w:val="0"/>
                    <w:snapToGrid w:val="0"/>
                    <w:jc w:val="center"/>
                    <w:rPr>
                      <w:kern w:val="0"/>
                      <w:szCs w:val="21"/>
                    </w:rPr>
                  </w:pPr>
                  <w:r>
                    <w:rPr>
                      <w:rFonts w:hint="eastAsia"/>
                      <w:kern w:val="0"/>
                      <w:szCs w:val="21"/>
                    </w:rPr>
                    <w:t>100</w:t>
                  </w:r>
                </w:p>
              </w:tc>
              <w:tc>
                <w:tcPr>
                  <w:tcW w:w="547" w:type="pct"/>
                  <w:noWrap w:val="0"/>
                  <w:vAlign w:val="center"/>
                </w:tcPr>
                <w:p w14:paraId="7CFD9909">
                  <w:pPr>
                    <w:autoSpaceDE w:val="0"/>
                    <w:autoSpaceDN w:val="0"/>
                    <w:snapToGrid w:val="0"/>
                    <w:jc w:val="center"/>
                    <w:rPr>
                      <w:kern w:val="0"/>
                      <w:szCs w:val="21"/>
                    </w:rPr>
                  </w:pPr>
                  <w:r>
                    <w:rPr>
                      <w:rFonts w:hint="eastAsia"/>
                      <w:kern w:val="0"/>
                      <w:szCs w:val="21"/>
                    </w:rPr>
                    <w:t>达标</w:t>
                  </w:r>
                </w:p>
              </w:tc>
            </w:tr>
            <w:tr w14:paraId="060C9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continue"/>
                  <w:noWrap w:val="0"/>
                  <w:vAlign w:val="center"/>
                </w:tcPr>
                <w:p w14:paraId="711F4EEC">
                  <w:pPr>
                    <w:autoSpaceDE w:val="0"/>
                    <w:autoSpaceDN w:val="0"/>
                    <w:snapToGrid w:val="0"/>
                    <w:jc w:val="center"/>
                    <w:rPr>
                      <w:kern w:val="0"/>
                      <w:szCs w:val="21"/>
                    </w:rPr>
                  </w:pPr>
                </w:p>
              </w:tc>
              <w:tc>
                <w:tcPr>
                  <w:tcW w:w="2383" w:type="pct"/>
                  <w:noWrap w:val="0"/>
                  <w:vAlign w:val="center"/>
                </w:tcPr>
                <w:p w14:paraId="5FBC9060">
                  <w:pPr>
                    <w:autoSpaceDE w:val="0"/>
                    <w:autoSpaceDN w:val="0"/>
                    <w:snapToGrid w:val="0"/>
                    <w:jc w:val="center"/>
                    <w:rPr>
                      <w:kern w:val="0"/>
                      <w:szCs w:val="21"/>
                    </w:rPr>
                  </w:pPr>
                  <w:r>
                    <w:rPr>
                      <w:kern w:val="0"/>
                      <w:szCs w:val="21"/>
                    </w:rPr>
                    <w:t>日平均</w:t>
                  </w:r>
                </w:p>
              </w:tc>
              <w:tc>
                <w:tcPr>
                  <w:tcW w:w="619" w:type="pct"/>
                  <w:noWrap w:val="0"/>
                  <w:vAlign w:val="center"/>
                </w:tcPr>
                <w:p w14:paraId="504542AD">
                  <w:pPr>
                    <w:autoSpaceDE w:val="0"/>
                    <w:autoSpaceDN w:val="0"/>
                    <w:snapToGrid w:val="0"/>
                    <w:jc w:val="center"/>
                    <w:rPr>
                      <w:rFonts w:hint="default"/>
                      <w:kern w:val="0"/>
                      <w:szCs w:val="21"/>
                      <w:lang w:val="en-US"/>
                    </w:rPr>
                  </w:pPr>
                  <w:r>
                    <w:rPr>
                      <w:rFonts w:hint="eastAsia"/>
                      <w:kern w:val="0"/>
                      <w:szCs w:val="21"/>
                      <w:lang w:val="en-US" w:eastAsia="zh-CN"/>
                    </w:rPr>
                    <w:t>9~206</w:t>
                  </w:r>
                </w:p>
              </w:tc>
              <w:tc>
                <w:tcPr>
                  <w:tcW w:w="619" w:type="pct"/>
                  <w:noWrap w:val="0"/>
                  <w:vAlign w:val="center"/>
                </w:tcPr>
                <w:p w14:paraId="29CDA61F">
                  <w:pPr>
                    <w:autoSpaceDE w:val="0"/>
                    <w:autoSpaceDN w:val="0"/>
                    <w:snapToGrid w:val="0"/>
                    <w:jc w:val="center"/>
                    <w:rPr>
                      <w:kern w:val="0"/>
                      <w:szCs w:val="21"/>
                    </w:rPr>
                  </w:pPr>
                  <w:r>
                    <w:rPr>
                      <w:rFonts w:hint="eastAsia"/>
                      <w:kern w:val="0"/>
                      <w:szCs w:val="21"/>
                    </w:rPr>
                    <w:t>150</w:t>
                  </w:r>
                </w:p>
              </w:tc>
              <w:tc>
                <w:tcPr>
                  <w:tcW w:w="416" w:type="pct"/>
                  <w:noWrap w:val="0"/>
                  <w:vAlign w:val="center"/>
                </w:tcPr>
                <w:p w14:paraId="3AB92409">
                  <w:pPr>
                    <w:autoSpaceDE w:val="0"/>
                    <w:autoSpaceDN w:val="0"/>
                    <w:snapToGrid w:val="0"/>
                    <w:jc w:val="center"/>
                    <w:rPr>
                      <w:rFonts w:hint="eastAsia" w:eastAsia="宋体"/>
                      <w:kern w:val="0"/>
                      <w:szCs w:val="21"/>
                      <w:lang w:eastAsia="zh-CN"/>
                    </w:rPr>
                  </w:pPr>
                  <w:r>
                    <w:rPr>
                      <w:rFonts w:hint="eastAsia"/>
                      <w:kern w:val="0"/>
                      <w:szCs w:val="21"/>
                    </w:rPr>
                    <w:t>98.</w:t>
                  </w:r>
                  <w:r>
                    <w:rPr>
                      <w:rFonts w:hint="eastAsia"/>
                      <w:kern w:val="0"/>
                      <w:szCs w:val="21"/>
                      <w:lang w:val="en-US" w:eastAsia="zh-CN"/>
                    </w:rPr>
                    <w:t>3</w:t>
                  </w:r>
                </w:p>
              </w:tc>
              <w:tc>
                <w:tcPr>
                  <w:tcW w:w="547" w:type="pct"/>
                  <w:noWrap w:val="0"/>
                  <w:vAlign w:val="center"/>
                </w:tcPr>
                <w:p w14:paraId="527D140D">
                  <w:pPr>
                    <w:autoSpaceDE w:val="0"/>
                    <w:autoSpaceDN w:val="0"/>
                    <w:snapToGrid w:val="0"/>
                    <w:jc w:val="center"/>
                    <w:rPr>
                      <w:rFonts w:hint="eastAsia"/>
                      <w:kern w:val="0"/>
                      <w:szCs w:val="21"/>
                    </w:rPr>
                  </w:pPr>
                  <w:r>
                    <w:rPr>
                      <w:rFonts w:hint="eastAsia"/>
                      <w:kern w:val="0"/>
                      <w:szCs w:val="21"/>
                    </w:rPr>
                    <w:t>达标</w:t>
                  </w:r>
                </w:p>
              </w:tc>
            </w:tr>
            <w:tr w14:paraId="0661C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restart"/>
                  <w:noWrap w:val="0"/>
                  <w:vAlign w:val="center"/>
                </w:tcPr>
                <w:p w14:paraId="571545CF">
                  <w:pPr>
                    <w:autoSpaceDE w:val="0"/>
                    <w:autoSpaceDN w:val="0"/>
                    <w:snapToGrid w:val="0"/>
                    <w:jc w:val="center"/>
                    <w:rPr>
                      <w:kern w:val="0"/>
                      <w:szCs w:val="21"/>
                    </w:rPr>
                  </w:pPr>
                  <w:r>
                    <w:rPr>
                      <w:kern w:val="0"/>
                      <w:szCs w:val="21"/>
                    </w:rPr>
                    <w:t>PM</w:t>
                  </w:r>
                  <w:r>
                    <w:rPr>
                      <w:kern w:val="0"/>
                      <w:szCs w:val="21"/>
                      <w:vertAlign w:val="subscript"/>
                    </w:rPr>
                    <w:t>2.5</w:t>
                  </w:r>
                </w:p>
              </w:tc>
              <w:tc>
                <w:tcPr>
                  <w:tcW w:w="2383" w:type="pct"/>
                  <w:noWrap w:val="0"/>
                  <w:vAlign w:val="center"/>
                </w:tcPr>
                <w:p w14:paraId="16ECAAAF">
                  <w:pPr>
                    <w:autoSpaceDE w:val="0"/>
                    <w:autoSpaceDN w:val="0"/>
                    <w:snapToGrid w:val="0"/>
                    <w:jc w:val="center"/>
                    <w:rPr>
                      <w:kern w:val="0"/>
                      <w:szCs w:val="21"/>
                    </w:rPr>
                  </w:pPr>
                  <w:r>
                    <w:rPr>
                      <w:kern w:val="0"/>
                      <w:szCs w:val="21"/>
                    </w:rPr>
                    <w:t>年平均</w:t>
                  </w:r>
                </w:p>
              </w:tc>
              <w:tc>
                <w:tcPr>
                  <w:tcW w:w="619" w:type="pct"/>
                  <w:noWrap w:val="0"/>
                  <w:vAlign w:val="center"/>
                </w:tcPr>
                <w:p w14:paraId="73A96012">
                  <w:pPr>
                    <w:autoSpaceDE w:val="0"/>
                    <w:autoSpaceDN w:val="0"/>
                    <w:snapToGrid w:val="0"/>
                    <w:jc w:val="center"/>
                    <w:rPr>
                      <w:rFonts w:hint="default"/>
                      <w:kern w:val="0"/>
                      <w:szCs w:val="21"/>
                      <w:lang w:val="en-US"/>
                    </w:rPr>
                  </w:pPr>
                  <w:r>
                    <w:rPr>
                      <w:rFonts w:hint="eastAsia"/>
                      <w:kern w:val="0"/>
                      <w:szCs w:val="21"/>
                      <w:lang w:val="en-US" w:eastAsia="zh-CN"/>
                    </w:rPr>
                    <w:t>32</w:t>
                  </w:r>
                </w:p>
              </w:tc>
              <w:tc>
                <w:tcPr>
                  <w:tcW w:w="619" w:type="pct"/>
                  <w:noWrap w:val="0"/>
                  <w:vAlign w:val="center"/>
                </w:tcPr>
                <w:p w14:paraId="05697F97">
                  <w:pPr>
                    <w:autoSpaceDE w:val="0"/>
                    <w:autoSpaceDN w:val="0"/>
                    <w:snapToGrid w:val="0"/>
                    <w:jc w:val="center"/>
                    <w:rPr>
                      <w:kern w:val="0"/>
                      <w:szCs w:val="21"/>
                    </w:rPr>
                  </w:pPr>
                  <w:r>
                    <w:rPr>
                      <w:kern w:val="0"/>
                      <w:szCs w:val="21"/>
                    </w:rPr>
                    <w:t>35</w:t>
                  </w:r>
                </w:p>
              </w:tc>
              <w:tc>
                <w:tcPr>
                  <w:tcW w:w="416" w:type="pct"/>
                  <w:noWrap w:val="0"/>
                  <w:vAlign w:val="center"/>
                </w:tcPr>
                <w:p w14:paraId="14F9D9FE">
                  <w:pPr>
                    <w:autoSpaceDE w:val="0"/>
                    <w:autoSpaceDN w:val="0"/>
                    <w:snapToGrid w:val="0"/>
                    <w:jc w:val="center"/>
                    <w:rPr>
                      <w:kern w:val="0"/>
                      <w:szCs w:val="21"/>
                    </w:rPr>
                  </w:pPr>
                  <w:r>
                    <w:rPr>
                      <w:rFonts w:hint="eastAsia"/>
                      <w:kern w:val="0"/>
                      <w:szCs w:val="21"/>
                    </w:rPr>
                    <w:t>100</w:t>
                  </w:r>
                </w:p>
              </w:tc>
              <w:tc>
                <w:tcPr>
                  <w:tcW w:w="547" w:type="pct"/>
                  <w:noWrap w:val="0"/>
                  <w:vAlign w:val="center"/>
                </w:tcPr>
                <w:p w14:paraId="061700DA">
                  <w:pPr>
                    <w:autoSpaceDE w:val="0"/>
                    <w:autoSpaceDN w:val="0"/>
                    <w:snapToGrid w:val="0"/>
                    <w:jc w:val="center"/>
                    <w:rPr>
                      <w:kern w:val="0"/>
                      <w:szCs w:val="21"/>
                    </w:rPr>
                  </w:pPr>
                  <w:r>
                    <w:rPr>
                      <w:rFonts w:hint="eastAsia"/>
                      <w:kern w:val="0"/>
                      <w:szCs w:val="21"/>
                    </w:rPr>
                    <w:t>达标</w:t>
                  </w:r>
                </w:p>
              </w:tc>
            </w:tr>
            <w:tr w14:paraId="7437D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continue"/>
                  <w:noWrap w:val="0"/>
                  <w:vAlign w:val="center"/>
                </w:tcPr>
                <w:p w14:paraId="13ECAAE9">
                  <w:pPr>
                    <w:autoSpaceDE w:val="0"/>
                    <w:autoSpaceDN w:val="0"/>
                    <w:snapToGrid w:val="0"/>
                    <w:jc w:val="center"/>
                    <w:rPr>
                      <w:kern w:val="0"/>
                      <w:szCs w:val="21"/>
                    </w:rPr>
                  </w:pPr>
                </w:p>
              </w:tc>
              <w:tc>
                <w:tcPr>
                  <w:tcW w:w="2383" w:type="pct"/>
                  <w:noWrap w:val="0"/>
                  <w:vAlign w:val="center"/>
                </w:tcPr>
                <w:p w14:paraId="7CC8F6C8">
                  <w:pPr>
                    <w:autoSpaceDE w:val="0"/>
                    <w:autoSpaceDN w:val="0"/>
                    <w:snapToGrid w:val="0"/>
                    <w:jc w:val="center"/>
                    <w:rPr>
                      <w:kern w:val="0"/>
                      <w:szCs w:val="21"/>
                    </w:rPr>
                  </w:pPr>
                  <w:r>
                    <w:rPr>
                      <w:kern w:val="0"/>
                      <w:szCs w:val="21"/>
                    </w:rPr>
                    <w:t>日平均</w:t>
                  </w:r>
                </w:p>
              </w:tc>
              <w:tc>
                <w:tcPr>
                  <w:tcW w:w="619" w:type="pct"/>
                  <w:noWrap w:val="0"/>
                  <w:vAlign w:val="center"/>
                </w:tcPr>
                <w:p w14:paraId="401A6C3C">
                  <w:pPr>
                    <w:autoSpaceDE w:val="0"/>
                    <w:autoSpaceDN w:val="0"/>
                    <w:snapToGrid w:val="0"/>
                    <w:jc w:val="center"/>
                    <w:rPr>
                      <w:rFonts w:hint="default"/>
                      <w:kern w:val="0"/>
                      <w:szCs w:val="21"/>
                      <w:lang w:val="en-US"/>
                    </w:rPr>
                  </w:pPr>
                  <w:r>
                    <w:rPr>
                      <w:rFonts w:hint="eastAsia"/>
                      <w:kern w:val="0"/>
                      <w:szCs w:val="21"/>
                      <w:lang w:val="en-US" w:eastAsia="zh-CN"/>
                    </w:rPr>
                    <w:t>5~157</w:t>
                  </w:r>
                </w:p>
              </w:tc>
              <w:tc>
                <w:tcPr>
                  <w:tcW w:w="619" w:type="pct"/>
                  <w:noWrap w:val="0"/>
                  <w:vAlign w:val="center"/>
                </w:tcPr>
                <w:p w14:paraId="17EB36B4">
                  <w:pPr>
                    <w:autoSpaceDE w:val="0"/>
                    <w:autoSpaceDN w:val="0"/>
                    <w:snapToGrid w:val="0"/>
                    <w:jc w:val="center"/>
                    <w:rPr>
                      <w:kern w:val="0"/>
                      <w:szCs w:val="21"/>
                    </w:rPr>
                  </w:pPr>
                  <w:r>
                    <w:rPr>
                      <w:rFonts w:hint="eastAsia"/>
                      <w:kern w:val="0"/>
                      <w:szCs w:val="21"/>
                    </w:rPr>
                    <w:t>75</w:t>
                  </w:r>
                </w:p>
              </w:tc>
              <w:tc>
                <w:tcPr>
                  <w:tcW w:w="416" w:type="pct"/>
                  <w:noWrap w:val="0"/>
                  <w:vAlign w:val="center"/>
                </w:tcPr>
                <w:p w14:paraId="69DBB16E">
                  <w:pPr>
                    <w:autoSpaceDE w:val="0"/>
                    <w:autoSpaceDN w:val="0"/>
                    <w:snapToGrid w:val="0"/>
                    <w:jc w:val="center"/>
                    <w:rPr>
                      <w:rFonts w:hint="default" w:eastAsia="宋体"/>
                      <w:kern w:val="0"/>
                      <w:szCs w:val="21"/>
                      <w:lang w:val="en-US" w:eastAsia="zh-CN"/>
                    </w:rPr>
                  </w:pPr>
                  <w:r>
                    <w:rPr>
                      <w:rFonts w:hint="eastAsia"/>
                      <w:kern w:val="0"/>
                      <w:szCs w:val="21"/>
                    </w:rPr>
                    <w:t>9</w:t>
                  </w:r>
                  <w:r>
                    <w:rPr>
                      <w:rFonts w:hint="eastAsia"/>
                      <w:kern w:val="0"/>
                      <w:szCs w:val="21"/>
                      <w:lang w:val="en-US" w:eastAsia="zh-CN"/>
                    </w:rPr>
                    <w:t>3.2</w:t>
                  </w:r>
                </w:p>
              </w:tc>
              <w:tc>
                <w:tcPr>
                  <w:tcW w:w="547" w:type="pct"/>
                  <w:noWrap w:val="0"/>
                  <w:vAlign w:val="center"/>
                </w:tcPr>
                <w:p w14:paraId="5FD226CE">
                  <w:pPr>
                    <w:autoSpaceDE w:val="0"/>
                    <w:autoSpaceDN w:val="0"/>
                    <w:snapToGrid w:val="0"/>
                    <w:jc w:val="center"/>
                    <w:rPr>
                      <w:rFonts w:hint="eastAsia"/>
                      <w:kern w:val="0"/>
                      <w:szCs w:val="21"/>
                    </w:rPr>
                  </w:pPr>
                  <w:r>
                    <w:rPr>
                      <w:rFonts w:hint="eastAsia"/>
                      <w:kern w:val="0"/>
                      <w:szCs w:val="21"/>
                    </w:rPr>
                    <w:t>不达标</w:t>
                  </w:r>
                </w:p>
              </w:tc>
            </w:tr>
            <w:tr w14:paraId="4B4FC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noWrap w:val="0"/>
                  <w:vAlign w:val="center"/>
                </w:tcPr>
                <w:p w14:paraId="206311CB">
                  <w:pPr>
                    <w:autoSpaceDE w:val="0"/>
                    <w:autoSpaceDN w:val="0"/>
                    <w:snapToGrid w:val="0"/>
                    <w:jc w:val="center"/>
                    <w:rPr>
                      <w:kern w:val="0"/>
                      <w:szCs w:val="21"/>
                    </w:rPr>
                  </w:pPr>
                  <w:r>
                    <w:rPr>
                      <w:rFonts w:hint="eastAsia"/>
                      <w:kern w:val="0"/>
                      <w:szCs w:val="21"/>
                    </w:rPr>
                    <w:t>CO</w:t>
                  </w:r>
                </w:p>
              </w:tc>
              <w:tc>
                <w:tcPr>
                  <w:tcW w:w="2383" w:type="pct"/>
                  <w:noWrap w:val="0"/>
                  <w:vAlign w:val="center"/>
                </w:tcPr>
                <w:p w14:paraId="1981D285">
                  <w:pPr>
                    <w:autoSpaceDE w:val="0"/>
                    <w:autoSpaceDN w:val="0"/>
                    <w:snapToGrid w:val="0"/>
                    <w:jc w:val="center"/>
                    <w:rPr>
                      <w:kern w:val="0"/>
                      <w:szCs w:val="21"/>
                    </w:rPr>
                  </w:pPr>
                  <w:r>
                    <w:rPr>
                      <w:kern w:val="0"/>
                      <w:szCs w:val="21"/>
                    </w:rPr>
                    <w:t>24小时平均</w:t>
                  </w:r>
                  <w:r>
                    <w:rPr>
                      <w:rFonts w:hint="eastAsia"/>
                      <w:kern w:val="0"/>
                      <w:szCs w:val="21"/>
                    </w:rPr>
                    <w:t>第95百分位数</w:t>
                  </w:r>
                </w:p>
              </w:tc>
              <w:tc>
                <w:tcPr>
                  <w:tcW w:w="619" w:type="pct"/>
                  <w:noWrap w:val="0"/>
                  <w:vAlign w:val="center"/>
                </w:tcPr>
                <w:p w14:paraId="695DF022">
                  <w:pPr>
                    <w:autoSpaceDE w:val="0"/>
                    <w:autoSpaceDN w:val="0"/>
                    <w:snapToGrid w:val="0"/>
                    <w:jc w:val="center"/>
                    <w:rPr>
                      <w:kern w:val="0"/>
                      <w:szCs w:val="21"/>
                    </w:rPr>
                  </w:pPr>
                  <w:r>
                    <w:rPr>
                      <w:rFonts w:hint="eastAsia"/>
                      <w:kern w:val="0"/>
                      <w:szCs w:val="21"/>
                      <w:lang w:val="en-US" w:eastAsia="zh-CN"/>
                    </w:rPr>
                    <w:t>1100</w:t>
                  </w:r>
                </w:p>
              </w:tc>
              <w:tc>
                <w:tcPr>
                  <w:tcW w:w="619" w:type="pct"/>
                  <w:noWrap w:val="0"/>
                  <w:vAlign w:val="center"/>
                </w:tcPr>
                <w:p w14:paraId="72E0830F">
                  <w:pPr>
                    <w:autoSpaceDE w:val="0"/>
                    <w:autoSpaceDN w:val="0"/>
                    <w:snapToGrid w:val="0"/>
                    <w:jc w:val="center"/>
                    <w:rPr>
                      <w:kern w:val="0"/>
                      <w:szCs w:val="21"/>
                    </w:rPr>
                  </w:pPr>
                  <w:r>
                    <w:rPr>
                      <w:rFonts w:hint="eastAsia"/>
                      <w:kern w:val="0"/>
                      <w:szCs w:val="21"/>
                    </w:rPr>
                    <w:t>4000</w:t>
                  </w:r>
                </w:p>
              </w:tc>
              <w:tc>
                <w:tcPr>
                  <w:tcW w:w="416" w:type="pct"/>
                  <w:noWrap w:val="0"/>
                  <w:vAlign w:val="center"/>
                </w:tcPr>
                <w:p w14:paraId="06FC0FAD">
                  <w:pPr>
                    <w:autoSpaceDE w:val="0"/>
                    <w:autoSpaceDN w:val="0"/>
                    <w:snapToGrid w:val="0"/>
                    <w:jc w:val="center"/>
                    <w:rPr>
                      <w:kern w:val="0"/>
                      <w:szCs w:val="21"/>
                    </w:rPr>
                  </w:pPr>
                  <w:r>
                    <w:rPr>
                      <w:rFonts w:hint="eastAsia"/>
                      <w:kern w:val="0"/>
                      <w:szCs w:val="21"/>
                    </w:rPr>
                    <w:t>100</w:t>
                  </w:r>
                </w:p>
              </w:tc>
              <w:tc>
                <w:tcPr>
                  <w:tcW w:w="547" w:type="pct"/>
                  <w:noWrap w:val="0"/>
                  <w:vAlign w:val="center"/>
                </w:tcPr>
                <w:p w14:paraId="0E95BEF2">
                  <w:pPr>
                    <w:autoSpaceDE w:val="0"/>
                    <w:autoSpaceDN w:val="0"/>
                    <w:snapToGrid w:val="0"/>
                    <w:jc w:val="center"/>
                    <w:rPr>
                      <w:kern w:val="0"/>
                      <w:szCs w:val="21"/>
                    </w:rPr>
                  </w:pPr>
                  <w:r>
                    <w:rPr>
                      <w:rFonts w:hint="eastAsia"/>
                      <w:kern w:val="0"/>
                      <w:szCs w:val="21"/>
                    </w:rPr>
                    <w:t>达标</w:t>
                  </w:r>
                </w:p>
              </w:tc>
            </w:tr>
            <w:tr w14:paraId="001DA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noWrap w:val="0"/>
                  <w:vAlign w:val="center"/>
                </w:tcPr>
                <w:p w14:paraId="01F9D821">
                  <w:pPr>
                    <w:autoSpaceDE w:val="0"/>
                    <w:autoSpaceDN w:val="0"/>
                    <w:snapToGrid w:val="0"/>
                    <w:jc w:val="center"/>
                    <w:rPr>
                      <w:kern w:val="0"/>
                      <w:szCs w:val="21"/>
                    </w:rPr>
                  </w:pPr>
                  <w:r>
                    <w:rPr>
                      <w:rFonts w:hint="eastAsia"/>
                      <w:kern w:val="0"/>
                      <w:szCs w:val="21"/>
                    </w:rPr>
                    <w:t>O</w:t>
                  </w:r>
                  <w:r>
                    <w:rPr>
                      <w:rFonts w:hint="eastAsia"/>
                      <w:kern w:val="0"/>
                      <w:szCs w:val="21"/>
                      <w:vertAlign w:val="subscript"/>
                    </w:rPr>
                    <w:t>3</w:t>
                  </w:r>
                </w:p>
              </w:tc>
              <w:tc>
                <w:tcPr>
                  <w:tcW w:w="2383" w:type="pct"/>
                  <w:noWrap w:val="0"/>
                  <w:vAlign w:val="center"/>
                </w:tcPr>
                <w:p w14:paraId="1C1D18A3">
                  <w:pPr>
                    <w:autoSpaceDE w:val="0"/>
                    <w:autoSpaceDN w:val="0"/>
                    <w:snapToGrid w:val="0"/>
                    <w:jc w:val="center"/>
                    <w:rPr>
                      <w:kern w:val="0"/>
                      <w:szCs w:val="21"/>
                    </w:rPr>
                  </w:pPr>
                  <w:r>
                    <w:rPr>
                      <w:kern w:val="0"/>
                      <w:szCs w:val="21"/>
                    </w:rPr>
                    <w:t>日最大8小时</w:t>
                  </w:r>
                  <w:r>
                    <w:rPr>
                      <w:rFonts w:hint="eastAsia"/>
                      <w:kern w:val="0"/>
                      <w:szCs w:val="21"/>
                    </w:rPr>
                    <w:t>滑动平均值的第90百分位数</w:t>
                  </w:r>
                </w:p>
              </w:tc>
              <w:tc>
                <w:tcPr>
                  <w:tcW w:w="619" w:type="pct"/>
                  <w:noWrap w:val="0"/>
                  <w:vAlign w:val="center"/>
                </w:tcPr>
                <w:p w14:paraId="5D4791DC">
                  <w:pPr>
                    <w:autoSpaceDE w:val="0"/>
                    <w:autoSpaceDN w:val="0"/>
                    <w:snapToGrid w:val="0"/>
                    <w:jc w:val="center"/>
                    <w:rPr>
                      <w:rFonts w:hint="default" w:eastAsia="宋体"/>
                      <w:kern w:val="0"/>
                      <w:szCs w:val="21"/>
                      <w:lang w:val="en-US" w:eastAsia="zh-CN"/>
                    </w:rPr>
                  </w:pPr>
                  <w:r>
                    <w:rPr>
                      <w:rFonts w:hint="eastAsia"/>
                      <w:kern w:val="0"/>
                      <w:szCs w:val="21"/>
                    </w:rPr>
                    <w:t>1</w:t>
                  </w:r>
                  <w:r>
                    <w:rPr>
                      <w:rFonts w:hint="eastAsia"/>
                      <w:kern w:val="0"/>
                      <w:szCs w:val="21"/>
                      <w:lang w:val="en-US" w:eastAsia="zh-CN"/>
                    </w:rPr>
                    <w:t>68</w:t>
                  </w:r>
                </w:p>
              </w:tc>
              <w:tc>
                <w:tcPr>
                  <w:tcW w:w="619" w:type="pct"/>
                  <w:noWrap w:val="0"/>
                  <w:vAlign w:val="center"/>
                </w:tcPr>
                <w:p w14:paraId="0067337B">
                  <w:pPr>
                    <w:autoSpaceDE w:val="0"/>
                    <w:autoSpaceDN w:val="0"/>
                    <w:snapToGrid w:val="0"/>
                    <w:jc w:val="center"/>
                    <w:rPr>
                      <w:kern w:val="0"/>
                      <w:szCs w:val="21"/>
                    </w:rPr>
                  </w:pPr>
                  <w:r>
                    <w:rPr>
                      <w:kern w:val="0"/>
                      <w:szCs w:val="21"/>
                    </w:rPr>
                    <w:t>160</w:t>
                  </w:r>
                </w:p>
              </w:tc>
              <w:tc>
                <w:tcPr>
                  <w:tcW w:w="416" w:type="pct"/>
                  <w:noWrap w:val="0"/>
                  <w:vAlign w:val="center"/>
                </w:tcPr>
                <w:p w14:paraId="4F6A11F7">
                  <w:pPr>
                    <w:autoSpaceDE w:val="0"/>
                    <w:autoSpaceDN w:val="0"/>
                    <w:snapToGrid w:val="0"/>
                    <w:jc w:val="center"/>
                    <w:rPr>
                      <w:rFonts w:hint="default" w:eastAsia="宋体"/>
                      <w:kern w:val="0"/>
                      <w:szCs w:val="21"/>
                      <w:lang w:val="en-US" w:eastAsia="zh-CN"/>
                    </w:rPr>
                  </w:pPr>
                  <w:r>
                    <w:rPr>
                      <w:rFonts w:hint="eastAsia"/>
                      <w:kern w:val="0"/>
                      <w:szCs w:val="21"/>
                    </w:rPr>
                    <w:t>8</w:t>
                  </w:r>
                  <w:r>
                    <w:rPr>
                      <w:rFonts w:hint="eastAsia"/>
                      <w:kern w:val="0"/>
                      <w:szCs w:val="21"/>
                      <w:lang w:val="en-US" w:eastAsia="zh-CN"/>
                    </w:rPr>
                    <w:t>6.3</w:t>
                  </w:r>
                </w:p>
              </w:tc>
              <w:tc>
                <w:tcPr>
                  <w:tcW w:w="547" w:type="pct"/>
                  <w:noWrap w:val="0"/>
                  <w:vAlign w:val="center"/>
                </w:tcPr>
                <w:p w14:paraId="3979333B">
                  <w:pPr>
                    <w:autoSpaceDE w:val="0"/>
                    <w:autoSpaceDN w:val="0"/>
                    <w:snapToGrid w:val="0"/>
                    <w:jc w:val="center"/>
                    <w:rPr>
                      <w:kern w:val="0"/>
                      <w:szCs w:val="21"/>
                    </w:rPr>
                  </w:pPr>
                  <w:r>
                    <w:rPr>
                      <w:kern w:val="0"/>
                      <w:szCs w:val="21"/>
                    </w:rPr>
                    <w:t>不达标</w:t>
                  </w:r>
                </w:p>
              </w:tc>
            </w:tr>
          </w:tbl>
          <w:p w14:paraId="3C540E11">
            <w:pPr>
              <w:adjustRightInd w:val="0"/>
              <w:snapToGrid w:val="0"/>
              <w:spacing w:line="480" w:lineRule="exact"/>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zh-CN"/>
              </w:rPr>
              <w:t>由上表可知，</w:t>
            </w:r>
            <w:r>
              <w:rPr>
                <w:rFonts w:hint="default" w:ascii="Times New Roman" w:hAnsi="Times New Roman" w:eastAsia="宋体" w:cs="Times New Roman"/>
                <w:sz w:val="24"/>
              </w:rPr>
              <w:t>202</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lang w:val="zh-CN"/>
              </w:rPr>
              <w:t>年常州市环境空气中</w:t>
            </w:r>
            <w:r>
              <w:rPr>
                <w:rFonts w:hint="eastAsia" w:ascii="Times New Roman" w:hAnsi="Times New Roman" w:eastAsia="宋体" w:cs="Times New Roman"/>
                <w:sz w:val="24"/>
                <w:lang w:val="en-US" w:eastAsia="zh-CN"/>
              </w:rPr>
              <w:t>细</w:t>
            </w:r>
            <w:r>
              <w:rPr>
                <w:rFonts w:hint="default" w:ascii="Times New Roman" w:hAnsi="Times New Roman" w:eastAsia="宋体" w:cs="Times New Roman"/>
                <w:sz w:val="24"/>
                <w:lang w:val="zh-CN"/>
              </w:rPr>
              <w:t>颗粒物（PM</w:t>
            </w:r>
            <w:r>
              <w:rPr>
                <w:rFonts w:hint="eastAsia" w:ascii="Times New Roman" w:hAnsi="Times New Roman" w:eastAsia="宋体" w:cs="Times New Roman"/>
                <w:sz w:val="24"/>
                <w:vertAlign w:val="subscript"/>
                <w:lang w:val="en-US" w:eastAsia="zh-CN"/>
              </w:rPr>
              <w:t>2.5</w:t>
            </w:r>
            <w:r>
              <w:rPr>
                <w:rFonts w:hint="default" w:ascii="Times New Roman" w:hAnsi="Times New Roman" w:eastAsia="宋体" w:cs="Times New Roman"/>
                <w:sz w:val="24"/>
                <w:lang w:val="zh-CN"/>
              </w:rPr>
              <w:t>）第9</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lang w:val="zh-CN"/>
              </w:rPr>
              <w:t>百分位数24</w:t>
            </w:r>
            <w:r>
              <w:rPr>
                <w:rFonts w:hint="eastAsia" w:ascii="Times New Roman" w:hAnsi="Times New Roman" w:eastAsia="宋体" w:cs="Times New Roman"/>
                <w:sz w:val="24"/>
                <w:lang w:val="en-US" w:eastAsia="zh-CN"/>
              </w:rPr>
              <w:t>h</w:t>
            </w:r>
            <w:r>
              <w:rPr>
                <w:rFonts w:hint="default" w:ascii="Times New Roman" w:hAnsi="Times New Roman" w:eastAsia="宋体" w:cs="Times New Roman"/>
                <w:sz w:val="24"/>
                <w:lang w:val="zh-CN"/>
              </w:rPr>
              <w:t>平均</w:t>
            </w:r>
            <w:r>
              <w:rPr>
                <w:rFonts w:hint="eastAsia" w:ascii="Times New Roman" w:hAnsi="Times New Roman" w:eastAsia="宋体" w:cs="Times New Roman"/>
                <w:sz w:val="24"/>
                <w:lang w:val="en-US" w:eastAsia="zh-CN"/>
              </w:rPr>
              <w:t>质量浓度、</w:t>
            </w:r>
            <w:r>
              <w:rPr>
                <w:rFonts w:hint="default" w:ascii="Times New Roman" w:hAnsi="Times New Roman" w:eastAsia="宋体" w:cs="Times New Roman"/>
                <w:sz w:val="24"/>
                <w:lang w:val="zh-CN"/>
              </w:rPr>
              <w:t>臭氧</w:t>
            </w:r>
            <w:r>
              <w:rPr>
                <w:rFonts w:hint="eastAsia" w:ascii="Times New Roman" w:hAnsi="Times New Roman" w:eastAsia="宋体" w:cs="Times New Roman"/>
                <w:sz w:val="24"/>
                <w:lang w:val="zh-CN"/>
              </w:rPr>
              <w:t>（</w:t>
            </w:r>
            <w:r>
              <w:rPr>
                <w:rFonts w:hint="eastAsia" w:ascii="Times New Roman" w:hAnsi="Times New Roman" w:eastAsia="宋体" w:cs="Times New Roman"/>
                <w:sz w:val="24"/>
                <w:lang w:val="en-US" w:eastAsia="zh-CN"/>
              </w:rPr>
              <w:t>O</w:t>
            </w:r>
            <w:r>
              <w:rPr>
                <w:rFonts w:hint="eastAsia" w:ascii="Times New Roman" w:hAnsi="Times New Roman" w:eastAsia="宋体" w:cs="Times New Roman"/>
                <w:sz w:val="24"/>
                <w:vertAlign w:val="subscript"/>
                <w:lang w:val="en-US" w:eastAsia="zh-CN"/>
              </w:rPr>
              <w:t>3</w:t>
            </w:r>
            <w:r>
              <w:rPr>
                <w:rFonts w:hint="eastAsia" w:ascii="Times New Roman" w:hAnsi="Times New Roman" w:eastAsia="宋体" w:cs="Times New Roman"/>
                <w:sz w:val="24"/>
                <w:lang w:val="zh-CN"/>
              </w:rPr>
              <w:t>）</w:t>
            </w:r>
            <w:r>
              <w:rPr>
                <w:rFonts w:hint="default" w:ascii="Times New Roman" w:hAnsi="Times New Roman" w:eastAsia="宋体" w:cs="Times New Roman"/>
                <w:sz w:val="24"/>
                <w:lang w:val="zh-CN"/>
              </w:rPr>
              <w:t>第90百分位数日最大8小时滑动平均质量浓度</w:t>
            </w:r>
            <w:r>
              <w:rPr>
                <w:rFonts w:hint="eastAsia" w:ascii="Times New Roman" w:hAnsi="Times New Roman" w:eastAsia="宋体" w:cs="Times New Roman"/>
                <w:sz w:val="24"/>
                <w:lang w:val="en-US" w:eastAsia="zh-CN"/>
              </w:rPr>
              <w:t>超过《环境空气质量标准》（GB3095-2012）中二级标准限值。参考</w:t>
            </w:r>
            <w:r>
              <w:rPr>
                <w:rFonts w:hint="default" w:ascii="Times New Roman" w:hAnsi="Times New Roman" w:eastAsia="宋体" w:cs="Times New Roman"/>
                <w:sz w:val="24"/>
                <w:lang w:val="en-US" w:eastAsia="zh-CN"/>
              </w:rPr>
              <w:t>《环境影响评价技术导则 大气环境》（HJ2.2-2018）</w:t>
            </w:r>
            <w:r>
              <w:rPr>
                <w:rFonts w:hint="eastAsia" w:ascii="Times New Roman" w:hAnsi="Times New Roman" w:eastAsia="宋体" w:cs="Times New Roman"/>
                <w:sz w:val="24"/>
                <w:lang w:val="en-US" w:eastAsia="zh-CN"/>
              </w:rPr>
              <w:t>中“区域达标判断”的相关规定，</w:t>
            </w:r>
            <w:r>
              <w:rPr>
                <w:rFonts w:hint="default" w:ascii="Times New Roman" w:hAnsi="Times New Roman" w:eastAsia="宋体" w:cs="Times New Roman"/>
                <w:sz w:val="24"/>
                <w:lang w:val="zh-CN"/>
              </w:rPr>
              <w:t>常州市判定为</w:t>
            </w:r>
            <w:r>
              <w:rPr>
                <w:rFonts w:hint="eastAsia" w:ascii="Times New Roman" w:hAnsi="Times New Roman" w:eastAsia="宋体" w:cs="Times New Roman"/>
                <w:sz w:val="24"/>
                <w:lang w:val="en-US" w:eastAsia="zh-CN"/>
              </w:rPr>
              <w:t>城市环境质量</w:t>
            </w:r>
            <w:r>
              <w:rPr>
                <w:rFonts w:hint="default" w:ascii="Times New Roman" w:hAnsi="Times New Roman" w:eastAsia="宋体" w:cs="Times New Roman"/>
                <w:sz w:val="24"/>
                <w:lang w:val="en-US" w:eastAsia="zh-CN"/>
              </w:rPr>
              <w:t>不</w:t>
            </w:r>
            <w:r>
              <w:rPr>
                <w:rFonts w:hint="default" w:ascii="Times New Roman" w:hAnsi="Times New Roman" w:eastAsia="宋体" w:cs="Times New Roman"/>
                <w:sz w:val="24"/>
                <w:lang w:val="zh-CN"/>
              </w:rPr>
              <w:t>达标区。</w:t>
            </w:r>
          </w:p>
          <w:p w14:paraId="32CCBBFB">
            <w:pPr>
              <w:spacing w:line="480" w:lineRule="exact"/>
              <w:ind w:firstLine="480" w:firstLineChars="200"/>
              <w:rPr>
                <w:sz w:val="24"/>
              </w:rPr>
            </w:pPr>
            <w:r>
              <w:rPr>
                <w:sz w:val="24"/>
              </w:rPr>
              <w:t>（3）其他污染物环境质量现状评价</w:t>
            </w:r>
          </w:p>
          <w:p w14:paraId="73544E6B">
            <w:pPr>
              <w:adjustRightInd w:val="0"/>
              <w:snapToGrid w:val="0"/>
              <w:spacing w:line="480" w:lineRule="exact"/>
              <w:ind w:firstLine="480" w:firstLineChars="200"/>
              <w:rPr>
                <w:sz w:val="24"/>
                <w:szCs w:val="22"/>
              </w:rPr>
            </w:pPr>
            <w:r>
              <w:rPr>
                <w:sz w:val="24"/>
              </w:rPr>
              <w:t>非甲烷总烃现状监测</w:t>
            </w:r>
            <w:r>
              <w:rPr>
                <w:bCs/>
                <w:sz w:val="24"/>
              </w:rPr>
              <w:t>引用</w:t>
            </w:r>
            <w:r>
              <w:rPr>
                <w:rFonts w:hint="eastAsia"/>
                <w:bCs/>
                <w:sz w:val="24"/>
                <w:lang w:val="en-US" w:eastAsia="zh-CN"/>
              </w:rPr>
              <w:t>特斯特（江苏）</w:t>
            </w:r>
            <w:r>
              <w:rPr>
                <w:bCs/>
                <w:sz w:val="24"/>
              </w:rPr>
              <w:t>检测</w:t>
            </w:r>
            <w:r>
              <w:rPr>
                <w:rFonts w:hint="eastAsia"/>
                <w:bCs/>
                <w:sz w:val="24"/>
                <w:lang w:val="en-US" w:eastAsia="zh-CN"/>
              </w:rPr>
              <w:t>科技</w:t>
            </w:r>
            <w:r>
              <w:rPr>
                <w:bCs/>
                <w:sz w:val="24"/>
              </w:rPr>
              <w:t>有限公司</w:t>
            </w:r>
            <w:r>
              <w:rPr>
                <w:rFonts w:hint="eastAsia"/>
                <w:bCs/>
                <w:sz w:val="24"/>
                <w:lang w:val="en-US" w:eastAsia="zh-CN"/>
              </w:rPr>
              <w:t>在常州盘古水泥公司西南侧</w:t>
            </w:r>
            <w:r>
              <w:rPr>
                <w:sz w:val="24"/>
              </w:rPr>
              <w:t>的历史监测数据（</w:t>
            </w:r>
            <w:r>
              <w:rPr>
                <w:bCs/>
                <w:sz w:val="24"/>
              </w:rPr>
              <w:t>报告编号</w:t>
            </w:r>
            <w:r>
              <w:rPr>
                <w:rFonts w:hint="eastAsia"/>
                <w:sz w:val="24"/>
                <w:lang w:val="en-US" w:eastAsia="zh-CN"/>
              </w:rPr>
              <w:t>TST202507103</w:t>
            </w:r>
            <w:r>
              <w:rPr>
                <w:sz w:val="24"/>
              </w:rPr>
              <w:t>），</w:t>
            </w:r>
            <w:r>
              <w:rPr>
                <w:rFonts w:hint="eastAsia"/>
                <w:sz w:val="24"/>
                <w:lang w:val="en-US" w:eastAsia="zh-CN"/>
              </w:rPr>
              <w:t>TSP</w:t>
            </w:r>
            <w:r>
              <w:rPr>
                <w:sz w:val="24"/>
              </w:rPr>
              <w:t>现状监测</w:t>
            </w:r>
            <w:r>
              <w:rPr>
                <w:bCs/>
                <w:sz w:val="24"/>
              </w:rPr>
              <w:t>引用江苏久诚检验检测有限公司</w:t>
            </w:r>
            <w:r>
              <w:rPr>
                <w:sz w:val="24"/>
              </w:rPr>
              <w:t>在</w:t>
            </w:r>
            <w:r>
              <w:rPr>
                <w:rFonts w:hint="eastAsia"/>
                <w:sz w:val="24"/>
              </w:rPr>
              <w:t>常州鸣谦新材料有限公司</w:t>
            </w:r>
            <w:r>
              <w:rPr>
                <w:sz w:val="24"/>
              </w:rPr>
              <w:t>的历史监测数据（</w:t>
            </w:r>
            <w:r>
              <w:rPr>
                <w:bCs/>
                <w:sz w:val="24"/>
              </w:rPr>
              <w:t>报告编号</w:t>
            </w:r>
            <w:r>
              <w:rPr>
                <w:sz w:val="24"/>
              </w:rPr>
              <w:t>JCH</w:t>
            </w:r>
            <w:r>
              <w:rPr>
                <w:rFonts w:hint="eastAsia"/>
                <w:sz w:val="24"/>
                <w:lang w:eastAsia="zh-CN"/>
              </w:rPr>
              <w:t>（</w:t>
            </w:r>
            <w:r>
              <w:rPr>
                <w:rFonts w:hint="eastAsia"/>
                <w:sz w:val="24"/>
                <w:lang w:val="en-US" w:eastAsia="zh-CN"/>
              </w:rPr>
              <w:t>Y</w:t>
            </w:r>
            <w:r>
              <w:rPr>
                <w:rFonts w:hint="eastAsia"/>
                <w:sz w:val="24"/>
                <w:lang w:eastAsia="zh-CN"/>
              </w:rPr>
              <w:t>）</w:t>
            </w:r>
            <w:r>
              <w:rPr>
                <w:rFonts w:hint="eastAsia"/>
                <w:sz w:val="24"/>
                <w:lang w:val="en-US" w:eastAsia="zh-CN"/>
              </w:rPr>
              <w:t>250097</w:t>
            </w:r>
            <w:r>
              <w:rPr>
                <w:sz w:val="24"/>
              </w:rPr>
              <w:t>）</w:t>
            </w:r>
            <w:r>
              <w:rPr>
                <w:sz w:val="24"/>
                <w:szCs w:val="22"/>
              </w:rPr>
              <w:t>监测数据结果见下表。</w:t>
            </w:r>
          </w:p>
          <w:p w14:paraId="04516599">
            <w:pPr>
              <w:autoSpaceDE w:val="0"/>
              <w:autoSpaceDN w:val="0"/>
              <w:snapToGrid w:val="0"/>
              <w:spacing w:line="400" w:lineRule="exact"/>
              <w:jc w:val="center"/>
              <w:rPr>
                <w:b/>
                <w:bCs/>
                <w:color w:val="auto"/>
                <w:szCs w:val="21"/>
              </w:rPr>
            </w:pPr>
            <w:r>
              <w:rPr>
                <w:b/>
                <w:bCs/>
                <w:color w:val="auto"/>
                <w:szCs w:val="21"/>
              </w:rPr>
              <w:t>表3-</w:t>
            </w:r>
            <w:r>
              <w:rPr>
                <w:rFonts w:hint="eastAsia"/>
                <w:b/>
                <w:bCs/>
                <w:color w:val="auto"/>
                <w:szCs w:val="21"/>
              </w:rPr>
              <w:t>6</w:t>
            </w:r>
            <w:r>
              <w:rPr>
                <w:b/>
                <w:bCs/>
                <w:color w:val="auto"/>
                <w:szCs w:val="21"/>
              </w:rPr>
              <w:t xml:space="preserve">  </w:t>
            </w:r>
            <w:r>
              <w:rPr>
                <w:b/>
                <w:color w:val="auto"/>
              </w:rPr>
              <w:t>其他污染物环境质量现状监测结</w:t>
            </w:r>
            <w:r>
              <w:rPr>
                <w:b/>
                <w:color w:val="auto"/>
                <w:szCs w:val="21"/>
              </w:rPr>
              <w:t>果  单位</w:t>
            </w:r>
            <w:r>
              <w:rPr>
                <w:b/>
                <w:bCs/>
                <w:color w:val="auto"/>
                <w:szCs w:val="21"/>
              </w:rPr>
              <w:t>：mg/m</w:t>
            </w:r>
            <w:r>
              <w:rPr>
                <w:b/>
                <w:bCs/>
                <w:color w:val="auto"/>
                <w:szCs w:val="21"/>
                <w:vertAlign w:val="superscript"/>
              </w:rPr>
              <w:t>3</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751"/>
              <w:gridCol w:w="1425"/>
              <w:gridCol w:w="737"/>
              <w:gridCol w:w="815"/>
              <w:gridCol w:w="933"/>
              <w:gridCol w:w="996"/>
              <w:gridCol w:w="1346"/>
              <w:gridCol w:w="978"/>
              <w:gridCol w:w="952"/>
            </w:tblGrid>
            <w:tr w14:paraId="6E3D88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0" w:type="pct"/>
                  <w:vMerge w:val="restart"/>
                  <w:vAlign w:val="center"/>
                </w:tcPr>
                <w:p w14:paraId="41B34279">
                  <w:pPr>
                    <w:snapToGrid w:val="0"/>
                    <w:jc w:val="center"/>
                    <w:rPr>
                      <w:b/>
                      <w:bCs/>
                      <w:color w:val="auto"/>
                      <w:szCs w:val="21"/>
                    </w:rPr>
                  </w:pPr>
                  <w:r>
                    <w:rPr>
                      <w:b/>
                      <w:bCs/>
                      <w:color w:val="auto"/>
                      <w:szCs w:val="21"/>
                    </w:rPr>
                    <w:t>点位编号</w:t>
                  </w:r>
                </w:p>
              </w:tc>
              <w:tc>
                <w:tcPr>
                  <w:tcW w:w="797" w:type="pct"/>
                  <w:vMerge w:val="restart"/>
                  <w:vAlign w:val="center"/>
                </w:tcPr>
                <w:p w14:paraId="1509F606">
                  <w:pPr>
                    <w:snapToGrid w:val="0"/>
                    <w:jc w:val="center"/>
                    <w:rPr>
                      <w:b/>
                      <w:bCs/>
                      <w:color w:val="auto"/>
                      <w:szCs w:val="21"/>
                    </w:rPr>
                  </w:pPr>
                  <w:r>
                    <w:rPr>
                      <w:b/>
                      <w:bCs/>
                      <w:color w:val="auto"/>
                      <w:szCs w:val="21"/>
                    </w:rPr>
                    <w:t>点位名称</w:t>
                  </w:r>
                </w:p>
              </w:tc>
              <w:tc>
                <w:tcPr>
                  <w:tcW w:w="412" w:type="pct"/>
                  <w:vMerge w:val="restart"/>
                  <w:vAlign w:val="center"/>
                </w:tcPr>
                <w:p w14:paraId="3A300465">
                  <w:pPr>
                    <w:snapToGrid w:val="0"/>
                    <w:jc w:val="center"/>
                    <w:rPr>
                      <w:b/>
                      <w:bCs/>
                      <w:color w:val="auto"/>
                      <w:szCs w:val="21"/>
                    </w:rPr>
                  </w:pPr>
                  <w:r>
                    <w:rPr>
                      <w:b/>
                      <w:bCs/>
                      <w:color w:val="auto"/>
                      <w:szCs w:val="21"/>
                    </w:rPr>
                    <w:t>相对</w:t>
                  </w:r>
                </w:p>
                <w:p w14:paraId="5F2563B7">
                  <w:pPr>
                    <w:snapToGrid w:val="0"/>
                    <w:jc w:val="center"/>
                    <w:rPr>
                      <w:b/>
                      <w:bCs/>
                      <w:color w:val="auto"/>
                      <w:szCs w:val="21"/>
                    </w:rPr>
                  </w:pPr>
                  <w:r>
                    <w:rPr>
                      <w:b/>
                      <w:bCs/>
                      <w:color w:val="auto"/>
                      <w:szCs w:val="21"/>
                    </w:rPr>
                    <w:t>方位</w:t>
                  </w:r>
                </w:p>
              </w:tc>
              <w:tc>
                <w:tcPr>
                  <w:tcW w:w="456" w:type="pct"/>
                  <w:vMerge w:val="restart"/>
                  <w:vAlign w:val="center"/>
                </w:tcPr>
                <w:p w14:paraId="386F5932">
                  <w:pPr>
                    <w:snapToGrid w:val="0"/>
                    <w:jc w:val="center"/>
                    <w:rPr>
                      <w:b/>
                      <w:bCs/>
                      <w:color w:val="auto"/>
                      <w:szCs w:val="21"/>
                    </w:rPr>
                  </w:pPr>
                  <w:r>
                    <w:rPr>
                      <w:b/>
                      <w:bCs/>
                      <w:color w:val="auto"/>
                      <w:szCs w:val="21"/>
                    </w:rPr>
                    <w:t>直线</w:t>
                  </w:r>
                </w:p>
                <w:p w14:paraId="22BD945B">
                  <w:pPr>
                    <w:snapToGrid w:val="0"/>
                    <w:jc w:val="center"/>
                    <w:rPr>
                      <w:b/>
                      <w:bCs/>
                      <w:color w:val="auto"/>
                      <w:szCs w:val="21"/>
                    </w:rPr>
                  </w:pPr>
                  <w:r>
                    <w:rPr>
                      <w:b/>
                      <w:bCs/>
                      <w:color w:val="auto"/>
                      <w:szCs w:val="21"/>
                    </w:rPr>
                    <w:t>距离</w:t>
                  </w:r>
                </w:p>
              </w:tc>
              <w:tc>
                <w:tcPr>
                  <w:tcW w:w="522" w:type="pct"/>
                  <w:vMerge w:val="restart"/>
                  <w:vAlign w:val="center"/>
                </w:tcPr>
                <w:p w14:paraId="5DF11B95">
                  <w:pPr>
                    <w:snapToGrid w:val="0"/>
                    <w:jc w:val="center"/>
                    <w:rPr>
                      <w:b/>
                      <w:bCs/>
                      <w:color w:val="auto"/>
                      <w:szCs w:val="21"/>
                    </w:rPr>
                  </w:pPr>
                  <w:r>
                    <w:rPr>
                      <w:b/>
                      <w:bCs/>
                      <w:color w:val="auto"/>
                      <w:szCs w:val="21"/>
                    </w:rPr>
                    <w:t>污染物</w:t>
                  </w:r>
                </w:p>
                <w:p w14:paraId="05BC09A2">
                  <w:pPr>
                    <w:snapToGrid w:val="0"/>
                    <w:jc w:val="center"/>
                    <w:rPr>
                      <w:b/>
                      <w:bCs/>
                      <w:color w:val="auto"/>
                      <w:szCs w:val="21"/>
                    </w:rPr>
                  </w:pPr>
                  <w:r>
                    <w:rPr>
                      <w:b/>
                      <w:bCs/>
                      <w:color w:val="auto"/>
                      <w:szCs w:val="21"/>
                    </w:rPr>
                    <w:t>名称</w:t>
                  </w:r>
                </w:p>
              </w:tc>
              <w:tc>
                <w:tcPr>
                  <w:tcW w:w="557" w:type="pct"/>
                  <w:vMerge w:val="restart"/>
                  <w:vAlign w:val="center"/>
                </w:tcPr>
                <w:p w14:paraId="19CA51EA">
                  <w:pPr>
                    <w:snapToGrid w:val="0"/>
                    <w:jc w:val="center"/>
                    <w:rPr>
                      <w:b/>
                      <w:bCs/>
                      <w:color w:val="auto"/>
                      <w:szCs w:val="21"/>
                    </w:rPr>
                  </w:pPr>
                  <w:r>
                    <w:rPr>
                      <w:b/>
                      <w:bCs/>
                      <w:color w:val="auto"/>
                      <w:szCs w:val="21"/>
                    </w:rPr>
                    <w:t>评价</w:t>
                  </w:r>
                </w:p>
                <w:p w14:paraId="01B52B1E">
                  <w:pPr>
                    <w:snapToGrid w:val="0"/>
                    <w:jc w:val="center"/>
                    <w:rPr>
                      <w:b/>
                      <w:bCs/>
                      <w:color w:val="auto"/>
                      <w:szCs w:val="21"/>
                    </w:rPr>
                  </w:pPr>
                  <w:r>
                    <w:rPr>
                      <w:b/>
                      <w:bCs/>
                      <w:color w:val="auto"/>
                      <w:szCs w:val="21"/>
                    </w:rPr>
                    <w:t>标准</w:t>
                  </w:r>
                </w:p>
              </w:tc>
              <w:tc>
                <w:tcPr>
                  <w:tcW w:w="1300" w:type="pct"/>
                  <w:gridSpan w:val="2"/>
                  <w:vAlign w:val="center"/>
                </w:tcPr>
                <w:p w14:paraId="1E43DEB7">
                  <w:pPr>
                    <w:snapToGrid w:val="0"/>
                    <w:jc w:val="center"/>
                    <w:rPr>
                      <w:b/>
                      <w:bCs/>
                      <w:color w:val="auto"/>
                      <w:szCs w:val="21"/>
                    </w:rPr>
                  </w:pPr>
                  <w:r>
                    <w:rPr>
                      <w:b/>
                      <w:bCs/>
                      <w:color w:val="auto"/>
                      <w:szCs w:val="21"/>
                    </w:rPr>
                    <w:t>小时浓度</w:t>
                  </w:r>
                </w:p>
              </w:tc>
              <w:tc>
                <w:tcPr>
                  <w:tcW w:w="532" w:type="pct"/>
                  <w:vMerge w:val="restart"/>
                  <w:vAlign w:val="center"/>
                </w:tcPr>
                <w:p w14:paraId="2CC3CA88">
                  <w:pPr>
                    <w:snapToGrid w:val="0"/>
                    <w:jc w:val="center"/>
                    <w:rPr>
                      <w:b/>
                      <w:bCs/>
                      <w:color w:val="auto"/>
                      <w:szCs w:val="21"/>
                    </w:rPr>
                  </w:pPr>
                  <w:r>
                    <w:rPr>
                      <w:b/>
                      <w:bCs/>
                      <w:color w:val="auto"/>
                      <w:szCs w:val="21"/>
                    </w:rPr>
                    <w:t>达标情况</w:t>
                  </w:r>
                </w:p>
              </w:tc>
            </w:tr>
            <w:tr w14:paraId="4E7040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0" w:type="pct"/>
                  <w:vMerge w:val="continue"/>
                  <w:vAlign w:val="center"/>
                </w:tcPr>
                <w:p w14:paraId="49B58EDD">
                  <w:pPr>
                    <w:snapToGrid w:val="0"/>
                    <w:jc w:val="center"/>
                    <w:rPr>
                      <w:color w:val="auto"/>
                      <w:szCs w:val="21"/>
                    </w:rPr>
                  </w:pPr>
                </w:p>
              </w:tc>
              <w:tc>
                <w:tcPr>
                  <w:tcW w:w="797" w:type="pct"/>
                  <w:vMerge w:val="continue"/>
                  <w:vAlign w:val="center"/>
                </w:tcPr>
                <w:p w14:paraId="55369A43">
                  <w:pPr>
                    <w:snapToGrid w:val="0"/>
                    <w:jc w:val="center"/>
                    <w:rPr>
                      <w:color w:val="auto"/>
                      <w:szCs w:val="21"/>
                    </w:rPr>
                  </w:pPr>
                </w:p>
              </w:tc>
              <w:tc>
                <w:tcPr>
                  <w:tcW w:w="412" w:type="pct"/>
                  <w:vMerge w:val="continue"/>
                  <w:vAlign w:val="center"/>
                </w:tcPr>
                <w:p w14:paraId="2AC8DE59">
                  <w:pPr>
                    <w:snapToGrid w:val="0"/>
                    <w:jc w:val="center"/>
                    <w:rPr>
                      <w:color w:val="auto"/>
                      <w:szCs w:val="21"/>
                    </w:rPr>
                  </w:pPr>
                </w:p>
              </w:tc>
              <w:tc>
                <w:tcPr>
                  <w:tcW w:w="456" w:type="pct"/>
                  <w:vMerge w:val="continue"/>
                  <w:vAlign w:val="center"/>
                </w:tcPr>
                <w:p w14:paraId="7706C649">
                  <w:pPr>
                    <w:snapToGrid w:val="0"/>
                    <w:jc w:val="center"/>
                    <w:rPr>
                      <w:color w:val="auto"/>
                      <w:szCs w:val="21"/>
                    </w:rPr>
                  </w:pPr>
                </w:p>
              </w:tc>
              <w:tc>
                <w:tcPr>
                  <w:tcW w:w="522" w:type="pct"/>
                  <w:vMerge w:val="continue"/>
                  <w:vAlign w:val="center"/>
                </w:tcPr>
                <w:p w14:paraId="59F1C312">
                  <w:pPr>
                    <w:snapToGrid w:val="0"/>
                    <w:jc w:val="center"/>
                    <w:rPr>
                      <w:color w:val="auto"/>
                      <w:szCs w:val="21"/>
                    </w:rPr>
                  </w:pPr>
                </w:p>
              </w:tc>
              <w:tc>
                <w:tcPr>
                  <w:tcW w:w="557" w:type="pct"/>
                  <w:vMerge w:val="continue"/>
                  <w:vAlign w:val="center"/>
                </w:tcPr>
                <w:p w14:paraId="2AD580C0">
                  <w:pPr>
                    <w:snapToGrid w:val="0"/>
                    <w:jc w:val="center"/>
                    <w:rPr>
                      <w:color w:val="auto"/>
                      <w:szCs w:val="21"/>
                    </w:rPr>
                  </w:pPr>
                </w:p>
              </w:tc>
              <w:tc>
                <w:tcPr>
                  <w:tcW w:w="753" w:type="pct"/>
                  <w:vAlign w:val="center"/>
                </w:tcPr>
                <w:p w14:paraId="5BB91F37">
                  <w:pPr>
                    <w:snapToGrid w:val="0"/>
                    <w:jc w:val="center"/>
                    <w:rPr>
                      <w:b/>
                      <w:bCs/>
                      <w:color w:val="auto"/>
                      <w:szCs w:val="21"/>
                    </w:rPr>
                  </w:pPr>
                  <w:r>
                    <w:rPr>
                      <w:b/>
                      <w:bCs/>
                      <w:color w:val="auto"/>
                      <w:szCs w:val="21"/>
                    </w:rPr>
                    <w:t>小时浓度</w:t>
                  </w:r>
                </w:p>
              </w:tc>
              <w:tc>
                <w:tcPr>
                  <w:tcW w:w="547" w:type="pct"/>
                  <w:vAlign w:val="center"/>
                </w:tcPr>
                <w:p w14:paraId="67EF562C">
                  <w:pPr>
                    <w:snapToGrid w:val="0"/>
                    <w:jc w:val="center"/>
                    <w:rPr>
                      <w:b/>
                      <w:bCs/>
                      <w:color w:val="auto"/>
                      <w:szCs w:val="21"/>
                    </w:rPr>
                  </w:pPr>
                  <w:r>
                    <w:rPr>
                      <w:b/>
                      <w:bCs/>
                      <w:color w:val="auto"/>
                      <w:szCs w:val="21"/>
                    </w:rPr>
                    <w:t>超标率%</w:t>
                  </w:r>
                </w:p>
              </w:tc>
              <w:tc>
                <w:tcPr>
                  <w:tcW w:w="532" w:type="pct"/>
                  <w:vMerge w:val="continue"/>
                  <w:vAlign w:val="center"/>
                </w:tcPr>
                <w:p w14:paraId="63C9C3FA">
                  <w:pPr>
                    <w:snapToGrid w:val="0"/>
                    <w:jc w:val="center"/>
                    <w:rPr>
                      <w:color w:val="auto"/>
                      <w:szCs w:val="21"/>
                    </w:rPr>
                  </w:pPr>
                </w:p>
              </w:tc>
            </w:tr>
            <w:tr w14:paraId="7F01FF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0" w:type="pct"/>
                  <w:vAlign w:val="center"/>
                </w:tcPr>
                <w:p w14:paraId="4368A521">
                  <w:pPr>
                    <w:adjustRightInd w:val="0"/>
                    <w:snapToGrid w:val="0"/>
                    <w:jc w:val="center"/>
                    <w:rPr>
                      <w:rFonts w:hint="default" w:eastAsia="宋体"/>
                      <w:color w:val="auto"/>
                      <w:lang w:val="en-US" w:eastAsia="zh-CN"/>
                    </w:rPr>
                  </w:pPr>
                  <w:r>
                    <w:rPr>
                      <w:rFonts w:hint="eastAsia"/>
                      <w:color w:val="auto"/>
                      <w:lang w:val="en-US" w:eastAsia="zh-CN"/>
                    </w:rPr>
                    <w:t>G1</w:t>
                  </w:r>
                </w:p>
              </w:tc>
              <w:tc>
                <w:tcPr>
                  <w:tcW w:w="797" w:type="pct"/>
                  <w:vAlign w:val="center"/>
                </w:tcPr>
                <w:p w14:paraId="2093C945">
                  <w:pPr>
                    <w:adjustRightInd w:val="0"/>
                    <w:snapToGrid w:val="0"/>
                    <w:jc w:val="center"/>
                    <w:rPr>
                      <w:rFonts w:hint="default" w:eastAsia="宋体"/>
                      <w:color w:val="auto"/>
                      <w:lang w:val="en-US" w:eastAsia="zh-CN"/>
                    </w:rPr>
                  </w:pPr>
                  <w:r>
                    <w:rPr>
                      <w:rFonts w:hint="eastAsia"/>
                      <w:color w:val="auto"/>
                      <w:lang w:val="en-US" w:eastAsia="zh-CN"/>
                    </w:rPr>
                    <w:t>常州盘古水泥公司西南侧</w:t>
                  </w:r>
                </w:p>
              </w:tc>
              <w:tc>
                <w:tcPr>
                  <w:tcW w:w="412" w:type="pct"/>
                  <w:vAlign w:val="center"/>
                </w:tcPr>
                <w:p w14:paraId="609D0D38">
                  <w:pPr>
                    <w:adjustRightInd w:val="0"/>
                    <w:snapToGrid w:val="0"/>
                    <w:jc w:val="center"/>
                    <w:rPr>
                      <w:rFonts w:hint="eastAsia" w:eastAsia="宋体"/>
                      <w:color w:val="auto"/>
                      <w:lang w:val="en-US" w:eastAsia="zh-CN"/>
                    </w:rPr>
                  </w:pPr>
                  <w:r>
                    <w:rPr>
                      <w:rFonts w:hint="eastAsia"/>
                      <w:color w:val="auto"/>
                      <w:lang w:val="en-US" w:eastAsia="zh-CN"/>
                    </w:rPr>
                    <w:t>SW</w:t>
                  </w:r>
                </w:p>
              </w:tc>
              <w:tc>
                <w:tcPr>
                  <w:tcW w:w="456" w:type="pct"/>
                  <w:vAlign w:val="center"/>
                </w:tcPr>
                <w:p w14:paraId="0410FD2E">
                  <w:pPr>
                    <w:adjustRightInd w:val="0"/>
                    <w:snapToGrid w:val="0"/>
                    <w:jc w:val="center"/>
                    <w:rPr>
                      <w:color w:val="auto"/>
                    </w:rPr>
                  </w:pPr>
                  <w:r>
                    <w:rPr>
                      <w:rFonts w:hint="eastAsia"/>
                      <w:color w:val="auto"/>
                      <w:lang w:val="en-US" w:eastAsia="zh-CN"/>
                    </w:rPr>
                    <w:t>4.5k</w:t>
                  </w:r>
                  <w:r>
                    <w:rPr>
                      <w:color w:val="auto"/>
                    </w:rPr>
                    <w:t>m</w:t>
                  </w:r>
                </w:p>
              </w:tc>
              <w:tc>
                <w:tcPr>
                  <w:tcW w:w="522" w:type="pct"/>
                  <w:vAlign w:val="center"/>
                </w:tcPr>
                <w:p w14:paraId="1ACD8D67">
                  <w:pPr>
                    <w:adjustRightInd w:val="0"/>
                    <w:snapToGrid w:val="0"/>
                    <w:jc w:val="center"/>
                    <w:rPr>
                      <w:color w:val="auto"/>
                    </w:rPr>
                  </w:pPr>
                  <w:r>
                    <w:rPr>
                      <w:color w:val="auto"/>
                    </w:rPr>
                    <w:t>非甲烷</w:t>
                  </w:r>
                </w:p>
                <w:p w14:paraId="5AB66B07">
                  <w:pPr>
                    <w:adjustRightInd w:val="0"/>
                    <w:snapToGrid w:val="0"/>
                    <w:jc w:val="center"/>
                    <w:rPr>
                      <w:color w:val="auto"/>
                    </w:rPr>
                  </w:pPr>
                  <w:r>
                    <w:rPr>
                      <w:color w:val="auto"/>
                    </w:rPr>
                    <w:t>总烃</w:t>
                  </w:r>
                </w:p>
              </w:tc>
              <w:tc>
                <w:tcPr>
                  <w:tcW w:w="557" w:type="pct"/>
                  <w:vAlign w:val="center"/>
                </w:tcPr>
                <w:p w14:paraId="2334D7BE">
                  <w:pPr>
                    <w:adjustRightInd w:val="0"/>
                    <w:snapToGrid w:val="0"/>
                    <w:jc w:val="center"/>
                    <w:rPr>
                      <w:color w:val="auto"/>
                    </w:rPr>
                  </w:pPr>
                  <w:r>
                    <w:rPr>
                      <w:color w:val="auto"/>
                    </w:rPr>
                    <w:t>2.0</w:t>
                  </w:r>
                </w:p>
              </w:tc>
              <w:tc>
                <w:tcPr>
                  <w:tcW w:w="753" w:type="pct"/>
                  <w:vAlign w:val="center"/>
                </w:tcPr>
                <w:p w14:paraId="3D455297">
                  <w:pPr>
                    <w:jc w:val="center"/>
                    <w:rPr>
                      <w:rFonts w:hint="eastAsia" w:eastAsia="仿宋"/>
                      <w:color w:val="auto"/>
                      <w:lang w:val="en-US" w:eastAsia="zh-CN"/>
                    </w:rPr>
                  </w:pPr>
                  <w:r>
                    <w:rPr>
                      <w:rFonts w:hint="eastAsia" w:eastAsia="仿宋"/>
                      <w:bCs/>
                      <w:color w:val="auto"/>
                      <w:szCs w:val="21"/>
                    </w:rPr>
                    <w:t>0.</w:t>
                  </w:r>
                  <w:r>
                    <w:rPr>
                      <w:rFonts w:hint="eastAsia" w:eastAsia="仿宋"/>
                      <w:bCs/>
                      <w:color w:val="auto"/>
                      <w:szCs w:val="21"/>
                      <w:lang w:val="en-US" w:eastAsia="zh-CN"/>
                    </w:rPr>
                    <w:t>12</w:t>
                  </w:r>
                  <w:r>
                    <w:rPr>
                      <w:rFonts w:eastAsia="仿宋"/>
                      <w:bCs/>
                      <w:color w:val="auto"/>
                      <w:szCs w:val="21"/>
                    </w:rPr>
                    <w:t>~</w:t>
                  </w:r>
                  <w:r>
                    <w:rPr>
                      <w:rFonts w:hint="eastAsia" w:eastAsia="仿宋"/>
                      <w:bCs/>
                      <w:color w:val="auto"/>
                      <w:szCs w:val="21"/>
                    </w:rPr>
                    <w:t>0.7</w:t>
                  </w:r>
                  <w:r>
                    <w:rPr>
                      <w:rFonts w:hint="eastAsia" w:eastAsia="仿宋"/>
                      <w:bCs/>
                      <w:color w:val="auto"/>
                      <w:szCs w:val="21"/>
                      <w:lang w:val="en-US" w:eastAsia="zh-CN"/>
                    </w:rPr>
                    <w:t>6</w:t>
                  </w:r>
                </w:p>
              </w:tc>
              <w:tc>
                <w:tcPr>
                  <w:tcW w:w="547" w:type="pct"/>
                  <w:vAlign w:val="center"/>
                </w:tcPr>
                <w:p w14:paraId="277E3809">
                  <w:pPr>
                    <w:jc w:val="center"/>
                    <w:rPr>
                      <w:color w:val="auto"/>
                    </w:rPr>
                  </w:pPr>
                  <w:r>
                    <w:rPr>
                      <w:rFonts w:hint="eastAsia" w:eastAsia="仿宋"/>
                      <w:bCs/>
                      <w:color w:val="auto"/>
                      <w:szCs w:val="21"/>
                    </w:rPr>
                    <w:t>0</w:t>
                  </w:r>
                </w:p>
              </w:tc>
              <w:tc>
                <w:tcPr>
                  <w:tcW w:w="532" w:type="pct"/>
                  <w:vAlign w:val="center"/>
                </w:tcPr>
                <w:p w14:paraId="30386831">
                  <w:pPr>
                    <w:adjustRightInd w:val="0"/>
                    <w:snapToGrid w:val="0"/>
                    <w:jc w:val="center"/>
                    <w:rPr>
                      <w:color w:val="auto"/>
                    </w:rPr>
                  </w:pPr>
                  <w:r>
                    <w:rPr>
                      <w:color w:val="auto"/>
                    </w:rPr>
                    <w:t>达标</w:t>
                  </w:r>
                </w:p>
              </w:tc>
            </w:tr>
            <w:tr w14:paraId="731758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04" w:hRule="atLeast"/>
                <w:jc w:val="center"/>
              </w:trPr>
              <w:tc>
                <w:tcPr>
                  <w:tcW w:w="420" w:type="pct"/>
                  <w:vAlign w:val="center"/>
                </w:tcPr>
                <w:p w14:paraId="220C11F9">
                  <w:pPr>
                    <w:adjustRightInd w:val="0"/>
                    <w:snapToGrid w:val="0"/>
                    <w:jc w:val="center"/>
                    <w:rPr>
                      <w:rFonts w:hint="default"/>
                      <w:color w:val="auto"/>
                      <w:lang w:val="en-US" w:eastAsia="zh-CN"/>
                    </w:rPr>
                  </w:pPr>
                  <w:r>
                    <w:rPr>
                      <w:rFonts w:hint="eastAsia"/>
                      <w:color w:val="auto"/>
                      <w:lang w:val="en-US" w:eastAsia="zh-CN"/>
                    </w:rPr>
                    <w:t>G2</w:t>
                  </w:r>
                </w:p>
              </w:tc>
              <w:tc>
                <w:tcPr>
                  <w:tcW w:w="797" w:type="pct"/>
                  <w:vAlign w:val="center"/>
                </w:tcPr>
                <w:p w14:paraId="3EEF96CB">
                  <w:pPr>
                    <w:adjustRightInd w:val="0"/>
                    <w:snapToGrid w:val="0"/>
                    <w:jc w:val="center"/>
                    <w:rPr>
                      <w:rFonts w:hint="default"/>
                      <w:color w:val="auto"/>
                      <w:lang w:val="en-US" w:eastAsia="zh-CN"/>
                    </w:rPr>
                  </w:pPr>
                  <w:r>
                    <w:rPr>
                      <w:rFonts w:hint="eastAsia"/>
                      <w:color w:val="auto"/>
                      <w:lang w:val="en-US" w:eastAsia="zh-CN"/>
                    </w:rPr>
                    <w:t>常州鸣谦新材料有限公司</w:t>
                  </w:r>
                </w:p>
              </w:tc>
              <w:tc>
                <w:tcPr>
                  <w:tcW w:w="412" w:type="pct"/>
                  <w:vAlign w:val="center"/>
                </w:tcPr>
                <w:p w14:paraId="436FC659">
                  <w:pPr>
                    <w:adjustRightInd w:val="0"/>
                    <w:snapToGrid w:val="0"/>
                    <w:jc w:val="center"/>
                    <w:rPr>
                      <w:rFonts w:hint="default"/>
                      <w:color w:val="auto"/>
                      <w:lang w:val="en-US" w:eastAsia="zh-CN"/>
                    </w:rPr>
                  </w:pPr>
                  <w:r>
                    <w:rPr>
                      <w:rFonts w:hint="eastAsia"/>
                      <w:color w:val="auto"/>
                      <w:lang w:val="en-US" w:eastAsia="zh-CN"/>
                    </w:rPr>
                    <w:t>SW</w:t>
                  </w:r>
                </w:p>
              </w:tc>
              <w:tc>
                <w:tcPr>
                  <w:tcW w:w="456" w:type="pct"/>
                  <w:vAlign w:val="center"/>
                </w:tcPr>
                <w:p w14:paraId="4F0FD0E6">
                  <w:pPr>
                    <w:adjustRightInd w:val="0"/>
                    <w:snapToGrid w:val="0"/>
                    <w:jc w:val="center"/>
                    <w:rPr>
                      <w:rFonts w:hint="default"/>
                      <w:color w:val="auto"/>
                      <w:lang w:val="en-US" w:eastAsia="zh-CN"/>
                    </w:rPr>
                  </w:pPr>
                  <w:r>
                    <w:rPr>
                      <w:rFonts w:hint="eastAsia"/>
                      <w:color w:val="auto"/>
                      <w:lang w:val="en-US" w:eastAsia="zh-CN"/>
                    </w:rPr>
                    <w:t>1km</w:t>
                  </w:r>
                </w:p>
              </w:tc>
              <w:tc>
                <w:tcPr>
                  <w:tcW w:w="522" w:type="pct"/>
                  <w:vAlign w:val="center"/>
                </w:tcPr>
                <w:p w14:paraId="09661BC1">
                  <w:pPr>
                    <w:adjustRightInd w:val="0"/>
                    <w:snapToGrid w:val="0"/>
                    <w:jc w:val="center"/>
                    <w:rPr>
                      <w:rFonts w:hint="default" w:eastAsia="宋体"/>
                      <w:color w:val="auto"/>
                      <w:lang w:val="en-US" w:eastAsia="zh-CN"/>
                    </w:rPr>
                  </w:pPr>
                  <w:r>
                    <w:rPr>
                      <w:rFonts w:hint="eastAsia"/>
                      <w:color w:val="auto"/>
                      <w:lang w:val="en-US" w:eastAsia="zh-CN"/>
                    </w:rPr>
                    <w:t>TSP</w:t>
                  </w:r>
                </w:p>
              </w:tc>
              <w:tc>
                <w:tcPr>
                  <w:tcW w:w="557" w:type="pct"/>
                  <w:vAlign w:val="center"/>
                </w:tcPr>
                <w:p w14:paraId="62014C7E">
                  <w:pPr>
                    <w:adjustRightInd w:val="0"/>
                    <w:snapToGrid w:val="0"/>
                    <w:jc w:val="center"/>
                    <w:rPr>
                      <w:rFonts w:hint="default" w:eastAsia="宋体"/>
                      <w:color w:val="auto"/>
                      <w:lang w:val="en-US" w:eastAsia="zh-CN"/>
                    </w:rPr>
                  </w:pPr>
                  <w:r>
                    <w:rPr>
                      <w:rFonts w:hint="eastAsia"/>
                      <w:color w:val="auto"/>
                      <w:lang w:val="en-US" w:eastAsia="zh-CN"/>
                    </w:rPr>
                    <w:t>0.9</w:t>
                  </w:r>
                </w:p>
              </w:tc>
              <w:tc>
                <w:tcPr>
                  <w:tcW w:w="753" w:type="pct"/>
                  <w:vAlign w:val="center"/>
                </w:tcPr>
                <w:p w14:paraId="55F60076">
                  <w:pPr>
                    <w:jc w:val="center"/>
                    <w:rPr>
                      <w:rFonts w:hint="eastAsia" w:eastAsia="仿宋"/>
                      <w:bCs/>
                      <w:color w:val="auto"/>
                      <w:szCs w:val="21"/>
                    </w:rPr>
                  </w:pPr>
                  <w:r>
                    <w:rPr>
                      <w:rFonts w:hint="eastAsia" w:eastAsia="仿宋"/>
                      <w:bCs/>
                      <w:color w:val="auto"/>
                      <w:szCs w:val="21"/>
                      <w:lang w:val="en-US" w:eastAsia="zh-CN"/>
                    </w:rPr>
                    <w:t>0.148~0.151</w:t>
                  </w:r>
                </w:p>
              </w:tc>
              <w:tc>
                <w:tcPr>
                  <w:tcW w:w="547" w:type="pct"/>
                  <w:shd w:val="clear" w:color="auto" w:fill="auto"/>
                  <w:vAlign w:val="center"/>
                </w:tcPr>
                <w:p w14:paraId="7D983382">
                  <w:pPr>
                    <w:jc w:val="center"/>
                    <w:rPr>
                      <w:rFonts w:hint="eastAsia" w:ascii="Times New Roman" w:hAnsi="Times New Roman" w:eastAsia="宋体" w:cs="Times New Roman"/>
                      <w:color w:val="auto"/>
                      <w:kern w:val="2"/>
                      <w:sz w:val="21"/>
                      <w:szCs w:val="24"/>
                      <w:lang w:val="en-US" w:eastAsia="zh-CN" w:bidi="ar-SA"/>
                    </w:rPr>
                  </w:pPr>
                  <w:r>
                    <w:rPr>
                      <w:rFonts w:hint="eastAsia" w:eastAsia="仿宋"/>
                      <w:bCs/>
                      <w:color w:val="auto"/>
                      <w:szCs w:val="21"/>
                    </w:rPr>
                    <w:t>0</w:t>
                  </w:r>
                </w:p>
              </w:tc>
              <w:tc>
                <w:tcPr>
                  <w:tcW w:w="532" w:type="pct"/>
                  <w:shd w:val="clear" w:color="auto" w:fill="auto"/>
                  <w:vAlign w:val="center"/>
                </w:tcPr>
                <w:p w14:paraId="6BDF75CF">
                  <w:pPr>
                    <w:adjustRightInd w:val="0"/>
                    <w:snapToGrid w:val="0"/>
                    <w:jc w:val="center"/>
                    <w:rPr>
                      <w:rFonts w:ascii="Times New Roman" w:hAnsi="Times New Roman" w:eastAsia="宋体" w:cs="Times New Roman"/>
                      <w:color w:val="auto"/>
                      <w:kern w:val="2"/>
                      <w:sz w:val="21"/>
                      <w:szCs w:val="24"/>
                      <w:lang w:val="en-US" w:eastAsia="zh-CN" w:bidi="ar-SA"/>
                    </w:rPr>
                  </w:pPr>
                  <w:r>
                    <w:rPr>
                      <w:color w:val="auto"/>
                    </w:rPr>
                    <w:t>达标</w:t>
                  </w:r>
                </w:p>
              </w:tc>
            </w:tr>
          </w:tbl>
          <w:p w14:paraId="0AA4B0D0">
            <w:pPr>
              <w:spacing w:line="480" w:lineRule="exact"/>
              <w:ind w:firstLine="480" w:firstLineChars="200"/>
              <w:rPr>
                <w:sz w:val="24"/>
                <w:szCs w:val="22"/>
              </w:rPr>
            </w:pPr>
            <w:r>
              <w:rPr>
                <w:bCs/>
                <w:sz w:val="24"/>
              </w:rPr>
              <w:t>根据上表现状监测结果可以看出，特征因子非甲烷总烃符合《大气污染物综合排放标准详解》</w:t>
            </w:r>
            <w:r>
              <w:rPr>
                <w:rFonts w:hint="eastAsia"/>
                <w:bCs/>
                <w:sz w:val="24"/>
              </w:rPr>
              <w:t>推荐的浓度限值要求</w:t>
            </w:r>
            <w:r>
              <w:rPr>
                <w:rFonts w:hint="eastAsia"/>
                <w:bCs/>
                <w:sz w:val="24"/>
                <w:lang w:eastAsia="zh-CN"/>
              </w:rPr>
              <w:t>，</w:t>
            </w:r>
            <w:r>
              <w:rPr>
                <w:rFonts w:hint="eastAsia"/>
                <w:bCs/>
                <w:sz w:val="24"/>
                <w:lang w:val="en-US" w:eastAsia="zh-CN"/>
              </w:rPr>
              <w:t>TSP符合《环境空气质量标准》（GB3095-2012）的二级浓度限值</w:t>
            </w:r>
            <w:r>
              <w:rPr>
                <w:sz w:val="24"/>
                <w:szCs w:val="22"/>
              </w:rPr>
              <w:t>，满足项目所在地区的环境功能区划要求。</w:t>
            </w:r>
          </w:p>
          <w:p w14:paraId="6B1FD4BB">
            <w:pPr>
              <w:spacing w:line="480" w:lineRule="exact"/>
              <w:ind w:firstLine="480" w:firstLineChars="200"/>
              <w:rPr>
                <w:sz w:val="24"/>
                <w:szCs w:val="22"/>
              </w:rPr>
            </w:pPr>
            <w:r>
              <w:rPr>
                <w:sz w:val="24"/>
                <w:szCs w:val="22"/>
              </w:rPr>
              <w:t>数据有效性分析：本项目引用</w:t>
            </w:r>
            <w:r>
              <w:rPr>
                <w:rFonts w:hint="eastAsia"/>
                <w:bCs/>
                <w:sz w:val="24"/>
                <w:lang w:val="en-US" w:eastAsia="zh-CN"/>
              </w:rPr>
              <w:t>特斯特（江苏）</w:t>
            </w:r>
            <w:r>
              <w:rPr>
                <w:bCs/>
                <w:sz w:val="24"/>
              </w:rPr>
              <w:t>检测</w:t>
            </w:r>
            <w:r>
              <w:rPr>
                <w:rFonts w:hint="eastAsia"/>
                <w:bCs/>
                <w:sz w:val="24"/>
                <w:lang w:val="en-US" w:eastAsia="zh-CN"/>
              </w:rPr>
              <w:t>科技</w:t>
            </w:r>
            <w:r>
              <w:rPr>
                <w:bCs/>
                <w:sz w:val="24"/>
              </w:rPr>
              <w:t>有限公司</w:t>
            </w:r>
            <w:r>
              <w:rPr>
                <w:sz w:val="24"/>
                <w:szCs w:val="22"/>
              </w:rPr>
              <w:t>于</w:t>
            </w:r>
            <w:r>
              <w:rPr>
                <w:sz w:val="24"/>
              </w:rPr>
              <w:t>202</w:t>
            </w:r>
            <w:r>
              <w:rPr>
                <w:rFonts w:hint="eastAsia"/>
                <w:sz w:val="24"/>
                <w:lang w:val="en-US" w:eastAsia="zh-CN"/>
              </w:rPr>
              <w:t>5</w:t>
            </w:r>
            <w:r>
              <w:rPr>
                <w:sz w:val="24"/>
              </w:rPr>
              <w:t>年</w:t>
            </w:r>
            <w:r>
              <w:rPr>
                <w:rFonts w:hint="eastAsia"/>
                <w:sz w:val="24"/>
                <w:lang w:val="en-US" w:eastAsia="zh-CN"/>
              </w:rPr>
              <w:t>5</w:t>
            </w:r>
            <w:r>
              <w:rPr>
                <w:sz w:val="24"/>
              </w:rPr>
              <w:t>月</w:t>
            </w:r>
            <w:r>
              <w:rPr>
                <w:rFonts w:hint="eastAsia"/>
                <w:sz w:val="24"/>
                <w:lang w:val="en-US" w:eastAsia="zh-CN"/>
              </w:rPr>
              <w:t>25</w:t>
            </w:r>
            <w:r>
              <w:rPr>
                <w:sz w:val="24"/>
              </w:rPr>
              <w:t>日～</w:t>
            </w:r>
            <w:r>
              <w:rPr>
                <w:rFonts w:hint="eastAsia"/>
                <w:sz w:val="24"/>
                <w:lang w:val="en-US" w:eastAsia="zh-CN"/>
              </w:rPr>
              <w:t>5</w:t>
            </w:r>
            <w:r>
              <w:rPr>
                <w:sz w:val="24"/>
              </w:rPr>
              <w:t>月</w:t>
            </w:r>
            <w:r>
              <w:rPr>
                <w:rFonts w:hint="eastAsia"/>
                <w:sz w:val="24"/>
                <w:lang w:val="en-US" w:eastAsia="zh-CN"/>
              </w:rPr>
              <w:t>27</w:t>
            </w:r>
            <w:r>
              <w:rPr>
                <w:sz w:val="24"/>
              </w:rPr>
              <w:t>日</w:t>
            </w:r>
            <w:r>
              <w:rPr>
                <w:sz w:val="24"/>
                <w:szCs w:val="22"/>
              </w:rPr>
              <w:t>在项目</w:t>
            </w:r>
            <w:r>
              <w:rPr>
                <w:rFonts w:hint="eastAsia"/>
                <w:sz w:val="24"/>
                <w:szCs w:val="22"/>
                <w:lang w:val="en-US" w:eastAsia="zh-CN"/>
              </w:rPr>
              <w:t>西</w:t>
            </w:r>
            <w:r>
              <w:rPr>
                <w:rFonts w:hint="eastAsia"/>
                <w:sz w:val="24"/>
                <w:szCs w:val="22"/>
              </w:rPr>
              <w:t>南</w:t>
            </w:r>
            <w:r>
              <w:rPr>
                <w:sz w:val="24"/>
                <w:szCs w:val="22"/>
              </w:rPr>
              <w:t>侧</w:t>
            </w:r>
            <w:r>
              <w:rPr>
                <w:rFonts w:hint="eastAsia"/>
                <w:sz w:val="24"/>
                <w:szCs w:val="22"/>
              </w:rPr>
              <w:t>约</w:t>
            </w:r>
            <w:r>
              <w:rPr>
                <w:rFonts w:hint="eastAsia"/>
                <w:sz w:val="24"/>
                <w:szCs w:val="22"/>
                <w:lang w:val="en-US" w:eastAsia="zh-CN"/>
              </w:rPr>
              <w:t>4.5k</w:t>
            </w:r>
            <w:r>
              <w:rPr>
                <w:sz w:val="24"/>
                <w:szCs w:val="22"/>
              </w:rPr>
              <w:t>m处</w:t>
            </w:r>
            <w:r>
              <w:rPr>
                <w:rFonts w:hint="eastAsia" w:ascii="Times New Roman" w:hAnsi="Times New Roman" w:eastAsia="宋体" w:cs="Times New Roman"/>
                <w:sz w:val="24"/>
                <w:szCs w:val="22"/>
                <w:lang w:val="en-US" w:eastAsia="zh-CN"/>
              </w:rPr>
              <w:t>常州盘古水泥公司西南侧</w:t>
            </w:r>
            <w:r>
              <w:rPr>
                <w:rFonts w:ascii="Times New Roman" w:hAnsi="Times New Roman" w:eastAsia="宋体" w:cs="Times New Roman"/>
                <w:sz w:val="24"/>
                <w:szCs w:val="22"/>
              </w:rPr>
              <w:t>的监</w:t>
            </w:r>
            <w:r>
              <w:rPr>
                <w:sz w:val="24"/>
                <w:szCs w:val="22"/>
              </w:rPr>
              <w:t>测数据，引用时间不超过3年，大气环境引用时间有效</w:t>
            </w:r>
            <w:r>
              <w:rPr>
                <w:rFonts w:hint="eastAsia"/>
                <w:sz w:val="24"/>
                <w:szCs w:val="22"/>
                <w:lang w:eastAsia="zh-CN"/>
              </w:rPr>
              <w:t>。</w:t>
            </w:r>
            <w:r>
              <w:rPr>
                <w:sz w:val="24"/>
                <w:szCs w:val="22"/>
              </w:rPr>
              <w:t>本项目引用</w:t>
            </w:r>
            <w:r>
              <w:rPr>
                <w:bCs/>
                <w:sz w:val="24"/>
              </w:rPr>
              <w:t>江苏久诚检验检测有限公司</w:t>
            </w:r>
            <w:r>
              <w:rPr>
                <w:sz w:val="24"/>
                <w:szCs w:val="22"/>
              </w:rPr>
              <w:t>于</w:t>
            </w:r>
            <w:r>
              <w:rPr>
                <w:sz w:val="24"/>
              </w:rPr>
              <w:t>202</w:t>
            </w:r>
            <w:r>
              <w:rPr>
                <w:rFonts w:hint="eastAsia"/>
                <w:sz w:val="24"/>
                <w:lang w:val="en-US" w:eastAsia="zh-CN"/>
              </w:rPr>
              <w:t>3</w:t>
            </w:r>
            <w:r>
              <w:rPr>
                <w:sz w:val="24"/>
              </w:rPr>
              <w:t>年</w:t>
            </w:r>
            <w:r>
              <w:rPr>
                <w:rFonts w:hint="eastAsia"/>
                <w:sz w:val="24"/>
                <w:lang w:val="en-US" w:eastAsia="zh-CN"/>
              </w:rPr>
              <w:t>12</w:t>
            </w:r>
            <w:r>
              <w:rPr>
                <w:sz w:val="24"/>
              </w:rPr>
              <w:t>月</w:t>
            </w:r>
            <w:r>
              <w:rPr>
                <w:rFonts w:hint="eastAsia"/>
                <w:sz w:val="24"/>
                <w:lang w:val="en-US" w:eastAsia="zh-CN"/>
              </w:rPr>
              <w:t>21</w:t>
            </w:r>
            <w:r>
              <w:rPr>
                <w:sz w:val="24"/>
              </w:rPr>
              <w:t>日～</w:t>
            </w:r>
            <w:r>
              <w:rPr>
                <w:rFonts w:hint="eastAsia"/>
                <w:sz w:val="24"/>
                <w:lang w:val="en-US" w:eastAsia="zh-CN"/>
              </w:rPr>
              <w:t>12</w:t>
            </w:r>
            <w:r>
              <w:rPr>
                <w:sz w:val="24"/>
              </w:rPr>
              <w:t>月</w:t>
            </w:r>
            <w:r>
              <w:rPr>
                <w:rFonts w:hint="eastAsia"/>
                <w:sz w:val="24"/>
                <w:lang w:val="en-US" w:eastAsia="zh-CN"/>
              </w:rPr>
              <w:t>24</w:t>
            </w:r>
            <w:r>
              <w:rPr>
                <w:sz w:val="24"/>
              </w:rPr>
              <w:t>日</w:t>
            </w:r>
            <w:r>
              <w:rPr>
                <w:sz w:val="24"/>
                <w:szCs w:val="22"/>
              </w:rPr>
              <w:t>在项目</w:t>
            </w:r>
            <w:r>
              <w:rPr>
                <w:rFonts w:hint="eastAsia"/>
                <w:sz w:val="24"/>
                <w:szCs w:val="22"/>
                <w:lang w:val="en-US" w:eastAsia="zh-CN"/>
              </w:rPr>
              <w:t>西</w:t>
            </w:r>
            <w:r>
              <w:rPr>
                <w:rFonts w:hint="eastAsia"/>
                <w:sz w:val="24"/>
                <w:szCs w:val="22"/>
              </w:rPr>
              <w:t>南</w:t>
            </w:r>
            <w:r>
              <w:rPr>
                <w:sz w:val="24"/>
                <w:szCs w:val="22"/>
              </w:rPr>
              <w:t>侧</w:t>
            </w:r>
            <w:r>
              <w:rPr>
                <w:rFonts w:hint="eastAsia"/>
                <w:sz w:val="24"/>
                <w:szCs w:val="22"/>
              </w:rPr>
              <w:t>约</w:t>
            </w:r>
            <w:r>
              <w:rPr>
                <w:rFonts w:hint="eastAsia"/>
                <w:sz w:val="24"/>
                <w:szCs w:val="22"/>
                <w:lang w:val="en-US" w:eastAsia="zh-CN"/>
              </w:rPr>
              <w:t>1k</w:t>
            </w:r>
            <w:r>
              <w:rPr>
                <w:sz w:val="24"/>
                <w:szCs w:val="22"/>
              </w:rPr>
              <w:t>m处</w:t>
            </w:r>
            <w:r>
              <w:rPr>
                <w:rFonts w:hint="eastAsia"/>
                <w:color w:val="auto"/>
                <w:lang w:val="en-US" w:eastAsia="zh-CN"/>
              </w:rPr>
              <w:t>常州鸣谦新材料有限公司</w:t>
            </w:r>
            <w:r>
              <w:rPr>
                <w:rFonts w:ascii="Times New Roman" w:hAnsi="Times New Roman" w:eastAsia="宋体" w:cs="Times New Roman"/>
                <w:sz w:val="24"/>
                <w:szCs w:val="22"/>
              </w:rPr>
              <w:t>的监</w:t>
            </w:r>
            <w:r>
              <w:rPr>
                <w:sz w:val="24"/>
                <w:szCs w:val="22"/>
              </w:rPr>
              <w:t>测数据，引用时间不超过3年，大气环境引用时间有效</w:t>
            </w:r>
            <w:r>
              <w:rPr>
                <w:rFonts w:hint="eastAsia"/>
                <w:sz w:val="24"/>
                <w:szCs w:val="22"/>
                <w:lang w:eastAsia="zh-CN"/>
              </w:rPr>
              <w:t>。</w:t>
            </w:r>
            <w:r>
              <w:rPr>
                <w:sz w:val="24"/>
                <w:szCs w:val="22"/>
              </w:rPr>
              <w:t>大气环境引用时间有效项目所在区域污染源未发生重大变化，可引用3年内环境空气的监测数据；引用点位在项目相关评价范围内，大气环境引用点位有效。</w:t>
            </w:r>
          </w:p>
          <w:p w14:paraId="15B0783E">
            <w:pPr>
              <w:pStyle w:val="13"/>
              <w:spacing w:line="480" w:lineRule="exact"/>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4</w:t>
            </w:r>
            <w:r>
              <w:rPr>
                <w:rFonts w:ascii="Times New Roman" w:hAnsi="Times New Roman"/>
                <w:sz w:val="24"/>
              </w:rPr>
              <w:t>）区域削减</w:t>
            </w:r>
          </w:p>
          <w:p w14:paraId="2E01A98F">
            <w:pPr>
              <w:autoSpaceDE w:val="0"/>
              <w:autoSpaceDN w:val="0"/>
              <w:adjustRightInd w:val="0"/>
              <w:spacing w:line="360" w:lineRule="auto"/>
              <w:ind w:firstLine="480" w:firstLineChars="200"/>
              <w:rPr>
                <w:rFonts w:eastAsiaTheme="minorEastAsia"/>
                <w:sz w:val="24"/>
              </w:rPr>
            </w:pPr>
            <w:r>
              <w:rPr>
                <w:rFonts w:eastAsiaTheme="minorEastAsia"/>
                <w:sz w:val="24"/>
              </w:rPr>
              <w:t>为加快改善环境空气质量，常州市人民政府发布了</w:t>
            </w:r>
            <w:r>
              <w:rPr>
                <w:rFonts w:eastAsiaTheme="minorEastAsia"/>
                <w:kern w:val="44"/>
                <w:sz w:val="24"/>
              </w:rPr>
              <w:t>《常州市空气质量持续改善行动计划实施方案》（常政发〔2024〕51号）</w:t>
            </w:r>
            <w:r>
              <w:rPr>
                <w:rFonts w:eastAsiaTheme="minorEastAsia"/>
                <w:sz w:val="24"/>
              </w:rPr>
              <w:t>，进一步提出如下大气污染防治工作计划：</w:t>
            </w:r>
          </w:p>
          <w:p w14:paraId="10D28DEC">
            <w:pPr>
              <w:autoSpaceDE w:val="0"/>
              <w:autoSpaceDN w:val="0"/>
              <w:adjustRightInd w:val="0"/>
              <w:spacing w:line="360" w:lineRule="auto"/>
              <w:ind w:firstLine="480" w:firstLineChars="200"/>
              <w:rPr>
                <w:rFonts w:eastAsiaTheme="minorEastAsia"/>
                <w:kern w:val="44"/>
                <w:sz w:val="24"/>
              </w:rPr>
            </w:pPr>
            <w:r>
              <w:rPr>
                <w:rFonts w:eastAsiaTheme="minorEastAsia"/>
                <w:kern w:val="44"/>
                <w:sz w:val="24"/>
              </w:rPr>
              <w:t>主要目标是：到2025年，全市PM</w:t>
            </w:r>
            <w:r>
              <w:rPr>
                <w:rFonts w:eastAsiaTheme="minorEastAsia"/>
                <w:kern w:val="44"/>
                <w:sz w:val="24"/>
                <w:vertAlign w:val="subscript"/>
              </w:rPr>
              <w:t>2.5</w:t>
            </w:r>
            <w:r>
              <w:rPr>
                <w:rFonts w:eastAsiaTheme="minorEastAsia"/>
                <w:kern w:val="44"/>
                <w:sz w:val="24"/>
              </w:rPr>
              <w:t>浓度总体达标，PM</w:t>
            </w:r>
            <w:r>
              <w:rPr>
                <w:rFonts w:eastAsiaTheme="minorEastAsia"/>
                <w:kern w:val="44"/>
                <w:sz w:val="24"/>
                <w:vertAlign w:val="subscript"/>
              </w:rPr>
              <w:t>2.5</w:t>
            </w:r>
            <w:r>
              <w:rPr>
                <w:rFonts w:eastAsiaTheme="minorEastAsia"/>
                <w:kern w:val="44"/>
                <w:sz w:val="24"/>
              </w:rPr>
              <w:t>浓度比2020年下降10%，基本消除重度及以上污染天气，空气质量持续改善；氮氧化物和VOCs排放总量比2020年分别下降10%以上，完成省下达的减排目标。</w:t>
            </w:r>
          </w:p>
          <w:p w14:paraId="0621C868">
            <w:pPr>
              <w:autoSpaceDE w:val="0"/>
              <w:autoSpaceDN w:val="0"/>
              <w:adjustRightInd w:val="0"/>
              <w:snapToGrid w:val="0"/>
              <w:spacing w:line="360" w:lineRule="auto"/>
              <w:ind w:firstLine="480" w:firstLineChars="200"/>
              <w:rPr>
                <w:rFonts w:hint="eastAsia" w:eastAsiaTheme="minorEastAsia"/>
                <w:sz w:val="24"/>
              </w:rPr>
            </w:pPr>
            <w:r>
              <w:rPr>
                <w:rFonts w:hint="eastAsia" w:eastAsiaTheme="minorEastAsia"/>
                <w:sz w:val="24"/>
              </w:rPr>
              <w:t>主要举措如下：</w:t>
            </w:r>
          </w:p>
          <w:p w14:paraId="1F3F1420">
            <w:pPr>
              <w:autoSpaceDE w:val="0"/>
              <w:autoSpaceDN w:val="0"/>
              <w:adjustRightInd w:val="0"/>
              <w:snapToGrid w:val="0"/>
              <w:spacing w:line="360" w:lineRule="auto"/>
              <w:ind w:firstLine="480" w:firstLineChars="200"/>
              <w:rPr>
                <w:rFonts w:hint="eastAsia" w:eastAsiaTheme="minorEastAsia"/>
                <w:sz w:val="24"/>
              </w:rPr>
            </w:pPr>
            <w:r>
              <w:rPr>
                <w:rFonts w:hint="eastAsia" w:eastAsiaTheme="minorEastAsia"/>
                <w:sz w:val="24"/>
              </w:rPr>
              <w:t>“二、调整优化产业结构，推进产业绿色低碳发展</w:t>
            </w:r>
          </w:p>
          <w:p w14:paraId="57070536">
            <w:pPr>
              <w:autoSpaceDE w:val="0"/>
              <w:autoSpaceDN w:val="0"/>
              <w:adjustRightInd w:val="0"/>
              <w:snapToGrid w:val="0"/>
              <w:spacing w:line="360" w:lineRule="auto"/>
              <w:ind w:firstLine="480" w:firstLineChars="200"/>
              <w:rPr>
                <w:rFonts w:hint="eastAsia" w:eastAsiaTheme="minorEastAsia"/>
                <w:sz w:val="24"/>
              </w:rPr>
            </w:pPr>
            <w:r>
              <w:rPr>
                <w:rFonts w:hint="eastAsia" w:eastAsiaTheme="minorEastAsia"/>
                <w:sz w:val="24"/>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7E5BB26C">
            <w:pPr>
              <w:autoSpaceDE w:val="0"/>
              <w:autoSpaceDN w:val="0"/>
              <w:adjustRightInd w:val="0"/>
              <w:snapToGrid w:val="0"/>
              <w:spacing w:line="360" w:lineRule="auto"/>
              <w:ind w:firstLine="480" w:firstLineChars="200"/>
              <w:rPr>
                <w:rFonts w:hint="eastAsia" w:eastAsiaTheme="minorEastAsia"/>
                <w:sz w:val="24"/>
              </w:rPr>
            </w:pPr>
            <w:r>
              <w:rPr>
                <w:rFonts w:hint="eastAsia" w:eastAsiaTheme="minorEastAsia"/>
                <w:sz w:val="24"/>
              </w:rPr>
              <w:t>（二）加快退出重点行业落后产能。落实《产业结构调整指导目录》，依法依规逐步退出限制类涉气行业工艺和装备、逐步淘汰步进式烧结机和球团竖炉以及半封闭式硅锰合金、镍铁、高碳铬铁、高碳锰铁电炉。</w:t>
            </w:r>
          </w:p>
          <w:p w14:paraId="5353B445">
            <w:pPr>
              <w:autoSpaceDE w:val="0"/>
              <w:autoSpaceDN w:val="0"/>
              <w:adjustRightInd w:val="0"/>
              <w:snapToGrid w:val="0"/>
              <w:spacing w:line="360" w:lineRule="auto"/>
              <w:ind w:firstLine="480" w:firstLineChars="200"/>
              <w:rPr>
                <w:rFonts w:hint="eastAsia" w:eastAsiaTheme="minorEastAsia"/>
                <w:sz w:val="24"/>
              </w:rPr>
            </w:pPr>
            <w:r>
              <w:rPr>
                <w:rFonts w:hint="eastAsia" w:eastAsiaTheme="minorEastAsia"/>
                <w:sz w:val="24"/>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42916437">
            <w:pPr>
              <w:autoSpaceDE w:val="0"/>
              <w:autoSpaceDN w:val="0"/>
              <w:adjustRightInd w:val="0"/>
              <w:snapToGrid w:val="0"/>
              <w:spacing w:line="360" w:lineRule="auto"/>
              <w:ind w:firstLine="480" w:firstLineChars="200"/>
              <w:rPr>
                <w:rFonts w:hint="eastAsia" w:eastAsiaTheme="minorEastAsia"/>
                <w:sz w:val="24"/>
              </w:rPr>
            </w:pPr>
            <w:r>
              <w:rPr>
                <w:rFonts w:hint="eastAsia" w:eastAsiaTheme="minorEastAsia"/>
                <w:sz w:val="24"/>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p w14:paraId="295C9B2E">
            <w:pPr>
              <w:autoSpaceDE w:val="0"/>
              <w:autoSpaceDN w:val="0"/>
              <w:adjustRightInd w:val="0"/>
              <w:snapToGrid w:val="0"/>
              <w:spacing w:line="360" w:lineRule="auto"/>
              <w:ind w:firstLine="480" w:firstLineChars="200"/>
              <w:rPr>
                <w:rFonts w:eastAsiaTheme="minorEastAsia"/>
                <w:sz w:val="24"/>
              </w:rPr>
            </w:pPr>
            <w:r>
              <w:rPr>
                <w:rFonts w:eastAsiaTheme="minorEastAsia"/>
                <w:sz w:val="24"/>
              </w:rPr>
              <w:t>通过上述工作的不断推进实施，本项目所在区域空气环境质量将得到持续改善。</w:t>
            </w:r>
          </w:p>
          <w:p w14:paraId="60B9FB1E">
            <w:pPr>
              <w:widowControl/>
              <w:spacing w:line="480" w:lineRule="exact"/>
              <w:ind w:firstLine="482" w:firstLineChars="200"/>
              <w:jc w:val="left"/>
              <w:rPr>
                <w:b/>
                <w:bCs/>
                <w:color w:val="auto"/>
                <w:sz w:val="24"/>
              </w:rPr>
            </w:pPr>
            <w:r>
              <w:rPr>
                <w:b/>
                <w:bCs/>
                <w:color w:val="auto"/>
                <w:sz w:val="24"/>
              </w:rPr>
              <w:t>3、声环境质量现状</w:t>
            </w:r>
          </w:p>
          <w:p w14:paraId="59E38BB5">
            <w:pPr>
              <w:pStyle w:val="13"/>
              <w:spacing w:line="480" w:lineRule="exact"/>
              <w:ind w:firstLine="480" w:firstLineChars="200"/>
              <w:rPr>
                <w:rFonts w:ascii="Times New Roman" w:hAnsi="Times New Roman"/>
                <w:color w:val="auto"/>
                <w:sz w:val="24"/>
              </w:rPr>
            </w:pPr>
            <w:r>
              <w:rPr>
                <w:rFonts w:ascii="Times New Roman" w:hAnsi="Times New Roman"/>
                <w:color w:val="auto"/>
                <w:sz w:val="24"/>
              </w:rPr>
              <w:t>本项目厂界外周边50米范围内不存在声环境保护目标。</w:t>
            </w:r>
          </w:p>
          <w:p w14:paraId="0973887B">
            <w:pPr>
              <w:spacing w:line="480" w:lineRule="exact"/>
              <w:ind w:firstLine="482" w:firstLineChars="200"/>
              <w:rPr>
                <w:b/>
                <w:sz w:val="24"/>
              </w:rPr>
            </w:pPr>
            <w:r>
              <w:rPr>
                <w:b/>
                <w:sz w:val="24"/>
              </w:rPr>
              <w:t>4、土壤、地下水环境质量现状</w:t>
            </w:r>
          </w:p>
          <w:p w14:paraId="3047957A">
            <w:pPr>
              <w:pStyle w:val="13"/>
              <w:spacing w:line="480" w:lineRule="exact"/>
              <w:ind w:firstLine="480" w:firstLineChars="200"/>
              <w:rPr>
                <w:rFonts w:ascii="Times New Roman" w:hAnsi="Times New Roman"/>
                <w:sz w:val="24"/>
              </w:rPr>
            </w:pPr>
            <w:r>
              <w:rPr>
                <w:rFonts w:ascii="Times New Roman" w:hAnsi="Times New Roman"/>
                <w:sz w:val="24"/>
              </w:rPr>
              <w:t>根据《关于印发《建设项目环境影响报告表》内容、格式及编制技术指南的通知》（环办环评</w:t>
            </w:r>
            <w:r>
              <w:rPr>
                <w:rFonts w:hint="eastAsia" w:ascii="Times New Roman" w:hAnsi="Times New Roman"/>
                <w:sz w:val="24"/>
              </w:rPr>
              <w:t>〔2020〕33号</w:t>
            </w:r>
            <w:r>
              <w:rPr>
                <w:rFonts w:ascii="Times New Roman" w:hAnsi="Times New Roman"/>
                <w:sz w:val="24"/>
              </w:rPr>
              <w:t>）</w:t>
            </w:r>
            <w:r>
              <w:rPr>
                <w:rFonts w:hint="eastAsia" w:ascii="Times New Roman" w:hAnsi="Times New Roman"/>
                <w:sz w:val="24"/>
              </w:rPr>
              <w:t>“</w:t>
            </w:r>
            <w:r>
              <w:rPr>
                <w:rFonts w:ascii="Times New Roman" w:hAnsi="Times New Roman"/>
                <w:sz w:val="24"/>
              </w:rPr>
              <w:t>原则上不开展环境质量现状调查。建设项目存在土壤、地下水环境污染途径的，应结合污染源、保护目标分布情况开展现状调查以留作背景值</w:t>
            </w:r>
            <w:r>
              <w:rPr>
                <w:rFonts w:hint="eastAsia" w:ascii="Times New Roman" w:hAnsi="Times New Roman"/>
                <w:sz w:val="24"/>
              </w:rPr>
              <w:t>”</w:t>
            </w:r>
            <w:r>
              <w:rPr>
                <w:rFonts w:ascii="Times New Roman" w:hAnsi="Times New Roman"/>
                <w:sz w:val="24"/>
              </w:rPr>
              <w:t>。</w:t>
            </w:r>
          </w:p>
          <w:p w14:paraId="453E250A">
            <w:pPr>
              <w:pStyle w:val="13"/>
              <w:spacing w:line="480" w:lineRule="exact"/>
              <w:ind w:firstLine="480" w:firstLineChars="200"/>
              <w:rPr>
                <w:rFonts w:ascii="Times New Roman" w:hAnsi="Times New Roman"/>
                <w:sz w:val="24"/>
              </w:rPr>
            </w:pPr>
            <w:r>
              <w:rPr>
                <w:rFonts w:ascii="Times New Roman" w:hAnsi="Times New Roman"/>
                <w:sz w:val="24"/>
              </w:rPr>
              <w:t>本项目运营期土壤环境影响识别主要针对本项目产生的废气和废水。本项目废水主要为生活污水，依托出租方厂内污水管网收集后接入市政污水管网</w:t>
            </w:r>
            <w:r>
              <w:rPr>
                <w:rFonts w:hint="eastAsia" w:ascii="Times New Roman" w:hAnsi="Times New Roman"/>
                <w:sz w:val="24"/>
              </w:rPr>
              <w:t>进入金坛区溪城污水处理有限公司</w:t>
            </w:r>
            <w:r>
              <w:rPr>
                <w:rFonts w:ascii="Times New Roman" w:hAnsi="Times New Roman"/>
                <w:sz w:val="24"/>
              </w:rPr>
              <w:t>集中处理，达标尾水排入</w:t>
            </w:r>
            <w:r>
              <w:rPr>
                <w:rFonts w:hint="eastAsia" w:ascii="Times New Roman" w:hAnsi="Times New Roman"/>
                <w:sz w:val="24"/>
              </w:rPr>
              <w:t>通济河</w:t>
            </w:r>
            <w:r>
              <w:rPr>
                <w:rFonts w:ascii="Times New Roman" w:hAnsi="Times New Roman"/>
                <w:kern w:val="0"/>
                <w:sz w:val="24"/>
                <w:lang w:bidi="ar"/>
              </w:rPr>
              <w:t>。</w:t>
            </w:r>
            <w:r>
              <w:rPr>
                <w:rFonts w:ascii="Times New Roman" w:hAnsi="Times New Roman"/>
                <w:sz w:val="24"/>
              </w:rPr>
              <w:t>废气中的主要污染物为</w:t>
            </w:r>
            <w:r>
              <w:rPr>
                <w:rFonts w:hint="eastAsia" w:ascii="Times New Roman" w:hAnsi="Times New Roman"/>
                <w:sz w:val="24"/>
                <w:lang w:eastAsia="zh-CN"/>
              </w:rPr>
              <w:t>挥发性有机物</w:t>
            </w:r>
            <w:r>
              <w:rPr>
                <w:rFonts w:hint="eastAsia" w:ascii="Times New Roman" w:hAnsi="Times New Roman"/>
                <w:sz w:val="24"/>
              </w:rPr>
              <w:t>、</w:t>
            </w:r>
            <w:r>
              <w:rPr>
                <w:rFonts w:ascii="Times New Roman" w:hAnsi="Times New Roman"/>
                <w:sz w:val="24"/>
              </w:rPr>
              <w:t>颗粒物，</w:t>
            </w:r>
            <w:r>
              <w:rPr>
                <w:rFonts w:hint="eastAsia" w:ascii="Times New Roman" w:hAnsi="Times New Roman"/>
                <w:sz w:val="24"/>
              </w:rPr>
              <w:t>已</w:t>
            </w:r>
            <w:r>
              <w:rPr>
                <w:rFonts w:ascii="Times New Roman" w:hAnsi="Times New Roman"/>
                <w:sz w:val="24"/>
              </w:rPr>
              <w:t>建厂房</w:t>
            </w:r>
            <w:r>
              <w:rPr>
                <w:rFonts w:hint="eastAsia" w:ascii="Times New Roman" w:hAnsi="Times New Roman"/>
                <w:sz w:val="24"/>
              </w:rPr>
              <w:t>车间</w:t>
            </w:r>
            <w:r>
              <w:rPr>
                <w:rFonts w:ascii="Times New Roman" w:hAnsi="Times New Roman"/>
                <w:sz w:val="24"/>
              </w:rPr>
              <w:t>为重点防渗区，均为现浇混凝土地面，并采用环氧地坪进行地面防渗处理；办公区、道路等均进行地面硬化处理，故不存在土壤、地下水环境垂直入渗、漫流等污染途径，因此，可不开展地下水、土壤现状评价工作。</w:t>
            </w:r>
          </w:p>
          <w:p w14:paraId="7C1FC18D">
            <w:pPr>
              <w:spacing w:line="480" w:lineRule="exact"/>
              <w:ind w:firstLine="482" w:firstLineChars="200"/>
              <w:jc w:val="left"/>
              <w:rPr>
                <w:b/>
                <w:bCs/>
                <w:sz w:val="24"/>
              </w:rPr>
            </w:pPr>
            <w:r>
              <w:rPr>
                <w:rFonts w:hint="eastAsia"/>
                <w:b/>
                <w:bCs/>
                <w:sz w:val="24"/>
              </w:rPr>
              <w:t>5</w:t>
            </w:r>
            <w:r>
              <w:rPr>
                <w:b/>
                <w:bCs/>
                <w:sz w:val="24"/>
              </w:rPr>
              <w:t>、生态环境</w:t>
            </w:r>
          </w:p>
          <w:p w14:paraId="69514504">
            <w:pPr>
              <w:spacing w:line="480" w:lineRule="exact"/>
              <w:ind w:firstLine="480" w:firstLineChars="200"/>
              <w:jc w:val="left"/>
              <w:rPr>
                <w:sz w:val="24"/>
              </w:rPr>
            </w:pPr>
            <w:r>
              <w:rPr>
                <w:sz w:val="24"/>
              </w:rPr>
              <w:t>本项目用地范围内不涉及生态环境保护目标，因此本项目不开展生态现状调查。</w:t>
            </w:r>
          </w:p>
          <w:p w14:paraId="6DD1A1F6">
            <w:pPr>
              <w:spacing w:line="480" w:lineRule="exact"/>
              <w:ind w:firstLine="482" w:firstLineChars="200"/>
              <w:jc w:val="left"/>
              <w:rPr>
                <w:b/>
                <w:bCs/>
                <w:sz w:val="24"/>
              </w:rPr>
            </w:pPr>
            <w:r>
              <w:rPr>
                <w:rFonts w:hint="eastAsia"/>
                <w:b/>
                <w:bCs/>
                <w:sz w:val="24"/>
              </w:rPr>
              <w:t>6</w:t>
            </w:r>
            <w:r>
              <w:rPr>
                <w:b/>
                <w:bCs/>
                <w:sz w:val="24"/>
              </w:rPr>
              <w:t>、电磁辐射</w:t>
            </w:r>
          </w:p>
          <w:p w14:paraId="1E3F4FB5">
            <w:pPr>
              <w:pStyle w:val="61"/>
              <w:spacing w:line="480" w:lineRule="exact"/>
              <w:ind w:left="0" w:firstLine="480" w:firstLineChars="200"/>
              <w:rPr>
                <w:rFonts w:ascii="Times New Roman" w:hAnsi="Times New Roman" w:cs="Times New Roman"/>
                <w:bCs/>
                <w:color w:val="FF0000"/>
                <w:sz w:val="24"/>
              </w:rPr>
            </w:pPr>
            <w:r>
              <w:rPr>
                <w:rFonts w:ascii="Times New Roman" w:hAnsi="Times New Roman" w:cs="Times New Roman"/>
                <w:bCs/>
                <w:sz w:val="24"/>
              </w:rPr>
              <w:t>本项目不属于广播电台、差转台、电视塔台、卫星地球上行站、雷达等电磁辐射类项目</w:t>
            </w:r>
            <w:r>
              <w:rPr>
                <w:rFonts w:hint="eastAsia" w:ascii="Times New Roman" w:hAnsi="Times New Roman" w:cs="Times New Roman"/>
                <w:bCs/>
                <w:sz w:val="24"/>
                <w:lang w:val="en-US" w:eastAsia="zh-CN"/>
              </w:rPr>
              <w:t>。</w:t>
            </w:r>
          </w:p>
        </w:tc>
      </w:tr>
      <w:tr w14:paraId="51CF3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0" w:hRule="atLeast"/>
          <w:jc w:val="center"/>
        </w:trPr>
        <w:tc>
          <w:tcPr>
            <w:tcW w:w="420" w:type="dxa"/>
            <w:tcBorders>
              <w:tl2br w:val="nil"/>
              <w:tr2bl w:val="nil"/>
            </w:tcBorders>
            <w:vAlign w:val="center"/>
          </w:tcPr>
          <w:p w14:paraId="5282391A">
            <w:pPr>
              <w:adjustRightInd w:val="0"/>
              <w:snapToGrid w:val="0"/>
              <w:jc w:val="center"/>
              <w:rPr>
                <w:color w:val="FF0000"/>
                <w:kern w:val="0"/>
                <w:szCs w:val="21"/>
              </w:rPr>
            </w:pPr>
            <w:r>
              <w:rPr>
                <w:b/>
                <w:bCs/>
                <w:kern w:val="0"/>
                <w:sz w:val="24"/>
              </w:rPr>
              <w:t>环境保护目标</w:t>
            </w:r>
          </w:p>
        </w:tc>
        <w:tc>
          <w:tcPr>
            <w:tcW w:w="8641" w:type="dxa"/>
            <w:tcBorders>
              <w:tl2br w:val="nil"/>
              <w:tr2bl w:val="nil"/>
            </w:tcBorders>
            <w:vAlign w:val="center"/>
          </w:tcPr>
          <w:p w14:paraId="68D576FB">
            <w:pPr>
              <w:numPr>
                <w:ilvl w:val="0"/>
                <w:numId w:val="4"/>
              </w:numPr>
              <w:spacing w:line="480" w:lineRule="exact"/>
              <w:ind w:firstLine="482" w:firstLineChars="200"/>
              <w:jc w:val="left"/>
              <w:rPr>
                <w:b/>
                <w:bCs/>
                <w:sz w:val="24"/>
              </w:rPr>
            </w:pPr>
            <w:r>
              <w:rPr>
                <w:b/>
                <w:bCs/>
                <w:sz w:val="24"/>
              </w:rPr>
              <w:t>大气环境保护目标</w:t>
            </w:r>
          </w:p>
          <w:p w14:paraId="60426189">
            <w:pPr>
              <w:pStyle w:val="62"/>
              <w:spacing w:before="0" w:line="480" w:lineRule="exact"/>
              <w:jc w:val="center"/>
            </w:pPr>
            <w:r>
              <w:t>表3-</w:t>
            </w:r>
            <w:r>
              <w:rPr>
                <w:rFonts w:hint="eastAsia"/>
                <w:lang w:val="en-US" w:eastAsia="zh-CN"/>
              </w:rPr>
              <w:t>7</w:t>
            </w:r>
            <w:r>
              <w:t xml:space="preserve">  主要环境保护目标</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76"/>
              <w:gridCol w:w="1175"/>
              <w:gridCol w:w="1735"/>
              <w:gridCol w:w="1749"/>
              <w:gridCol w:w="680"/>
              <w:gridCol w:w="1007"/>
              <w:gridCol w:w="667"/>
              <w:gridCol w:w="773"/>
              <w:gridCol w:w="776"/>
            </w:tblGrid>
            <w:tr w14:paraId="2D3CC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vMerge w:val="restart"/>
                  <w:vAlign w:val="center"/>
                </w:tcPr>
                <w:p w14:paraId="6DA4A340">
                  <w:pPr>
                    <w:pStyle w:val="91"/>
                    <w:rPr>
                      <w:b/>
                      <w:bCs/>
                      <w:sz w:val="21"/>
                      <w:szCs w:val="21"/>
                    </w:rPr>
                  </w:pPr>
                  <w:r>
                    <w:rPr>
                      <w:b/>
                      <w:bCs/>
                      <w:sz w:val="21"/>
                      <w:szCs w:val="21"/>
                    </w:rPr>
                    <w:t>类别</w:t>
                  </w:r>
                </w:p>
              </w:tc>
              <w:tc>
                <w:tcPr>
                  <w:tcW w:w="657" w:type="pct"/>
                  <w:vMerge w:val="restart"/>
                  <w:vAlign w:val="center"/>
                </w:tcPr>
                <w:p w14:paraId="6017D053">
                  <w:pPr>
                    <w:pStyle w:val="91"/>
                    <w:rPr>
                      <w:b/>
                      <w:bCs/>
                      <w:sz w:val="21"/>
                      <w:szCs w:val="21"/>
                    </w:rPr>
                  </w:pPr>
                  <w:r>
                    <w:rPr>
                      <w:b/>
                      <w:bCs/>
                      <w:sz w:val="21"/>
                      <w:szCs w:val="21"/>
                    </w:rPr>
                    <w:t>保护目标名称</w:t>
                  </w:r>
                </w:p>
              </w:tc>
              <w:tc>
                <w:tcPr>
                  <w:tcW w:w="1948" w:type="pct"/>
                  <w:gridSpan w:val="2"/>
                  <w:vAlign w:val="center"/>
                </w:tcPr>
                <w:p w14:paraId="0C9FE695">
                  <w:pPr>
                    <w:pStyle w:val="91"/>
                    <w:rPr>
                      <w:b/>
                      <w:bCs/>
                      <w:sz w:val="21"/>
                      <w:szCs w:val="21"/>
                    </w:rPr>
                  </w:pPr>
                  <w:r>
                    <w:rPr>
                      <w:b/>
                      <w:bCs/>
                      <w:sz w:val="21"/>
                      <w:szCs w:val="21"/>
                    </w:rPr>
                    <w:t>坐标</w:t>
                  </w:r>
                </w:p>
              </w:tc>
              <w:tc>
                <w:tcPr>
                  <w:tcW w:w="380" w:type="pct"/>
                  <w:vMerge w:val="restart"/>
                  <w:vAlign w:val="center"/>
                </w:tcPr>
                <w:p w14:paraId="6D5DA137">
                  <w:pPr>
                    <w:pStyle w:val="91"/>
                    <w:rPr>
                      <w:b/>
                      <w:bCs/>
                      <w:sz w:val="21"/>
                      <w:szCs w:val="21"/>
                    </w:rPr>
                  </w:pPr>
                  <w:r>
                    <w:rPr>
                      <w:b/>
                      <w:bCs/>
                      <w:sz w:val="21"/>
                      <w:szCs w:val="21"/>
                    </w:rPr>
                    <w:t>保护对象</w:t>
                  </w:r>
                </w:p>
              </w:tc>
              <w:tc>
                <w:tcPr>
                  <w:tcW w:w="563" w:type="pct"/>
                  <w:vMerge w:val="restart"/>
                  <w:vAlign w:val="center"/>
                </w:tcPr>
                <w:p w14:paraId="3BFEB8EF">
                  <w:pPr>
                    <w:pStyle w:val="91"/>
                    <w:rPr>
                      <w:b/>
                      <w:bCs/>
                      <w:sz w:val="21"/>
                      <w:szCs w:val="21"/>
                    </w:rPr>
                  </w:pPr>
                  <w:r>
                    <w:rPr>
                      <w:b/>
                      <w:bCs/>
                      <w:sz w:val="21"/>
                      <w:szCs w:val="21"/>
                    </w:rPr>
                    <w:t>保护内容</w:t>
                  </w:r>
                </w:p>
              </w:tc>
              <w:tc>
                <w:tcPr>
                  <w:tcW w:w="373" w:type="pct"/>
                  <w:vMerge w:val="restart"/>
                  <w:vAlign w:val="center"/>
                </w:tcPr>
                <w:p w14:paraId="36098FB4">
                  <w:pPr>
                    <w:pStyle w:val="91"/>
                    <w:rPr>
                      <w:b/>
                      <w:bCs/>
                      <w:sz w:val="21"/>
                      <w:szCs w:val="21"/>
                    </w:rPr>
                  </w:pPr>
                  <w:r>
                    <w:rPr>
                      <w:b/>
                      <w:bCs/>
                      <w:sz w:val="21"/>
                      <w:szCs w:val="21"/>
                    </w:rPr>
                    <w:t>环境</w:t>
                  </w:r>
                </w:p>
                <w:p w14:paraId="27DAAEEE">
                  <w:pPr>
                    <w:pStyle w:val="91"/>
                    <w:rPr>
                      <w:b/>
                      <w:bCs/>
                      <w:sz w:val="21"/>
                      <w:szCs w:val="21"/>
                    </w:rPr>
                  </w:pPr>
                  <w:r>
                    <w:rPr>
                      <w:b/>
                      <w:bCs/>
                      <w:sz w:val="21"/>
                      <w:szCs w:val="21"/>
                    </w:rPr>
                    <w:t>功能</w:t>
                  </w:r>
                </w:p>
              </w:tc>
              <w:tc>
                <w:tcPr>
                  <w:tcW w:w="432" w:type="pct"/>
                  <w:vMerge w:val="restart"/>
                  <w:vAlign w:val="center"/>
                </w:tcPr>
                <w:p w14:paraId="0B759F54">
                  <w:pPr>
                    <w:pStyle w:val="91"/>
                    <w:rPr>
                      <w:b/>
                      <w:bCs/>
                      <w:sz w:val="21"/>
                      <w:szCs w:val="21"/>
                    </w:rPr>
                  </w:pPr>
                  <w:r>
                    <w:rPr>
                      <w:b/>
                      <w:bCs/>
                      <w:sz w:val="21"/>
                      <w:szCs w:val="21"/>
                    </w:rPr>
                    <w:t>相对厂址方位</w:t>
                  </w:r>
                </w:p>
              </w:tc>
              <w:tc>
                <w:tcPr>
                  <w:tcW w:w="434" w:type="pct"/>
                  <w:vMerge w:val="restart"/>
                  <w:vAlign w:val="center"/>
                </w:tcPr>
                <w:p w14:paraId="3A6E1C34">
                  <w:pPr>
                    <w:pStyle w:val="91"/>
                    <w:rPr>
                      <w:b/>
                      <w:bCs/>
                      <w:sz w:val="21"/>
                      <w:szCs w:val="21"/>
                    </w:rPr>
                  </w:pPr>
                  <w:r>
                    <w:rPr>
                      <w:b/>
                      <w:bCs/>
                      <w:sz w:val="21"/>
                      <w:szCs w:val="21"/>
                    </w:rPr>
                    <w:t>相对厂界距离/m</w:t>
                  </w:r>
                </w:p>
              </w:tc>
            </w:tr>
            <w:tr w14:paraId="16982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vMerge w:val="continue"/>
                  <w:vAlign w:val="center"/>
                </w:tcPr>
                <w:p w14:paraId="0F2C3E1D">
                  <w:pPr>
                    <w:pStyle w:val="91"/>
                    <w:rPr>
                      <w:b/>
                      <w:bCs/>
                      <w:sz w:val="21"/>
                      <w:szCs w:val="21"/>
                    </w:rPr>
                  </w:pPr>
                </w:p>
              </w:tc>
              <w:tc>
                <w:tcPr>
                  <w:tcW w:w="657" w:type="pct"/>
                  <w:vMerge w:val="continue"/>
                  <w:vAlign w:val="center"/>
                </w:tcPr>
                <w:p w14:paraId="2F5785B9">
                  <w:pPr>
                    <w:pStyle w:val="91"/>
                    <w:rPr>
                      <w:b/>
                      <w:bCs/>
                      <w:sz w:val="21"/>
                      <w:szCs w:val="21"/>
                    </w:rPr>
                  </w:pPr>
                </w:p>
              </w:tc>
              <w:tc>
                <w:tcPr>
                  <w:tcW w:w="970" w:type="pct"/>
                  <w:vAlign w:val="center"/>
                </w:tcPr>
                <w:p w14:paraId="4BB1E3F9">
                  <w:pPr>
                    <w:pStyle w:val="91"/>
                    <w:rPr>
                      <w:b/>
                      <w:bCs/>
                      <w:sz w:val="21"/>
                      <w:szCs w:val="21"/>
                    </w:rPr>
                  </w:pPr>
                  <w:r>
                    <w:rPr>
                      <w:b/>
                      <w:bCs/>
                      <w:sz w:val="21"/>
                      <w:szCs w:val="21"/>
                    </w:rPr>
                    <w:t>经度</w:t>
                  </w:r>
                </w:p>
              </w:tc>
              <w:tc>
                <w:tcPr>
                  <w:tcW w:w="978" w:type="pct"/>
                  <w:vAlign w:val="center"/>
                </w:tcPr>
                <w:p w14:paraId="0283922A">
                  <w:pPr>
                    <w:pStyle w:val="91"/>
                    <w:rPr>
                      <w:b/>
                      <w:bCs/>
                      <w:sz w:val="21"/>
                      <w:szCs w:val="21"/>
                    </w:rPr>
                  </w:pPr>
                  <w:r>
                    <w:rPr>
                      <w:b/>
                      <w:bCs/>
                      <w:sz w:val="21"/>
                      <w:szCs w:val="21"/>
                    </w:rPr>
                    <w:t>纬度</w:t>
                  </w:r>
                </w:p>
              </w:tc>
              <w:tc>
                <w:tcPr>
                  <w:tcW w:w="380" w:type="pct"/>
                  <w:vMerge w:val="continue"/>
                  <w:vAlign w:val="center"/>
                </w:tcPr>
                <w:p w14:paraId="0C8B0C69">
                  <w:pPr>
                    <w:pStyle w:val="91"/>
                    <w:rPr>
                      <w:b/>
                      <w:bCs/>
                      <w:sz w:val="21"/>
                      <w:szCs w:val="21"/>
                    </w:rPr>
                  </w:pPr>
                </w:p>
              </w:tc>
              <w:tc>
                <w:tcPr>
                  <w:tcW w:w="563" w:type="pct"/>
                  <w:vMerge w:val="continue"/>
                  <w:vAlign w:val="center"/>
                </w:tcPr>
                <w:p w14:paraId="4D67BFA2">
                  <w:pPr>
                    <w:pStyle w:val="91"/>
                    <w:rPr>
                      <w:b/>
                      <w:bCs/>
                      <w:sz w:val="21"/>
                      <w:szCs w:val="21"/>
                    </w:rPr>
                  </w:pPr>
                </w:p>
              </w:tc>
              <w:tc>
                <w:tcPr>
                  <w:tcW w:w="373" w:type="pct"/>
                  <w:vMerge w:val="continue"/>
                  <w:vAlign w:val="center"/>
                </w:tcPr>
                <w:p w14:paraId="202F901F">
                  <w:pPr>
                    <w:pStyle w:val="91"/>
                    <w:rPr>
                      <w:b/>
                      <w:bCs/>
                      <w:sz w:val="21"/>
                      <w:szCs w:val="21"/>
                    </w:rPr>
                  </w:pPr>
                </w:p>
              </w:tc>
              <w:tc>
                <w:tcPr>
                  <w:tcW w:w="432" w:type="pct"/>
                  <w:vMerge w:val="continue"/>
                  <w:vAlign w:val="center"/>
                </w:tcPr>
                <w:p w14:paraId="5BB8BD7E">
                  <w:pPr>
                    <w:pStyle w:val="91"/>
                    <w:rPr>
                      <w:b/>
                      <w:bCs/>
                      <w:sz w:val="21"/>
                      <w:szCs w:val="21"/>
                    </w:rPr>
                  </w:pPr>
                </w:p>
              </w:tc>
              <w:tc>
                <w:tcPr>
                  <w:tcW w:w="434" w:type="pct"/>
                  <w:vMerge w:val="continue"/>
                  <w:vAlign w:val="center"/>
                </w:tcPr>
                <w:p w14:paraId="594A6882">
                  <w:pPr>
                    <w:pStyle w:val="91"/>
                    <w:rPr>
                      <w:b/>
                      <w:bCs/>
                      <w:sz w:val="21"/>
                      <w:szCs w:val="21"/>
                    </w:rPr>
                  </w:pPr>
                </w:p>
              </w:tc>
            </w:tr>
            <w:tr w14:paraId="2694B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vMerge w:val="restart"/>
                  <w:vAlign w:val="center"/>
                </w:tcPr>
                <w:p w14:paraId="65F5F775">
                  <w:pPr>
                    <w:pStyle w:val="91"/>
                    <w:rPr>
                      <w:sz w:val="21"/>
                      <w:szCs w:val="21"/>
                    </w:rPr>
                  </w:pPr>
                  <w:r>
                    <w:rPr>
                      <w:sz w:val="21"/>
                      <w:szCs w:val="21"/>
                    </w:rPr>
                    <w:t>大气环境</w:t>
                  </w:r>
                </w:p>
              </w:tc>
              <w:tc>
                <w:tcPr>
                  <w:tcW w:w="657" w:type="pct"/>
                  <w:vAlign w:val="center"/>
                </w:tcPr>
                <w:p w14:paraId="28232536">
                  <w:pPr>
                    <w:pStyle w:val="91"/>
                    <w:rPr>
                      <w:rFonts w:hint="default" w:eastAsia="宋体"/>
                      <w:sz w:val="21"/>
                      <w:szCs w:val="21"/>
                      <w:lang w:val="en-US" w:eastAsia="zh-CN"/>
                    </w:rPr>
                  </w:pPr>
                  <w:r>
                    <w:rPr>
                      <w:rFonts w:hint="eastAsia"/>
                      <w:sz w:val="21"/>
                      <w:szCs w:val="21"/>
                      <w:lang w:val="en-US" w:eastAsia="zh-CN"/>
                    </w:rPr>
                    <w:t>散户*</w:t>
                  </w:r>
                </w:p>
              </w:tc>
              <w:tc>
                <w:tcPr>
                  <w:tcW w:w="970" w:type="pct"/>
                  <w:vAlign w:val="center"/>
                </w:tcPr>
                <w:p w14:paraId="67575D0F">
                  <w:pPr>
                    <w:pStyle w:val="91"/>
                    <w:rPr>
                      <w:rFonts w:hint="eastAsia"/>
                      <w:sz w:val="21"/>
                      <w:szCs w:val="21"/>
                    </w:rPr>
                  </w:pPr>
                  <w:r>
                    <w:rPr>
                      <w:rFonts w:hint="eastAsia"/>
                      <w:sz w:val="21"/>
                      <w:szCs w:val="21"/>
                    </w:rPr>
                    <w:t>119°26′40.109″</w:t>
                  </w:r>
                </w:p>
              </w:tc>
              <w:tc>
                <w:tcPr>
                  <w:tcW w:w="978" w:type="pct"/>
                  <w:vAlign w:val="center"/>
                </w:tcPr>
                <w:p w14:paraId="1D99FD7D">
                  <w:pPr>
                    <w:pStyle w:val="91"/>
                    <w:rPr>
                      <w:rFonts w:hint="eastAsia"/>
                      <w:sz w:val="21"/>
                      <w:szCs w:val="21"/>
                    </w:rPr>
                  </w:pPr>
                  <w:r>
                    <w:rPr>
                      <w:rFonts w:hint="eastAsia"/>
                      <w:sz w:val="21"/>
                      <w:szCs w:val="21"/>
                    </w:rPr>
                    <w:t>31°44′40.802″</w:t>
                  </w:r>
                </w:p>
              </w:tc>
              <w:tc>
                <w:tcPr>
                  <w:tcW w:w="380" w:type="pct"/>
                  <w:shd w:val="clear" w:color="auto" w:fill="auto"/>
                  <w:vAlign w:val="center"/>
                </w:tcPr>
                <w:p w14:paraId="379E739C">
                  <w:pPr>
                    <w:pStyle w:val="91"/>
                    <w:rPr>
                      <w:rFonts w:ascii="Times New Roman" w:hAnsi="Times New Roman" w:eastAsia="宋体" w:cs="Times New Roman"/>
                      <w:kern w:val="2"/>
                      <w:sz w:val="21"/>
                      <w:szCs w:val="21"/>
                      <w:lang w:val="en-US" w:eastAsia="zh-CN" w:bidi="ar-SA"/>
                    </w:rPr>
                  </w:pPr>
                  <w:r>
                    <w:rPr>
                      <w:sz w:val="21"/>
                      <w:szCs w:val="21"/>
                    </w:rPr>
                    <w:t>居民区</w:t>
                  </w:r>
                </w:p>
              </w:tc>
              <w:tc>
                <w:tcPr>
                  <w:tcW w:w="563" w:type="pct"/>
                  <w:vAlign w:val="center"/>
                </w:tcPr>
                <w:p w14:paraId="54C60149">
                  <w:pPr>
                    <w:pStyle w:val="91"/>
                    <w:rPr>
                      <w:rFonts w:hint="default" w:eastAsia="宋体"/>
                      <w:sz w:val="21"/>
                      <w:szCs w:val="21"/>
                      <w:lang w:val="en-US" w:eastAsia="zh-CN"/>
                    </w:rPr>
                  </w:pPr>
                  <w:r>
                    <w:rPr>
                      <w:rFonts w:hint="eastAsia"/>
                      <w:sz w:val="21"/>
                      <w:szCs w:val="21"/>
                      <w:lang w:val="en-US" w:eastAsia="zh-CN"/>
                    </w:rPr>
                    <w:t>1户</w:t>
                  </w:r>
                </w:p>
              </w:tc>
              <w:tc>
                <w:tcPr>
                  <w:tcW w:w="373" w:type="pct"/>
                  <w:vAlign w:val="center"/>
                </w:tcPr>
                <w:p w14:paraId="4B2C30A6">
                  <w:pPr>
                    <w:pStyle w:val="91"/>
                    <w:rPr>
                      <w:rFonts w:hint="eastAsia" w:eastAsia="宋体"/>
                      <w:sz w:val="21"/>
                      <w:szCs w:val="21"/>
                      <w:lang w:val="en-US" w:eastAsia="zh-CN"/>
                    </w:rPr>
                  </w:pPr>
                  <w:r>
                    <w:rPr>
                      <w:rFonts w:hint="eastAsia"/>
                      <w:sz w:val="21"/>
                      <w:szCs w:val="21"/>
                      <w:lang w:val="en-US" w:eastAsia="zh-CN"/>
                    </w:rPr>
                    <w:t>二类去</w:t>
                  </w:r>
                </w:p>
              </w:tc>
              <w:tc>
                <w:tcPr>
                  <w:tcW w:w="432" w:type="pct"/>
                  <w:vAlign w:val="center"/>
                </w:tcPr>
                <w:p w14:paraId="7953360E">
                  <w:pPr>
                    <w:pStyle w:val="91"/>
                    <w:rPr>
                      <w:rFonts w:hint="eastAsia" w:eastAsia="宋体"/>
                      <w:sz w:val="21"/>
                      <w:szCs w:val="21"/>
                      <w:lang w:val="en-US" w:eastAsia="zh-CN"/>
                    </w:rPr>
                  </w:pPr>
                  <w:r>
                    <w:rPr>
                      <w:rFonts w:hint="eastAsia"/>
                      <w:sz w:val="21"/>
                      <w:szCs w:val="21"/>
                      <w:lang w:val="en-US" w:eastAsia="zh-CN"/>
                    </w:rPr>
                    <w:t>N</w:t>
                  </w:r>
                </w:p>
              </w:tc>
              <w:tc>
                <w:tcPr>
                  <w:tcW w:w="434" w:type="pct"/>
                  <w:vAlign w:val="center"/>
                </w:tcPr>
                <w:p w14:paraId="084DAA8E">
                  <w:pPr>
                    <w:pStyle w:val="91"/>
                    <w:rPr>
                      <w:rFonts w:hint="default" w:eastAsia="宋体"/>
                      <w:sz w:val="21"/>
                      <w:szCs w:val="21"/>
                      <w:lang w:val="en-US" w:eastAsia="zh-CN"/>
                    </w:rPr>
                  </w:pPr>
                  <w:r>
                    <w:rPr>
                      <w:rFonts w:hint="eastAsia"/>
                      <w:sz w:val="21"/>
                      <w:szCs w:val="21"/>
                      <w:lang w:val="en-US" w:eastAsia="zh-CN"/>
                    </w:rPr>
                    <w:t>70</w:t>
                  </w:r>
                </w:p>
              </w:tc>
            </w:tr>
            <w:tr w14:paraId="37282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vMerge w:val="continue"/>
                  <w:vAlign w:val="center"/>
                </w:tcPr>
                <w:p w14:paraId="53EC42F7">
                  <w:pPr>
                    <w:pStyle w:val="91"/>
                    <w:rPr>
                      <w:sz w:val="21"/>
                      <w:szCs w:val="21"/>
                    </w:rPr>
                  </w:pPr>
                </w:p>
              </w:tc>
              <w:tc>
                <w:tcPr>
                  <w:tcW w:w="657" w:type="pct"/>
                  <w:shd w:val="clear" w:color="auto" w:fill="auto"/>
                  <w:vAlign w:val="center"/>
                </w:tcPr>
                <w:p w14:paraId="1611D670">
                  <w:pPr>
                    <w:pStyle w:val="91"/>
                    <w:rPr>
                      <w:rFonts w:hint="eastAsia" w:ascii="Times New Roman" w:hAnsi="Times New Roman" w:eastAsia="宋体" w:cs="Times New Roman"/>
                      <w:kern w:val="2"/>
                      <w:sz w:val="21"/>
                      <w:szCs w:val="21"/>
                      <w:lang w:val="en-US" w:eastAsia="zh-CN" w:bidi="ar-SA"/>
                    </w:rPr>
                  </w:pPr>
                  <w:r>
                    <w:rPr>
                      <w:rFonts w:hint="eastAsia"/>
                      <w:sz w:val="21"/>
                      <w:szCs w:val="21"/>
                    </w:rPr>
                    <w:t>大姆墩</w:t>
                  </w:r>
                </w:p>
              </w:tc>
              <w:tc>
                <w:tcPr>
                  <w:tcW w:w="970" w:type="pct"/>
                  <w:shd w:val="clear" w:color="auto" w:fill="auto"/>
                  <w:vAlign w:val="center"/>
                </w:tcPr>
                <w:p w14:paraId="6D753BBA">
                  <w:pPr>
                    <w:pStyle w:val="91"/>
                    <w:rPr>
                      <w:rFonts w:hint="eastAsia"/>
                      <w:sz w:val="21"/>
                      <w:szCs w:val="21"/>
                      <w:lang w:val="en-US" w:eastAsia="zh-CN"/>
                    </w:rPr>
                  </w:pPr>
                  <w:r>
                    <w:rPr>
                      <w:rFonts w:hint="eastAsia"/>
                      <w:sz w:val="21"/>
                      <w:szCs w:val="21"/>
                    </w:rPr>
                    <w:t>119°26′1.352″</w:t>
                  </w:r>
                </w:p>
              </w:tc>
              <w:tc>
                <w:tcPr>
                  <w:tcW w:w="978" w:type="pct"/>
                  <w:shd w:val="clear" w:color="auto" w:fill="auto"/>
                  <w:vAlign w:val="center"/>
                </w:tcPr>
                <w:p w14:paraId="1EFC8EC8">
                  <w:pPr>
                    <w:pStyle w:val="91"/>
                    <w:rPr>
                      <w:rFonts w:hint="eastAsia"/>
                      <w:sz w:val="21"/>
                      <w:szCs w:val="21"/>
                      <w:lang w:val="en-US" w:eastAsia="zh-CN"/>
                    </w:rPr>
                  </w:pPr>
                  <w:r>
                    <w:rPr>
                      <w:rFonts w:hint="eastAsia"/>
                      <w:sz w:val="21"/>
                      <w:szCs w:val="21"/>
                    </w:rPr>
                    <w:t>31°44′35.451″</w:t>
                  </w:r>
                </w:p>
              </w:tc>
              <w:tc>
                <w:tcPr>
                  <w:tcW w:w="380" w:type="pct"/>
                  <w:shd w:val="clear" w:color="auto" w:fill="auto"/>
                  <w:vAlign w:val="center"/>
                </w:tcPr>
                <w:p w14:paraId="7FF49E46">
                  <w:pPr>
                    <w:pStyle w:val="91"/>
                    <w:rPr>
                      <w:rFonts w:ascii="Times New Roman" w:hAnsi="Times New Roman" w:eastAsia="宋体" w:cs="Times New Roman"/>
                      <w:kern w:val="2"/>
                      <w:sz w:val="21"/>
                      <w:szCs w:val="21"/>
                      <w:lang w:val="en-US" w:eastAsia="zh-CN" w:bidi="ar-SA"/>
                    </w:rPr>
                  </w:pPr>
                  <w:r>
                    <w:rPr>
                      <w:sz w:val="21"/>
                      <w:szCs w:val="21"/>
                    </w:rPr>
                    <w:t>居民区</w:t>
                  </w:r>
                </w:p>
              </w:tc>
              <w:tc>
                <w:tcPr>
                  <w:tcW w:w="563" w:type="pct"/>
                  <w:shd w:val="clear" w:color="auto" w:fill="auto"/>
                  <w:vAlign w:val="center"/>
                </w:tcPr>
                <w:p w14:paraId="0A5070D0">
                  <w:pPr>
                    <w:pStyle w:val="91"/>
                    <w:rPr>
                      <w:rFonts w:ascii="Times New Roman" w:hAnsi="Times New Roman" w:eastAsia="宋体" w:cs="Times New Roman"/>
                      <w:kern w:val="2"/>
                      <w:sz w:val="21"/>
                      <w:szCs w:val="21"/>
                      <w:lang w:val="en-US" w:eastAsia="zh-CN" w:bidi="ar-SA"/>
                    </w:rPr>
                  </w:pPr>
                  <w:r>
                    <w:rPr>
                      <w:sz w:val="21"/>
                      <w:szCs w:val="21"/>
                    </w:rPr>
                    <w:t>约</w:t>
                  </w:r>
                  <w:r>
                    <w:rPr>
                      <w:rFonts w:hint="eastAsia"/>
                      <w:sz w:val="21"/>
                      <w:szCs w:val="21"/>
                    </w:rPr>
                    <w:t>30户</w:t>
                  </w:r>
                </w:p>
              </w:tc>
              <w:tc>
                <w:tcPr>
                  <w:tcW w:w="373" w:type="pct"/>
                  <w:shd w:val="clear" w:color="auto" w:fill="auto"/>
                  <w:vAlign w:val="center"/>
                </w:tcPr>
                <w:p w14:paraId="5971B5D6">
                  <w:pPr>
                    <w:pStyle w:val="91"/>
                    <w:rPr>
                      <w:rFonts w:ascii="Times New Roman" w:hAnsi="Times New Roman" w:eastAsia="宋体" w:cs="Times New Roman"/>
                      <w:kern w:val="2"/>
                      <w:sz w:val="21"/>
                      <w:szCs w:val="21"/>
                      <w:lang w:val="en-US" w:eastAsia="zh-CN" w:bidi="ar-SA"/>
                    </w:rPr>
                  </w:pPr>
                  <w:r>
                    <w:rPr>
                      <w:sz w:val="21"/>
                      <w:szCs w:val="21"/>
                    </w:rPr>
                    <w:t>二类区</w:t>
                  </w:r>
                </w:p>
              </w:tc>
              <w:tc>
                <w:tcPr>
                  <w:tcW w:w="432" w:type="pct"/>
                  <w:shd w:val="clear" w:color="auto" w:fill="auto"/>
                  <w:vAlign w:val="center"/>
                </w:tcPr>
                <w:p w14:paraId="447E3211">
                  <w:pPr>
                    <w:pStyle w:val="91"/>
                    <w:rPr>
                      <w:rFonts w:hint="eastAsia" w:ascii="Times New Roman" w:hAnsi="Times New Roman" w:eastAsia="宋体" w:cs="Times New Roman"/>
                      <w:kern w:val="2"/>
                      <w:sz w:val="21"/>
                      <w:szCs w:val="21"/>
                      <w:lang w:val="en-US" w:eastAsia="zh-CN" w:bidi="ar-SA"/>
                    </w:rPr>
                  </w:pPr>
                  <w:r>
                    <w:rPr>
                      <w:rFonts w:hint="eastAsia"/>
                      <w:sz w:val="21"/>
                      <w:szCs w:val="21"/>
                    </w:rPr>
                    <w:t>NE</w:t>
                  </w:r>
                </w:p>
              </w:tc>
              <w:tc>
                <w:tcPr>
                  <w:tcW w:w="434" w:type="pct"/>
                  <w:shd w:val="clear" w:color="auto" w:fill="auto"/>
                  <w:vAlign w:val="center"/>
                </w:tcPr>
                <w:p w14:paraId="3328840B">
                  <w:pPr>
                    <w:pStyle w:val="91"/>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260</w:t>
                  </w:r>
                </w:p>
              </w:tc>
            </w:tr>
            <w:tr w14:paraId="0C3E5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vMerge w:val="continue"/>
                  <w:vAlign w:val="center"/>
                </w:tcPr>
                <w:p w14:paraId="016ACF39">
                  <w:pPr>
                    <w:pStyle w:val="91"/>
                    <w:rPr>
                      <w:sz w:val="21"/>
                      <w:szCs w:val="21"/>
                    </w:rPr>
                  </w:pPr>
                </w:p>
              </w:tc>
              <w:tc>
                <w:tcPr>
                  <w:tcW w:w="657" w:type="pct"/>
                  <w:vAlign w:val="center"/>
                </w:tcPr>
                <w:p w14:paraId="7E7AC776">
                  <w:pPr>
                    <w:pStyle w:val="91"/>
                    <w:rPr>
                      <w:sz w:val="21"/>
                      <w:szCs w:val="21"/>
                    </w:rPr>
                  </w:pPr>
                  <w:r>
                    <w:rPr>
                      <w:rFonts w:hint="eastAsia"/>
                      <w:sz w:val="21"/>
                      <w:szCs w:val="21"/>
                    </w:rPr>
                    <w:t>田舍大村</w:t>
                  </w:r>
                </w:p>
              </w:tc>
              <w:tc>
                <w:tcPr>
                  <w:tcW w:w="970" w:type="pct"/>
                  <w:vAlign w:val="center"/>
                </w:tcPr>
                <w:p w14:paraId="47430396">
                  <w:pPr>
                    <w:pStyle w:val="91"/>
                    <w:rPr>
                      <w:rFonts w:hint="eastAsia"/>
                      <w:sz w:val="21"/>
                      <w:szCs w:val="21"/>
                    </w:rPr>
                  </w:pPr>
                  <w:r>
                    <w:rPr>
                      <w:rFonts w:hint="eastAsia"/>
                      <w:sz w:val="21"/>
                      <w:szCs w:val="21"/>
                    </w:rPr>
                    <w:t>119°25′39.198″</w:t>
                  </w:r>
                </w:p>
              </w:tc>
              <w:tc>
                <w:tcPr>
                  <w:tcW w:w="978" w:type="pct"/>
                  <w:vAlign w:val="center"/>
                </w:tcPr>
                <w:p w14:paraId="70ED65EF">
                  <w:pPr>
                    <w:pStyle w:val="91"/>
                    <w:rPr>
                      <w:rFonts w:hint="eastAsia"/>
                      <w:sz w:val="21"/>
                      <w:szCs w:val="21"/>
                    </w:rPr>
                  </w:pPr>
                  <w:r>
                    <w:rPr>
                      <w:rFonts w:hint="eastAsia"/>
                      <w:sz w:val="21"/>
                      <w:szCs w:val="21"/>
                    </w:rPr>
                    <w:t>31°44′26.4192″</w:t>
                  </w:r>
                </w:p>
              </w:tc>
              <w:tc>
                <w:tcPr>
                  <w:tcW w:w="380" w:type="pct"/>
                  <w:vAlign w:val="center"/>
                </w:tcPr>
                <w:p w14:paraId="5E6C76DC">
                  <w:pPr>
                    <w:pStyle w:val="91"/>
                    <w:rPr>
                      <w:sz w:val="21"/>
                      <w:szCs w:val="21"/>
                    </w:rPr>
                  </w:pPr>
                  <w:r>
                    <w:rPr>
                      <w:sz w:val="21"/>
                      <w:szCs w:val="21"/>
                    </w:rPr>
                    <w:t>居民区</w:t>
                  </w:r>
                </w:p>
              </w:tc>
              <w:tc>
                <w:tcPr>
                  <w:tcW w:w="563" w:type="pct"/>
                  <w:vAlign w:val="center"/>
                </w:tcPr>
                <w:p w14:paraId="0218CBA3">
                  <w:pPr>
                    <w:pStyle w:val="91"/>
                    <w:rPr>
                      <w:sz w:val="21"/>
                      <w:szCs w:val="21"/>
                    </w:rPr>
                  </w:pPr>
                  <w:r>
                    <w:rPr>
                      <w:sz w:val="21"/>
                      <w:szCs w:val="21"/>
                    </w:rPr>
                    <w:t>约</w:t>
                  </w:r>
                  <w:r>
                    <w:rPr>
                      <w:rFonts w:hint="eastAsia"/>
                      <w:sz w:val="21"/>
                      <w:szCs w:val="21"/>
                    </w:rPr>
                    <w:t>44</w:t>
                  </w:r>
                  <w:r>
                    <w:rPr>
                      <w:sz w:val="21"/>
                      <w:szCs w:val="21"/>
                    </w:rPr>
                    <w:t>户</w:t>
                  </w:r>
                </w:p>
              </w:tc>
              <w:tc>
                <w:tcPr>
                  <w:tcW w:w="373" w:type="pct"/>
                  <w:vAlign w:val="center"/>
                </w:tcPr>
                <w:p w14:paraId="0C48ED68">
                  <w:pPr>
                    <w:pStyle w:val="91"/>
                    <w:rPr>
                      <w:sz w:val="21"/>
                      <w:szCs w:val="21"/>
                    </w:rPr>
                  </w:pPr>
                  <w:r>
                    <w:rPr>
                      <w:sz w:val="21"/>
                      <w:szCs w:val="21"/>
                    </w:rPr>
                    <w:t>二类区</w:t>
                  </w:r>
                </w:p>
              </w:tc>
              <w:tc>
                <w:tcPr>
                  <w:tcW w:w="432" w:type="pct"/>
                  <w:vAlign w:val="center"/>
                </w:tcPr>
                <w:p w14:paraId="64C8634E">
                  <w:pPr>
                    <w:pStyle w:val="91"/>
                    <w:rPr>
                      <w:sz w:val="21"/>
                      <w:szCs w:val="21"/>
                    </w:rPr>
                  </w:pPr>
                  <w:r>
                    <w:rPr>
                      <w:rFonts w:hint="eastAsia"/>
                      <w:sz w:val="21"/>
                      <w:szCs w:val="21"/>
                      <w:lang w:val="en-US" w:eastAsia="zh-CN"/>
                    </w:rPr>
                    <w:t>N</w:t>
                  </w:r>
                  <w:r>
                    <w:rPr>
                      <w:rFonts w:hint="eastAsia"/>
                      <w:sz w:val="21"/>
                      <w:szCs w:val="21"/>
                    </w:rPr>
                    <w:t>W</w:t>
                  </w:r>
                </w:p>
              </w:tc>
              <w:tc>
                <w:tcPr>
                  <w:tcW w:w="434" w:type="pct"/>
                  <w:vAlign w:val="center"/>
                </w:tcPr>
                <w:p w14:paraId="7696A4D4">
                  <w:pPr>
                    <w:pStyle w:val="91"/>
                    <w:rPr>
                      <w:rFonts w:hint="default" w:eastAsia="宋体"/>
                      <w:sz w:val="21"/>
                      <w:szCs w:val="21"/>
                      <w:lang w:val="en-US" w:eastAsia="zh-CN"/>
                    </w:rPr>
                  </w:pPr>
                  <w:r>
                    <w:rPr>
                      <w:rFonts w:hint="eastAsia"/>
                      <w:sz w:val="21"/>
                      <w:szCs w:val="21"/>
                      <w:lang w:val="en-US" w:eastAsia="zh-CN"/>
                    </w:rPr>
                    <w:t>275</w:t>
                  </w:r>
                </w:p>
              </w:tc>
            </w:tr>
            <w:tr w14:paraId="1C020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 w:type="pct"/>
                  <w:vMerge w:val="continue"/>
                  <w:vAlign w:val="center"/>
                </w:tcPr>
                <w:p w14:paraId="27BD9F22">
                  <w:pPr>
                    <w:pStyle w:val="91"/>
                    <w:rPr>
                      <w:sz w:val="21"/>
                      <w:szCs w:val="21"/>
                    </w:rPr>
                  </w:pPr>
                </w:p>
              </w:tc>
              <w:tc>
                <w:tcPr>
                  <w:tcW w:w="657" w:type="pct"/>
                  <w:vAlign w:val="center"/>
                </w:tcPr>
                <w:p w14:paraId="3DDD38A1">
                  <w:pPr>
                    <w:pStyle w:val="91"/>
                    <w:rPr>
                      <w:rFonts w:hint="eastAsia" w:eastAsia="宋体"/>
                      <w:sz w:val="21"/>
                      <w:szCs w:val="21"/>
                      <w:lang w:val="en-US" w:eastAsia="zh-CN"/>
                    </w:rPr>
                  </w:pPr>
                  <w:r>
                    <w:rPr>
                      <w:rFonts w:hint="eastAsia"/>
                      <w:sz w:val="21"/>
                      <w:szCs w:val="21"/>
                      <w:lang w:val="en-US" w:eastAsia="zh-CN"/>
                    </w:rPr>
                    <w:t>六姆墩</w:t>
                  </w:r>
                </w:p>
              </w:tc>
              <w:tc>
                <w:tcPr>
                  <w:tcW w:w="970" w:type="pct"/>
                  <w:shd w:val="clear" w:color="auto" w:fill="auto"/>
                  <w:vAlign w:val="center"/>
                </w:tcPr>
                <w:p w14:paraId="18EF62A0">
                  <w:pPr>
                    <w:pStyle w:val="91"/>
                    <w:rPr>
                      <w:rFonts w:hint="eastAsia"/>
                      <w:sz w:val="21"/>
                      <w:szCs w:val="21"/>
                      <w:lang w:val="en-US" w:eastAsia="zh-CN"/>
                    </w:rPr>
                  </w:pPr>
                  <w:r>
                    <w:rPr>
                      <w:rFonts w:hint="eastAsia"/>
                      <w:sz w:val="21"/>
                      <w:szCs w:val="21"/>
                    </w:rPr>
                    <w:t>119°2</w:t>
                  </w:r>
                  <w:r>
                    <w:rPr>
                      <w:rFonts w:hint="eastAsia"/>
                      <w:sz w:val="21"/>
                      <w:szCs w:val="21"/>
                      <w:lang w:val="en-US" w:eastAsia="zh-CN"/>
                    </w:rPr>
                    <w:t>6</w:t>
                  </w:r>
                  <w:r>
                    <w:rPr>
                      <w:rFonts w:hint="eastAsia"/>
                      <w:sz w:val="21"/>
                      <w:szCs w:val="21"/>
                    </w:rPr>
                    <w:t>′3</w:t>
                  </w:r>
                  <w:r>
                    <w:rPr>
                      <w:rFonts w:hint="eastAsia"/>
                      <w:sz w:val="21"/>
                      <w:szCs w:val="21"/>
                      <w:lang w:val="en-US" w:eastAsia="zh-CN"/>
                    </w:rPr>
                    <w:t>5</w:t>
                  </w:r>
                  <w:r>
                    <w:rPr>
                      <w:rFonts w:hint="eastAsia"/>
                      <w:sz w:val="21"/>
                      <w:szCs w:val="21"/>
                    </w:rPr>
                    <w:t>.</w:t>
                  </w:r>
                  <w:r>
                    <w:rPr>
                      <w:rFonts w:hint="eastAsia"/>
                      <w:sz w:val="21"/>
                      <w:szCs w:val="21"/>
                      <w:lang w:val="en-US" w:eastAsia="zh-CN"/>
                    </w:rPr>
                    <w:t>933</w:t>
                  </w:r>
                  <w:r>
                    <w:rPr>
                      <w:rFonts w:hint="eastAsia"/>
                      <w:sz w:val="21"/>
                      <w:szCs w:val="21"/>
                    </w:rPr>
                    <w:t>″</w:t>
                  </w:r>
                </w:p>
              </w:tc>
              <w:tc>
                <w:tcPr>
                  <w:tcW w:w="978" w:type="pct"/>
                  <w:shd w:val="clear" w:color="auto" w:fill="auto"/>
                  <w:vAlign w:val="center"/>
                </w:tcPr>
                <w:p w14:paraId="31383CBE">
                  <w:pPr>
                    <w:pStyle w:val="91"/>
                    <w:rPr>
                      <w:rFonts w:hint="eastAsia"/>
                      <w:sz w:val="21"/>
                      <w:szCs w:val="21"/>
                      <w:lang w:val="en-US" w:eastAsia="zh-CN"/>
                    </w:rPr>
                  </w:pPr>
                  <w:r>
                    <w:rPr>
                      <w:rFonts w:hint="eastAsia"/>
                      <w:sz w:val="21"/>
                      <w:szCs w:val="21"/>
                    </w:rPr>
                    <w:t>31°44′</w:t>
                  </w:r>
                  <w:r>
                    <w:rPr>
                      <w:rFonts w:hint="eastAsia"/>
                      <w:sz w:val="21"/>
                      <w:szCs w:val="21"/>
                      <w:lang w:val="en-US" w:eastAsia="zh-CN"/>
                    </w:rPr>
                    <w:t>49.149</w:t>
                  </w:r>
                  <w:r>
                    <w:rPr>
                      <w:rFonts w:hint="eastAsia"/>
                      <w:sz w:val="21"/>
                      <w:szCs w:val="21"/>
                    </w:rPr>
                    <w:t>″</w:t>
                  </w:r>
                </w:p>
              </w:tc>
              <w:tc>
                <w:tcPr>
                  <w:tcW w:w="380" w:type="pct"/>
                  <w:shd w:val="clear" w:color="auto" w:fill="auto"/>
                  <w:vAlign w:val="center"/>
                </w:tcPr>
                <w:p w14:paraId="1229AE2C">
                  <w:pPr>
                    <w:pStyle w:val="91"/>
                    <w:rPr>
                      <w:rFonts w:ascii="Times New Roman" w:hAnsi="Times New Roman" w:eastAsia="宋体" w:cs="Times New Roman"/>
                      <w:kern w:val="2"/>
                      <w:sz w:val="21"/>
                      <w:szCs w:val="21"/>
                      <w:lang w:val="en-US" w:eastAsia="zh-CN" w:bidi="ar-SA"/>
                    </w:rPr>
                  </w:pPr>
                  <w:r>
                    <w:rPr>
                      <w:sz w:val="21"/>
                      <w:szCs w:val="21"/>
                    </w:rPr>
                    <w:t>居民区</w:t>
                  </w:r>
                </w:p>
              </w:tc>
              <w:tc>
                <w:tcPr>
                  <w:tcW w:w="563" w:type="pct"/>
                  <w:shd w:val="clear" w:color="auto" w:fill="auto"/>
                  <w:vAlign w:val="center"/>
                </w:tcPr>
                <w:p w14:paraId="3A3BEDB0">
                  <w:pPr>
                    <w:pStyle w:val="91"/>
                    <w:rPr>
                      <w:rFonts w:ascii="Times New Roman" w:hAnsi="Times New Roman" w:eastAsia="宋体" w:cs="Times New Roman"/>
                      <w:kern w:val="2"/>
                      <w:sz w:val="21"/>
                      <w:szCs w:val="21"/>
                      <w:lang w:val="en-US" w:eastAsia="zh-CN" w:bidi="ar-SA"/>
                    </w:rPr>
                  </w:pPr>
                  <w:r>
                    <w:rPr>
                      <w:sz w:val="21"/>
                      <w:szCs w:val="21"/>
                    </w:rPr>
                    <w:t>约</w:t>
                  </w:r>
                  <w:r>
                    <w:rPr>
                      <w:rFonts w:hint="eastAsia"/>
                      <w:sz w:val="21"/>
                      <w:szCs w:val="21"/>
                      <w:lang w:val="en-US" w:eastAsia="zh-CN"/>
                    </w:rPr>
                    <w:t>50</w:t>
                  </w:r>
                  <w:r>
                    <w:rPr>
                      <w:sz w:val="21"/>
                      <w:szCs w:val="21"/>
                    </w:rPr>
                    <w:t>户</w:t>
                  </w:r>
                </w:p>
              </w:tc>
              <w:tc>
                <w:tcPr>
                  <w:tcW w:w="373" w:type="pct"/>
                  <w:shd w:val="clear" w:color="auto" w:fill="auto"/>
                  <w:vAlign w:val="center"/>
                </w:tcPr>
                <w:p w14:paraId="01024DBD">
                  <w:pPr>
                    <w:pStyle w:val="91"/>
                    <w:rPr>
                      <w:rFonts w:ascii="Times New Roman" w:hAnsi="Times New Roman" w:eastAsia="宋体" w:cs="Times New Roman"/>
                      <w:kern w:val="2"/>
                      <w:sz w:val="21"/>
                      <w:szCs w:val="21"/>
                      <w:lang w:val="en-US" w:eastAsia="zh-CN" w:bidi="ar-SA"/>
                    </w:rPr>
                  </w:pPr>
                  <w:r>
                    <w:rPr>
                      <w:sz w:val="21"/>
                      <w:szCs w:val="21"/>
                    </w:rPr>
                    <w:t>二类区</w:t>
                  </w:r>
                </w:p>
              </w:tc>
              <w:tc>
                <w:tcPr>
                  <w:tcW w:w="432" w:type="pct"/>
                  <w:vAlign w:val="center"/>
                </w:tcPr>
                <w:p w14:paraId="1B3F10BE">
                  <w:pPr>
                    <w:pStyle w:val="91"/>
                    <w:rPr>
                      <w:rFonts w:hint="eastAsia" w:eastAsia="宋体"/>
                      <w:sz w:val="21"/>
                      <w:szCs w:val="21"/>
                      <w:lang w:val="en-US" w:eastAsia="zh-CN"/>
                    </w:rPr>
                  </w:pPr>
                  <w:r>
                    <w:rPr>
                      <w:rFonts w:hint="eastAsia"/>
                      <w:sz w:val="21"/>
                      <w:szCs w:val="21"/>
                      <w:lang w:val="en-US" w:eastAsia="zh-CN"/>
                    </w:rPr>
                    <w:t>N</w:t>
                  </w:r>
                </w:p>
              </w:tc>
              <w:tc>
                <w:tcPr>
                  <w:tcW w:w="434" w:type="pct"/>
                  <w:vAlign w:val="center"/>
                </w:tcPr>
                <w:p w14:paraId="67881D37">
                  <w:pPr>
                    <w:pStyle w:val="91"/>
                    <w:rPr>
                      <w:rFonts w:hint="default" w:eastAsia="宋体"/>
                      <w:sz w:val="21"/>
                      <w:szCs w:val="21"/>
                      <w:lang w:val="en-US" w:eastAsia="zh-CN"/>
                    </w:rPr>
                  </w:pPr>
                  <w:r>
                    <w:rPr>
                      <w:rFonts w:hint="eastAsia"/>
                      <w:sz w:val="21"/>
                      <w:szCs w:val="21"/>
                      <w:lang w:val="en-US" w:eastAsia="zh-CN"/>
                    </w:rPr>
                    <w:t>295</w:t>
                  </w:r>
                </w:p>
              </w:tc>
            </w:tr>
          </w:tbl>
          <w:p w14:paraId="00F49D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eastAsia="宋体"/>
                <w:b/>
                <w:bCs/>
                <w:sz w:val="21"/>
                <w:szCs w:val="21"/>
                <w:lang w:val="en-US" w:eastAsia="zh-CN"/>
              </w:rPr>
            </w:pPr>
            <w:r>
              <w:rPr>
                <w:rFonts w:hint="eastAsia"/>
                <w:b/>
                <w:bCs/>
                <w:sz w:val="21"/>
                <w:szCs w:val="21"/>
                <w:lang w:val="en-US" w:eastAsia="zh-CN"/>
              </w:rPr>
              <w:t>备注：散户*，本项目北侧70m处有一农村宅基地，目前经业主建设成两层，一层为沿街商铺“老巴子自选商店”，二层留作居住。</w:t>
            </w:r>
          </w:p>
          <w:p w14:paraId="4E14351F">
            <w:pPr>
              <w:numPr>
                <w:ilvl w:val="0"/>
                <w:numId w:val="4"/>
              </w:numPr>
              <w:spacing w:line="480" w:lineRule="exact"/>
              <w:ind w:firstLine="482" w:firstLineChars="200"/>
              <w:jc w:val="left"/>
              <w:rPr>
                <w:b/>
                <w:bCs/>
                <w:sz w:val="24"/>
              </w:rPr>
            </w:pPr>
            <w:r>
              <w:rPr>
                <w:b/>
                <w:bCs/>
                <w:sz w:val="24"/>
              </w:rPr>
              <w:t>声环境保护目标</w:t>
            </w:r>
          </w:p>
          <w:p w14:paraId="7846D800">
            <w:pPr>
              <w:pStyle w:val="111"/>
              <w:spacing w:beforeLines="0" w:line="480" w:lineRule="exact"/>
              <w:ind w:firstLine="480"/>
              <w:rPr>
                <w:szCs w:val="24"/>
              </w:rPr>
            </w:pPr>
            <w:r>
              <w:rPr>
                <w:szCs w:val="24"/>
              </w:rPr>
              <w:t>本项目厂界外50米范围内无声环境保护目标。</w:t>
            </w:r>
          </w:p>
          <w:p w14:paraId="50D96DDD">
            <w:pPr>
              <w:numPr>
                <w:ilvl w:val="0"/>
                <w:numId w:val="4"/>
              </w:numPr>
              <w:adjustRightInd w:val="0"/>
              <w:snapToGrid w:val="0"/>
              <w:spacing w:line="480" w:lineRule="exact"/>
              <w:ind w:firstLine="482" w:firstLineChars="200"/>
              <w:jc w:val="left"/>
              <w:rPr>
                <w:b/>
                <w:sz w:val="24"/>
                <w:lang w:bidi="ar"/>
              </w:rPr>
            </w:pPr>
            <w:r>
              <w:rPr>
                <w:b/>
                <w:sz w:val="24"/>
                <w:lang w:bidi="ar"/>
              </w:rPr>
              <w:t>地下水环境保护目标</w:t>
            </w:r>
          </w:p>
          <w:p w14:paraId="4058867C">
            <w:pPr>
              <w:adjustRightInd w:val="0"/>
              <w:snapToGrid w:val="0"/>
              <w:spacing w:line="480" w:lineRule="exact"/>
              <w:ind w:firstLine="482"/>
              <w:jc w:val="left"/>
              <w:rPr>
                <w:bCs/>
                <w:sz w:val="24"/>
                <w:lang w:bidi="ar"/>
              </w:rPr>
            </w:pPr>
            <w:r>
              <w:rPr>
                <w:bCs/>
                <w:sz w:val="24"/>
                <w:lang w:bidi="ar"/>
              </w:rPr>
              <w:t>经现场勘查，本项目厂界外500m范围内无地下水集中式饮用水水源和热水、矿泉水、温泉等特殊地下水资源。</w:t>
            </w:r>
          </w:p>
          <w:p w14:paraId="1F2C1CAA">
            <w:pPr>
              <w:numPr>
                <w:ilvl w:val="0"/>
                <w:numId w:val="4"/>
              </w:numPr>
              <w:adjustRightInd w:val="0"/>
              <w:snapToGrid w:val="0"/>
              <w:spacing w:line="480" w:lineRule="exact"/>
              <w:ind w:firstLine="482" w:firstLineChars="200"/>
              <w:jc w:val="left"/>
              <w:rPr>
                <w:b/>
                <w:sz w:val="24"/>
              </w:rPr>
            </w:pPr>
            <w:r>
              <w:rPr>
                <w:b/>
                <w:sz w:val="24"/>
                <w:lang w:bidi="ar"/>
              </w:rPr>
              <w:t>生态环境保护目标</w:t>
            </w:r>
          </w:p>
          <w:p w14:paraId="1254946F">
            <w:pPr>
              <w:adjustRightInd w:val="0"/>
              <w:snapToGrid w:val="0"/>
              <w:spacing w:line="480" w:lineRule="exact"/>
              <w:ind w:firstLine="482"/>
              <w:jc w:val="left"/>
              <w:rPr>
                <w:color w:val="FF0000"/>
                <w:kern w:val="0"/>
                <w:szCs w:val="21"/>
              </w:rPr>
            </w:pPr>
            <w:r>
              <w:rPr>
                <w:bCs/>
                <w:sz w:val="24"/>
                <w:lang w:bidi="ar"/>
              </w:rPr>
              <w:t>本项目用地范围内无生态环境保护目标。</w:t>
            </w:r>
          </w:p>
        </w:tc>
      </w:tr>
      <w:tr w14:paraId="213DD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420" w:type="dxa"/>
            <w:tcBorders>
              <w:tl2br w:val="nil"/>
              <w:tr2bl w:val="nil"/>
            </w:tcBorders>
            <w:tcMar>
              <w:left w:w="28" w:type="dxa"/>
              <w:right w:w="28" w:type="dxa"/>
            </w:tcMar>
            <w:vAlign w:val="center"/>
          </w:tcPr>
          <w:p w14:paraId="14FA72A9">
            <w:pPr>
              <w:adjustRightInd w:val="0"/>
              <w:snapToGrid w:val="0"/>
              <w:jc w:val="center"/>
              <w:rPr>
                <w:color w:val="FF0000"/>
                <w:kern w:val="0"/>
                <w:szCs w:val="21"/>
              </w:rPr>
            </w:pPr>
            <w:r>
              <w:rPr>
                <w:b/>
                <w:bCs/>
                <w:kern w:val="0"/>
                <w:sz w:val="24"/>
              </w:rPr>
              <w:t>污染物排放控制标准</w:t>
            </w:r>
          </w:p>
        </w:tc>
        <w:tc>
          <w:tcPr>
            <w:tcW w:w="8641" w:type="dxa"/>
            <w:tcBorders>
              <w:tl2br w:val="nil"/>
              <w:tr2bl w:val="nil"/>
            </w:tcBorders>
            <w:vAlign w:val="center"/>
          </w:tcPr>
          <w:p w14:paraId="670D7238">
            <w:pPr>
              <w:spacing w:line="480" w:lineRule="exact"/>
              <w:ind w:firstLine="482" w:firstLineChars="200"/>
              <w:rPr>
                <w:b/>
                <w:bCs/>
                <w:sz w:val="24"/>
              </w:rPr>
            </w:pPr>
            <w:r>
              <w:rPr>
                <w:b/>
                <w:bCs/>
                <w:sz w:val="24"/>
              </w:rPr>
              <w:t>1、水污染排放标准</w:t>
            </w:r>
          </w:p>
          <w:p w14:paraId="09E3AA5C">
            <w:pPr>
              <w:adjustRightInd w:val="0"/>
              <w:snapToGrid w:val="0"/>
              <w:spacing w:line="500" w:lineRule="exact"/>
              <w:ind w:firstLine="480" w:firstLineChars="200"/>
              <w:rPr>
                <w:b/>
                <w:sz w:val="24"/>
              </w:rPr>
            </w:pPr>
            <w:r>
              <w:rPr>
                <w:sz w:val="24"/>
              </w:rPr>
              <w:t>本项目生活污水接管</w:t>
            </w:r>
            <w:r>
              <w:rPr>
                <w:rFonts w:hint="eastAsia"/>
                <w:sz w:val="24"/>
              </w:rPr>
              <w:t>至金坛区溪城污水处理有限公司</w:t>
            </w:r>
            <w:r>
              <w:rPr>
                <w:sz w:val="24"/>
              </w:rPr>
              <w:t>集中处理，尾水排入</w:t>
            </w:r>
            <w:r>
              <w:rPr>
                <w:rFonts w:hint="eastAsia"/>
                <w:sz w:val="24"/>
              </w:rPr>
              <w:t>通济河</w:t>
            </w:r>
            <w:r>
              <w:rPr>
                <w:sz w:val="24"/>
              </w:rPr>
              <w:t>，接管标准执行《</w:t>
            </w:r>
            <w:r>
              <w:rPr>
                <w:rFonts w:hint="eastAsia"/>
                <w:sz w:val="24"/>
              </w:rPr>
              <w:t>金坛区溪城污水处理有限公司</w:t>
            </w:r>
            <w:r>
              <w:rPr>
                <w:sz w:val="24"/>
              </w:rPr>
              <w:t>污水接管要求》，污水处理厂尾水排放执行《太湖地区城镇污水处理厂及重点工业行业主要水污染物排放限值》（DB32/1072-2018）表2中城镇污水处理厂标准，未列入项目（SS）执行《城镇污水处理厂污染物排放标准》（GB18918-2002）表1中一级A标准，标准值如下：</w:t>
            </w:r>
          </w:p>
          <w:p w14:paraId="7E0B40FE">
            <w:pPr>
              <w:adjustRightInd w:val="0"/>
              <w:snapToGrid w:val="0"/>
              <w:spacing w:line="500" w:lineRule="exact"/>
              <w:jc w:val="center"/>
              <w:rPr>
                <w:b/>
                <w:bCs/>
                <w:szCs w:val="21"/>
              </w:rPr>
            </w:pPr>
            <w:r>
              <w:rPr>
                <w:b/>
                <w:bCs/>
                <w:szCs w:val="21"/>
              </w:rPr>
              <w:t>表3</w:t>
            </w:r>
            <w:r>
              <w:rPr>
                <w:rFonts w:hint="eastAsia"/>
                <w:b/>
                <w:bCs/>
                <w:szCs w:val="21"/>
              </w:rPr>
              <w:t>-</w:t>
            </w:r>
            <w:r>
              <w:rPr>
                <w:rFonts w:hint="eastAsia"/>
                <w:b/>
                <w:bCs/>
                <w:szCs w:val="21"/>
                <w:lang w:val="en-US" w:eastAsia="zh-CN"/>
              </w:rPr>
              <w:t>8</w:t>
            </w:r>
            <w:r>
              <w:rPr>
                <w:b/>
                <w:bCs/>
                <w:szCs w:val="21"/>
              </w:rPr>
              <w:t xml:space="preserve"> 水污染物排放标准</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3032"/>
              <w:gridCol w:w="1604"/>
              <w:gridCol w:w="1273"/>
              <w:gridCol w:w="828"/>
              <w:gridCol w:w="1114"/>
            </w:tblGrid>
            <w:tr w14:paraId="087805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tcMar>
                    <w:left w:w="0" w:type="dxa"/>
                    <w:right w:w="0" w:type="dxa"/>
                  </w:tcMar>
                  <w:vAlign w:val="center"/>
                </w:tcPr>
                <w:p w14:paraId="10C94B9C">
                  <w:pPr>
                    <w:adjustRightInd w:val="0"/>
                    <w:jc w:val="center"/>
                    <w:rPr>
                      <w:b/>
                      <w:szCs w:val="21"/>
                    </w:rPr>
                  </w:pPr>
                  <w:r>
                    <w:rPr>
                      <w:b/>
                      <w:szCs w:val="21"/>
                    </w:rPr>
                    <w:t>排放口</w:t>
                  </w:r>
                </w:p>
                <w:p w14:paraId="1566528D">
                  <w:pPr>
                    <w:adjustRightInd w:val="0"/>
                    <w:jc w:val="center"/>
                    <w:rPr>
                      <w:b/>
                      <w:szCs w:val="21"/>
                    </w:rPr>
                  </w:pPr>
                  <w:r>
                    <w:rPr>
                      <w:b/>
                      <w:szCs w:val="21"/>
                    </w:rPr>
                    <w:t>名称</w:t>
                  </w:r>
                </w:p>
              </w:tc>
              <w:tc>
                <w:tcPr>
                  <w:tcW w:w="1696" w:type="pct"/>
                  <w:vAlign w:val="center"/>
                </w:tcPr>
                <w:p w14:paraId="1179AB84">
                  <w:pPr>
                    <w:adjustRightInd w:val="0"/>
                    <w:jc w:val="center"/>
                    <w:rPr>
                      <w:b/>
                      <w:szCs w:val="21"/>
                    </w:rPr>
                  </w:pPr>
                  <w:r>
                    <w:rPr>
                      <w:b/>
                      <w:szCs w:val="21"/>
                    </w:rPr>
                    <w:t>执行标准</w:t>
                  </w:r>
                </w:p>
              </w:tc>
              <w:tc>
                <w:tcPr>
                  <w:tcW w:w="897" w:type="pct"/>
                  <w:tcMar>
                    <w:left w:w="0" w:type="dxa"/>
                    <w:right w:w="0" w:type="dxa"/>
                  </w:tcMar>
                  <w:vAlign w:val="center"/>
                </w:tcPr>
                <w:p w14:paraId="03B59497">
                  <w:pPr>
                    <w:adjustRightInd w:val="0"/>
                    <w:jc w:val="center"/>
                    <w:rPr>
                      <w:b/>
                      <w:szCs w:val="21"/>
                    </w:rPr>
                  </w:pPr>
                  <w:r>
                    <w:rPr>
                      <w:b/>
                      <w:szCs w:val="21"/>
                    </w:rPr>
                    <w:t>取值表号及级别</w:t>
                  </w:r>
                </w:p>
              </w:tc>
              <w:tc>
                <w:tcPr>
                  <w:tcW w:w="712" w:type="pct"/>
                  <w:vAlign w:val="center"/>
                </w:tcPr>
                <w:p w14:paraId="681209B8">
                  <w:pPr>
                    <w:adjustRightInd w:val="0"/>
                    <w:jc w:val="center"/>
                    <w:rPr>
                      <w:b/>
                      <w:szCs w:val="21"/>
                    </w:rPr>
                  </w:pPr>
                  <w:r>
                    <w:rPr>
                      <w:b/>
                      <w:szCs w:val="21"/>
                    </w:rPr>
                    <w:t>污染物指标</w:t>
                  </w:r>
                </w:p>
              </w:tc>
              <w:tc>
                <w:tcPr>
                  <w:tcW w:w="463" w:type="pct"/>
                  <w:vAlign w:val="center"/>
                </w:tcPr>
                <w:p w14:paraId="170BBFC6">
                  <w:pPr>
                    <w:adjustRightInd w:val="0"/>
                    <w:jc w:val="center"/>
                    <w:rPr>
                      <w:b/>
                      <w:szCs w:val="21"/>
                    </w:rPr>
                  </w:pPr>
                  <w:r>
                    <w:rPr>
                      <w:b/>
                      <w:szCs w:val="21"/>
                    </w:rPr>
                    <w:t>单位</w:t>
                  </w:r>
                </w:p>
              </w:tc>
              <w:tc>
                <w:tcPr>
                  <w:tcW w:w="623" w:type="pct"/>
                  <w:vAlign w:val="center"/>
                </w:tcPr>
                <w:p w14:paraId="38C8BFEF">
                  <w:pPr>
                    <w:adjustRightInd w:val="0"/>
                    <w:jc w:val="center"/>
                    <w:rPr>
                      <w:b/>
                      <w:szCs w:val="21"/>
                    </w:rPr>
                  </w:pPr>
                  <w:r>
                    <w:rPr>
                      <w:b/>
                      <w:szCs w:val="21"/>
                    </w:rPr>
                    <w:t>标准限值</w:t>
                  </w:r>
                </w:p>
              </w:tc>
            </w:tr>
            <w:tr w14:paraId="1C7050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restart"/>
                  <w:vAlign w:val="center"/>
                </w:tcPr>
                <w:p w14:paraId="7F805222">
                  <w:pPr>
                    <w:adjustRightInd w:val="0"/>
                    <w:jc w:val="center"/>
                    <w:rPr>
                      <w:bCs/>
                      <w:szCs w:val="21"/>
                    </w:rPr>
                  </w:pPr>
                  <w:r>
                    <w:rPr>
                      <w:szCs w:val="21"/>
                    </w:rPr>
                    <w:t>DW001</w:t>
                  </w:r>
                </w:p>
              </w:tc>
              <w:tc>
                <w:tcPr>
                  <w:tcW w:w="1696" w:type="pct"/>
                  <w:vMerge w:val="restart"/>
                  <w:vAlign w:val="center"/>
                </w:tcPr>
                <w:p w14:paraId="78DBF0F0">
                  <w:pPr>
                    <w:adjustRightInd w:val="0"/>
                    <w:jc w:val="center"/>
                    <w:rPr>
                      <w:bCs/>
                      <w:szCs w:val="21"/>
                    </w:rPr>
                  </w:pPr>
                  <w:r>
                    <w:rPr>
                      <w:rFonts w:hint="eastAsia"/>
                      <w:szCs w:val="21"/>
                    </w:rPr>
                    <w:t>金坛区溪城污水处理有限公司</w:t>
                  </w:r>
                  <w:r>
                    <w:rPr>
                      <w:szCs w:val="21"/>
                    </w:rPr>
                    <w:t>污水接管要求</w:t>
                  </w:r>
                </w:p>
              </w:tc>
              <w:tc>
                <w:tcPr>
                  <w:tcW w:w="897" w:type="pct"/>
                  <w:vMerge w:val="restart"/>
                  <w:vAlign w:val="center"/>
                </w:tcPr>
                <w:p w14:paraId="28B71A81">
                  <w:pPr>
                    <w:adjustRightInd w:val="0"/>
                    <w:jc w:val="center"/>
                    <w:rPr>
                      <w:bCs/>
                      <w:szCs w:val="21"/>
                    </w:rPr>
                  </w:pPr>
                  <w:r>
                    <w:rPr>
                      <w:bCs/>
                      <w:szCs w:val="21"/>
                    </w:rPr>
                    <w:t>/</w:t>
                  </w:r>
                </w:p>
              </w:tc>
              <w:tc>
                <w:tcPr>
                  <w:tcW w:w="712" w:type="pct"/>
                  <w:vAlign w:val="center"/>
                </w:tcPr>
                <w:p w14:paraId="13808F52">
                  <w:pPr>
                    <w:adjustRightInd w:val="0"/>
                    <w:jc w:val="center"/>
                    <w:rPr>
                      <w:bCs/>
                      <w:szCs w:val="21"/>
                    </w:rPr>
                  </w:pPr>
                  <w:r>
                    <w:rPr>
                      <w:bCs/>
                      <w:szCs w:val="21"/>
                    </w:rPr>
                    <w:t>COD</w:t>
                  </w:r>
                </w:p>
              </w:tc>
              <w:tc>
                <w:tcPr>
                  <w:tcW w:w="463" w:type="pct"/>
                  <w:vAlign w:val="center"/>
                </w:tcPr>
                <w:p w14:paraId="46070911">
                  <w:pPr>
                    <w:adjustRightInd w:val="0"/>
                    <w:jc w:val="center"/>
                    <w:rPr>
                      <w:bCs/>
                      <w:szCs w:val="21"/>
                    </w:rPr>
                  </w:pPr>
                  <w:r>
                    <w:rPr>
                      <w:bCs/>
                      <w:szCs w:val="21"/>
                    </w:rPr>
                    <w:t>mg/L</w:t>
                  </w:r>
                </w:p>
              </w:tc>
              <w:tc>
                <w:tcPr>
                  <w:tcW w:w="623" w:type="pct"/>
                  <w:vAlign w:val="center"/>
                </w:tcPr>
                <w:p w14:paraId="16F3A792">
                  <w:pPr>
                    <w:snapToGrid w:val="0"/>
                    <w:jc w:val="center"/>
                    <w:rPr>
                      <w:bCs/>
                      <w:szCs w:val="21"/>
                    </w:rPr>
                  </w:pPr>
                  <w:r>
                    <w:rPr>
                      <w:rFonts w:hint="eastAsia"/>
                      <w:szCs w:val="21"/>
                    </w:rPr>
                    <w:t>500</w:t>
                  </w:r>
                </w:p>
              </w:tc>
            </w:tr>
            <w:tr w14:paraId="054767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1BBCC00C">
                  <w:pPr>
                    <w:adjustRightInd w:val="0"/>
                    <w:jc w:val="center"/>
                    <w:rPr>
                      <w:bCs/>
                      <w:szCs w:val="21"/>
                    </w:rPr>
                  </w:pPr>
                </w:p>
              </w:tc>
              <w:tc>
                <w:tcPr>
                  <w:tcW w:w="1696" w:type="pct"/>
                  <w:vMerge w:val="continue"/>
                  <w:vAlign w:val="center"/>
                </w:tcPr>
                <w:p w14:paraId="3320495A">
                  <w:pPr>
                    <w:adjustRightInd w:val="0"/>
                    <w:jc w:val="center"/>
                    <w:rPr>
                      <w:bCs/>
                      <w:szCs w:val="21"/>
                    </w:rPr>
                  </w:pPr>
                </w:p>
              </w:tc>
              <w:tc>
                <w:tcPr>
                  <w:tcW w:w="897" w:type="pct"/>
                  <w:vMerge w:val="continue"/>
                  <w:vAlign w:val="center"/>
                </w:tcPr>
                <w:p w14:paraId="78AAD5FD">
                  <w:pPr>
                    <w:adjustRightInd w:val="0"/>
                    <w:jc w:val="center"/>
                    <w:rPr>
                      <w:bCs/>
                      <w:szCs w:val="21"/>
                    </w:rPr>
                  </w:pPr>
                </w:p>
              </w:tc>
              <w:tc>
                <w:tcPr>
                  <w:tcW w:w="712" w:type="pct"/>
                  <w:vAlign w:val="center"/>
                </w:tcPr>
                <w:p w14:paraId="4CE03203">
                  <w:pPr>
                    <w:adjustRightInd w:val="0"/>
                    <w:jc w:val="center"/>
                    <w:rPr>
                      <w:bCs/>
                      <w:szCs w:val="21"/>
                    </w:rPr>
                  </w:pPr>
                  <w:r>
                    <w:rPr>
                      <w:bCs/>
                      <w:szCs w:val="21"/>
                    </w:rPr>
                    <w:t>SS</w:t>
                  </w:r>
                </w:p>
              </w:tc>
              <w:tc>
                <w:tcPr>
                  <w:tcW w:w="463" w:type="pct"/>
                  <w:vAlign w:val="center"/>
                </w:tcPr>
                <w:p w14:paraId="4FEB7488">
                  <w:pPr>
                    <w:adjustRightInd w:val="0"/>
                    <w:jc w:val="center"/>
                    <w:rPr>
                      <w:bCs/>
                      <w:szCs w:val="21"/>
                    </w:rPr>
                  </w:pPr>
                  <w:r>
                    <w:rPr>
                      <w:bCs/>
                      <w:szCs w:val="21"/>
                    </w:rPr>
                    <w:t>mg/L</w:t>
                  </w:r>
                </w:p>
              </w:tc>
              <w:tc>
                <w:tcPr>
                  <w:tcW w:w="623" w:type="pct"/>
                  <w:vAlign w:val="center"/>
                </w:tcPr>
                <w:p w14:paraId="16E25E46">
                  <w:pPr>
                    <w:adjustRightInd w:val="0"/>
                    <w:snapToGrid w:val="0"/>
                    <w:jc w:val="center"/>
                    <w:rPr>
                      <w:bCs/>
                      <w:szCs w:val="21"/>
                    </w:rPr>
                  </w:pPr>
                  <w:r>
                    <w:rPr>
                      <w:rFonts w:hint="eastAsia"/>
                      <w:szCs w:val="21"/>
                    </w:rPr>
                    <w:t>400</w:t>
                  </w:r>
                </w:p>
              </w:tc>
            </w:tr>
            <w:tr w14:paraId="48D431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1F5077C3">
                  <w:pPr>
                    <w:adjustRightInd w:val="0"/>
                    <w:jc w:val="center"/>
                    <w:rPr>
                      <w:bCs/>
                      <w:szCs w:val="21"/>
                    </w:rPr>
                  </w:pPr>
                </w:p>
              </w:tc>
              <w:tc>
                <w:tcPr>
                  <w:tcW w:w="1696" w:type="pct"/>
                  <w:vMerge w:val="continue"/>
                  <w:vAlign w:val="center"/>
                </w:tcPr>
                <w:p w14:paraId="6D0F3D31">
                  <w:pPr>
                    <w:adjustRightInd w:val="0"/>
                    <w:jc w:val="center"/>
                    <w:rPr>
                      <w:bCs/>
                      <w:szCs w:val="21"/>
                    </w:rPr>
                  </w:pPr>
                </w:p>
              </w:tc>
              <w:tc>
                <w:tcPr>
                  <w:tcW w:w="897" w:type="pct"/>
                  <w:vMerge w:val="continue"/>
                  <w:vAlign w:val="center"/>
                </w:tcPr>
                <w:p w14:paraId="7CAB7A55">
                  <w:pPr>
                    <w:adjustRightInd w:val="0"/>
                    <w:jc w:val="center"/>
                    <w:rPr>
                      <w:bCs/>
                      <w:szCs w:val="21"/>
                    </w:rPr>
                  </w:pPr>
                </w:p>
              </w:tc>
              <w:tc>
                <w:tcPr>
                  <w:tcW w:w="712" w:type="pct"/>
                  <w:vAlign w:val="center"/>
                </w:tcPr>
                <w:p w14:paraId="598100B2">
                  <w:pPr>
                    <w:adjustRightInd w:val="0"/>
                    <w:jc w:val="center"/>
                    <w:rPr>
                      <w:bCs/>
                      <w:szCs w:val="21"/>
                    </w:rPr>
                  </w:pPr>
                  <w:r>
                    <w:rPr>
                      <w:bCs/>
                      <w:szCs w:val="21"/>
                    </w:rPr>
                    <w:t>NH</w:t>
                  </w:r>
                  <w:r>
                    <w:rPr>
                      <w:bCs/>
                      <w:szCs w:val="21"/>
                      <w:vertAlign w:val="subscript"/>
                    </w:rPr>
                    <w:t>3</w:t>
                  </w:r>
                  <w:r>
                    <w:rPr>
                      <w:bCs/>
                      <w:szCs w:val="21"/>
                    </w:rPr>
                    <w:t>-N</w:t>
                  </w:r>
                </w:p>
              </w:tc>
              <w:tc>
                <w:tcPr>
                  <w:tcW w:w="463" w:type="pct"/>
                  <w:vAlign w:val="center"/>
                </w:tcPr>
                <w:p w14:paraId="45048335">
                  <w:pPr>
                    <w:adjustRightInd w:val="0"/>
                    <w:jc w:val="center"/>
                    <w:rPr>
                      <w:bCs/>
                      <w:szCs w:val="21"/>
                    </w:rPr>
                  </w:pPr>
                  <w:r>
                    <w:rPr>
                      <w:bCs/>
                      <w:szCs w:val="21"/>
                    </w:rPr>
                    <w:t>mg/L</w:t>
                  </w:r>
                </w:p>
              </w:tc>
              <w:tc>
                <w:tcPr>
                  <w:tcW w:w="623" w:type="pct"/>
                  <w:vAlign w:val="center"/>
                </w:tcPr>
                <w:p w14:paraId="592A5A39">
                  <w:pPr>
                    <w:adjustRightInd w:val="0"/>
                    <w:snapToGrid w:val="0"/>
                    <w:jc w:val="center"/>
                    <w:rPr>
                      <w:bCs/>
                      <w:szCs w:val="21"/>
                    </w:rPr>
                  </w:pPr>
                  <w:r>
                    <w:rPr>
                      <w:rFonts w:hint="eastAsia"/>
                      <w:szCs w:val="21"/>
                    </w:rPr>
                    <w:t>45</w:t>
                  </w:r>
                </w:p>
              </w:tc>
            </w:tr>
            <w:tr w14:paraId="48B474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0F8DDB34">
                  <w:pPr>
                    <w:adjustRightInd w:val="0"/>
                    <w:jc w:val="center"/>
                    <w:rPr>
                      <w:bCs/>
                      <w:szCs w:val="21"/>
                    </w:rPr>
                  </w:pPr>
                </w:p>
              </w:tc>
              <w:tc>
                <w:tcPr>
                  <w:tcW w:w="1696" w:type="pct"/>
                  <w:vMerge w:val="continue"/>
                  <w:vAlign w:val="center"/>
                </w:tcPr>
                <w:p w14:paraId="501F00C7">
                  <w:pPr>
                    <w:adjustRightInd w:val="0"/>
                    <w:jc w:val="center"/>
                    <w:rPr>
                      <w:bCs/>
                      <w:szCs w:val="21"/>
                    </w:rPr>
                  </w:pPr>
                </w:p>
              </w:tc>
              <w:tc>
                <w:tcPr>
                  <w:tcW w:w="897" w:type="pct"/>
                  <w:vMerge w:val="continue"/>
                  <w:vAlign w:val="center"/>
                </w:tcPr>
                <w:p w14:paraId="506DB68C">
                  <w:pPr>
                    <w:adjustRightInd w:val="0"/>
                    <w:jc w:val="center"/>
                    <w:rPr>
                      <w:bCs/>
                      <w:szCs w:val="21"/>
                    </w:rPr>
                  </w:pPr>
                </w:p>
              </w:tc>
              <w:tc>
                <w:tcPr>
                  <w:tcW w:w="712" w:type="pct"/>
                  <w:vAlign w:val="center"/>
                </w:tcPr>
                <w:p w14:paraId="1C00F40D">
                  <w:pPr>
                    <w:adjustRightInd w:val="0"/>
                    <w:jc w:val="center"/>
                    <w:rPr>
                      <w:bCs/>
                      <w:szCs w:val="21"/>
                    </w:rPr>
                  </w:pPr>
                  <w:r>
                    <w:rPr>
                      <w:bCs/>
                      <w:szCs w:val="21"/>
                    </w:rPr>
                    <w:t>TN</w:t>
                  </w:r>
                </w:p>
              </w:tc>
              <w:tc>
                <w:tcPr>
                  <w:tcW w:w="463" w:type="pct"/>
                  <w:vAlign w:val="center"/>
                </w:tcPr>
                <w:p w14:paraId="6B9F4C5E">
                  <w:pPr>
                    <w:adjustRightInd w:val="0"/>
                    <w:jc w:val="center"/>
                    <w:rPr>
                      <w:bCs/>
                      <w:szCs w:val="21"/>
                    </w:rPr>
                  </w:pPr>
                  <w:r>
                    <w:rPr>
                      <w:bCs/>
                      <w:szCs w:val="21"/>
                    </w:rPr>
                    <w:t>mg/L</w:t>
                  </w:r>
                </w:p>
              </w:tc>
              <w:tc>
                <w:tcPr>
                  <w:tcW w:w="623" w:type="pct"/>
                  <w:vAlign w:val="center"/>
                </w:tcPr>
                <w:p w14:paraId="5941B473">
                  <w:pPr>
                    <w:adjustRightInd w:val="0"/>
                    <w:snapToGrid w:val="0"/>
                    <w:jc w:val="center"/>
                    <w:rPr>
                      <w:bCs/>
                      <w:szCs w:val="21"/>
                    </w:rPr>
                  </w:pPr>
                  <w:r>
                    <w:rPr>
                      <w:rFonts w:hint="eastAsia"/>
                      <w:szCs w:val="21"/>
                    </w:rPr>
                    <w:t>70</w:t>
                  </w:r>
                </w:p>
              </w:tc>
            </w:tr>
            <w:tr w14:paraId="5B5AAE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4DF27C59">
                  <w:pPr>
                    <w:adjustRightInd w:val="0"/>
                    <w:jc w:val="center"/>
                    <w:rPr>
                      <w:bCs/>
                      <w:szCs w:val="21"/>
                    </w:rPr>
                  </w:pPr>
                </w:p>
              </w:tc>
              <w:tc>
                <w:tcPr>
                  <w:tcW w:w="1696" w:type="pct"/>
                  <w:vMerge w:val="continue"/>
                  <w:vAlign w:val="center"/>
                </w:tcPr>
                <w:p w14:paraId="6A9936EC">
                  <w:pPr>
                    <w:adjustRightInd w:val="0"/>
                    <w:jc w:val="center"/>
                    <w:rPr>
                      <w:bCs/>
                      <w:szCs w:val="21"/>
                    </w:rPr>
                  </w:pPr>
                </w:p>
              </w:tc>
              <w:tc>
                <w:tcPr>
                  <w:tcW w:w="897" w:type="pct"/>
                  <w:vMerge w:val="continue"/>
                  <w:vAlign w:val="center"/>
                </w:tcPr>
                <w:p w14:paraId="12DCFEB6">
                  <w:pPr>
                    <w:adjustRightInd w:val="0"/>
                    <w:jc w:val="center"/>
                    <w:rPr>
                      <w:bCs/>
                      <w:szCs w:val="21"/>
                    </w:rPr>
                  </w:pPr>
                </w:p>
              </w:tc>
              <w:tc>
                <w:tcPr>
                  <w:tcW w:w="712" w:type="pct"/>
                  <w:vAlign w:val="center"/>
                </w:tcPr>
                <w:p w14:paraId="43245313">
                  <w:pPr>
                    <w:adjustRightInd w:val="0"/>
                    <w:jc w:val="center"/>
                    <w:rPr>
                      <w:bCs/>
                      <w:szCs w:val="21"/>
                    </w:rPr>
                  </w:pPr>
                  <w:r>
                    <w:rPr>
                      <w:bCs/>
                      <w:szCs w:val="21"/>
                    </w:rPr>
                    <w:t>TP</w:t>
                  </w:r>
                </w:p>
              </w:tc>
              <w:tc>
                <w:tcPr>
                  <w:tcW w:w="463" w:type="pct"/>
                  <w:vAlign w:val="center"/>
                </w:tcPr>
                <w:p w14:paraId="6393DA44">
                  <w:pPr>
                    <w:adjustRightInd w:val="0"/>
                    <w:jc w:val="center"/>
                    <w:rPr>
                      <w:bCs/>
                      <w:szCs w:val="21"/>
                    </w:rPr>
                  </w:pPr>
                  <w:r>
                    <w:rPr>
                      <w:bCs/>
                      <w:szCs w:val="21"/>
                    </w:rPr>
                    <w:t>mg/L</w:t>
                  </w:r>
                </w:p>
              </w:tc>
              <w:tc>
                <w:tcPr>
                  <w:tcW w:w="623" w:type="pct"/>
                  <w:vAlign w:val="center"/>
                </w:tcPr>
                <w:p w14:paraId="3A293ECA">
                  <w:pPr>
                    <w:adjustRightInd w:val="0"/>
                    <w:snapToGrid w:val="0"/>
                    <w:jc w:val="center"/>
                    <w:rPr>
                      <w:bCs/>
                      <w:szCs w:val="21"/>
                    </w:rPr>
                  </w:pPr>
                  <w:r>
                    <w:rPr>
                      <w:rFonts w:hint="eastAsia"/>
                      <w:szCs w:val="21"/>
                    </w:rPr>
                    <w:t>8</w:t>
                  </w:r>
                </w:p>
              </w:tc>
            </w:tr>
            <w:tr w14:paraId="3FD21A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restart"/>
                  <w:vAlign w:val="center"/>
                </w:tcPr>
                <w:p w14:paraId="40DD1DBB">
                  <w:pPr>
                    <w:adjustRightInd w:val="0"/>
                    <w:jc w:val="center"/>
                    <w:rPr>
                      <w:bCs/>
                      <w:szCs w:val="21"/>
                    </w:rPr>
                  </w:pPr>
                  <w:r>
                    <w:rPr>
                      <w:bCs/>
                      <w:szCs w:val="21"/>
                    </w:rPr>
                    <w:t>污水处理厂排口</w:t>
                  </w:r>
                </w:p>
              </w:tc>
              <w:tc>
                <w:tcPr>
                  <w:tcW w:w="1696" w:type="pct"/>
                  <w:vMerge w:val="restart"/>
                  <w:vAlign w:val="center"/>
                </w:tcPr>
                <w:p w14:paraId="7DCA6865">
                  <w:pPr>
                    <w:adjustRightInd w:val="0"/>
                    <w:jc w:val="center"/>
                    <w:rPr>
                      <w:bCs/>
                      <w:szCs w:val="21"/>
                    </w:rPr>
                  </w:pPr>
                  <w:r>
                    <w:rPr>
                      <w:bCs/>
                      <w:szCs w:val="21"/>
                    </w:rPr>
                    <w:t>《城镇污水处理厂污染物排放标准》(GB18918-2002)</w:t>
                  </w:r>
                </w:p>
              </w:tc>
              <w:tc>
                <w:tcPr>
                  <w:tcW w:w="897" w:type="pct"/>
                  <w:vMerge w:val="restart"/>
                  <w:vAlign w:val="center"/>
                </w:tcPr>
                <w:p w14:paraId="5913E63F">
                  <w:pPr>
                    <w:adjustRightInd w:val="0"/>
                    <w:jc w:val="center"/>
                    <w:rPr>
                      <w:bCs/>
                      <w:szCs w:val="21"/>
                    </w:rPr>
                  </w:pPr>
                  <w:r>
                    <w:rPr>
                      <w:bCs/>
                      <w:szCs w:val="21"/>
                    </w:rPr>
                    <w:t>表1</w:t>
                  </w:r>
                </w:p>
                <w:p w14:paraId="6B74ECF4">
                  <w:pPr>
                    <w:adjustRightInd w:val="0"/>
                    <w:jc w:val="center"/>
                    <w:rPr>
                      <w:bCs/>
                      <w:szCs w:val="21"/>
                    </w:rPr>
                  </w:pPr>
                  <w:r>
                    <w:rPr>
                      <w:bCs/>
                      <w:szCs w:val="21"/>
                    </w:rPr>
                    <w:t>一级A标准</w:t>
                  </w:r>
                </w:p>
              </w:tc>
              <w:tc>
                <w:tcPr>
                  <w:tcW w:w="712" w:type="pct"/>
                  <w:vAlign w:val="center"/>
                </w:tcPr>
                <w:p w14:paraId="7FB34652">
                  <w:pPr>
                    <w:adjustRightInd w:val="0"/>
                    <w:jc w:val="center"/>
                    <w:rPr>
                      <w:bCs/>
                      <w:szCs w:val="21"/>
                    </w:rPr>
                  </w:pPr>
                  <w:r>
                    <w:rPr>
                      <w:bCs/>
                      <w:szCs w:val="21"/>
                    </w:rPr>
                    <w:t>pH</w:t>
                  </w:r>
                </w:p>
              </w:tc>
              <w:tc>
                <w:tcPr>
                  <w:tcW w:w="463" w:type="pct"/>
                  <w:vAlign w:val="center"/>
                </w:tcPr>
                <w:p w14:paraId="1B9DB765">
                  <w:pPr>
                    <w:adjustRightInd w:val="0"/>
                    <w:jc w:val="center"/>
                    <w:rPr>
                      <w:bCs/>
                      <w:szCs w:val="21"/>
                    </w:rPr>
                  </w:pPr>
                  <w:r>
                    <w:rPr>
                      <w:bCs/>
                      <w:szCs w:val="21"/>
                    </w:rPr>
                    <w:t>-</w:t>
                  </w:r>
                </w:p>
              </w:tc>
              <w:tc>
                <w:tcPr>
                  <w:tcW w:w="623" w:type="pct"/>
                  <w:vAlign w:val="center"/>
                </w:tcPr>
                <w:p w14:paraId="0C915E0F">
                  <w:pPr>
                    <w:adjustRightInd w:val="0"/>
                    <w:jc w:val="center"/>
                    <w:rPr>
                      <w:bCs/>
                      <w:szCs w:val="21"/>
                    </w:rPr>
                  </w:pPr>
                  <w:r>
                    <w:rPr>
                      <w:bCs/>
                      <w:szCs w:val="21"/>
                    </w:rPr>
                    <w:t>6-9</w:t>
                  </w:r>
                </w:p>
              </w:tc>
            </w:tr>
            <w:tr w14:paraId="3D4B5D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7A3E2BD4">
                  <w:pPr>
                    <w:adjustRightInd w:val="0"/>
                    <w:jc w:val="center"/>
                    <w:rPr>
                      <w:bCs/>
                      <w:szCs w:val="21"/>
                    </w:rPr>
                  </w:pPr>
                </w:p>
              </w:tc>
              <w:tc>
                <w:tcPr>
                  <w:tcW w:w="1696" w:type="pct"/>
                  <w:vMerge w:val="continue"/>
                  <w:vAlign w:val="center"/>
                </w:tcPr>
                <w:p w14:paraId="3E244C51">
                  <w:pPr>
                    <w:adjustRightInd w:val="0"/>
                    <w:jc w:val="center"/>
                    <w:rPr>
                      <w:bCs/>
                      <w:szCs w:val="21"/>
                    </w:rPr>
                  </w:pPr>
                </w:p>
              </w:tc>
              <w:tc>
                <w:tcPr>
                  <w:tcW w:w="897" w:type="pct"/>
                  <w:vMerge w:val="continue"/>
                  <w:vAlign w:val="center"/>
                </w:tcPr>
                <w:p w14:paraId="11909346">
                  <w:pPr>
                    <w:adjustRightInd w:val="0"/>
                    <w:jc w:val="center"/>
                    <w:rPr>
                      <w:bCs/>
                      <w:szCs w:val="21"/>
                    </w:rPr>
                  </w:pPr>
                </w:p>
              </w:tc>
              <w:tc>
                <w:tcPr>
                  <w:tcW w:w="712" w:type="pct"/>
                  <w:vAlign w:val="center"/>
                </w:tcPr>
                <w:p w14:paraId="726EA1B8">
                  <w:pPr>
                    <w:adjustRightInd w:val="0"/>
                    <w:jc w:val="center"/>
                    <w:rPr>
                      <w:bCs/>
                      <w:szCs w:val="21"/>
                    </w:rPr>
                  </w:pPr>
                  <w:r>
                    <w:rPr>
                      <w:bCs/>
                      <w:szCs w:val="21"/>
                    </w:rPr>
                    <w:t>SS</w:t>
                  </w:r>
                </w:p>
              </w:tc>
              <w:tc>
                <w:tcPr>
                  <w:tcW w:w="463" w:type="pct"/>
                  <w:vAlign w:val="center"/>
                </w:tcPr>
                <w:p w14:paraId="193F0004">
                  <w:pPr>
                    <w:adjustRightInd w:val="0"/>
                    <w:jc w:val="center"/>
                    <w:rPr>
                      <w:bCs/>
                      <w:szCs w:val="21"/>
                    </w:rPr>
                  </w:pPr>
                  <w:r>
                    <w:rPr>
                      <w:bCs/>
                      <w:szCs w:val="21"/>
                    </w:rPr>
                    <w:t>mg/L</w:t>
                  </w:r>
                </w:p>
              </w:tc>
              <w:tc>
                <w:tcPr>
                  <w:tcW w:w="623" w:type="pct"/>
                  <w:vAlign w:val="center"/>
                </w:tcPr>
                <w:p w14:paraId="20F049C9">
                  <w:pPr>
                    <w:adjustRightInd w:val="0"/>
                    <w:jc w:val="center"/>
                    <w:rPr>
                      <w:bCs/>
                      <w:szCs w:val="21"/>
                    </w:rPr>
                  </w:pPr>
                  <w:r>
                    <w:rPr>
                      <w:bCs/>
                      <w:szCs w:val="21"/>
                    </w:rPr>
                    <w:t>10</w:t>
                  </w:r>
                </w:p>
              </w:tc>
            </w:tr>
            <w:tr w14:paraId="7B06BA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0F514A56">
                  <w:pPr>
                    <w:adjustRightInd w:val="0"/>
                    <w:jc w:val="center"/>
                    <w:rPr>
                      <w:bCs/>
                      <w:szCs w:val="21"/>
                    </w:rPr>
                  </w:pPr>
                </w:p>
              </w:tc>
              <w:tc>
                <w:tcPr>
                  <w:tcW w:w="1696" w:type="pct"/>
                  <w:vMerge w:val="restart"/>
                  <w:vAlign w:val="center"/>
                </w:tcPr>
                <w:p w14:paraId="3C9D83BC">
                  <w:pPr>
                    <w:adjustRightInd w:val="0"/>
                    <w:jc w:val="center"/>
                    <w:rPr>
                      <w:bCs/>
                      <w:szCs w:val="21"/>
                    </w:rPr>
                  </w:pPr>
                  <w:r>
                    <w:rPr>
                      <w:bCs/>
                      <w:szCs w:val="21"/>
                    </w:rPr>
                    <w:t>《太湖地区城镇污水处理厂及重点工业行业主要水污染物排放限值》(DB32/1072-2018)</w:t>
                  </w:r>
                </w:p>
              </w:tc>
              <w:tc>
                <w:tcPr>
                  <w:tcW w:w="897" w:type="pct"/>
                  <w:vMerge w:val="restart"/>
                  <w:vAlign w:val="center"/>
                </w:tcPr>
                <w:p w14:paraId="01D38982">
                  <w:pPr>
                    <w:adjustRightInd w:val="0"/>
                    <w:jc w:val="center"/>
                    <w:rPr>
                      <w:bCs/>
                      <w:szCs w:val="21"/>
                    </w:rPr>
                  </w:pPr>
                  <w:r>
                    <w:rPr>
                      <w:bCs/>
                      <w:szCs w:val="21"/>
                    </w:rPr>
                    <w:t>表2</w:t>
                  </w:r>
                </w:p>
              </w:tc>
              <w:tc>
                <w:tcPr>
                  <w:tcW w:w="712" w:type="pct"/>
                  <w:vAlign w:val="center"/>
                </w:tcPr>
                <w:p w14:paraId="2B4EFB46">
                  <w:pPr>
                    <w:adjustRightInd w:val="0"/>
                    <w:jc w:val="center"/>
                    <w:rPr>
                      <w:bCs/>
                      <w:szCs w:val="21"/>
                    </w:rPr>
                  </w:pPr>
                  <w:r>
                    <w:rPr>
                      <w:bCs/>
                      <w:szCs w:val="21"/>
                    </w:rPr>
                    <w:t>COD</w:t>
                  </w:r>
                </w:p>
              </w:tc>
              <w:tc>
                <w:tcPr>
                  <w:tcW w:w="463" w:type="pct"/>
                  <w:vAlign w:val="center"/>
                </w:tcPr>
                <w:p w14:paraId="100A6502">
                  <w:pPr>
                    <w:adjustRightInd w:val="0"/>
                    <w:jc w:val="center"/>
                    <w:rPr>
                      <w:bCs/>
                      <w:szCs w:val="21"/>
                    </w:rPr>
                  </w:pPr>
                  <w:r>
                    <w:rPr>
                      <w:bCs/>
                      <w:szCs w:val="21"/>
                    </w:rPr>
                    <w:t>mg/L</w:t>
                  </w:r>
                </w:p>
              </w:tc>
              <w:tc>
                <w:tcPr>
                  <w:tcW w:w="623" w:type="pct"/>
                  <w:vAlign w:val="center"/>
                </w:tcPr>
                <w:p w14:paraId="79D1A729">
                  <w:pPr>
                    <w:adjustRightInd w:val="0"/>
                    <w:jc w:val="center"/>
                    <w:rPr>
                      <w:bCs/>
                      <w:szCs w:val="21"/>
                    </w:rPr>
                  </w:pPr>
                  <w:r>
                    <w:rPr>
                      <w:bCs/>
                      <w:szCs w:val="21"/>
                    </w:rPr>
                    <w:t>50</w:t>
                  </w:r>
                </w:p>
              </w:tc>
            </w:tr>
            <w:tr w14:paraId="674910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4C3CA55A">
                  <w:pPr>
                    <w:adjustRightInd w:val="0"/>
                    <w:jc w:val="center"/>
                    <w:rPr>
                      <w:bCs/>
                      <w:szCs w:val="21"/>
                    </w:rPr>
                  </w:pPr>
                </w:p>
              </w:tc>
              <w:tc>
                <w:tcPr>
                  <w:tcW w:w="1696" w:type="pct"/>
                  <w:vMerge w:val="continue"/>
                  <w:vAlign w:val="center"/>
                </w:tcPr>
                <w:p w14:paraId="4DA05685">
                  <w:pPr>
                    <w:adjustRightInd w:val="0"/>
                    <w:jc w:val="center"/>
                    <w:rPr>
                      <w:bCs/>
                      <w:szCs w:val="21"/>
                    </w:rPr>
                  </w:pPr>
                </w:p>
              </w:tc>
              <w:tc>
                <w:tcPr>
                  <w:tcW w:w="897" w:type="pct"/>
                  <w:vMerge w:val="continue"/>
                  <w:vAlign w:val="center"/>
                </w:tcPr>
                <w:p w14:paraId="1B240A94">
                  <w:pPr>
                    <w:adjustRightInd w:val="0"/>
                    <w:jc w:val="center"/>
                    <w:rPr>
                      <w:bCs/>
                      <w:szCs w:val="21"/>
                    </w:rPr>
                  </w:pPr>
                </w:p>
              </w:tc>
              <w:tc>
                <w:tcPr>
                  <w:tcW w:w="712" w:type="pct"/>
                  <w:vAlign w:val="center"/>
                </w:tcPr>
                <w:p w14:paraId="50B69692">
                  <w:pPr>
                    <w:adjustRightInd w:val="0"/>
                    <w:jc w:val="center"/>
                    <w:rPr>
                      <w:bCs/>
                      <w:szCs w:val="21"/>
                    </w:rPr>
                  </w:pPr>
                  <w:r>
                    <w:rPr>
                      <w:bCs/>
                      <w:szCs w:val="21"/>
                    </w:rPr>
                    <w:t>NH</w:t>
                  </w:r>
                  <w:r>
                    <w:rPr>
                      <w:bCs/>
                      <w:szCs w:val="21"/>
                      <w:vertAlign w:val="subscript"/>
                    </w:rPr>
                    <w:t>3</w:t>
                  </w:r>
                  <w:r>
                    <w:rPr>
                      <w:bCs/>
                      <w:szCs w:val="21"/>
                    </w:rPr>
                    <w:t>-N</w:t>
                  </w:r>
                </w:p>
              </w:tc>
              <w:tc>
                <w:tcPr>
                  <w:tcW w:w="463" w:type="pct"/>
                  <w:vAlign w:val="center"/>
                </w:tcPr>
                <w:p w14:paraId="07BB51D5">
                  <w:pPr>
                    <w:adjustRightInd w:val="0"/>
                    <w:jc w:val="center"/>
                    <w:rPr>
                      <w:bCs/>
                      <w:szCs w:val="21"/>
                    </w:rPr>
                  </w:pPr>
                  <w:r>
                    <w:rPr>
                      <w:bCs/>
                      <w:szCs w:val="21"/>
                    </w:rPr>
                    <w:t>mg/L</w:t>
                  </w:r>
                </w:p>
              </w:tc>
              <w:tc>
                <w:tcPr>
                  <w:tcW w:w="623" w:type="pct"/>
                  <w:vAlign w:val="center"/>
                </w:tcPr>
                <w:p w14:paraId="383F1658">
                  <w:pPr>
                    <w:adjustRightInd w:val="0"/>
                    <w:jc w:val="center"/>
                    <w:rPr>
                      <w:bCs/>
                      <w:szCs w:val="21"/>
                    </w:rPr>
                  </w:pPr>
                  <w:r>
                    <w:rPr>
                      <w:bCs/>
                      <w:szCs w:val="21"/>
                    </w:rPr>
                    <w:t>4（6）</w:t>
                  </w:r>
                </w:p>
              </w:tc>
            </w:tr>
            <w:tr w14:paraId="533260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78FC7383">
                  <w:pPr>
                    <w:adjustRightInd w:val="0"/>
                    <w:jc w:val="center"/>
                    <w:rPr>
                      <w:bCs/>
                      <w:szCs w:val="21"/>
                    </w:rPr>
                  </w:pPr>
                </w:p>
              </w:tc>
              <w:tc>
                <w:tcPr>
                  <w:tcW w:w="1696" w:type="pct"/>
                  <w:vMerge w:val="continue"/>
                  <w:vAlign w:val="center"/>
                </w:tcPr>
                <w:p w14:paraId="07E86B45">
                  <w:pPr>
                    <w:adjustRightInd w:val="0"/>
                    <w:jc w:val="center"/>
                    <w:rPr>
                      <w:bCs/>
                      <w:szCs w:val="21"/>
                    </w:rPr>
                  </w:pPr>
                </w:p>
              </w:tc>
              <w:tc>
                <w:tcPr>
                  <w:tcW w:w="897" w:type="pct"/>
                  <w:vMerge w:val="continue"/>
                  <w:vAlign w:val="center"/>
                </w:tcPr>
                <w:p w14:paraId="7A67E126">
                  <w:pPr>
                    <w:adjustRightInd w:val="0"/>
                    <w:jc w:val="center"/>
                    <w:rPr>
                      <w:bCs/>
                      <w:szCs w:val="21"/>
                    </w:rPr>
                  </w:pPr>
                </w:p>
              </w:tc>
              <w:tc>
                <w:tcPr>
                  <w:tcW w:w="712" w:type="pct"/>
                  <w:vAlign w:val="center"/>
                </w:tcPr>
                <w:p w14:paraId="7E3559A6">
                  <w:pPr>
                    <w:adjustRightInd w:val="0"/>
                    <w:jc w:val="center"/>
                    <w:rPr>
                      <w:bCs/>
                      <w:szCs w:val="21"/>
                    </w:rPr>
                  </w:pPr>
                  <w:r>
                    <w:rPr>
                      <w:bCs/>
                      <w:szCs w:val="21"/>
                    </w:rPr>
                    <w:t>TP</w:t>
                  </w:r>
                </w:p>
              </w:tc>
              <w:tc>
                <w:tcPr>
                  <w:tcW w:w="463" w:type="pct"/>
                  <w:vAlign w:val="center"/>
                </w:tcPr>
                <w:p w14:paraId="5FBD3668">
                  <w:pPr>
                    <w:adjustRightInd w:val="0"/>
                    <w:jc w:val="center"/>
                    <w:rPr>
                      <w:bCs/>
                      <w:szCs w:val="21"/>
                    </w:rPr>
                  </w:pPr>
                  <w:r>
                    <w:rPr>
                      <w:bCs/>
                      <w:szCs w:val="21"/>
                    </w:rPr>
                    <w:t>mg/L</w:t>
                  </w:r>
                </w:p>
              </w:tc>
              <w:tc>
                <w:tcPr>
                  <w:tcW w:w="623" w:type="pct"/>
                  <w:vAlign w:val="center"/>
                </w:tcPr>
                <w:p w14:paraId="78DD0C6B">
                  <w:pPr>
                    <w:adjustRightInd w:val="0"/>
                    <w:jc w:val="center"/>
                    <w:rPr>
                      <w:bCs/>
                      <w:szCs w:val="21"/>
                    </w:rPr>
                  </w:pPr>
                  <w:r>
                    <w:rPr>
                      <w:bCs/>
                      <w:szCs w:val="21"/>
                    </w:rPr>
                    <w:t>0.5</w:t>
                  </w:r>
                </w:p>
              </w:tc>
            </w:tr>
            <w:tr w14:paraId="6230A0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4EAD039D">
                  <w:pPr>
                    <w:adjustRightInd w:val="0"/>
                    <w:jc w:val="center"/>
                    <w:rPr>
                      <w:bCs/>
                      <w:szCs w:val="21"/>
                    </w:rPr>
                  </w:pPr>
                </w:p>
              </w:tc>
              <w:tc>
                <w:tcPr>
                  <w:tcW w:w="1696" w:type="pct"/>
                  <w:vMerge w:val="continue"/>
                  <w:vAlign w:val="center"/>
                </w:tcPr>
                <w:p w14:paraId="5E707433">
                  <w:pPr>
                    <w:adjustRightInd w:val="0"/>
                    <w:jc w:val="center"/>
                    <w:rPr>
                      <w:bCs/>
                      <w:szCs w:val="21"/>
                    </w:rPr>
                  </w:pPr>
                </w:p>
              </w:tc>
              <w:tc>
                <w:tcPr>
                  <w:tcW w:w="897" w:type="pct"/>
                  <w:vMerge w:val="continue"/>
                  <w:vAlign w:val="center"/>
                </w:tcPr>
                <w:p w14:paraId="1B26C463">
                  <w:pPr>
                    <w:adjustRightInd w:val="0"/>
                    <w:jc w:val="center"/>
                    <w:rPr>
                      <w:bCs/>
                      <w:szCs w:val="21"/>
                    </w:rPr>
                  </w:pPr>
                </w:p>
              </w:tc>
              <w:tc>
                <w:tcPr>
                  <w:tcW w:w="712" w:type="pct"/>
                  <w:vAlign w:val="center"/>
                </w:tcPr>
                <w:p w14:paraId="3948C71B">
                  <w:pPr>
                    <w:adjustRightInd w:val="0"/>
                    <w:jc w:val="center"/>
                    <w:rPr>
                      <w:bCs/>
                      <w:szCs w:val="21"/>
                    </w:rPr>
                  </w:pPr>
                  <w:r>
                    <w:rPr>
                      <w:bCs/>
                      <w:szCs w:val="21"/>
                    </w:rPr>
                    <w:t>TN</w:t>
                  </w:r>
                </w:p>
              </w:tc>
              <w:tc>
                <w:tcPr>
                  <w:tcW w:w="463" w:type="pct"/>
                  <w:vAlign w:val="center"/>
                </w:tcPr>
                <w:p w14:paraId="380B390A">
                  <w:pPr>
                    <w:adjustRightInd w:val="0"/>
                    <w:jc w:val="center"/>
                    <w:rPr>
                      <w:bCs/>
                      <w:szCs w:val="21"/>
                    </w:rPr>
                  </w:pPr>
                  <w:r>
                    <w:rPr>
                      <w:bCs/>
                      <w:szCs w:val="21"/>
                    </w:rPr>
                    <w:t>mg/L</w:t>
                  </w:r>
                </w:p>
              </w:tc>
              <w:tc>
                <w:tcPr>
                  <w:tcW w:w="623" w:type="pct"/>
                  <w:vAlign w:val="center"/>
                </w:tcPr>
                <w:p w14:paraId="2198137F">
                  <w:pPr>
                    <w:adjustRightInd w:val="0"/>
                    <w:jc w:val="center"/>
                    <w:rPr>
                      <w:bCs/>
                      <w:szCs w:val="21"/>
                    </w:rPr>
                  </w:pPr>
                  <w:r>
                    <w:rPr>
                      <w:bCs/>
                      <w:szCs w:val="21"/>
                    </w:rPr>
                    <w:t>12（15）</w:t>
                  </w:r>
                </w:p>
              </w:tc>
            </w:tr>
            <w:tr w14:paraId="73D504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7E9BF58C">
                  <w:pPr>
                    <w:adjustRightInd w:val="0"/>
                    <w:jc w:val="center"/>
                    <w:rPr>
                      <w:bCs/>
                      <w:szCs w:val="21"/>
                    </w:rPr>
                  </w:pPr>
                </w:p>
              </w:tc>
              <w:tc>
                <w:tcPr>
                  <w:tcW w:w="1696" w:type="pct"/>
                  <w:vMerge w:val="restart"/>
                  <w:vAlign w:val="center"/>
                </w:tcPr>
                <w:p w14:paraId="4028098D">
                  <w:pPr>
                    <w:adjustRightInd w:val="0"/>
                    <w:jc w:val="center"/>
                    <w:rPr>
                      <w:bCs/>
                      <w:szCs w:val="21"/>
                    </w:rPr>
                  </w:pPr>
                  <w:r>
                    <w:rPr>
                      <w:rFonts w:hint="eastAsia"/>
                      <w:bCs/>
                      <w:szCs w:val="21"/>
                    </w:rPr>
                    <w:t>《城镇污水处理厂污染物排放标准》（</w:t>
                  </w:r>
                  <w:r>
                    <w:rPr>
                      <w:bCs/>
                      <w:szCs w:val="21"/>
                    </w:rPr>
                    <w:t>DB32/4440-2022</w:t>
                  </w:r>
                  <w:r>
                    <w:rPr>
                      <w:rFonts w:hint="eastAsia"/>
                      <w:bCs/>
                      <w:szCs w:val="21"/>
                    </w:rPr>
                    <w:t>）</w:t>
                  </w:r>
                  <w:r>
                    <w:rPr>
                      <w:rFonts w:hint="eastAsia"/>
                      <w:bCs/>
                      <w:szCs w:val="21"/>
                      <w:vertAlign w:val="superscript"/>
                    </w:rPr>
                    <w:t>②</w:t>
                  </w:r>
                </w:p>
              </w:tc>
              <w:tc>
                <w:tcPr>
                  <w:tcW w:w="897" w:type="pct"/>
                  <w:vMerge w:val="restart"/>
                  <w:vAlign w:val="center"/>
                </w:tcPr>
                <w:p w14:paraId="5B032C47">
                  <w:pPr>
                    <w:adjustRightInd w:val="0"/>
                    <w:jc w:val="center"/>
                    <w:rPr>
                      <w:bCs/>
                      <w:szCs w:val="21"/>
                    </w:rPr>
                  </w:pPr>
                  <w:r>
                    <w:rPr>
                      <w:rFonts w:hint="eastAsia"/>
                      <w:bCs/>
                      <w:szCs w:val="21"/>
                    </w:rPr>
                    <w:t>表</w:t>
                  </w:r>
                  <w:r>
                    <w:rPr>
                      <w:bCs/>
                      <w:szCs w:val="21"/>
                    </w:rPr>
                    <w:t>1</w:t>
                  </w:r>
                </w:p>
                <w:p w14:paraId="23C699A1">
                  <w:pPr>
                    <w:adjustRightInd w:val="0"/>
                    <w:jc w:val="center"/>
                    <w:rPr>
                      <w:bCs/>
                      <w:szCs w:val="21"/>
                    </w:rPr>
                  </w:pPr>
                  <w:r>
                    <w:rPr>
                      <w:rFonts w:hint="eastAsia"/>
                      <w:bCs/>
                      <w:szCs w:val="21"/>
                    </w:rPr>
                    <w:t>B级标准</w:t>
                  </w:r>
                </w:p>
              </w:tc>
              <w:tc>
                <w:tcPr>
                  <w:tcW w:w="712" w:type="pct"/>
                  <w:vAlign w:val="center"/>
                </w:tcPr>
                <w:p w14:paraId="1500764E">
                  <w:pPr>
                    <w:adjustRightInd w:val="0"/>
                    <w:jc w:val="center"/>
                    <w:rPr>
                      <w:bCs/>
                      <w:szCs w:val="21"/>
                    </w:rPr>
                  </w:pPr>
                  <w:r>
                    <w:rPr>
                      <w:bCs/>
                      <w:szCs w:val="21"/>
                    </w:rPr>
                    <w:t>pH</w:t>
                  </w:r>
                </w:p>
              </w:tc>
              <w:tc>
                <w:tcPr>
                  <w:tcW w:w="463" w:type="pct"/>
                  <w:vAlign w:val="center"/>
                </w:tcPr>
                <w:p w14:paraId="4DC74662">
                  <w:pPr>
                    <w:adjustRightInd w:val="0"/>
                    <w:jc w:val="center"/>
                    <w:rPr>
                      <w:bCs/>
                      <w:szCs w:val="21"/>
                    </w:rPr>
                  </w:pPr>
                  <w:r>
                    <w:rPr>
                      <w:bCs/>
                      <w:szCs w:val="21"/>
                    </w:rPr>
                    <w:t>-</w:t>
                  </w:r>
                </w:p>
              </w:tc>
              <w:tc>
                <w:tcPr>
                  <w:tcW w:w="623" w:type="pct"/>
                  <w:vAlign w:val="center"/>
                </w:tcPr>
                <w:p w14:paraId="70E3F258">
                  <w:pPr>
                    <w:adjustRightInd w:val="0"/>
                    <w:jc w:val="center"/>
                    <w:rPr>
                      <w:bCs/>
                      <w:szCs w:val="21"/>
                    </w:rPr>
                  </w:pPr>
                  <w:r>
                    <w:rPr>
                      <w:bCs/>
                      <w:szCs w:val="21"/>
                    </w:rPr>
                    <w:t>6-9</w:t>
                  </w:r>
                </w:p>
              </w:tc>
            </w:tr>
            <w:tr w14:paraId="7FCD6F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4E1B212E">
                  <w:pPr>
                    <w:adjustRightInd w:val="0"/>
                    <w:jc w:val="center"/>
                    <w:rPr>
                      <w:bCs/>
                      <w:szCs w:val="21"/>
                    </w:rPr>
                  </w:pPr>
                </w:p>
              </w:tc>
              <w:tc>
                <w:tcPr>
                  <w:tcW w:w="1696" w:type="pct"/>
                  <w:vMerge w:val="continue"/>
                  <w:vAlign w:val="center"/>
                </w:tcPr>
                <w:p w14:paraId="01D4CAD7">
                  <w:pPr>
                    <w:adjustRightInd w:val="0"/>
                    <w:jc w:val="center"/>
                    <w:rPr>
                      <w:bCs/>
                      <w:szCs w:val="21"/>
                    </w:rPr>
                  </w:pPr>
                </w:p>
              </w:tc>
              <w:tc>
                <w:tcPr>
                  <w:tcW w:w="897" w:type="pct"/>
                  <w:vMerge w:val="continue"/>
                  <w:vAlign w:val="center"/>
                </w:tcPr>
                <w:p w14:paraId="5B764783">
                  <w:pPr>
                    <w:adjustRightInd w:val="0"/>
                    <w:jc w:val="center"/>
                    <w:rPr>
                      <w:bCs/>
                      <w:szCs w:val="21"/>
                    </w:rPr>
                  </w:pPr>
                </w:p>
              </w:tc>
              <w:tc>
                <w:tcPr>
                  <w:tcW w:w="712" w:type="pct"/>
                  <w:vAlign w:val="center"/>
                </w:tcPr>
                <w:p w14:paraId="63A24947">
                  <w:pPr>
                    <w:adjustRightInd w:val="0"/>
                    <w:jc w:val="center"/>
                    <w:rPr>
                      <w:bCs/>
                      <w:szCs w:val="21"/>
                    </w:rPr>
                  </w:pPr>
                  <w:r>
                    <w:rPr>
                      <w:bCs/>
                      <w:szCs w:val="21"/>
                    </w:rPr>
                    <w:t>COD</w:t>
                  </w:r>
                </w:p>
              </w:tc>
              <w:tc>
                <w:tcPr>
                  <w:tcW w:w="463" w:type="pct"/>
                  <w:vAlign w:val="center"/>
                </w:tcPr>
                <w:p w14:paraId="63E20DB8">
                  <w:pPr>
                    <w:adjustRightInd w:val="0"/>
                    <w:jc w:val="center"/>
                    <w:rPr>
                      <w:bCs/>
                      <w:szCs w:val="21"/>
                    </w:rPr>
                  </w:pPr>
                  <w:r>
                    <w:rPr>
                      <w:bCs/>
                      <w:szCs w:val="21"/>
                    </w:rPr>
                    <w:t>mg/L</w:t>
                  </w:r>
                </w:p>
              </w:tc>
              <w:tc>
                <w:tcPr>
                  <w:tcW w:w="623" w:type="pct"/>
                  <w:vAlign w:val="center"/>
                </w:tcPr>
                <w:p w14:paraId="72353F61">
                  <w:pPr>
                    <w:adjustRightInd w:val="0"/>
                    <w:jc w:val="center"/>
                    <w:rPr>
                      <w:bCs/>
                      <w:szCs w:val="21"/>
                    </w:rPr>
                  </w:pPr>
                  <w:r>
                    <w:rPr>
                      <w:rFonts w:hint="eastAsia"/>
                      <w:bCs/>
                      <w:szCs w:val="21"/>
                    </w:rPr>
                    <w:t>4</w:t>
                  </w:r>
                  <w:r>
                    <w:rPr>
                      <w:bCs/>
                      <w:szCs w:val="21"/>
                    </w:rPr>
                    <w:t>0</w:t>
                  </w:r>
                </w:p>
              </w:tc>
            </w:tr>
            <w:tr w14:paraId="4C0D07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074A36DA">
                  <w:pPr>
                    <w:adjustRightInd w:val="0"/>
                    <w:jc w:val="center"/>
                    <w:rPr>
                      <w:bCs/>
                      <w:szCs w:val="21"/>
                    </w:rPr>
                  </w:pPr>
                </w:p>
              </w:tc>
              <w:tc>
                <w:tcPr>
                  <w:tcW w:w="1696" w:type="pct"/>
                  <w:vMerge w:val="continue"/>
                  <w:vAlign w:val="center"/>
                </w:tcPr>
                <w:p w14:paraId="45270583">
                  <w:pPr>
                    <w:adjustRightInd w:val="0"/>
                    <w:jc w:val="center"/>
                    <w:rPr>
                      <w:bCs/>
                      <w:szCs w:val="21"/>
                    </w:rPr>
                  </w:pPr>
                </w:p>
              </w:tc>
              <w:tc>
                <w:tcPr>
                  <w:tcW w:w="897" w:type="pct"/>
                  <w:vMerge w:val="continue"/>
                  <w:vAlign w:val="center"/>
                </w:tcPr>
                <w:p w14:paraId="050B54E6">
                  <w:pPr>
                    <w:adjustRightInd w:val="0"/>
                    <w:jc w:val="center"/>
                    <w:rPr>
                      <w:bCs/>
                      <w:szCs w:val="21"/>
                    </w:rPr>
                  </w:pPr>
                </w:p>
              </w:tc>
              <w:tc>
                <w:tcPr>
                  <w:tcW w:w="712" w:type="pct"/>
                  <w:vAlign w:val="center"/>
                </w:tcPr>
                <w:p w14:paraId="1EC4BB05">
                  <w:pPr>
                    <w:adjustRightInd w:val="0"/>
                    <w:jc w:val="center"/>
                    <w:rPr>
                      <w:bCs/>
                      <w:szCs w:val="21"/>
                    </w:rPr>
                  </w:pPr>
                  <w:r>
                    <w:rPr>
                      <w:bCs/>
                      <w:szCs w:val="21"/>
                    </w:rPr>
                    <w:t>SS</w:t>
                  </w:r>
                </w:p>
              </w:tc>
              <w:tc>
                <w:tcPr>
                  <w:tcW w:w="463" w:type="pct"/>
                  <w:vAlign w:val="center"/>
                </w:tcPr>
                <w:p w14:paraId="7C4782E2">
                  <w:pPr>
                    <w:adjustRightInd w:val="0"/>
                    <w:jc w:val="center"/>
                    <w:rPr>
                      <w:bCs/>
                      <w:szCs w:val="21"/>
                    </w:rPr>
                  </w:pPr>
                  <w:r>
                    <w:rPr>
                      <w:bCs/>
                      <w:szCs w:val="21"/>
                    </w:rPr>
                    <w:t>mg/L</w:t>
                  </w:r>
                </w:p>
              </w:tc>
              <w:tc>
                <w:tcPr>
                  <w:tcW w:w="623" w:type="pct"/>
                  <w:vAlign w:val="center"/>
                </w:tcPr>
                <w:p w14:paraId="5E7510A9">
                  <w:pPr>
                    <w:adjustRightInd w:val="0"/>
                    <w:jc w:val="center"/>
                    <w:rPr>
                      <w:bCs/>
                      <w:szCs w:val="21"/>
                    </w:rPr>
                  </w:pPr>
                  <w:r>
                    <w:rPr>
                      <w:bCs/>
                      <w:szCs w:val="21"/>
                    </w:rPr>
                    <w:t>10</w:t>
                  </w:r>
                </w:p>
              </w:tc>
            </w:tr>
            <w:tr w14:paraId="23F39B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2ADCE724">
                  <w:pPr>
                    <w:adjustRightInd w:val="0"/>
                    <w:jc w:val="center"/>
                    <w:rPr>
                      <w:bCs/>
                      <w:szCs w:val="21"/>
                    </w:rPr>
                  </w:pPr>
                </w:p>
              </w:tc>
              <w:tc>
                <w:tcPr>
                  <w:tcW w:w="1696" w:type="pct"/>
                  <w:vMerge w:val="continue"/>
                  <w:vAlign w:val="center"/>
                </w:tcPr>
                <w:p w14:paraId="779C1A54">
                  <w:pPr>
                    <w:adjustRightInd w:val="0"/>
                    <w:jc w:val="center"/>
                    <w:rPr>
                      <w:bCs/>
                      <w:szCs w:val="21"/>
                    </w:rPr>
                  </w:pPr>
                </w:p>
              </w:tc>
              <w:tc>
                <w:tcPr>
                  <w:tcW w:w="897" w:type="pct"/>
                  <w:vMerge w:val="continue"/>
                  <w:vAlign w:val="center"/>
                </w:tcPr>
                <w:p w14:paraId="3AAB08F2">
                  <w:pPr>
                    <w:adjustRightInd w:val="0"/>
                    <w:jc w:val="center"/>
                    <w:rPr>
                      <w:bCs/>
                      <w:szCs w:val="21"/>
                    </w:rPr>
                  </w:pPr>
                </w:p>
              </w:tc>
              <w:tc>
                <w:tcPr>
                  <w:tcW w:w="712" w:type="pct"/>
                  <w:vAlign w:val="center"/>
                </w:tcPr>
                <w:p w14:paraId="4E82EC47">
                  <w:pPr>
                    <w:adjustRightInd w:val="0"/>
                    <w:jc w:val="center"/>
                    <w:rPr>
                      <w:bCs/>
                      <w:szCs w:val="21"/>
                    </w:rPr>
                  </w:pPr>
                  <w:r>
                    <w:rPr>
                      <w:bCs/>
                      <w:szCs w:val="21"/>
                    </w:rPr>
                    <w:t>NH</w:t>
                  </w:r>
                  <w:r>
                    <w:rPr>
                      <w:bCs/>
                      <w:szCs w:val="21"/>
                      <w:vertAlign w:val="subscript"/>
                    </w:rPr>
                    <w:t>3</w:t>
                  </w:r>
                  <w:r>
                    <w:rPr>
                      <w:bCs/>
                      <w:szCs w:val="21"/>
                    </w:rPr>
                    <w:t>-N</w:t>
                  </w:r>
                </w:p>
              </w:tc>
              <w:tc>
                <w:tcPr>
                  <w:tcW w:w="463" w:type="pct"/>
                  <w:vAlign w:val="center"/>
                </w:tcPr>
                <w:p w14:paraId="0FAF3AC2">
                  <w:pPr>
                    <w:adjustRightInd w:val="0"/>
                    <w:jc w:val="center"/>
                    <w:rPr>
                      <w:bCs/>
                      <w:szCs w:val="21"/>
                    </w:rPr>
                  </w:pPr>
                  <w:r>
                    <w:rPr>
                      <w:bCs/>
                      <w:szCs w:val="21"/>
                    </w:rPr>
                    <w:t>mg/L</w:t>
                  </w:r>
                </w:p>
              </w:tc>
              <w:tc>
                <w:tcPr>
                  <w:tcW w:w="623" w:type="pct"/>
                  <w:vAlign w:val="center"/>
                </w:tcPr>
                <w:p w14:paraId="506DEB95">
                  <w:pPr>
                    <w:adjustRightInd w:val="0"/>
                    <w:jc w:val="center"/>
                    <w:rPr>
                      <w:bCs/>
                      <w:szCs w:val="21"/>
                    </w:rPr>
                  </w:pPr>
                  <w:r>
                    <w:rPr>
                      <w:rFonts w:hint="eastAsia"/>
                      <w:bCs/>
                      <w:szCs w:val="21"/>
                    </w:rPr>
                    <w:t>3</w:t>
                  </w:r>
                  <w:r>
                    <w:rPr>
                      <w:bCs/>
                      <w:szCs w:val="21"/>
                    </w:rPr>
                    <w:t>（</w:t>
                  </w:r>
                  <w:r>
                    <w:rPr>
                      <w:rFonts w:hint="eastAsia"/>
                      <w:bCs/>
                      <w:szCs w:val="21"/>
                    </w:rPr>
                    <w:t>5</w:t>
                  </w:r>
                  <w:r>
                    <w:rPr>
                      <w:bCs/>
                      <w:szCs w:val="21"/>
                    </w:rPr>
                    <w:t>）</w:t>
                  </w:r>
                </w:p>
              </w:tc>
            </w:tr>
            <w:tr w14:paraId="403CA3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539E9ECE">
                  <w:pPr>
                    <w:adjustRightInd w:val="0"/>
                    <w:jc w:val="center"/>
                    <w:rPr>
                      <w:bCs/>
                      <w:szCs w:val="21"/>
                    </w:rPr>
                  </w:pPr>
                </w:p>
              </w:tc>
              <w:tc>
                <w:tcPr>
                  <w:tcW w:w="1696" w:type="pct"/>
                  <w:vMerge w:val="continue"/>
                  <w:vAlign w:val="center"/>
                </w:tcPr>
                <w:p w14:paraId="073F287F">
                  <w:pPr>
                    <w:adjustRightInd w:val="0"/>
                    <w:jc w:val="center"/>
                    <w:rPr>
                      <w:bCs/>
                      <w:szCs w:val="21"/>
                    </w:rPr>
                  </w:pPr>
                </w:p>
              </w:tc>
              <w:tc>
                <w:tcPr>
                  <w:tcW w:w="897" w:type="pct"/>
                  <w:vMerge w:val="continue"/>
                  <w:vAlign w:val="center"/>
                </w:tcPr>
                <w:p w14:paraId="1D013395">
                  <w:pPr>
                    <w:adjustRightInd w:val="0"/>
                    <w:jc w:val="center"/>
                    <w:rPr>
                      <w:bCs/>
                      <w:szCs w:val="21"/>
                    </w:rPr>
                  </w:pPr>
                </w:p>
              </w:tc>
              <w:tc>
                <w:tcPr>
                  <w:tcW w:w="712" w:type="pct"/>
                  <w:vAlign w:val="center"/>
                </w:tcPr>
                <w:p w14:paraId="52248B62">
                  <w:pPr>
                    <w:adjustRightInd w:val="0"/>
                    <w:jc w:val="center"/>
                    <w:rPr>
                      <w:bCs/>
                      <w:szCs w:val="21"/>
                    </w:rPr>
                  </w:pPr>
                  <w:r>
                    <w:rPr>
                      <w:bCs/>
                      <w:szCs w:val="21"/>
                    </w:rPr>
                    <w:t>TP</w:t>
                  </w:r>
                </w:p>
              </w:tc>
              <w:tc>
                <w:tcPr>
                  <w:tcW w:w="463" w:type="pct"/>
                  <w:vAlign w:val="center"/>
                </w:tcPr>
                <w:p w14:paraId="5F04078A">
                  <w:pPr>
                    <w:adjustRightInd w:val="0"/>
                    <w:jc w:val="center"/>
                    <w:rPr>
                      <w:bCs/>
                      <w:szCs w:val="21"/>
                    </w:rPr>
                  </w:pPr>
                  <w:r>
                    <w:rPr>
                      <w:bCs/>
                      <w:szCs w:val="21"/>
                    </w:rPr>
                    <w:t>mg/L</w:t>
                  </w:r>
                </w:p>
              </w:tc>
              <w:tc>
                <w:tcPr>
                  <w:tcW w:w="623" w:type="pct"/>
                  <w:vAlign w:val="center"/>
                </w:tcPr>
                <w:p w14:paraId="38A22A46">
                  <w:pPr>
                    <w:adjustRightInd w:val="0"/>
                    <w:jc w:val="center"/>
                    <w:rPr>
                      <w:bCs/>
                      <w:szCs w:val="21"/>
                    </w:rPr>
                  </w:pPr>
                  <w:r>
                    <w:rPr>
                      <w:bCs/>
                      <w:szCs w:val="21"/>
                    </w:rPr>
                    <w:t>0.</w:t>
                  </w:r>
                  <w:r>
                    <w:rPr>
                      <w:rFonts w:hint="eastAsia"/>
                      <w:bCs/>
                      <w:szCs w:val="21"/>
                    </w:rPr>
                    <w:t>3</w:t>
                  </w:r>
                </w:p>
              </w:tc>
            </w:tr>
            <w:tr w14:paraId="2B07CD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pct"/>
                  <w:vMerge w:val="continue"/>
                  <w:vAlign w:val="center"/>
                </w:tcPr>
                <w:p w14:paraId="7168EB5F">
                  <w:pPr>
                    <w:adjustRightInd w:val="0"/>
                    <w:jc w:val="center"/>
                    <w:rPr>
                      <w:bCs/>
                      <w:szCs w:val="21"/>
                    </w:rPr>
                  </w:pPr>
                </w:p>
              </w:tc>
              <w:tc>
                <w:tcPr>
                  <w:tcW w:w="1696" w:type="pct"/>
                  <w:vMerge w:val="continue"/>
                  <w:vAlign w:val="center"/>
                </w:tcPr>
                <w:p w14:paraId="611A9186">
                  <w:pPr>
                    <w:adjustRightInd w:val="0"/>
                    <w:jc w:val="center"/>
                    <w:rPr>
                      <w:bCs/>
                      <w:szCs w:val="21"/>
                    </w:rPr>
                  </w:pPr>
                </w:p>
              </w:tc>
              <w:tc>
                <w:tcPr>
                  <w:tcW w:w="897" w:type="pct"/>
                  <w:vMerge w:val="continue"/>
                  <w:vAlign w:val="center"/>
                </w:tcPr>
                <w:p w14:paraId="534D9ED1">
                  <w:pPr>
                    <w:adjustRightInd w:val="0"/>
                    <w:jc w:val="center"/>
                    <w:rPr>
                      <w:bCs/>
                      <w:szCs w:val="21"/>
                    </w:rPr>
                  </w:pPr>
                </w:p>
              </w:tc>
              <w:tc>
                <w:tcPr>
                  <w:tcW w:w="712" w:type="pct"/>
                  <w:vAlign w:val="center"/>
                </w:tcPr>
                <w:p w14:paraId="63D2894C">
                  <w:pPr>
                    <w:adjustRightInd w:val="0"/>
                    <w:jc w:val="center"/>
                    <w:rPr>
                      <w:bCs/>
                      <w:szCs w:val="21"/>
                    </w:rPr>
                  </w:pPr>
                  <w:r>
                    <w:rPr>
                      <w:bCs/>
                      <w:szCs w:val="21"/>
                    </w:rPr>
                    <w:t>TN</w:t>
                  </w:r>
                </w:p>
              </w:tc>
              <w:tc>
                <w:tcPr>
                  <w:tcW w:w="463" w:type="pct"/>
                  <w:vAlign w:val="center"/>
                </w:tcPr>
                <w:p w14:paraId="1EEA0C7E">
                  <w:pPr>
                    <w:adjustRightInd w:val="0"/>
                    <w:jc w:val="center"/>
                    <w:rPr>
                      <w:bCs/>
                      <w:szCs w:val="21"/>
                    </w:rPr>
                  </w:pPr>
                  <w:r>
                    <w:rPr>
                      <w:bCs/>
                      <w:szCs w:val="21"/>
                    </w:rPr>
                    <w:t>mg/L</w:t>
                  </w:r>
                </w:p>
              </w:tc>
              <w:tc>
                <w:tcPr>
                  <w:tcW w:w="623" w:type="pct"/>
                  <w:vAlign w:val="center"/>
                </w:tcPr>
                <w:p w14:paraId="13EDF61F">
                  <w:pPr>
                    <w:adjustRightInd w:val="0"/>
                    <w:jc w:val="center"/>
                    <w:rPr>
                      <w:bCs/>
                      <w:szCs w:val="21"/>
                    </w:rPr>
                  </w:pPr>
                  <w:r>
                    <w:rPr>
                      <w:bCs/>
                      <w:szCs w:val="21"/>
                    </w:rPr>
                    <w:t>1</w:t>
                  </w:r>
                  <w:r>
                    <w:rPr>
                      <w:rFonts w:hint="eastAsia"/>
                      <w:bCs/>
                      <w:szCs w:val="21"/>
                    </w:rPr>
                    <w:t>0</w:t>
                  </w:r>
                  <w:r>
                    <w:rPr>
                      <w:bCs/>
                      <w:szCs w:val="21"/>
                    </w:rPr>
                    <w:t>（1</w:t>
                  </w:r>
                  <w:r>
                    <w:rPr>
                      <w:rFonts w:hint="eastAsia"/>
                      <w:bCs/>
                      <w:szCs w:val="21"/>
                    </w:rPr>
                    <w:t>2</w:t>
                  </w:r>
                  <w:r>
                    <w:rPr>
                      <w:bCs/>
                      <w:szCs w:val="21"/>
                    </w:rPr>
                    <w:t>）</w:t>
                  </w:r>
                </w:p>
              </w:tc>
            </w:tr>
          </w:tbl>
          <w:p w14:paraId="65641B04">
            <w:pPr>
              <w:ind w:firstLine="422" w:firstLineChars="200"/>
              <w:rPr>
                <w:szCs w:val="21"/>
              </w:rPr>
            </w:pPr>
            <w:r>
              <w:rPr>
                <w:b/>
                <w:bCs/>
                <w:szCs w:val="21"/>
              </w:rPr>
              <w:t>注：</w:t>
            </w:r>
            <w:r>
              <w:rPr>
                <w:rFonts w:hint="eastAsia"/>
                <w:szCs w:val="21"/>
              </w:rPr>
              <w:t>①</w:t>
            </w:r>
            <w:r>
              <w:rPr>
                <w:szCs w:val="21"/>
              </w:rPr>
              <w:t>*括号外数值为水温＞12℃时的控制指标，括号内数值为水温≤12℃时的控制指标</w:t>
            </w:r>
            <w:r>
              <w:rPr>
                <w:rFonts w:hint="eastAsia"/>
                <w:szCs w:val="21"/>
              </w:rPr>
              <w:t>；②</w:t>
            </w:r>
            <w:r>
              <w:t>**</w:t>
            </w:r>
            <w:r>
              <w:rPr>
                <w:rFonts w:hint="eastAsia"/>
                <w:szCs w:val="21"/>
              </w:rPr>
              <w:t>新标准（即《城镇污水处理厂污染物排放标准》（DB32/4440-2022）明确现有污水处理厂排放标准于2026年3月29日起执行，每年11月1日至次年3月31日执行括号内排放限值。</w:t>
            </w:r>
          </w:p>
          <w:p w14:paraId="4C6D4F08">
            <w:pPr>
              <w:spacing w:line="480" w:lineRule="exact"/>
              <w:ind w:firstLine="482" w:firstLineChars="200"/>
              <w:rPr>
                <w:bCs/>
                <w:color w:val="auto"/>
                <w:sz w:val="24"/>
              </w:rPr>
            </w:pPr>
            <w:r>
              <w:rPr>
                <w:b/>
                <w:color w:val="auto"/>
                <w:sz w:val="24"/>
              </w:rPr>
              <w:t>2、大气污染物排放标准</w:t>
            </w:r>
          </w:p>
          <w:p w14:paraId="0DDCEB11">
            <w:pPr>
              <w:spacing w:line="480" w:lineRule="exact"/>
              <w:ind w:firstLine="480" w:firstLineChars="200"/>
              <w:rPr>
                <w:rFonts w:hint="eastAsia" w:eastAsia="宋体"/>
                <w:color w:val="auto"/>
                <w:sz w:val="24"/>
                <w:lang w:val="en-US" w:eastAsia="zh-CN"/>
              </w:rPr>
            </w:pPr>
            <w:r>
              <w:rPr>
                <w:bCs/>
                <w:color w:val="auto"/>
                <w:sz w:val="24"/>
              </w:rPr>
              <w:t>本项目</w:t>
            </w:r>
            <w:r>
              <w:rPr>
                <w:rFonts w:hint="eastAsia"/>
                <w:bCs/>
                <w:color w:val="auto"/>
                <w:sz w:val="24"/>
              </w:rPr>
              <w:t>调胶、背胶及烘干过程中产生</w:t>
            </w:r>
            <w:r>
              <w:rPr>
                <w:rFonts w:hint="eastAsia"/>
                <w:bCs/>
                <w:color w:val="auto"/>
                <w:sz w:val="24"/>
                <w:highlight w:val="none"/>
              </w:rPr>
              <w:t>的</w:t>
            </w:r>
            <w:r>
              <w:rPr>
                <w:rFonts w:hint="eastAsia"/>
                <w:bCs/>
                <w:color w:val="auto"/>
                <w:sz w:val="24"/>
                <w:highlight w:val="none"/>
                <w:lang w:val="en-US" w:eastAsia="zh-CN"/>
              </w:rPr>
              <w:t>颗粒物、</w:t>
            </w:r>
            <w:r>
              <w:rPr>
                <w:rFonts w:hint="eastAsia"/>
                <w:bCs/>
                <w:color w:val="auto"/>
                <w:sz w:val="24"/>
                <w:highlight w:val="none"/>
                <w:lang w:eastAsia="zh-CN"/>
              </w:rPr>
              <w:t>挥发性有机物</w:t>
            </w:r>
            <w:r>
              <w:rPr>
                <w:rFonts w:hint="eastAsia"/>
                <w:bCs/>
                <w:color w:val="auto"/>
                <w:sz w:val="24"/>
                <w:highlight w:val="none"/>
              </w:rPr>
              <w:t>有组织执行《工业涂装工序大气污染物排放标准》（DB32/4439-2022）表1标准；</w:t>
            </w:r>
            <w:r>
              <w:rPr>
                <w:rFonts w:hint="eastAsia"/>
                <w:color w:val="auto"/>
                <w:sz w:val="24"/>
                <w:highlight w:val="none"/>
              </w:rPr>
              <w:t>天然气燃烧废气（颗粒物、SO</w:t>
            </w:r>
            <w:r>
              <w:rPr>
                <w:rFonts w:hint="eastAsia"/>
                <w:color w:val="auto"/>
                <w:sz w:val="24"/>
                <w:highlight w:val="none"/>
                <w:vertAlign w:val="subscript"/>
              </w:rPr>
              <w:t>2</w:t>
            </w:r>
            <w:r>
              <w:rPr>
                <w:rFonts w:hint="eastAsia"/>
                <w:color w:val="auto"/>
                <w:sz w:val="24"/>
                <w:highlight w:val="none"/>
              </w:rPr>
              <w:t>、NOx）执行《工业炉窑大气污染物排</w:t>
            </w:r>
            <w:r>
              <w:rPr>
                <w:rFonts w:hint="eastAsia"/>
                <w:color w:val="auto"/>
                <w:sz w:val="24"/>
              </w:rPr>
              <w:t>放标准》（DB32/3728-2020）中的表1标准限值</w:t>
            </w:r>
            <w:r>
              <w:rPr>
                <w:rFonts w:hint="eastAsia"/>
                <w:color w:val="auto"/>
                <w:sz w:val="24"/>
                <w:lang w:eastAsia="zh-CN"/>
              </w:rPr>
              <w:t>，</w:t>
            </w:r>
            <w:r>
              <w:rPr>
                <w:rFonts w:hint="eastAsia"/>
                <w:color w:val="auto"/>
                <w:sz w:val="24"/>
                <w:lang w:val="en-US" w:eastAsia="zh-CN"/>
              </w:rPr>
              <w:t>因本项目废气合并至一根排放筒排放，故其中颗粒物从严执行</w:t>
            </w:r>
            <w:r>
              <w:rPr>
                <w:rFonts w:hint="eastAsia"/>
                <w:bCs/>
                <w:color w:val="auto"/>
                <w:sz w:val="24"/>
                <w:highlight w:val="none"/>
              </w:rPr>
              <w:t>《工业涂装工序大气污染物排放标准》（DB32/4439-2022）表1标准</w:t>
            </w:r>
            <w:r>
              <w:rPr>
                <w:rFonts w:hint="eastAsia"/>
                <w:bCs/>
                <w:color w:val="auto"/>
                <w:sz w:val="24"/>
                <w:highlight w:val="none"/>
                <w:lang w:eastAsia="zh-CN"/>
              </w:rPr>
              <w:t>。</w:t>
            </w:r>
          </w:p>
          <w:p w14:paraId="187DB2EF">
            <w:pPr>
              <w:spacing w:line="480" w:lineRule="exact"/>
              <w:ind w:firstLine="480" w:firstLineChars="200"/>
              <w:rPr>
                <w:bCs/>
                <w:sz w:val="24"/>
              </w:rPr>
            </w:pPr>
            <w:r>
              <w:rPr>
                <w:rFonts w:hint="eastAsia"/>
                <w:bCs/>
                <w:color w:val="auto"/>
                <w:sz w:val="24"/>
                <w:highlight w:val="none"/>
                <w:lang w:val="en-US" w:eastAsia="zh-CN"/>
              </w:rPr>
              <w:t>颗粒物、</w:t>
            </w:r>
            <w:r>
              <w:rPr>
                <w:rFonts w:hint="eastAsia"/>
                <w:bCs/>
                <w:color w:val="auto"/>
                <w:sz w:val="24"/>
                <w:highlight w:val="none"/>
              </w:rPr>
              <w:t>非甲烷总烃</w:t>
            </w:r>
            <w:r>
              <w:rPr>
                <w:rFonts w:hint="eastAsia"/>
                <w:bCs/>
                <w:color w:val="auto"/>
                <w:sz w:val="24"/>
                <w:lang w:val="en-US" w:eastAsia="zh-CN"/>
              </w:rPr>
              <w:t>厂界</w:t>
            </w:r>
            <w:r>
              <w:rPr>
                <w:rFonts w:hint="eastAsia"/>
                <w:bCs/>
                <w:color w:val="auto"/>
                <w:sz w:val="24"/>
              </w:rPr>
              <w:t>无组织执行</w:t>
            </w:r>
            <w:r>
              <w:rPr>
                <w:rFonts w:hint="eastAsia" w:hAnsi="宋体"/>
                <w:color w:val="auto"/>
                <w:sz w:val="24"/>
              </w:rPr>
              <w:t>《大气污染物综合排放标准》（DB32/4041-20</w:t>
            </w:r>
            <w:r>
              <w:rPr>
                <w:rFonts w:hint="eastAsia" w:hAnsi="宋体"/>
                <w:sz w:val="24"/>
              </w:rPr>
              <w:t>21）中表2标准；</w:t>
            </w:r>
            <w:r>
              <w:rPr>
                <w:rFonts w:hint="default" w:ascii="Times New Roman" w:hAnsi="Times New Roman" w:cs="Times New Roman"/>
                <w:color w:val="auto"/>
                <w:sz w:val="24"/>
                <w:szCs w:val="24"/>
              </w:rPr>
              <w:t>厂界臭气执行《恶臭污染物排放标准》（GB14554-93）表</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恶臭污染物排放标准值</w:t>
            </w:r>
            <w:r>
              <w:rPr>
                <w:rFonts w:hint="eastAsia" w:ascii="Times New Roman" w:hAnsi="Times New Roman" w:cs="Times New Roman"/>
                <w:color w:val="auto"/>
                <w:sz w:val="24"/>
                <w:szCs w:val="24"/>
                <w:lang w:eastAsia="zh-CN"/>
              </w:rPr>
              <w:t>；</w:t>
            </w:r>
            <w:r>
              <w:rPr>
                <w:rFonts w:hint="eastAsia" w:hAnsi="宋体"/>
                <w:sz w:val="24"/>
              </w:rPr>
              <w:t>企业厂区内</w:t>
            </w:r>
            <w:r>
              <w:rPr>
                <w:rFonts w:hint="eastAsia"/>
                <w:bCs/>
                <w:color w:val="auto"/>
                <w:sz w:val="24"/>
                <w:highlight w:val="none"/>
              </w:rPr>
              <w:t>非甲烷总烃</w:t>
            </w:r>
            <w:r>
              <w:rPr>
                <w:rFonts w:hint="eastAsia" w:hAnsi="宋体"/>
                <w:sz w:val="24"/>
              </w:rPr>
              <w:t>无组织排放监控点浓度执行</w:t>
            </w:r>
            <w:r>
              <w:rPr>
                <w:rFonts w:hint="eastAsia"/>
                <w:bCs/>
                <w:color w:val="auto"/>
                <w:sz w:val="24"/>
              </w:rPr>
              <w:t>《工业涂装工序大气污染物排放标准》（DB32/4439-2022）表</w:t>
            </w:r>
            <w:r>
              <w:rPr>
                <w:rFonts w:hint="eastAsia"/>
                <w:bCs/>
                <w:sz w:val="24"/>
                <w:lang w:val="en-US" w:eastAsia="zh-CN"/>
              </w:rPr>
              <w:t>3</w:t>
            </w:r>
            <w:r>
              <w:rPr>
                <w:rFonts w:hint="eastAsia" w:hAnsi="宋体"/>
                <w:sz w:val="24"/>
              </w:rPr>
              <w:t>中相关标准。</w:t>
            </w:r>
          </w:p>
          <w:p w14:paraId="29464A2D">
            <w:pPr>
              <w:spacing w:line="480" w:lineRule="exact"/>
              <w:ind w:firstLine="480" w:firstLineChars="200"/>
              <w:rPr>
                <w:sz w:val="24"/>
                <w:lang w:bidi="ar"/>
              </w:rPr>
            </w:pPr>
            <w:r>
              <w:rPr>
                <w:sz w:val="24"/>
              </w:rPr>
              <w:t>具体见下表：</w:t>
            </w:r>
          </w:p>
          <w:p w14:paraId="0898618A">
            <w:pPr>
              <w:spacing w:line="480" w:lineRule="exact"/>
              <w:jc w:val="center"/>
              <w:rPr>
                <w:b/>
                <w:sz w:val="24"/>
              </w:rPr>
            </w:pPr>
            <w:r>
              <w:rPr>
                <w:b/>
                <w:sz w:val="24"/>
              </w:rPr>
              <w:t>表3-</w:t>
            </w:r>
            <w:r>
              <w:rPr>
                <w:rFonts w:hint="eastAsia"/>
                <w:b/>
                <w:sz w:val="24"/>
                <w:lang w:val="en-US" w:eastAsia="zh-CN"/>
              </w:rPr>
              <w:t>9</w:t>
            </w:r>
            <w:r>
              <w:rPr>
                <w:b/>
                <w:sz w:val="24"/>
              </w:rPr>
              <w:t xml:space="preserve">  大气污染物有组织排放标准</w:t>
            </w:r>
          </w:p>
          <w:tbl>
            <w:tblPr>
              <w:tblStyle w:val="27"/>
              <w:tblW w:w="49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3987"/>
              <w:gridCol w:w="1674"/>
              <w:gridCol w:w="1232"/>
            </w:tblGrid>
            <w:tr w14:paraId="73430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1116" w:type="pct"/>
                  <w:vMerge w:val="restart"/>
                  <w:vAlign w:val="center"/>
                </w:tcPr>
                <w:p w14:paraId="58E29FA8">
                  <w:pPr>
                    <w:jc w:val="center"/>
                    <w:rPr>
                      <w:b/>
                      <w:bCs/>
                      <w:szCs w:val="21"/>
                    </w:rPr>
                  </w:pPr>
                  <w:r>
                    <w:rPr>
                      <w:b/>
                      <w:bCs/>
                      <w:szCs w:val="21"/>
                    </w:rPr>
                    <w:t>污染物</w:t>
                  </w:r>
                </w:p>
              </w:tc>
              <w:tc>
                <w:tcPr>
                  <w:tcW w:w="2246" w:type="pct"/>
                  <w:vMerge w:val="restart"/>
                  <w:vAlign w:val="center"/>
                </w:tcPr>
                <w:p w14:paraId="0913D689">
                  <w:pPr>
                    <w:jc w:val="center"/>
                    <w:rPr>
                      <w:b/>
                      <w:bCs/>
                      <w:szCs w:val="21"/>
                    </w:rPr>
                  </w:pPr>
                  <w:r>
                    <w:rPr>
                      <w:b/>
                      <w:bCs/>
                      <w:szCs w:val="21"/>
                    </w:rPr>
                    <w:t>执行标准</w:t>
                  </w:r>
                </w:p>
              </w:tc>
              <w:tc>
                <w:tcPr>
                  <w:tcW w:w="943" w:type="pct"/>
                  <w:vMerge w:val="restart"/>
                  <w:vAlign w:val="center"/>
                </w:tcPr>
                <w:p w14:paraId="591A0BD4">
                  <w:pPr>
                    <w:jc w:val="center"/>
                    <w:rPr>
                      <w:b/>
                      <w:bCs/>
                      <w:szCs w:val="21"/>
                    </w:rPr>
                  </w:pPr>
                  <w:r>
                    <w:rPr>
                      <w:b/>
                      <w:bCs/>
                      <w:szCs w:val="21"/>
                    </w:rPr>
                    <w:t>最高允许排放浓度mg/m</w:t>
                  </w:r>
                  <w:r>
                    <w:rPr>
                      <w:b/>
                      <w:bCs/>
                      <w:szCs w:val="21"/>
                      <w:vertAlign w:val="superscript"/>
                    </w:rPr>
                    <w:t>3</w:t>
                  </w:r>
                </w:p>
              </w:tc>
              <w:tc>
                <w:tcPr>
                  <w:tcW w:w="694" w:type="pct"/>
                  <w:vMerge w:val="restart"/>
                  <w:tcMar>
                    <w:left w:w="0" w:type="dxa"/>
                    <w:right w:w="0" w:type="dxa"/>
                  </w:tcMar>
                  <w:vAlign w:val="center"/>
                </w:tcPr>
                <w:p w14:paraId="5744977C">
                  <w:pPr>
                    <w:jc w:val="center"/>
                    <w:rPr>
                      <w:b/>
                      <w:bCs/>
                      <w:szCs w:val="21"/>
                    </w:rPr>
                  </w:pPr>
                  <w:r>
                    <w:rPr>
                      <w:b/>
                      <w:bCs/>
                      <w:szCs w:val="21"/>
                    </w:rPr>
                    <w:t>最高允许排放速率</w:t>
                  </w:r>
                  <w:r>
                    <w:rPr>
                      <w:rFonts w:hint="eastAsia"/>
                      <w:b/>
                      <w:bCs/>
                      <w:szCs w:val="21"/>
                    </w:rPr>
                    <w:t>kg/h</w:t>
                  </w:r>
                </w:p>
              </w:tc>
            </w:tr>
            <w:tr w14:paraId="625AF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116" w:type="pct"/>
                  <w:vMerge w:val="continue"/>
                  <w:vAlign w:val="center"/>
                </w:tcPr>
                <w:p w14:paraId="6D01C7A4">
                  <w:pPr>
                    <w:jc w:val="center"/>
                    <w:rPr>
                      <w:b/>
                      <w:bCs/>
                      <w:szCs w:val="21"/>
                    </w:rPr>
                  </w:pPr>
                </w:p>
              </w:tc>
              <w:tc>
                <w:tcPr>
                  <w:tcW w:w="2246" w:type="pct"/>
                  <w:vMerge w:val="continue"/>
                  <w:vAlign w:val="center"/>
                </w:tcPr>
                <w:p w14:paraId="7854C933">
                  <w:pPr>
                    <w:jc w:val="center"/>
                    <w:rPr>
                      <w:b/>
                      <w:bCs/>
                      <w:szCs w:val="21"/>
                    </w:rPr>
                  </w:pPr>
                </w:p>
              </w:tc>
              <w:tc>
                <w:tcPr>
                  <w:tcW w:w="943" w:type="pct"/>
                  <w:vMerge w:val="continue"/>
                  <w:vAlign w:val="center"/>
                </w:tcPr>
                <w:p w14:paraId="67B795A6">
                  <w:pPr>
                    <w:jc w:val="center"/>
                    <w:rPr>
                      <w:b/>
                      <w:bCs/>
                      <w:szCs w:val="21"/>
                    </w:rPr>
                  </w:pPr>
                </w:p>
              </w:tc>
              <w:tc>
                <w:tcPr>
                  <w:tcW w:w="694" w:type="pct"/>
                  <w:vMerge w:val="continue"/>
                  <w:vAlign w:val="center"/>
                </w:tcPr>
                <w:p w14:paraId="08F4DF58">
                  <w:pPr>
                    <w:jc w:val="center"/>
                    <w:rPr>
                      <w:b/>
                      <w:bCs/>
                      <w:szCs w:val="21"/>
                    </w:rPr>
                  </w:pPr>
                </w:p>
              </w:tc>
            </w:tr>
            <w:tr w14:paraId="1948C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1116" w:type="pct"/>
                  <w:vAlign w:val="center"/>
                </w:tcPr>
                <w:p w14:paraId="56B63791">
                  <w:pPr>
                    <w:jc w:val="center"/>
                    <w:rPr>
                      <w:rFonts w:hint="eastAsia"/>
                      <w:szCs w:val="21"/>
                      <w:highlight w:val="none"/>
                    </w:rPr>
                  </w:pPr>
                  <w:r>
                    <w:rPr>
                      <w:rFonts w:hint="eastAsia"/>
                      <w:szCs w:val="21"/>
                      <w:highlight w:val="none"/>
                    </w:rPr>
                    <w:t>非甲烷总烃</w:t>
                  </w:r>
                </w:p>
              </w:tc>
              <w:tc>
                <w:tcPr>
                  <w:tcW w:w="2246" w:type="pct"/>
                  <w:vMerge w:val="restart"/>
                  <w:vAlign w:val="center"/>
                </w:tcPr>
                <w:p w14:paraId="277EA505">
                  <w:pPr>
                    <w:keepNext w:val="0"/>
                    <w:keepLines w:val="0"/>
                    <w:pageBreakBefore w:val="0"/>
                    <w:widowControl w:val="0"/>
                    <w:kinsoku/>
                    <w:wordWrap w:val="0"/>
                    <w:overflowPunct/>
                    <w:topLinePunct w:val="0"/>
                    <w:autoSpaceDE/>
                    <w:autoSpaceDN/>
                    <w:bidi w:val="0"/>
                    <w:adjustRightInd/>
                    <w:snapToGrid/>
                    <w:jc w:val="center"/>
                    <w:textAlignment w:val="auto"/>
                    <w:rPr>
                      <w:rFonts w:hint="eastAsia"/>
                      <w:szCs w:val="21"/>
                      <w:highlight w:val="none"/>
                    </w:rPr>
                  </w:pPr>
                  <w:r>
                    <w:rPr>
                      <w:rFonts w:hint="eastAsia"/>
                      <w:szCs w:val="21"/>
                      <w:highlight w:val="none"/>
                      <w:lang w:val="en-US" w:eastAsia="zh-CN"/>
                    </w:rPr>
                    <w:t>《工业涂装工序大气污染物排放标准》（</w:t>
                  </w:r>
                  <w:r>
                    <w:rPr>
                      <w:rFonts w:hint="default"/>
                      <w:szCs w:val="21"/>
                      <w:highlight w:val="none"/>
                      <w:lang w:val="en-US" w:eastAsia="zh-CN"/>
                    </w:rPr>
                    <w:t>DB32/4439-2022</w:t>
                  </w:r>
                  <w:r>
                    <w:rPr>
                      <w:rFonts w:hint="eastAsia"/>
                      <w:szCs w:val="21"/>
                      <w:highlight w:val="none"/>
                      <w:lang w:val="en-US" w:eastAsia="zh-CN"/>
                    </w:rPr>
                    <w:t>）表</w:t>
                  </w:r>
                  <w:r>
                    <w:rPr>
                      <w:rFonts w:hint="default"/>
                      <w:szCs w:val="21"/>
                      <w:highlight w:val="none"/>
                      <w:lang w:val="en-US" w:eastAsia="zh-CN"/>
                    </w:rPr>
                    <w:t>1</w:t>
                  </w:r>
                </w:p>
              </w:tc>
              <w:tc>
                <w:tcPr>
                  <w:tcW w:w="943" w:type="pct"/>
                  <w:vAlign w:val="center"/>
                </w:tcPr>
                <w:p w14:paraId="408D8782">
                  <w:pPr>
                    <w:spacing w:line="320" w:lineRule="exact"/>
                    <w:jc w:val="center"/>
                    <w:rPr>
                      <w:rFonts w:hint="default" w:eastAsia="宋体"/>
                      <w:szCs w:val="21"/>
                      <w:highlight w:val="none"/>
                      <w:lang w:val="en-US" w:eastAsia="zh-CN"/>
                    </w:rPr>
                  </w:pPr>
                  <w:r>
                    <w:rPr>
                      <w:rFonts w:hint="eastAsia"/>
                      <w:szCs w:val="21"/>
                      <w:highlight w:val="none"/>
                      <w:lang w:val="en-US" w:eastAsia="zh-CN"/>
                    </w:rPr>
                    <w:t>50</w:t>
                  </w:r>
                </w:p>
              </w:tc>
              <w:tc>
                <w:tcPr>
                  <w:tcW w:w="694" w:type="pct"/>
                  <w:vAlign w:val="center"/>
                </w:tcPr>
                <w:p w14:paraId="10946623">
                  <w:pPr>
                    <w:spacing w:line="320" w:lineRule="exact"/>
                    <w:jc w:val="center"/>
                    <w:rPr>
                      <w:szCs w:val="21"/>
                    </w:rPr>
                  </w:pPr>
                  <w:r>
                    <w:rPr>
                      <w:rFonts w:hint="eastAsia"/>
                      <w:szCs w:val="21"/>
                      <w:lang w:val="en-US" w:eastAsia="zh-CN"/>
                    </w:rPr>
                    <w:t>2</w:t>
                  </w:r>
                  <w:r>
                    <w:rPr>
                      <w:rFonts w:hint="eastAsia"/>
                      <w:szCs w:val="21"/>
                    </w:rPr>
                    <w:t>.0</w:t>
                  </w:r>
                </w:p>
              </w:tc>
            </w:tr>
            <w:tr w14:paraId="5238E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1116" w:type="pct"/>
                  <w:vAlign w:val="center"/>
                </w:tcPr>
                <w:p w14:paraId="23E17EEC">
                  <w:pPr>
                    <w:jc w:val="center"/>
                    <w:rPr>
                      <w:rFonts w:hint="default" w:eastAsia="宋体"/>
                      <w:szCs w:val="21"/>
                      <w:highlight w:val="none"/>
                      <w:lang w:val="en-US" w:eastAsia="zh-CN"/>
                    </w:rPr>
                  </w:pPr>
                  <w:r>
                    <w:rPr>
                      <w:rFonts w:hint="eastAsia"/>
                      <w:szCs w:val="21"/>
                      <w:highlight w:val="none"/>
                      <w:lang w:val="en-US" w:eastAsia="zh-CN"/>
                    </w:rPr>
                    <w:t>TVOC</w:t>
                  </w:r>
                </w:p>
              </w:tc>
              <w:tc>
                <w:tcPr>
                  <w:tcW w:w="2246" w:type="pct"/>
                  <w:vMerge w:val="continue"/>
                  <w:vAlign w:val="center"/>
                </w:tcPr>
                <w:p w14:paraId="1699510A">
                  <w:pPr>
                    <w:keepNext w:val="0"/>
                    <w:keepLines w:val="0"/>
                    <w:pageBreakBefore w:val="0"/>
                    <w:widowControl w:val="0"/>
                    <w:kinsoku/>
                    <w:wordWrap w:val="0"/>
                    <w:overflowPunct/>
                    <w:topLinePunct w:val="0"/>
                    <w:autoSpaceDE/>
                    <w:autoSpaceDN/>
                    <w:bidi w:val="0"/>
                    <w:adjustRightInd/>
                    <w:snapToGrid/>
                    <w:jc w:val="center"/>
                    <w:textAlignment w:val="auto"/>
                    <w:rPr>
                      <w:rFonts w:hint="eastAsia"/>
                      <w:szCs w:val="21"/>
                      <w:highlight w:val="none"/>
                      <w:lang w:val="en-US" w:eastAsia="zh-CN"/>
                    </w:rPr>
                  </w:pPr>
                </w:p>
              </w:tc>
              <w:tc>
                <w:tcPr>
                  <w:tcW w:w="943" w:type="pct"/>
                  <w:vAlign w:val="center"/>
                </w:tcPr>
                <w:p w14:paraId="32C2EF96">
                  <w:pPr>
                    <w:spacing w:line="320" w:lineRule="exact"/>
                    <w:jc w:val="center"/>
                    <w:rPr>
                      <w:rFonts w:hint="default"/>
                      <w:szCs w:val="21"/>
                      <w:highlight w:val="none"/>
                      <w:lang w:val="en-US" w:eastAsia="zh-CN"/>
                    </w:rPr>
                  </w:pPr>
                  <w:r>
                    <w:rPr>
                      <w:rFonts w:hint="eastAsia"/>
                      <w:szCs w:val="21"/>
                      <w:highlight w:val="none"/>
                      <w:lang w:val="en-US" w:eastAsia="zh-CN"/>
                    </w:rPr>
                    <w:t>80</w:t>
                  </w:r>
                </w:p>
              </w:tc>
              <w:tc>
                <w:tcPr>
                  <w:tcW w:w="694" w:type="pct"/>
                  <w:vAlign w:val="center"/>
                </w:tcPr>
                <w:p w14:paraId="2BBD36E2">
                  <w:pPr>
                    <w:spacing w:line="320" w:lineRule="exact"/>
                    <w:jc w:val="center"/>
                    <w:rPr>
                      <w:rFonts w:hint="default"/>
                      <w:szCs w:val="21"/>
                      <w:lang w:val="en-US" w:eastAsia="zh-CN"/>
                    </w:rPr>
                  </w:pPr>
                  <w:r>
                    <w:rPr>
                      <w:rFonts w:hint="eastAsia"/>
                      <w:szCs w:val="21"/>
                      <w:lang w:val="en-US" w:eastAsia="zh-CN"/>
                    </w:rPr>
                    <w:t>3.2</w:t>
                  </w:r>
                </w:p>
              </w:tc>
            </w:tr>
            <w:tr w14:paraId="19060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1116" w:type="pct"/>
                  <w:vAlign w:val="center"/>
                </w:tcPr>
                <w:p w14:paraId="17A1B878">
                  <w:pPr>
                    <w:spacing w:line="240" w:lineRule="exact"/>
                    <w:jc w:val="center"/>
                    <w:rPr>
                      <w:szCs w:val="21"/>
                      <w:highlight w:val="none"/>
                    </w:rPr>
                  </w:pPr>
                  <w:r>
                    <w:rPr>
                      <w:rFonts w:hint="eastAsia"/>
                      <w:szCs w:val="21"/>
                      <w:highlight w:val="none"/>
                    </w:rPr>
                    <w:t>颗粒物</w:t>
                  </w:r>
                </w:p>
              </w:tc>
              <w:tc>
                <w:tcPr>
                  <w:tcW w:w="2246" w:type="pct"/>
                  <w:vMerge w:val="continue"/>
                  <w:vAlign w:val="center"/>
                </w:tcPr>
                <w:p w14:paraId="322E8C2A">
                  <w:pPr>
                    <w:jc w:val="center"/>
                    <w:rPr>
                      <w:bCs/>
                      <w:szCs w:val="21"/>
                      <w:highlight w:val="none"/>
                    </w:rPr>
                  </w:pPr>
                </w:p>
              </w:tc>
              <w:tc>
                <w:tcPr>
                  <w:tcW w:w="943" w:type="pct"/>
                  <w:vAlign w:val="center"/>
                </w:tcPr>
                <w:p w14:paraId="3EC4066B">
                  <w:pPr>
                    <w:spacing w:line="320" w:lineRule="exact"/>
                    <w:jc w:val="center"/>
                    <w:rPr>
                      <w:rFonts w:hint="default" w:eastAsia="宋体"/>
                      <w:szCs w:val="21"/>
                      <w:highlight w:val="none"/>
                      <w:lang w:val="en-US" w:eastAsia="zh-CN"/>
                    </w:rPr>
                  </w:pPr>
                  <w:r>
                    <w:rPr>
                      <w:rFonts w:hint="eastAsia"/>
                      <w:szCs w:val="21"/>
                      <w:highlight w:val="none"/>
                      <w:lang w:val="en-US" w:eastAsia="zh-CN"/>
                    </w:rPr>
                    <w:t>10</w:t>
                  </w:r>
                </w:p>
              </w:tc>
              <w:tc>
                <w:tcPr>
                  <w:tcW w:w="694" w:type="pct"/>
                  <w:vAlign w:val="center"/>
                </w:tcPr>
                <w:p w14:paraId="01370493">
                  <w:pPr>
                    <w:spacing w:line="320" w:lineRule="exact"/>
                    <w:jc w:val="center"/>
                    <w:rPr>
                      <w:rFonts w:hint="default" w:eastAsia="宋体"/>
                      <w:szCs w:val="21"/>
                      <w:lang w:val="en-US" w:eastAsia="zh-CN"/>
                    </w:rPr>
                  </w:pPr>
                  <w:r>
                    <w:rPr>
                      <w:rFonts w:hint="eastAsia"/>
                      <w:szCs w:val="21"/>
                      <w:lang w:val="en-US" w:eastAsia="zh-CN"/>
                    </w:rPr>
                    <w:t>0.4</w:t>
                  </w:r>
                </w:p>
              </w:tc>
            </w:tr>
            <w:tr w14:paraId="3505E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1116" w:type="pct"/>
                  <w:shd w:val="clear" w:color="auto" w:fill="auto"/>
                  <w:vAlign w:val="center"/>
                </w:tcPr>
                <w:p w14:paraId="5D75B96F">
                  <w:pPr>
                    <w:adjustRightInd w:val="0"/>
                    <w:snapToGrid w:val="0"/>
                    <w:jc w:val="center"/>
                    <w:rPr>
                      <w:szCs w:val="21"/>
                    </w:rPr>
                  </w:pPr>
                  <w:r>
                    <w:rPr>
                      <w:szCs w:val="21"/>
                    </w:rPr>
                    <w:t>NOx</w:t>
                  </w:r>
                </w:p>
              </w:tc>
              <w:tc>
                <w:tcPr>
                  <w:tcW w:w="2246" w:type="pct"/>
                  <w:vMerge w:val="restart"/>
                  <w:vAlign w:val="center"/>
                </w:tcPr>
                <w:p w14:paraId="16AF07ED">
                  <w:pPr>
                    <w:jc w:val="center"/>
                    <w:rPr>
                      <w:szCs w:val="21"/>
                      <w:highlight w:val="none"/>
                    </w:rPr>
                  </w:pPr>
                  <w:r>
                    <w:rPr>
                      <w:rFonts w:hint="eastAsia"/>
                      <w:szCs w:val="21"/>
                      <w:highlight w:val="none"/>
                    </w:rPr>
                    <w:t>《工业炉窑大气污染物排放标准》（DB32/3728-2020）表1</w:t>
                  </w:r>
                </w:p>
              </w:tc>
              <w:tc>
                <w:tcPr>
                  <w:tcW w:w="943" w:type="pct"/>
                  <w:shd w:val="clear" w:color="auto" w:fill="auto"/>
                  <w:vAlign w:val="center"/>
                </w:tcPr>
                <w:p w14:paraId="340C42A6">
                  <w:pPr>
                    <w:snapToGrid w:val="0"/>
                    <w:jc w:val="center"/>
                    <w:rPr>
                      <w:rFonts w:hint="eastAsia" w:ascii="Times New Roman" w:hAnsi="Times New Roman" w:eastAsia="宋体" w:cs="Times New Roman"/>
                      <w:kern w:val="2"/>
                      <w:sz w:val="21"/>
                      <w:szCs w:val="21"/>
                      <w:lang w:val="en-US" w:eastAsia="zh-CN" w:bidi="ar-SA"/>
                    </w:rPr>
                  </w:pPr>
                  <w:r>
                    <w:rPr>
                      <w:rFonts w:hint="eastAsia"/>
                      <w:szCs w:val="21"/>
                    </w:rPr>
                    <w:t>180</w:t>
                  </w:r>
                </w:p>
              </w:tc>
              <w:tc>
                <w:tcPr>
                  <w:tcW w:w="694" w:type="pct"/>
                  <w:shd w:val="clear" w:color="auto" w:fill="auto"/>
                  <w:vAlign w:val="center"/>
                </w:tcPr>
                <w:p w14:paraId="616FE5F4">
                  <w:pPr>
                    <w:jc w:val="center"/>
                    <w:rPr>
                      <w:rFonts w:hint="eastAsia" w:ascii="Times New Roman" w:hAnsi="Times New Roman" w:eastAsia="宋体" w:cs="Times New Roman"/>
                      <w:kern w:val="2"/>
                      <w:sz w:val="21"/>
                      <w:szCs w:val="21"/>
                      <w:lang w:val="en-US" w:eastAsia="zh-CN" w:bidi="ar-SA"/>
                    </w:rPr>
                  </w:pPr>
                  <w:r>
                    <w:rPr>
                      <w:rFonts w:hint="eastAsia"/>
                      <w:szCs w:val="21"/>
                    </w:rPr>
                    <w:t>/</w:t>
                  </w:r>
                </w:p>
              </w:tc>
            </w:tr>
            <w:tr w14:paraId="7823C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1116" w:type="pct"/>
                  <w:shd w:val="clear" w:color="auto" w:fill="auto"/>
                  <w:vAlign w:val="center"/>
                </w:tcPr>
                <w:p w14:paraId="3F7DC153">
                  <w:pPr>
                    <w:jc w:val="center"/>
                    <w:rPr>
                      <w:rFonts w:ascii="Times New Roman" w:hAnsi="Times New Roman" w:eastAsia="宋体" w:cs="Times New Roman"/>
                      <w:kern w:val="2"/>
                      <w:sz w:val="21"/>
                      <w:szCs w:val="21"/>
                      <w:lang w:val="en-US" w:eastAsia="zh-CN" w:bidi="ar-SA"/>
                    </w:rPr>
                  </w:pPr>
                  <w:r>
                    <w:rPr>
                      <w:szCs w:val="21"/>
                    </w:rPr>
                    <w:t>SO</w:t>
                  </w:r>
                  <w:r>
                    <w:rPr>
                      <w:szCs w:val="21"/>
                      <w:vertAlign w:val="subscript"/>
                    </w:rPr>
                    <w:t>2</w:t>
                  </w:r>
                </w:p>
              </w:tc>
              <w:tc>
                <w:tcPr>
                  <w:tcW w:w="2246" w:type="pct"/>
                  <w:vMerge w:val="continue"/>
                  <w:vAlign w:val="center"/>
                </w:tcPr>
                <w:p w14:paraId="566E754D">
                  <w:pPr>
                    <w:jc w:val="center"/>
                    <w:rPr>
                      <w:szCs w:val="21"/>
                    </w:rPr>
                  </w:pPr>
                </w:p>
              </w:tc>
              <w:tc>
                <w:tcPr>
                  <w:tcW w:w="943" w:type="pct"/>
                  <w:shd w:val="clear" w:color="auto" w:fill="auto"/>
                  <w:vAlign w:val="center"/>
                </w:tcPr>
                <w:p w14:paraId="6696F73E">
                  <w:pPr>
                    <w:snapToGrid w:val="0"/>
                    <w:jc w:val="center"/>
                    <w:rPr>
                      <w:rFonts w:ascii="Times New Roman" w:hAnsi="Times New Roman" w:eastAsia="宋体" w:cs="Times New Roman"/>
                      <w:kern w:val="2"/>
                      <w:sz w:val="21"/>
                      <w:szCs w:val="21"/>
                      <w:lang w:val="en-US" w:eastAsia="zh-CN" w:bidi="ar-SA"/>
                    </w:rPr>
                  </w:pPr>
                  <w:r>
                    <w:rPr>
                      <w:rFonts w:hint="eastAsia"/>
                      <w:szCs w:val="21"/>
                    </w:rPr>
                    <w:t>80</w:t>
                  </w:r>
                </w:p>
              </w:tc>
              <w:tc>
                <w:tcPr>
                  <w:tcW w:w="694" w:type="pct"/>
                  <w:vAlign w:val="center"/>
                </w:tcPr>
                <w:p w14:paraId="4897F16C">
                  <w:pPr>
                    <w:jc w:val="center"/>
                    <w:rPr>
                      <w:szCs w:val="21"/>
                    </w:rPr>
                  </w:pPr>
                  <w:r>
                    <w:rPr>
                      <w:rFonts w:hint="eastAsia"/>
                      <w:szCs w:val="21"/>
                    </w:rPr>
                    <w:t>/</w:t>
                  </w:r>
                </w:p>
              </w:tc>
            </w:tr>
          </w:tbl>
          <w:p w14:paraId="06D26FD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eastAsia="宋体"/>
                <w:sz w:val="24"/>
                <w:lang w:val="en-US" w:eastAsia="zh-CN" w:bidi="ar"/>
              </w:rPr>
            </w:pPr>
            <w:r>
              <w:rPr>
                <w:rFonts w:hint="eastAsia"/>
                <w:sz w:val="24"/>
                <w:lang w:val="en-US" w:eastAsia="zh-CN"/>
              </w:rPr>
              <w:t>注：工业炉窑基准含氧量为9%。</w:t>
            </w:r>
          </w:p>
          <w:p w14:paraId="0E4C0042">
            <w:pPr>
              <w:pStyle w:val="111"/>
              <w:spacing w:beforeLines="0" w:line="480" w:lineRule="exact"/>
              <w:ind w:firstLine="0" w:firstLineChars="0"/>
              <w:jc w:val="center"/>
              <w:rPr>
                <w:b/>
                <w:sz w:val="21"/>
                <w:szCs w:val="21"/>
              </w:rPr>
            </w:pPr>
            <w:r>
              <w:rPr>
                <w:b/>
                <w:szCs w:val="24"/>
              </w:rPr>
              <w:t>表</w:t>
            </w:r>
            <w:r>
              <w:rPr>
                <w:rFonts w:hint="eastAsia"/>
                <w:b/>
                <w:szCs w:val="24"/>
              </w:rPr>
              <w:t>3-1</w:t>
            </w:r>
            <w:r>
              <w:rPr>
                <w:rFonts w:hint="eastAsia"/>
                <w:b/>
                <w:szCs w:val="24"/>
                <w:lang w:val="en-US" w:eastAsia="zh-CN"/>
              </w:rPr>
              <w:t>0</w:t>
            </w:r>
            <w:r>
              <w:rPr>
                <w:rFonts w:hint="eastAsia"/>
                <w:b/>
                <w:szCs w:val="24"/>
              </w:rPr>
              <w:t xml:space="preserve"> </w:t>
            </w:r>
            <w:r>
              <w:rPr>
                <w:b/>
                <w:szCs w:val="24"/>
              </w:rPr>
              <w:t xml:space="preserve"> </w:t>
            </w:r>
            <w:r>
              <w:rPr>
                <w:rFonts w:hint="eastAsia"/>
                <w:b/>
                <w:szCs w:val="24"/>
              </w:rPr>
              <w:t>大气污染物无组织排放执行标准</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3158"/>
              <w:gridCol w:w="1092"/>
              <w:gridCol w:w="2496"/>
              <w:gridCol w:w="1274"/>
            </w:tblGrid>
            <w:tr w14:paraId="332C6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tcBorders>
                    <w:tl2br w:val="nil"/>
                    <w:tr2bl w:val="nil"/>
                  </w:tcBorders>
                  <w:vAlign w:val="center"/>
                </w:tcPr>
                <w:p w14:paraId="14B29608">
                  <w:pPr>
                    <w:jc w:val="center"/>
                    <w:rPr>
                      <w:b/>
                      <w:bCs/>
                      <w:szCs w:val="21"/>
                    </w:rPr>
                  </w:pPr>
                  <w:r>
                    <w:rPr>
                      <w:b/>
                      <w:bCs/>
                      <w:szCs w:val="21"/>
                    </w:rPr>
                    <w:t>污染物项目</w:t>
                  </w:r>
                </w:p>
              </w:tc>
              <w:tc>
                <w:tcPr>
                  <w:tcW w:w="1767" w:type="pct"/>
                  <w:tcBorders>
                    <w:tl2br w:val="nil"/>
                    <w:tr2bl w:val="nil"/>
                  </w:tcBorders>
                  <w:vAlign w:val="center"/>
                </w:tcPr>
                <w:p w14:paraId="22327146">
                  <w:pPr>
                    <w:jc w:val="center"/>
                    <w:rPr>
                      <w:b/>
                      <w:bCs/>
                      <w:szCs w:val="21"/>
                    </w:rPr>
                  </w:pPr>
                  <w:r>
                    <w:rPr>
                      <w:b/>
                      <w:bCs/>
                      <w:szCs w:val="21"/>
                    </w:rPr>
                    <w:t>执行标准</w:t>
                  </w:r>
                </w:p>
              </w:tc>
              <w:tc>
                <w:tcPr>
                  <w:tcW w:w="611" w:type="pct"/>
                  <w:tcBorders>
                    <w:tl2br w:val="nil"/>
                    <w:tr2bl w:val="nil"/>
                  </w:tcBorders>
                  <w:vAlign w:val="center"/>
                </w:tcPr>
                <w:p w14:paraId="04303F09">
                  <w:pPr>
                    <w:pStyle w:val="111"/>
                    <w:spacing w:beforeLines="0" w:line="240" w:lineRule="auto"/>
                    <w:ind w:firstLine="0" w:firstLineChars="0"/>
                    <w:jc w:val="center"/>
                    <w:rPr>
                      <w:b/>
                      <w:sz w:val="21"/>
                      <w:szCs w:val="21"/>
                    </w:rPr>
                  </w:pPr>
                  <w:r>
                    <w:rPr>
                      <w:rFonts w:hint="eastAsia"/>
                      <w:b/>
                      <w:bCs/>
                      <w:sz w:val="21"/>
                      <w:szCs w:val="21"/>
                    </w:rPr>
                    <w:t>监控点</w:t>
                  </w:r>
                  <w:r>
                    <w:rPr>
                      <w:b/>
                      <w:bCs/>
                      <w:sz w:val="21"/>
                      <w:szCs w:val="21"/>
                    </w:rPr>
                    <w:t>限值mg/m</w:t>
                  </w:r>
                  <w:r>
                    <w:rPr>
                      <w:b/>
                      <w:bCs/>
                      <w:sz w:val="21"/>
                      <w:szCs w:val="21"/>
                      <w:vertAlign w:val="superscript"/>
                    </w:rPr>
                    <w:t>3</w:t>
                  </w:r>
                </w:p>
              </w:tc>
              <w:tc>
                <w:tcPr>
                  <w:tcW w:w="1397" w:type="pct"/>
                  <w:tcBorders>
                    <w:tl2br w:val="nil"/>
                    <w:tr2bl w:val="nil"/>
                  </w:tcBorders>
                  <w:vAlign w:val="center"/>
                </w:tcPr>
                <w:p w14:paraId="49EEDD03">
                  <w:pPr>
                    <w:pStyle w:val="111"/>
                    <w:spacing w:beforeLines="0" w:line="240" w:lineRule="auto"/>
                    <w:ind w:firstLine="0" w:firstLineChars="0"/>
                    <w:jc w:val="center"/>
                    <w:rPr>
                      <w:b/>
                      <w:sz w:val="21"/>
                      <w:szCs w:val="21"/>
                    </w:rPr>
                  </w:pPr>
                  <w:r>
                    <w:rPr>
                      <w:b/>
                      <w:bCs/>
                      <w:sz w:val="21"/>
                      <w:szCs w:val="21"/>
                    </w:rPr>
                    <w:t>限值含义</w:t>
                  </w:r>
                </w:p>
              </w:tc>
              <w:tc>
                <w:tcPr>
                  <w:tcW w:w="713" w:type="pct"/>
                  <w:tcBorders>
                    <w:tl2br w:val="nil"/>
                    <w:tr2bl w:val="nil"/>
                  </w:tcBorders>
                  <w:vAlign w:val="center"/>
                </w:tcPr>
                <w:p w14:paraId="6BA1A463">
                  <w:pPr>
                    <w:jc w:val="center"/>
                    <w:rPr>
                      <w:b/>
                      <w:bCs/>
                      <w:szCs w:val="21"/>
                    </w:rPr>
                  </w:pPr>
                  <w:r>
                    <w:rPr>
                      <w:b/>
                      <w:bCs/>
                      <w:szCs w:val="21"/>
                    </w:rPr>
                    <w:t>无组织排放监控位置</w:t>
                  </w:r>
                </w:p>
              </w:tc>
            </w:tr>
            <w:tr w14:paraId="5C06B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tcBorders>
                    <w:tl2br w:val="nil"/>
                    <w:tr2bl w:val="nil"/>
                  </w:tcBorders>
                  <w:shd w:val="clear" w:color="auto" w:fill="auto"/>
                  <w:vAlign w:val="center"/>
                </w:tcPr>
                <w:p w14:paraId="0F12EA62">
                  <w:pPr>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非甲烷总烃</w:t>
                  </w:r>
                </w:p>
              </w:tc>
              <w:tc>
                <w:tcPr>
                  <w:tcW w:w="1767" w:type="pct"/>
                  <w:vMerge w:val="restart"/>
                  <w:tcBorders>
                    <w:tl2br w:val="nil"/>
                    <w:tr2bl w:val="nil"/>
                  </w:tcBorders>
                  <w:vAlign w:val="center"/>
                </w:tcPr>
                <w:p w14:paraId="0653EC95">
                  <w:pPr>
                    <w:jc w:val="center"/>
                    <w:rPr>
                      <w:rFonts w:hint="default"/>
                      <w:b/>
                      <w:bCs/>
                      <w:szCs w:val="21"/>
                      <w:highlight w:val="none"/>
                      <w:lang w:val="en-US"/>
                    </w:rPr>
                  </w:pPr>
                  <w:r>
                    <w:rPr>
                      <w:rFonts w:hint="default"/>
                      <w:b w:val="0"/>
                      <w:bCs w:val="0"/>
                      <w:sz w:val="21"/>
                      <w:szCs w:val="21"/>
                      <w:highlight w:val="none"/>
                      <w:lang w:val="en-US" w:eastAsia="zh-CN"/>
                    </w:rPr>
                    <w:t>《大气污染物综合排放标准》（DB32/4041-2021）</w:t>
                  </w:r>
                  <w:r>
                    <w:rPr>
                      <w:rFonts w:hint="eastAsia"/>
                      <w:b w:val="0"/>
                      <w:bCs w:val="0"/>
                      <w:sz w:val="21"/>
                      <w:szCs w:val="21"/>
                      <w:highlight w:val="none"/>
                      <w:lang w:val="en-US" w:eastAsia="zh-CN"/>
                    </w:rPr>
                    <w:t>表3</w:t>
                  </w:r>
                </w:p>
              </w:tc>
              <w:tc>
                <w:tcPr>
                  <w:tcW w:w="611" w:type="pct"/>
                  <w:tcBorders>
                    <w:tl2br w:val="nil"/>
                    <w:tr2bl w:val="nil"/>
                  </w:tcBorders>
                  <w:vAlign w:val="center"/>
                </w:tcPr>
                <w:p w14:paraId="171A0178">
                  <w:pPr>
                    <w:pStyle w:val="111"/>
                    <w:spacing w:beforeLines="0" w:line="240" w:lineRule="auto"/>
                    <w:ind w:firstLine="0" w:firstLineChars="0"/>
                    <w:jc w:val="center"/>
                    <w:rPr>
                      <w:rFonts w:hint="eastAsia" w:eastAsia="宋体"/>
                      <w:b w:val="0"/>
                      <w:bCs w:val="0"/>
                      <w:sz w:val="21"/>
                      <w:szCs w:val="21"/>
                      <w:highlight w:val="none"/>
                      <w:lang w:val="en-US" w:eastAsia="zh-CN"/>
                    </w:rPr>
                  </w:pPr>
                  <w:r>
                    <w:rPr>
                      <w:rFonts w:hint="eastAsia"/>
                      <w:b w:val="0"/>
                      <w:bCs w:val="0"/>
                      <w:sz w:val="21"/>
                      <w:szCs w:val="21"/>
                      <w:highlight w:val="none"/>
                      <w:lang w:val="en-US" w:eastAsia="zh-CN"/>
                    </w:rPr>
                    <w:t>4</w:t>
                  </w:r>
                </w:p>
              </w:tc>
              <w:tc>
                <w:tcPr>
                  <w:tcW w:w="1397" w:type="pct"/>
                  <w:vMerge w:val="restart"/>
                  <w:tcBorders>
                    <w:tl2br w:val="nil"/>
                    <w:tr2bl w:val="nil"/>
                  </w:tcBorders>
                  <w:vAlign w:val="center"/>
                </w:tcPr>
                <w:p w14:paraId="795BF5D5">
                  <w:pPr>
                    <w:pStyle w:val="111"/>
                    <w:spacing w:beforeLines="0" w:line="240" w:lineRule="auto"/>
                    <w:ind w:firstLine="0" w:firstLineChars="0"/>
                    <w:jc w:val="center"/>
                    <w:rPr>
                      <w:rFonts w:hint="eastAsia" w:eastAsia="宋体"/>
                      <w:b/>
                      <w:bCs/>
                      <w:sz w:val="21"/>
                      <w:szCs w:val="21"/>
                      <w:highlight w:val="none"/>
                      <w:lang w:val="en-US" w:eastAsia="zh-CN"/>
                    </w:rPr>
                  </w:pPr>
                  <w:r>
                    <w:rPr>
                      <w:rFonts w:hint="eastAsia"/>
                      <w:b/>
                      <w:bCs/>
                      <w:sz w:val="21"/>
                      <w:szCs w:val="21"/>
                      <w:highlight w:val="none"/>
                      <w:lang w:val="en-US" w:eastAsia="zh-CN"/>
                    </w:rPr>
                    <w:t>/</w:t>
                  </w:r>
                </w:p>
              </w:tc>
              <w:tc>
                <w:tcPr>
                  <w:tcW w:w="713" w:type="pct"/>
                  <w:vMerge w:val="restart"/>
                  <w:tcBorders>
                    <w:tl2br w:val="nil"/>
                    <w:tr2bl w:val="nil"/>
                  </w:tcBorders>
                  <w:vAlign w:val="center"/>
                </w:tcPr>
                <w:p w14:paraId="35C2AE1D">
                  <w:pPr>
                    <w:jc w:val="center"/>
                    <w:rPr>
                      <w:b/>
                      <w:bCs/>
                      <w:szCs w:val="21"/>
                      <w:highlight w:val="none"/>
                    </w:rPr>
                  </w:pPr>
                  <w:r>
                    <w:rPr>
                      <w:rFonts w:hint="default" w:ascii="Times New Roman" w:hAnsi="Times New Roman" w:eastAsia="宋体" w:cs="Times New Roman"/>
                      <w:sz w:val="21"/>
                      <w:szCs w:val="21"/>
                      <w:highlight w:val="none"/>
                    </w:rPr>
                    <w:t>边界外浓度最高点</w:t>
                  </w:r>
                </w:p>
              </w:tc>
            </w:tr>
            <w:tr w14:paraId="196CD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tcBorders>
                    <w:tl2br w:val="nil"/>
                    <w:tr2bl w:val="nil"/>
                  </w:tcBorders>
                  <w:shd w:val="clear" w:color="auto" w:fill="auto"/>
                  <w:vAlign w:val="center"/>
                </w:tcPr>
                <w:p w14:paraId="69AA713E">
                  <w:pPr>
                    <w:spacing w:line="240" w:lineRule="exact"/>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颗粒物</w:t>
                  </w:r>
                </w:p>
              </w:tc>
              <w:tc>
                <w:tcPr>
                  <w:tcW w:w="1767" w:type="pct"/>
                  <w:vMerge w:val="continue"/>
                  <w:tcBorders>
                    <w:tl2br w:val="nil"/>
                    <w:tr2bl w:val="nil"/>
                  </w:tcBorders>
                  <w:vAlign w:val="center"/>
                </w:tcPr>
                <w:p w14:paraId="7CD3E9C6">
                  <w:pPr>
                    <w:jc w:val="center"/>
                    <w:rPr>
                      <w:b/>
                      <w:bCs/>
                      <w:szCs w:val="21"/>
                      <w:highlight w:val="none"/>
                    </w:rPr>
                  </w:pPr>
                </w:p>
              </w:tc>
              <w:tc>
                <w:tcPr>
                  <w:tcW w:w="611" w:type="pct"/>
                  <w:tcBorders>
                    <w:tl2br w:val="nil"/>
                    <w:tr2bl w:val="nil"/>
                  </w:tcBorders>
                  <w:vAlign w:val="center"/>
                </w:tcPr>
                <w:p w14:paraId="196B1C0B">
                  <w:pPr>
                    <w:pStyle w:val="111"/>
                    <w:spacing w:beforeLines="0" w:line="240" w:lineRule="auto"/>
                    <w:ind w:firstLine="0" w:firstLineChars="0"/>
                    <w:jc w:val="center"/>
                    <w:rPr>
                      <w:rFonts w:hint="default" w:eastAsia="宋体"/>
                      <w:b w:val="0"/>
                      <w:bCs w:val="0"/>
                      <w:sz w:val="21"/>
                      <w:szCs w:val="21"/>
                      <w:highlight w:val="none"/>
                      <w:lang w:val="en-US" w:eastAsia="zh-CN"/>
                    </w:rPr>
                  </w:pPr>
                  <w:r>
                    <w:rPr>
                      <w:rFonts w:hint="eastAsia"/>
                      <w:b w:val="0"/>
                      <w:bCs w:val="0"/>
                      <w:sz w:val="21"/>
                      <w:szCs w:val="21"/>
                      <w:highlight w:val="none"/>
                      <w:lang w:val="en-US" w:eastAsia="zh-CN"/>
                    </w:rPr>
                    <w:t>0.5</w:t>
                  </w:r>
                </w:p>
              </w:tc>
              <w:tc>
                <w:tcPr>
                  <w:tcW w:w="1397" w:type="pct"/>
                  <w:vMerge w:val="continue"/>
                  <w:tcBorders>
                    <w:tl2br w:val="nil"/>
                    <w:tr2bl w:val="nil"/>
                  </w:tcBorders>
                  <w:vAlign w:val="center"/>
                </w:tcPr>
                <w:p w14:paraId="45AB113C">
                  <w:pPr>
                    <w:pStyle w:val="111"/>
                    <w:spacing w:beforeLines="0" w:line="240" w:lineRule="auto"/>
                    <w:ind w:firstLine="0" w:firstLineChars="0"/>
                    <w:jc w:val="center"/>
                    <w:rPr>
                      <w:b/>
                      <w:bCs/>
                      <w:sz w:val="21"/>
                      <w:szCs w:val="21"/>
                    </w:rPr>
                  </w:pPr>
                </w:p>
              </w:tc>
              <w:tc>
                <w:tcPr>
                  <w:tcW w:w="713" w:type="pct"/>
                  <w:vMerge w:val="continue"/>
                  <w:tcBorders>
                    <w:tl2br w:val="nil"/>
                    <w:tr2bl w:val="nil"/>
                  </w:tcBorders>
                  <w:vAlign w:val="center"/>
                </w:tcPr>
                <w:p w14:paraId="0DA87587">
                  <w:pPr>
                    <w:jc w:val="center"/>
                    <w:rPr>
                      <w:b/>
                      <w:bCs/>
                      <w:szCs w:val="21"/>
                    </w:rPr>
                  </w:pPr>
                </w:p>
              </w:tc>
            </w:tr>
            <w:tr w14:paraId="7FAD8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restart"/>
                  <w:tcBorders>
                    <w:tl2br w:val="nil"/>
                    <w:tr2bl w:val="nil"/>
                  </w:tcBorders>
                  <w:vAlign w:val="center"/>
                </w:tcPr>
                <w:p w14:paraId="490BCFB7">
                  <w:pPr>
                    <w:jc w:val="center"/>
                    <w:rPr>
                      <w:szCs w:val="21"/>
                    </w:rPr>
                  </w:pPr>
                  <w:r>
                    <w:rPr>
                      <w:rFonts w:hint="eastAsia"/>
                      <w:szCs w:val="21"/>
                    </w:rPr>
                    <w:t>非甲烷总烃</w:t>
                  </w:r>
                </w:p>
              </w:tc>
              <w:tc>
                <w:tcPr>
                  <w:tcW w:w="1767" w:type="pct"/>
                  <w:vMerge w:val="restart"/>
                  <w:tcBorders>
                    <w:tl2br w:val="nil"/>
                    <w:tr2bl w:val="nil"/>
                  </w:tcBorders>
                  <w:vAlign w:val="center"/>
                </w:tcPr>
                <w:p w14:paraId="652C7040">
                  <w:pPr>
                    <w:keepNext w:val="0"/>
                    <w:keepLines w:val="0"/>
                    <w:pageBreakBefore w:val="0"/>
                    <w:widowControl w:val="0"/>
                    <w:kinsoku/>
                    <w:wordWrap w:val="0"/>
                    <w:overflowPunct/>
                    <w:topLinePunct w:val="0"/>
                    <w:autoSpaceDE/>
                    <w:autoSpaceDN/>
                    <w:bidi w:val="0"/>
                    <w:adjustRightInd/>
                    <w:snapToGrid/>
                    <w:jc w:val="center"/>
                    <w:textAlignment w:val="auto"/>
                    <w:rPr>
                      <w:rFonts w:hint="eastAsia" w:eastAsia="宋体"/>
                      <w:kern w:val="0"/>
                      <w:szCs w:val="21"/>
                      <w:lang w:eastAsia="zh-CN"/>
                    </w:rPr>
                  </w:pPr>
                  <w:r>
                    <w:rPr>
                      <w:rFonts w:hint="eastAsia" w:hAnsi="宋体"/>
                      <w:szCs w:val="21"/>
                      <w:lang w:val="en-US" w:eastAsia="zh-CN"/>
                    </w:rPr>
                    <w:t>《工业涂装工序大气污染物排放标准》（DB32/4439-2022）表3</w:t>
                  </w:r>
                </w:p>
              </w:tc>
              <w:tc>
                <w:tcPr>
                  <w:tcW w:w="611" w:type="pct"/>
                  <w:tcBorders>
                    <w:tl2br w:val="nil"/>
                    <w:tr2bl w:val="nil"/>
                  </w:tcBorders>
                  <w:vAlign w:val="center"/>
                </w:tcPr>
                <w:p w14:paraId="74DB401B">
                  <w:pPr>
                    <w:jc w:val="center"/>
                    <w:rPr>
                      <w:spacing w:val="-10"/>
                      <w:szCs w:val="21"/>
                    </w:rPr>
                  </w:pPr>
                  <w:r>
                    <w:rPr>
                      <w:spacing w:val="-10"/>
                      <w:szCs w:val="21"/>
                    </w:rPr>
                    <w:t>6</w:t>
                  </w:r>
                </w:p>
              </w:tc>
              <w:tc>
                <w:tcPr>
                  <w:tcW w:w="1397" w:type="pct"/>
                  <w:tcBorders>
                    <w:tl2br w:val="nil"/>
                    <w:tr2bl w:val="nil"/>
                  </w:tcBorders>
                  <w:tcMar>
                    <w:top w:w="0" w:type="dxa"/>
                    <w:left w:w="57" w:type="dxa"/>
                    <w:bottom w:w="0" w:type="dxa"/>
                    <w:right w:w="57" w:type="dxa"/>
                  </w:tcMar>
                  <w:vAlign w:val="center"/>
                </w:tcPr>
                <w:p w14:paraId="1A374B7D">
                  <w:pPr>
                    <w:jc w:val="center"/>
                    <w:rPr>
                      <w:szCs w:val="21"/>
                    </w:rPr>
                  </w:pPr>
                  <w:r>
                    <w:rPr>
                      <w:szCs w:val="21"/>
                    </w:rPr>
                    <w:t>监控点处1</w:t>
                  </w:r>
                  <w:r>
                    <w:rPr>
                      <w:szCs w:val="21"/>
                    </w:rPr>
                    <w:cr/>
                  </w:r>
                  <w:r>
                    <w:rPr>
                      <w:szCs w:val="21"/>
                    </w:rPr>
                    <w:t>平均浓度值</w:t>
                  </w:r>
                </w:p>
              </w:tc>
              <w:tc>
                <w:tcPr>
                  <w:tcW w:w="713" w:type="pct"/>
                  <w:vMerge w:val="restart"/>
                  <w:tcBorders>
                    <w:tl2br w:val="nil"/>
                    <w:tr2bl w:val="nil"/>
                  </w:tcBorders>
                  <w:vAlign w:val="center"/>
                </w:tcPr>
                <w:p w14:paraId="5657C1AA">
                  <w:pPr>
                    <w:snapToGrid w:val="0"/>
                    <w:jc w:val="center"/>
                    <w:rPr>
                      <w:szCs w:val="21"/>
                    </w:rPr>
                  </w:pPr>
                  <w:r>
                    <w:rPr>
                      <w:szCs w:val="21"/>
                    </w:rPr>
                    <w:t>在厂房外设置监控点</w:t>
                  </w:r>
                </w:p>
              </w:tc>
            </w:tr>
            <w:tr w14:paraId="3915A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continue"/>
                  <w:tcBorders>
                    <w:tl2br w:val="nil"/>
                    <w:tr2bl w:val="nil"/>
                  </w:tcBorders>
                  <w:vAlign w:val="center"/>
                </w:tcPr>
                <w:p w14:paraId="4006DE3D">
                  <w:pPr>
                    <w:pStyle w:val="111"/>
                    <w:spacing w:beforeLines="0" w:line="240" w:lineRule="auto"/>
                    <w:ind w:firstLine="0" w:firstLineChars="0"/>
                    <w:jc w:val="center"/>
                    <w:rPr>
                      <w:b/>
                      <w:sz w:val="21"/>
                      <w:szCs w:val="21"/>
                    </w:rPr>
                  </w:pPr>
                </w:p>
              </w:tc>
              <w:tc>
                <w:tcPr>
                  <w:tcW w:w="1767" w:type="pct"/>
                  <w:vMerge w:val="continue"/>
                  <w:tcBorders>
                    <w:tl2br w:val="nil"/>
                    <w:tr2bl w:val="nil"/>
                  </w:tcBorders>
                  <w:vAlign w:val="center"/>
                </w:tcPr>
                <w:p w14:paraId="6288AEA3">
                  <w:pPr>
                    <w:jc w:val="center"/>
                    <w:rPr>
                      <w:kern w:val="0"/>
                      <w:szCs w:val="21"/>
                    </w:rPr>
                  </w:pPr>
                </w:p>
              </w:tc>
              <w:tc>
                <w:tcPr>
                  <w:tcW w:w="611" w:type="pct"/>
                  <w:tcBorders>
                    <w:tl2br w:val="nil"/>
                    <w:tr2bl w:val="nil"/>
                  </w:tcBorders>
                  <w:vAlign w:val="center"/>
                </w:tcPr>
                <w:p w14:paraId="30A0934F">
                  <w:pPr>
                    <w:jc w:val="center"/>
                    <w:rPr>
                      <w:spacing w:val="-10"/>
                      <w:szCs w:val="21"/>
                    </w:rPr>
                  </w:pPr>
                  <w:r>
                    <w:rPr>
                      <w:spacing w:val="-10"/>
                      <w:szCs w:val="21"/>
                    </w:rPr>
                    <w:t>20</w:t>
                  </w:r>
                </w:p>
              </w:tc>
              <w:tc>
                <w:tcPr>
                  <w:tcW w:w="1397" w:type="pct"/>
                  <w:tcBorders>
                    <w:tl2br w:val="nil"/>
                    <w:tr2bl w:val="nil"/>
                  </w:tcBorders>
                  <w:tcMar>
                    <w:top w:w="0" w:type="dxa"/>
                    <w:left w:w="57" w:type="dxa"/>
                    <w:bottom w:w="0" w:type="dxa"/>
                    <w:right w:w="57" w:type="dxa"/>
                  </w:tcMar>
                  <w:vAlign w:val="center"/>
                </w:tcPr>
                <w:p w14:paraId="1B400D5A">
                  <w:pPr>
                    <w:jc w:val="center"/>
                    <w:rPr>
                      <w:szCs w:val="21"/>
                    </w:rPr>
                  </w:pPr>
                  <w:r>
                    <w:rPr>
                      <w:szCs w:val="21"/>
                    </w:rPr>
                    <w:t>监控点处任意一次浓度值</w:t>
                  </w:r>
                </w:p>
              </w:tc>
              <w:tc>
                <w:tcPr>
                  <w:tcW w:w="713" w:type="pct"/>
                  <w:vMerge w:val="continue"/>
                  <w:tcBorders>
                    <w:tl2br w:val="nil"/>
                    <w:tr2bl w:val="nil"/>
                  </w:tcBorders>
                  <w:vAlign w:val="center"/>
                </w:tcPr>
                <w:p w14:paraId="034CEC66">
                  <w:pPr>
                    <w:pStyle w:val="111"/>
                    <w:spacing w:beforeLines="0" w:line="240" w:lineRule="auto"/>
                    <w:ind w:firstLine="0" w:firstLineChars="0"/>
                    <w:jc w:val="center"/>
                    <w:rPr>
                      <w:b/>
                      <w:sz w:val="21"/>
                      <w:szCs w:val="21"/>
                    </w:rPr>
                  </w:pPr>
                </w:p>
              </w:tc>
            </w:tr>
            <w:tr w14:paraId="663B1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tcBorders>
                    <w:tl2br w:val="nil"/>
                    <w:tr2bl w:val="nil"/>
                  </w:tcBorders>
                  <w:vAlign w:val="center"/>
                </w:tcPr>
                <w:p w14:paraId="090C7379">
                  <w:pPr>
                    <w:pStyle w:val="111"/>
                    <w:spacing w:beforeLines="0" w:line="240" w:lineRule="auto"/>
                    <w:ind w:firstLine="0" w:firstLineChars="0"/>
                    <w:jc w:val="center"/>
                    <w:rPr>
                      <w:rFonts w:hint="eastAsia"/>
                      <w:b w:val="0"/>
                      <w:bCs/>
                      <w:sz w:val="21"/>
                      <w:szCs w:val="21"/>
                      <w:lang w:val="en-US" w:eastAsia="zh-CN"/>
                    </w:rPr>
                  </w:pPr>
                  <w:r>
                    <w:rPr>
                      <w:rFonts w:hint="eastAsia"/>
                      <w:b w:val="0"/>
                      <w:bCs/>
                      <w:sz w:val="21"/>
                      <w:szCs w:val="21"/>
                      <w:lang w:val="en-US" w:eastAsia="zh-CN"/>
                    </w:rPr>
                    <w:t>颗粒物</w:t>
                  </w:r>
                </w:p>
              </w:tc>
              <w:tc>
                <w:tcPr>
                  <w:tcW w:w="1767" w:type="pct"/>
                  <w:tcBorders>
                    <w:tl2br w:val="nil"/>
                    <w:tr2bl w:val="nil"/>
                  </w:tcBorders>
                  <w:vAlign w:val="center"/>
                </w:tcPr>
                <w:p w14:paraId="4FAF2CCE">
                  <w:pPr>
                    <w:pStyle w:val="111"/>
                    <w:spacing w:beforeLines="0" w:line="240" w:lineRule="auto"/>
                    <w:ind w:firstLine="0" w:firstLineChars="0"/>
                    <w:jc w:val="center"/>
                    <w:rPr>
                      <w:rFonts w:hint="eastAsia" w:eastAsia="宋体"/>
                      <w:b w:val="0"/>
                      <w:bCs/>
                      <w:sz w:val="21"/>
                      <w:szCs w:val="21"/>
                      <w:lang w:val="en-US" w:eastAsia="zh-CN"/>
                    </w:rPr>
                  </w:pPr>
                  <w:r>
                    <w:rPr>
                      <w:rFonts w:hint="eastAsia"/>
                      <w:b w:val="0"/>
                      <w:bCs/>
                      <w:sz w:val="21"/>
                      <w:szCs w:val="21"/>
                    </w:rPr>
                    <w:t>《工业炉窑大气污染物排放标准》（DB32/3728-2020）表</w:t>
                  </w:r>
                  <w:r>
                    <w:rPr>
                      <w:rFonts w:hint="eastAsia"/>
                      <w:b w:val="0"/>
                      <w:bCs/>
                      <w:sz w:val="21"/>
                      <w:szCs w:val="21"/>
                      <w:lang w:val="en-US" w:eastAsia="zh-CN"/>
                    </w:rPr>
                    <w:t>3</w:t>
                  </w:r>
                </w:p>
              </w:tc>
              <w:tc>
                <w:tcPr>
                  <w:tcW w:w="611" w:type="pct"/>
                  <w:tcBorders>
                    <w:tl2br w:val="nil"/>
                    <w:tr2bl w:val="nil"/>
                  </w:tcBorders>
                  <w:vAlign w:val="center"/>
                </w:tcPr>
                <w:p w14:paraId="18DF47F2">
                  <w:pPr>
                    <w:pStyle w:val="111"/>
                    <w:spacing w:beforeLines="0" w:line="240" w:lineRule="auto"/>
                    <w:ind w:firstLine="0" w:firstLineChars="0"/>
                    <w:jc w:val="center"/>
                    <w:rPr>
                      <w:rFonts w:hint="default" w:eastAsia="宋体"/>
                      <w:b w:val="0"/>
                      <w:bCs/>
                      <w:sz w:val="21"/>
                      <w:szCs w:val="21"/>
                      <w:lang w:val="en-US" w:eastAsia="zh-CN"/>
                    </w:rPr>
                  </w:pPr>
                  <w:r>
                    <w:rPr>
                      <w:rFonts w:hint="eastAsia"/>
                      <w:b w:val="0"/>
                      <w:bCs/>
                      <w:sz w:val="21"/>
                      <w:szCs w:val="21"/>
                      <w:lang w:val="en-US" w:eastAsia="zh-CN"/>
                    </w:rPr>
                    <w:t>5.0</w:t>
                  </w:r>
                </w:p>
              </w:tc>
              <w:tc>
                <w:tcPr>
                  <w:tcW w:w="1397" w:type="pct"/>
                  <w:tcBorders>
                    <w:tl2br w:val="nil"/>
                    <w:tr2bl w:val="nil"/>
                  </w:tcBorders>
                  <w:tcMar>
                    <w:top w:w="0" w:type="dxa"/>
                    <w:left w:w="57" w:type="dxa"/>
                    <w:bottom w:w="0" w:type="dxa"/>
                    <w:right w:w="57" w:type="dxa"/>
                  </w:tcMar>
                  <w:vAlign w:val="center"/>
                </w:tcPr>
                <w:p w14:paraId="1903DC2E">
                  <w:pPr>
                    <w:pStyle w:val="111"/>
                    <w:spacing w:beforeLines="0" w:line="240" w:lineRule="auto"/>
                    <w:ind w:firstLine="0" w:firstLineChars="0"/>
                    <w:jc w:val="center"/>
                    <w:rPr>
                      <w:rFonts w:hint="eastAsia" w:eastAsia="宋体"/>
                      <w:b w:val="0"/>
                      <w:bCs/>
                      <w:sz w:val="21"/>
                      <w:szCs w:val="21"/>
                      <w:lang w:val="en-US" w:eastAsia="zh-CN"/>
                    </w:rPr>
                  </w:pPr>
                  <w:r>
                    <w:rPr>
                      <w:rFonts w:hint="eastAsia"/>
                      <w:b w:val="0"/>
                      <w:bCs/>
                      <w:sz w:val="21"/>
                      <w:szCs w:val="21"/>
                      <w:lang w:val="en-US" w:eastAsia="zh-CN"/>
                    </w:rPr>
                    <w:t>/</w:t>
                  </w:r>
                </w:p>
              </w:tc>
              <w:tc>
                <w:tcPr>
                  <w:tcW w:w="713" w:type="pct"/>
                  <w:tcBorders>
                    <w:tl2br w:val="nil"/>
                    <w:tr2bl w:val="nil"/>
                  </w:tcBorders>
                  <w:vAlign w:val="center"/>
                </w:tcPr>
                <w:p w14:paraId="157A7FF6">
                  <w:pPr>
                    <w:pStyle w:val="111"/>
                    <w:spacing w:beforeLines="0" w:line="240" w:lineRule="auto"/>
                    <w:ind w:firstLine="0" w:firstLineChars="0"/>
                    <w:jc w:val="center"/>
                    <w:rPr>
                      <w:rFonts w:hint="default" w:eastAsia="宋体"/>
                      <w:b w:val="0"/>
                      <w:bCs/>
                      <w:sz w:val="21"/>
                      <w:szCs w:val="21"/>
                      <w:lang w:val="en-US" w:eastAsia="zh-CN"/>
                    </w:rPr>
                  </w:pPr>
                  <w:r>
                    <w:rPr>
                      <w:rFonts w:hint="eastAsia"/>
                      <w:b w:val="0"/>
                      <w:bCs/>
                      <w:sz w:val="21"/>
                      <w:szCs w:val="21"/>
                      <w:lang w:val="en-US" w:eastAsia="zh-CN"/>
                    </w:rPr>
                    <w:t>生产车间门、窗等排放口的浓度最高点</w:t>
                  </w:r>
                </w:p>
              </w:tc>
            </w:tr>
          </w:tbl>
          <w:p w14:paraId="121EC9F2">
            <w:pPr>
              <w:pStyle w:val="140"/>
              <w:keepNext w:val="0"/>
              <w:keepLines w:val="0"/>
              <w:pageBreakBefore w:val="0"/>
              <w:widowControl/>
              <w:numPr>
                <w:ilvl w:val="0"/>
                <w:numId w:val="0"/>
              </w:numPr>
              <w:kinsoku/>
              <w:wordWrap/>
              <w:overflowPunct/>
              <w:topLinePunct w:val="0"/>
              <w:autoSpaceDE/>
              <w:autoSpaceDN/>
              <w:bidi w:val="0"/>
              <w:adjustRightInd/>
              <w:snapToGrid/>
              <w:spacing w:before="157" w:beforeLines="50" w:line="240" w:lineRule="auto"/>
              <w:ind w:leftChars="0"/>
              <w:jc w:val="center"/>
              <w:textAlignment w:val="auto"/>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lang w:val="en-US" w:eastAsia="zh-CN"/>
              </w:rPr>
              <w:t>表3-</w:t>
            </w:r>
            <w:r>
              <w:rPr>
                <w:rFonts w:hint="eastAsia" w:cs="Times New Roman"/>
                <w:b/>
                <w:color w:val="auto"/>
                <w:kern w:val="0"/>
                <w:sz w:val="24"/>
                <w:szCs w:val="24"/>
                <w:lang w:val="en-US" w:eastAsia="zh-CN"/>
              </w:rPr>
              <w:t>11</w:t>
            </w:r>
            <w:r>
              <w:rPr>
                <w:rFonts w:hint="default" w:ascii="Times New Roman" w:hAnsi="Times New Roman" w:eastAsia="宋体" w:cs="Times New Roman"/>
                <w:b/>
                <w:color w:val="auto"/>
                <w:kern w:val="0"/>
                <w:sz w:val="24"/>
                <w:szCs w:val="24"/>
                <w:lang w:val="en-US" w:eastAsia="zh-CN"/>
              </w:rPr>
              <w:t xml:space="preserve">  恶臭污染物排放标准</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2844"/>
              <w:gridCol w:w="2996"/>
            </w:tblGrid>
            <w:tr w14:paraId="12D62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32" w:type="pct"/>
                  <w:vMerge w:val="restart"/>
                  <w:tcBorders>
                    <w:tl2br w:val="nil"/>
                    <w:tr2bl w:val="nil"/>
                  </w:tcBorders>
                  <w:noWrap w:val="0"/>
                  <w:vAlign w:val="center"/>
                </w:tcPr>
                <w:p w14:paraId="3735DAC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3267" w:type="pct"/>
                  <w:gridSpan w:val="2"/>
                  <w:tcBorders>
                    <w:tl2br w:val="nil"/>
                    <w:tr2bl w:val="nil"/>
                  </w:tcBorders>
                  <w:noWrap w:val="0"/>
                  <w:vAlign w:val="center"/>
                </w:tcPr>
                <w:p w14:paraId="7845A1B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无组织排放监控浓度限值</w:t>
                  </w:r>
                </w:p>
              </w:tc>
            </w:tr>
            <w:tr w14:paraId="7FA8A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32" w:type="pct"/>
                  <w:vMerge w:val="continue"/>
                  <w:tcBorders>
                    <w:tl2br w:val="nil"/>
                    <w:tr2bl w:val="nil"/>
                  </w:tcBorders>
                  <w:noWrap w:val="0"/>
                  <w:vAlign w:val="center"/>
                </w:tcPr>
                <w:p w14:paraId="686B28CE">
                  <w:pPr>
                    <w:adjustRightInd w:val="0"/>
                    <w:snapToGrid w:val="0"/>
                    <w:jc w:val="center"/>
                    <w:rPr>
                      <w:rFonts w:hint="default" w:ascii="Times New Roman" w:hAnsi="Times New Roman" w:cs="Times New Roman"/>
                      <w:b/>
                      <w:bCs/>
                      <w:color w:val="auto"/>
                      <w:sz w:val="21"/>
                      <w:szCs w:val="21"/>
                    </w:rPr>
                  </w:pPr>
                </w:p>
              </w:tc>
              <w:tc>
                <w:tcPr>
                  <w:tcW w:w="1591" w:type="pct"/>
                  <w:tcBorders>
                    <w:tl2br w:val="nil"/>
                    <w:tr2bl w:val="nil"/>
                  </w:tcBorders>
                  <w:noWrap w:val="0"/>
                  <w:vAlign w:val="center"/>
                </w:tcPr>
                <w:p w14:paraId="1D1DD395">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1676" w:type="pct"/>
                  <w:tcBorders>
                    <w:tl2br w:val="nil"/>
                    <w:tr2bl w:val="nil"/>
                  </w:tcBorders>
                  <w:noWrap w:val="0"/>
                  <w:vAlign w:val="center"/>
                </w:tcPr>
                <w:p w14:paraId="63702C86">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w:t>
                  </w:r>
                </w:p>
              </w:tc>
            </w:tr>
            <w:tr w14:paraId="4C0E1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32" w:type="pct"/>
                  <w:tcBorders>
                    <w:tl2br w:val="nil"/>
                    <w:tr2bl w:val="nil"/>
                  </w:tcBorders>
                  <w:noWrap w:val="0"/>
                  <w:vAlign w:val="center"/>
                </w:tcPr>
                <w:p w14:paraId="4629D08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臭气（无量纲）</w:t>
                  </w:r>
                </w:p>
              </w:tc>
              <w:tc>
                <w:tcPr>
                  <w:tcW w:w="1591" w:type="pct"/>
                  <w:tcBorders>
                    <w:tl2br w:val="nil"/>
                    <w:tr2bl w:val="nil"/>
                  </w:tcBorders>
                  <w:noWrap w:val="0"/>
                  <w:vAlign w:val="center"/>
                </w:tcPr>
                <w:p w14:paraId="5086E95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周界外浓度最高点</w:t>
                  </w:r>
                </w:p>
              </w:tc>
              <w:tc>
                <w:tcPr>
                  <w:tcW w:w="1676" w:type="pct"/>
                  <w:tcBorders>
                    <w:tl2br w:val="nil"/>
                    <w:tr2bl w:val="nil"/>
                  </w:tcBorders>
                  <w:noWrap w:val="0"/>
                  <w:vAlign w:val="center"/>
                </w:tcPr>
                <w:p w14:paraId="19C4DA6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bl>
          <w:p w14:paraId="0F04E5BA">
            <w:pPr>
              <w:spacing w:line="480" w:lineRule="exact"/>
              <w:ind w:firstLine="482" w:firstLineChars="200"/>
              <w:rPr>
                <w:b/>
                <w:bCs/>
                <w:sz w:val="24"/>
              </w:rPr>
            </w:pPr>
            <w:r>
              <w:rPr>
                <w:b/>
                <w:bCs/>
                <w:sz w:val="24"/>
              </w:rPr>
              <w:t>3、噪声排放标准</w:t>
            </w:r>
          </w:p>
          <w:p w14:paraId="49EDB92E">
            <w:pPr>
              <w:spacing w:line="480" w:lineRule="exact"/>
              <w:ind w:firstLine="480" w:firstLineChars="200"/>
              <w:rPr>
                <w:sz w:val="24"/>
              </w:rPr>
            </w:pPr>
            <w:r>
              <w:rPr>
                <w:sz w:val="24"/>
              </w:rPr>
              <w:t>根据《常州市市区声环境功能区划（2017）》（常政</w:t>
            </w:r>
            <w:r>
              <w:rPr>
                <w:rFonts w:hint="eastAsia"/>
                <w:sz w:val="24"/>
              </w:rPr>
              <w:t>发〔2017〕161号</w:t>
            </w:r>
            <w:r>
              <w:rPr>
                <w:sz w:val="24"/>
              </w:rPr>
              <w:t>）</w:t>
            </w:r>
            <w:r>
              <w:rPr>
                <w:rFonts w:hint="eastAsia"/>
                <w:sz w:val="24"/>
              </w:rPr>
              <w:t>、</w:t>
            </w:r>
            <w:r>
              <w:rPr>
                <w:sz w:val="24"/>
              </w:rPr>
              <w:t>《声环境功能区划分技术规范》（GB/T15190-2014），以工业生产、仓储物流为主要功能，需要防止工业噪声对周围环境产生严重影响的区域或Ⅱ类用地占地率大于70%（含70%）的混合用地区域</w:t>
            </w:r>
            <w:r>
              <w:rPr>
                <w:rFonts w:hint="eastAsia"/>
                <w:sz w:val="24"/>
              </w:rPr>
              <w:t>，</w:t>
            </w:r>
            <w:r>
              <w:rPr>
                <w:sz w:val="24"/>
              </w:rPr>
              <w:t>本项目所在地参照执行</w:t>
            </w:r>
            <w:r>
              <w:rPr>
                <w:rFonts w:hint="eastAsia"/>
                <w:sz w:val="24"/>
              </w:rPr>
              <w:t>3</w:t>
            </w:r>
            <w:r>
              <w:rPr>
                <w:sz w:val="24"/>
              </w:rPr>
              <w:t>类噪声功能区，项目噪声执行标准具体见下表。</w:t>
            </w:r>
          </w:p>
          <w:p w14:paraId="3FE604C9">
            <w:pPr>
              <w:spacing w:line="480" w:lineRule="exact"/>
              <w:jc w:val="center"/>
              <w:rPr>
                <w:b/>
                <w:bCs/>
                <w:sz w:val="24"/>
              </w:rPr>
            </w:pPr>
            <w:r>
              <w:rPr>
                <w:b/>
                <w:bCs/>
                <w:sz w:val="24"/>
              </w:rPr>
              <w:t>表3-1</w:t>
            </w:r>
            <w:r>
              <w:rPr>
                <w:rFonts w:hint="eastAsia"/>
                <w:b/>
                <w:bCs/>
                <w:sz w:val="24"/>
                <w:lang w:val="en-US" w:eastAsia="zh-CN"/>
              </w:rPr>
              <w:t>2</w:t>
            </w:r>
            <w:r>
              <w:rPr>
                <w:rFonts w:hint="eastAsia"/>
                <w:b/>
                <w:bCs/>
                <w:sz w:val="24"/>
              </w:rPr>
              <w:t xml:space="preserve"> </w:t>
            </w:r>
            <w:r>
              <w:rPr>
                <w:b/>
                <w:bCs/>
                <w:sz w:val="24"/>
              </w:rPr>
              <w:t xml:space="preserve"> 项目厂界噪声标准值（dB</w:t>
            </w:r>
            <w:r>
              <w:rPr>
                <w:rFonts w:hint="eastAsia"/>
                <w:b/>
                <w:bCs/>
                <w:sz w:val="24"/>
              </w:rPr>
              <w:t>（</w:t>
            </w:r>
            <w:r>
              <w:rPr>
                <w:b/>
                <w:bCs/>
                <w:sz w:val="24"/>
              </w:rPr>
              <w:t>A</w:t>
            </w:r>
            <w:r>
              <w:rPr>
                <w:rFonts w:hint="eastAsia"/>
                <w:b/>
                <w:bCs/>
                <w:sz w:val="24"/>
              </w:rPr>
              <w:t>）</w:t>
            </w:r>
            <w:r>
              <w:rPr>
                <w:b/>
                <w:bCs/>
                <w:sz w:val="24"/>
              </w:rPr>
              <w:t>）</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986"/>
              <w:gridCol w:w="3536"/>
              <w:gridCol w:w="985"/>
              <w:gridCol w:w="1137"/>
              <w:gridCol w:w="1290"/>
            </w:tblGrid>
            <w:tr w14:paraId="351680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111" w:type="pct"/>
                  <w:vMerge w:val="restart"/>
                  <w:vAlign w:val="center"/>
                </w:tcPr>
                <w:p w14:paraId="76525C26">
                  <w:pPr>
                    <w:adjustRightInd w:val="0"/>
                    <w:snapToGrid w:val="0"/>
                    <w:spacing w:line="280" w:lineRule="exact"/>
                    <w:jc w:val="center"/>
                    <w:rPr>
                      <w:b/>
                      <w:bCs/>
                      <w:szCs w:val="21"/>
                    </w:rPr>
                  </w:pPr>
                  <w:r>
                    <w:rPr>
                      <w:b/>
                      <w:bCs/>
                      <w:szCs w:val="21"/>
                    </w:rPr>
                    <w:t>边界名</w:t>
                  </w:r>
                </w:p>
              </w:tc>
              <w:tc>
                <w:tcPr>
                  <w:tcW w:w="1978" w:type="pct"/>
                  <w:vMerge w:val="restart"/>
                  <w:vAlign w:val="center"/>
                </w:tcPr>
                <w:p w14:paraId="50A6026F">
                  <w:pPr>
                    <w:adjustRightInd w:val="0"/>
                    <w:snapToGrid w:val="0"/>
                    <w:spacing w:line="280" w:lineRule="exact"/>
                    <w:jc w:val="center"/>
                    <w:rPr>
                      <w:b/>
                      <w:bCs/>
                      <w:szCs w:val="21"/>
                    </w:rPr>
                  </w:pPr>
                  <w:r>
                    <w:rPr>
                      <w:b/>
                      <w:bCs/>
                      <w:szCs w:val="21"/>
                    </w:rPr>
                    <w:t>执行标准</w:t>
                  </w:r>
                </w:p>
              </w:tc>
              <w:tc>
                <w:tcPr>
                  <w:tcW w:w="551" w:type="pct"/>
                  <w:vMerge w:val="restart"/>
                  <w:vAlign w:val="center"/>
                </w:tcPr>
                <w:p w14:paraId="0BB83412">
                  <w:pPr>
                    <w:adjustRightInd w:val="0"/>
                    <w:snapToGrid w:val="0"/>
                    <w:spacing w:line="280" w:lineRule="exact"/>
                    <w:jc w:val="center"/>
                    <w:rPr>
                      <w:b/>
                      <w:bCs/>
                      <w:szCs w:val="21"/>
                    </w:rPr>
                  </w:pPr>
                  <w:r>
                    <w:rPr>
                      <w:b/>
                      <w:bCs/>
                      <w:szCs w:val="21"/>
                    </w:rPr>
                    <w:t>级别</w:t>
                  </w:r>
                </w:p>
              </w:tc>
              <w:tc>
                <w:tcPr>
                  <w:tcW w:w="1357" w:type="pct"/>
                  <w:gridSpan w:val="2"/>
                  <w:vAlign w:val="center"/>
                </w:tcPr>
                <w:p w14:paraId="34B23E8D">
                  <w:pPr>
                    <w:adjustRightInd w:val="0"/>
                    <w:snapToGrid w:val="0"/>
                    <w:spacing w:line="280" w:lineRule="exact"/>
                    <w:jc w:val="center"/>
                    <w:rPr>
                      <w:b/>
                      <w:bCs/>
                      <w:szCs w:val="21"/>
                    </w:rPr>
                  </w:pPr>
                  <w:r>
                    <w:rPr>
                      <w:b/>
                      <w:bCs/>
                      <w:szCs w:val="21"/>
                    </w:rPr>
                    <w:t>标准限值dB（A）</w:t>
                  </w:r>
                </w:p>
              </w:tc>
            </w:tr>
            <w:tr w14:paraId="7B0922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111" w:type="pct"/>
                  <w:vMerge w:val="continue"/>
                  <w:vAlign w:val="center"/>
                </w:tcPr>
                <w:p w14:paraId="3B5C54BE">
                  <w:pPr>
                    <w:adjustRightInd w:val="0"/>
                    <w:snapToGrid w:val="0"/>
                    <w:spacing w:line="280" w:lineRule="exact"/>
                    <w:jc w:val="center"/>
                    <w:rPr>
                      <w:b/>
                      <w:bCs/>
                      <w:szCs w:val="21"/>
                    </w:rPr>
                  </w:pPr>
                </w:p>
              </w:tc>
              <w:tc>
                <w:tcPr>
                  <w:tcW w:w="1978" w:type="pct"/>
                  <w:vMerge w:val="continue"/>
                  <w:vAlign w:val="center"/>
                </w:tcPr>
                <w:p w14:paraId="602BDEA7">
                  <w:pPr>
                    <w:adjustRightInd w:val="0"/>
                    <w:snapToGrid w:val="0"/>
                    <w:spacing w:line="280" w:lineRule="exact"/>
                    <w:jc w:val="center"/>
                    <w:rPr>
                      <w:b/>
                      <w:bCs/>
                      <w:szCs w:val="21"/>
                    </w:rPr>
                  </w:pPr>
                </w:p>
              </w:tc>
              <w:tc>
                <w:tcPr>
                  <w:tcW w:w="551" w:type="pct"/>
                  <w:vMerge w:val="continue"/>
                  <w:vAlign w:val="center"/>
                </w:tcPr>
                <w:p w14:paraId="0E09A083">
                  <w:pPr>
                    <w:adjustRightInd w:val="0"/>
                    <w:snapToGrid w:val="0"/>
                    <w:spacing w:line="280" w:lineRule="exact"/>
                    <w:jc w:val="center"/>
                    <w:rPr>
                      <w:b/>
                      <w:bCs/>
                      <w:szCs w:val="21"/>
                    </w:rPr>
                  </w:pPr>
                </w:p>
              </w:tc>
              <w:tc>
                <w:tcPr>
                  <w:tcW w:w="636" w:type="pct"/>
                  <w:vAlign w:val="center"/>
                </w:tcPr>
                <w:p w14:paraId="225F6E06">
                  <w:pPr>
                    <w:adjustRightInd w:val="0"/>
                    <w:snapToGrid w:val="0"/>
                    <w:spacing w:line="280" w:lineRule="exact"/>
                    <w:jc w:val="center"/>
                    <w:rPr>
                      <w:b/>
                      <w:bCs/>
                      <w:szCs w:val="21"/>
                    </w:rPr>
                  </w:pPr>
                  <w:r>
                    <w:rPr>
                      <w:b/>
                      <w:bCs/>
                      <w:szCs w:val="21"/>
                    </w:rPr>
                    <w:t>昼</w:t>
                  </w:r>
                </w:p>
              </w:tc>
              <w:tc>
                <w:tcPr>
                  <w:tcW w:w="721" w:type="pct"/>
                  <w:vAlign w:val="center"/>
                </w:tcPr>
                <w:p w14:paraId="420CAB01">
                  <w:pPr>
                    <w:adjustRightInd w:val="0"/>
                    <w:snapToGrid w:val="0"/>
                    <w:spacing w:line="280" w:lineRule="exact"/>
                    <w:jc w:val="center"/>
                    <w:rPr>
                      <w:b/>
                      <w:bCs/>
                      <w:szCs w:val="21"/>
                    </w:rPr>
                  </w:pPr>
                  <w:r>
                    <w:rPr>
                      <w:b/>
                      <w:bCs/>
                      <w:szCs w:val="21"/>
                    </w:rPr>
                    <w:t>夜</w:t>
                  </w:r>
                </w:p>
              </w:tc>
            </w:tr>
            <w:tr w14:paraId="5074DD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111" w:type="pct"/>
                  <w:vAlign w:val="center"/>
                </w:tcPr>
                <w:p w14:paraId="287D59E0">
                  <w:pPr>
                    <w:adjustRightInd w:val="0"/>
                    <w:snapToGrid w:val="0"/>
                    <w:spacing w:line="280" w:lineRule="exact"/>
                    <w:jc w:val="center"/>
                    <w:rPr>
                      <w:szCs w:val="21"/>
                    </w:rPr>
                  </w:pPr>
                  <w:r>
                    <w:rPr>
                      <w:szCs w:val="21"/>
                    </w:rPr>
                    <w:t>厂界四周</w:t>
                  </w:r>
                </w:p>
              </w:tc>
              <w:tc>
                <w:tcPr>
                  <w:tcW w:w="1978" w:type="pct"/>
                  <w:vAlign w:val="center"/>
                </w:tcPr>
                <w:p w14:paraId="6BEDA40A">
                  <w:pPr>
                    <w:adjustRightInd w:val="0"/>
                    <w:snapToGrid w:val="0"/>
                    <w:spacing w:line="280" w:lineRule="exact"/>
                    <w:jc w:val="center"/>
                    <w:rPr>
                      <w:szCs w:val="21"/>
                    </w:rPr>
                  </w:pPr>
                  <w:r>
                    <w:rPr>
                      <w:szCs w:val="21"/>
                    </w:rPr>
                    <w:t>《工业企业厂界环境噪声排放标准》（GB12348-2008）</w:t>
                  </w:r>
                </w:p>
              </w:tc>
              <w:tc>
                <w:tcPr>
                  <w:tcW w:w="551" w:type="pct"/>
                  <w:vAlign w:val="center"/>
                </w:tcPr>
                <w:p w14:paraId="16BB0048">
                  <w:pPr>
                    <w:adjustRightInd w:val="0"/>
                    <w:snapToGrid w:val="0"/>
                    <w:spacing w:line="280" w:lineRule="exact"/>
                    <w:jc w:val="center"/>
                    <w:rPr>
                      <w:szCs w:val="21"/>
                    </w:rPr>
                  </w:pPr>
                  <w:r>
                    <w:rPr>
                      <w:rFonts w:hint="eastAsia"/>
                      <w:szCs w:val="21"/>
                    </w:rPr>
                    <w:t>3</w:t>
                  </w:r>
                  <w:r>
                    <w:rPr>
                      <w:szCs w:val="21"/>
                    </w:rPr>
                    <w:t>类</w:t>
                  </w:r>
                </w:p>
              </w:tc>
              <w:tc>
                <w:tcPr>
                  <w:tcW w:w="636" w:type="pct"/>
                  <w:vAlign w:val="center"/>
                </w:tcPr>
                <w:p w14:paraId="1F068C52">
                  <w:pPr>
                    <w:adjustRightInd w:val="0"/>
                    <w:snapToGrid w:val="0"/>
                    <w:spacing w:line="280" w:lineRule="exact"/>
                    <w:jc w:val="center"/>
                    <w:rPr>
                      <w:szCs w:val="21"/>
                    </w:rPr>
                  </w:pPr>
                  <w:r>
                    <w:rPr>
                      <w:szCs w:val="21"/>
                    </w:rPr>
                    <w:t>6</w:t>
                  </w:r>
                  <w:r>
                    <w:rPr>
                      <w:rFonts w:hint="eastAsia"/>
                      <w:szCs w:val="21"/>
                    </w:rPr>
                    <w:t>5</w:t>
                  </w:r>
                </w:p>
              </w:tc>
              <w:tc>
                <w:tcPr>
                  <w:tcW w:w="721" w:type="pct"/>
                  <w:vAlign w:val="center"/>
                </w:tcPr>
                <w:p w14:paraId="5941E82D">
                  <w:pPr>
                    <w:adjustRightInd w:val="0"/>
                    <w:snapToGrid w:val="0"/>
                    <w:spacing w:line="280" w:lineRule="exact"/>
                    <w:jc w:val="center"/>
                    <w:rPr>
                      <w:szCs w:val="21"/>
                    </w:rPr>
                  </w:pPr>
                  <w:r>
                    <w:rPr>
                      <w:szCs w:val="21"/>
                    </w:rPr>
                    <w:t>5</w:t>
                  </w:r>
                  <w:r>
                    <w:rPr>
                      <w:rFonts w:hint="eastAsia"/>
                      <w:szCs w:val="21"/>
                    </w:rPr>
                    <w:t>5</w:t>
                  </w:r>
                </w:p>
              </w:tc>
            </w:tr>
          </w:tbl>
          <w:p w14:paraId="2E67A782">
            <w:pPr>
              <w:spacing w:line="480" w:lineRule="exact"/>
              <w:ind w:firstLine="482" w:firstLineChars="200"/>
              <w:rPr>
                <w:b/>
                <w:bCs/>
                <w:sz w:val="24"/>
              </w:rPr>
            </w:pPr>
            <w:r>
              <w:rPr>
                <w:b/>
                <w:bCs/>
                <w:sz w:val="24"/>
              </w:rPr>
              <w:t>4、固废排放标准</w:t>
            </w:r>
          </w:p>
          <w:p w14:paraId="5991F247">
            <w:pPr>
              <w:spacing w:line="480" w:lineRule="exact"/>
              <w:ind w:firstLine="480" w:firstLineChars="200"/>
              <w:rPr>
                <w:sz w:val="24"/>
              </w:rPr>
            </w:pPr>
            <w:r>
              <w:rPr>
                <w:rFonts w:hint="eastAsia"/>
                <w:sz w:val="24"/>
              </w:rPr>
              <w:t>一般固废：一般固废贮存过程应满足相应防渗漏、防雨淋、防扬尘等环境保护要求；</w:t>
            </w:r>
          </w:p>
          <w:p w14:paraId="4F0875A5">
            <w:pPr>
              <w:spacing w:line="480" w:lineRule="exact"/>
              <w:ind w:firstLine="480" w:firstLineChars="200"/>
              <w:rPr>
                <w:sz w:val="24"/>
              </w:rPr>
            </w:pPr>
            <w:r>
              <w:rPr>
                <w:rFonts w:hint="eastAsia"/>
                <w:sz w:val="24"/>
              </w:rPr>
              <w:t>危险废物：执行《危险废物贮存污染控制标准》（GB18597-2023）、《危险废物收集、贮存、运输技术规范》（HJ2025-2012）以及《省生态环境厅关于印发〈江苏省固体废物全过程环境监管工作意见〉的通知》（苏环办〔2024〕16号）等标准、《省生态环境厅关于做好江苏省危险废物全生命周期监控系统上线运行工作的通知》（苏环办[2020]401 号）中相关规定。</w:t>
            </w:r>
          </w:p>
          <w:p w14:paraId="12960B58">
            <w:pPr>
              <w:spacing w:line="480" w:lineRule="exact"/>
              <w:ind w:firstLine="480" w:firstLineChars="200"/>
              <w:rPr>
                <w:color w:val="FF0000"/>
                <w:sz w:val="24"/>
              </w:rPr>
            </w:pPr>
          </w:p>
        </w:tc>
      </w:tr>
      <w:tr w14:paraId="36E9E3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20" w:type="dxa"/>
            <w:tcBorders>
              <w:tl2br w:val="nil"/>
              <w:tr2bl w:val="nil"/>
            </w:tcBorders>
            <w:vAlign w:val="center"/>
          </w:tcPr>
          <w:p w14:paraId="5D9267AE">
            <w:pPr>
              <w:adjustRightInd w:val="0"/>
              <w:snapToGrid w:val="0"/>
              <w:jc w:val="center"/>
              <w:rPr>
                <w:kern w:val="0"/>
                <w:szCs w:val="21"/>
              </w:rPr>
            </w:pPr>
            <w:r>
              <w:rPr>
                <w:b/>
                <w:bCs/>
                <w:kern w:val="0"/>
                <w:sz w:val="24"/>
              </w:rPr>
              <w:t>总量控制指标</w:t>
            </w:r>
          </w:p>
        </w:tc>
        <w:tc>
          <w:tcPr>
            <w:tcW w:w="8641" w:type="dxa"/>
            <w:tcBorders>
              <w:tl2br w:val="nil"/>
              <w:tr2bl w:val="nil"/>
            </w:tcBorders>
            <w:vAlign w:val="center"/>
          </w:tcPr>
          <w:p w14:paraId="54A069F5">
            <w:pPr>
              <w:adjustRightInd w:val="0"/>
              <w:snapToGrid w:val="0"/>
              <w:spacing w:line="480" w:lineRule="exact"/>
              <w:ind w:firstLine="482" w:firstLineChars="200"/>
              <w:rPr>
                <w:b/>
                <w:bCs/>
                <w:kern w:val="0"/>
                <w:sz w:val="24"/>
              </w:rPr>
            </w:pPr>
            <w:r>
              <w:rPr>
                <w:b/>
                <w:bCs/>
                <w:kern w:val="0"/>
                <w:sz w:val="24"/>
              </w:rPr>
              <w:t>1、总量控制指标</w:t>
            </w:r>
          </w:p>
          <w:p w14:paraId="290DBD7D">
            <w:pPr>
              <w:spacing w:line="480" w:lineRule="exact"/>
              <w:jc w:val="center"/>
              <w:rPr>
                <w:b/>
                <w:bCs/>
                <w:kern w:val="0"/>
                <w:sz w:val="24"/>
              </w:rPr>
            </w:pPr>
            <w:r>
              <w:rPr>
                <w:b/>
                <w:bCs/>
                <w:kern w:val="0"/>
                <w:sz w:val="24"/>
              </w:rPr>
              <w:t>表3-1</w:t>
            </w:r>
            <w:r>
              <w:rPr>
                <w:rFonts w:hint="eastAsia"/>
                <w:b/>
                <w:bCs/>
                <w:kern w:val="0"/>
                <w:sz w:val="24"/>
                <w:lang w:val="en-US" w:eastAsia="zh-CN"/>
              </w:rPr>
              <w:t>3</w:t>
            </w:r>
            <w:r>
              <w:rPr>
                <w:b/>
                <w:bCs/>
                <w:kern w:val="0"/>
                <w:sz w:val="24"/>
              </w:rPr>
              <w:t xml:space="preserve">  </w:t>
            </w:r>
            <w:r>
              <w:rPr>
                <w:b/>
                <w:sz w:val="24"/>
              </w:rPr>
              <w:t>本项目建成后全厂污染物控制指标一览表</w:t>
            </w:r>
            <w:r>
              <w:rPr>
                <w:b/>
                <w:bCs/>
                <w:kern w:val="0"/>
                <w:sz w:val="24"/>
              </w:rPr>
              <w:t>（单位：t/a）</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97"/>
              <w:gridCol w:w="436"/>
              <w:gridCol w:w="1872"/>
              <w:gridCol w:w="1087"/>
              <w:gridCol w:w="1057"/>
              <w:gridCol w:w="1073"/>
              <w:gridCol w:w="896"/>
              <w:gridCol w:w="1039"/>
              <w:gridCol w:w="1181"/>
            </w:tblGrid>
            <w:tr w14:paraId="6633F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0" w:type="pct"/>
                  <w:gridSpan w:val="2"/>
                  <w:vMerge w:val="restart"/>
                  <w:tcMar>
                    <w:left w:w="28" w:type="dxa"/>
                    <w:right w:w="28" w:type="dxa"/>
                  </w:tcMar>
                  <w:vAlign w:val="center"/>
                </w:tcPr>
                <w:p w14:paraId="0F2B23F4">
                  <w:pPr>
                    <w:jc w:val="center"/>
                    <w:rPr>
                      <w:b/>
                      <w:bCs/>
                      <w:szCs w:val="21"/>
                    </w:rPr>
                  </w:pPr>
                  <w:r>
                    <w:rPr>
                      <w:b/>
                      <w:bCs/>
                      <w:szCs w:val="21"/>
                    </w:rPr>
                    <w:t>种类</w:t>
                  </w:r>
                </w:p>
              </w:tc>
              <w:tc>
                <w:tcPr>
                  <w:tcW w:w="1047" w:type="pct"/>
                  <w:vMerge w:val="restart"/>
                  <w:tcMar>
                    <w:left w:w="28" w:type="dxa"/>
                    <w:right w:w="28" w:type="dxa"/>
                  </w:tcMar>
                  <w:vAlign w:val="center"/>
                </w:tcPr>
                <w:p w14:paraId="050EFC52">
                  <w:pPr>
                    <w:jc w:val="center"/>
                    <w:rPr>
                      <w:b/>
                      <w:bCs/>
                      <w:szCs w:val="21"/>
                    </w:rPr>
                  </w:pPr>
                  <w:r>
                    <w:rPr>
                      <w:b/>
                      <w:bCs/>
                      <w:szCs w:val="21"/>
                    </w:rPr>
                    <w:t>污染物名称</w:t>
                  </w:r>
                </w:p>
              </w:tc>
              <w:tc>
                <w:tcPr>
                  <w:tcW w:w="608" w:type="pct"/>
                  <w:vMerge w:val="restart"/>
                  <w:tcMar>
                    <w:left w:w="28" w:type="dxa"/>
                    <w:right w:w="28" w:type="dxa"/>
                  </w:tcMar>
                  <w:vAlign w:val="center"/>
                </w:tcPr>
                <w:p w14:paraId="2AF27D81">
                  <w:pPr>
                    <w:jc w:val="center"/>
                    <w:rPr>
                      <w:b/>
                      <w:bCs/>
                      <w:szCs w:val="21"/>
                    </w:rPr>
                  </w:pPr>
                  <w:r>
                    <w:rPr>
                      <w:b/>
                      <w:bCs/>
                      <w:szCs w:val="21"/>
                    </w:rPr>
                    <w:t>产生量</w:t>
                  </w:r>
                </w:p>
              </w:tc>
              <w:tc>
                <w:tcPr>
                  <w:tcW w:w="591" w:type="pct"/>
                  <w:vMerge w:val="restart"/>
                  <w:tcMar>
                    <w:left w:w="28" w:type="dxa"/>
                    <w:right w:w="28" w:type="dxa"/>
                  </w:tcMar>
                  <w:vAlign w:val="center"/>
                </w:tcPr>
                <w:p w14:paraId="33C57BAE">
                  <w:pPr>
                    <w:jc w:val="center"/>
                    <w:rPr>
                      <w:b/>
                      <w:bCs/>
                      <w:szCs w:val="21"/>
                    </w:rPr>
                  </w:pPr>
                  <w:r>
                    <w:rPr>
                      <w:b/>
                      <w:bCs/>
                      <w:szCs w:val="21"/>
                    </w:rPr>
                    <w:t>削减量</w:t>
                  </w:r>
                </w:p>
              </w:tc>
              <w:tc>
                <w:tcPr>
                  <w:tcW w:w="600" w:type="pct"/>
                  <w:vMerge w:val="restart"/>
                  <w:tcMar>
                    <w:left w:w="28" w:type="dxa"/>
                    <w:right w:w="28" w:type="dxa"/>
                  </w:tcMar>
                  <w:vAlign w:val="center"/>
                </w:tcPr>
                <w:p w14:paraId="3A26966E">
                  <w:pPr>
                    <w:jc w:val="center"/>
                    <w:rPr>
                      <w:b/>
                      <w:bCs/>
                      <w:szCs w:val="21"/>
                    </w:rPr>
                  </w:pPr>
                  <w:r>
                    <w:rPr>
                      <w:b/>
                      <w:bCs/>
                      <w:szCs w:val="21"/>
                    </w:rPr>
                    <w:t>排放量</w:t>
                  </w:r>
                </w:p>
              </w:tc>
              <w:tc>
                <w:tcPr>
                  <w:tcW w:w="501" w:type="pct"/>
                  <w:vMerge w:val="restart"/>
                  <w:tcMar>
                    <w:left w:w="28" w:type="dxa"/>
                    <w:right w:w="28" w:type="dxa"/>
                  </w:tcMar>
                  <w:vAlign w:val="center"/>
                </w:tcPr>
                <w:p w14:paraId="7565DA17">
                  <w:pPr>
                    <w:jc w:val="center"/>
                    <w:rPr>
                      <w:b/>
                      <w:bCs/>
                      <w:szCs w:val="21"/>
                    </w:rPr>
                  </w:pPr>
                  <w:r>
                    <w:rPr>
                      <w:rFonts w:hint="eastAsia"/>
                      <w:b/>
                      <w:bCs/>
                      <w:szCs w:val="21"/>
                    </w:rPr>
                    <w:t>外排环境量</w:t>
                  </w:r>
                </w:p>
              </w:tc>
              <w:tc>
                <w:tcPr>
                  <w:tcW w:w="1241" w:type="pct"/>
                  <w:gridSpan w:val="2"/>
                  <w:tcMar>
                    <w:left w:w="28" w:type="dxa"/>
                    <w:right w:w="28" w:type="dxa"/>
                  </w:tcMar>
                  <w:vAlign w:val="center"/>
                </w:tcPr>
                <w:p w14:paraId="5F6CA648">
                  <w:pPr>
                    <w:jc w:val="center"/>
                    <w:rPr>
                      <w:b/>
                      <w:szCs w:val="21"/>
                    </w:rPr>
                  </w:pPr>
                  <w:r>
                    <w:rPr>
                      <w:b/>
                      <w:szCs w:val="21"/>
                    </w:rPr>
                    <w:t>申请量</w:t>
                  </w:r>
                </w:p>
              </w:tc>
            </w:tr>
            <w:tr w14:paraId="56B7D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0" w:type="pct"/>
                  <w:gridSpan w:val="2"/>
                  <w:vMerge w:val="continue"/>
                  <w:tcMar>
                    <w:left w:w="28" w:type="dxa"/>
                    <w:right w:w="28" w:type="dxa"/>
                  </w:tcMar>
                  <w:vAlign w:val="center"/>
                </w:tcPr>
                <w:p w14:paraId="71A99760">
                  <w:pPr>
                    <w:jc w:val="center"/>
                    <w:rPr>
                      <w:szCs w:val="21"/>
                    </w:rPr>
                  </w:pPr>
                </w:p>
              </w:tc>
              <w:tc>
                <w:tcPr>
                  <w:tcW w:w="1047" w:type="pct"/>
                  <w:vMerge w:val="continue"/>
                  <w:tcMar>
                    <w:left w:w="28" w:type="dxa"/>
                    <w:right w:w="28" w:type="dxa"/>
                  </w:tcMar>
                  <w:vAlign w:val="center"/>
                </w:tcPr>
                <w:p w14:paraId="122132D7">
                  <w:pPr>
                    <w:jc w:val="center"/>
                    <w:rPr>
                      <w:szCs w:val="21"/>
                    </w:rPr>
                  </w:pPr>
                </w:p>
              </w:tc>
              <w:tc>
                <w:tcPr>
                  <w:tcW w:w="608" w:type="pct"/>
                  <w:vMerge w:val="continue"/>
                  <w:tcMar>
                    <w:left w:w="28" w:type="dxa"/>
                    <w:right w:w="28" w:type="dxa"/>
                  </w:tcMar>
                  <w:vAlign w:val="center"/>
                </w:tcPr>
                <w:p w14:paraId="1EA82A6A">
                  <w:pPr>
                    <w:jc w:val="center"/>
                    <w:rPr>
                      <w:szCs w:val="21"/>
                    </w:rPr>
                  </w:pPr>
                </w:p>
              </w:tc>
              <w:tc>
                <w:tcPr>
                  <w:tcW w:w="591" w:type="pct"/>
                  <w:vMerge w:val="continue"/>
                  <w:tcMar>
                    <w:left w:w="28" w:type="dxa"/>
                    <w:right w:w="28" w:type="dxa"/>
                  </w:tcMar>
                  <w:vAlign w:val="center"/>
                </w:tcPr>
                <w:p w14:paraId="346FE2D9">
                  <w:pPr>
                    <w:jc w:val="center"/>
                    <w:rPr>
                      <w:szCs w:val="21"/>
                    </w:rPr>
                  </w:pPr>
                </w:p>
              </w:tc>
              <w:tc>
                <w:tcPr>
                  <w:tcW w:w="600" w:type="pct"/>
                  <w:vMerge w:val="continue"/>
                  <w:tcMar>
                    <w:left w:w="28" w:type="dxa"/>
                    <w:right w:w="28" w:type="dxa"/>
                  </w:tcMar>
                  <w:vAlign w:val="center"/>
                </w:tcPr>
                <w:p w14:paraId="435E7D77">
                  <w:pPr>
                    <w:jc w:val="center"/>
                    <w:rPr>
                      <w:szCs w:val="21"/>
                    </w:rPr>
                  </w:pPr>
                </w:p>
              </w:tc>
              <w:tc>
                <w:tcPr>
                  <w:tcW w:w="501" w:type="pct"/>
                  <w:vMerge w:val="continue"/>
                  <w:tcMar>
                    <w:left w:w="28" w:type="dxa"/>
                    <w:right w:w="28" w:type="dxa"/>
                  </w:tcMar>
                  <w:vAlign w:val="center"/>
                </w:tcPr>
                <w:p w14:paraId="1B0027E2">
                  <w:pPr>
                    <w:jc w:val="center"/>
                    <w:rPr>
                      <w:szCs w:val="21"/>
                    </w:rPr>
                  </w:pPr>
                </w:p>
              </w:tc>
              <w:tc>
                <w:tcPr>
                  <w:tcW w:w="581" w:type="pct"/>
                  <w:tcMar>
                    <w:left w:w="28" w:type="dxa"/>
                    <w:right w:w="28" w:type="dxa"/>
                  </w:tcMar>
                  <w:vAlign w:val="center"/>
                </w:tcPr>
                <w:p w14:paraId="7006C0EC">
                  <w:pPr>
                    <w:jc w:val="center"/>
                    <w:rPr>
                      <w:b/>
                      <w:szCs w:val="21"/>
                    </w:rPr>
                  </w:pPr>
                  <w:r>
                    <w:rPr>
                      <w:b/>
                      <w:szCs w:val="21"/>
                    </w:rPr>
                    <w:t>控制因子</w:t>
                  </w:r>
                </w:p>
              </w:tc>
              <w:tc>
                <w:tcPr>
                  <w:tcW w:w="660" w:type="pct"/>
                  <w:tcMar>
                    <w:left w:w="28" w:type="dxa"/>
                    <w:right w:w="28" w:type="dxa"/>
                  </w:tcMar>
                  <w:vAlign w:val="center"/>
                </w:tcPr>
                <w:p w14:paraId="4E2403F0">
                  <w:pPr>
                    <w:jc w:val="center"/>
                    <w:rPr>
                      <w:b/>
                      <w:szCs w:val="21"/>
                    </w:rPr>
                  </w:pPr>
                  <w:r>
                    <w:rPr>
                      <w:b/>
                      <w:szCs w:val="21"/>
                    </w:rPr>
                    <w:t>考核因子</w:t>
                  </w:r>
                </w:p>
              </w:tc>
            </w:tr>
            <w:tr w14:paraId="479BD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0" w:type="pct"/>
                  <w:gridSpan w:val="2"/>
                  <w:vMerge w:val="restart"/>
                  <w:tcMar>
                    <w:left w:w="28" w:type="dxa"/>
                    <w:right w:w="28" w:type="dxa"/>
                  </w:tcMar>
                  <w:vAlign w:val="center"/>
                </w:tcPr>
                <w:p w14:paraId="3F2BB590">
                  <w:pPr>
                    <w:jc w:val="center"/>
                    <w:rPr>
                      <w:rFonts w:hint="eastAsia"/>
                      <w:szCs w:val="21"/>
                      <w:lang w:val="en-US" w:eastAsia="zh-CN"/>
                    </w:rPr>
                  </w:pPr>
                  <w:r>
                    <w:rPr>
                      <w:rFonts w:hint="eastAsia"/>
                      <w:szCs w:val="21"/>
                      <w:lang w:val="en-US" w:eastAsia="zh-CN"/>
                    </w:rPr>
                    <w:t>生活</w:t>
                  </w:r>
                </w:p>
                <w:p w14:paraId="08A49AEE">
                  <w:pPr>
                    <w:jc w:val="center"/>
                    <w:rPr>
                      <w:rFonts w:hint="eastAsia" w:eastAsia="宋体"/>
                      <w:szCs w:val="21"/>
                      <w:lang w:eastAsia="zh-CN"/>
                    </w:rPr>
                  </w:pPr>
                  <w:r>
                    <w:rPr>
                      <w:rFonts w:hint="eastAsia"/>
                      <w:szCs w:val="21"/>
                      <w:lang w:val="en-US" w:eastAsia="zh-CN"/>
                    </w:rPr>
                    <w:t>污水</w:t>
                  </w:r>
                </w:p>
              </w:tc>
              <w:tc>
                <w:tcPr>
                  <w:tcW w:w="1047" w:type="pct"/>
                  <w:tcMar>
                    <w:left w:w="28" w:type="dxa"/>
                    <w:right w:w="28" w:type="dxa"/>
                  </w:tcMar>
                  <w:vAlign w:val="center"/>
                </w:tcPr>
                <w:p w14:paraId="2DD86298">
                  <w:pPr>
                    <w:snapToGrid w:val="0"/>
                    <w:jc w:val="center"/>
                    <w:rPr>
                      <w:szCs w:val="21"/>
                    </w:rPr>
                  </w:pPr>
                  <w:r>
                    <w:rPr>
                      <w:szCs w:val="21"/>
                    </w:rPr>
                    <w:t>废水量</w:t>
                  </w:r>
                </w:p>
              </w:tc>
              <w:tc>
                <w:tcPr>
                  <w:tcW w:w="608" w:type="pct"/>
                  <w:tcMar>
                    <w:left w:w="28" w:type="dxa"/>
                    <w:right w:w="28" w:type="dxa"/>
                  </w:tcMar>
                  <w:vAlign w:val="center"/>
                </w:tcPr>
                <w:p w14:paraId="614B3BA8">
                  <w:pPr>
                    <w:jc w:val="center"/>
                    <w:rPr>
                      <w:szCs w:val="21"/>
                    </w:rPr>
                  </w:pPr>
                  <w:r>
                    <w:rPr>
                      <w:rFonts w:hint="eastAsia"/>
                      <w:szCs w:val="21"/>
                    </w:rPr>
                    <w:t>2040</w:t>
                  </w:r>
                </w:p>
              </w:tc>
              <w:tc>
                <w:tcPr>
                  <w:tcW w:w="591" w:type="pct"/>
                  <w:tcMar>
                    <w:left w:w="28" w:type="dxa"/>
                    <w:right w:w="28" w:type="dxa"/>
                  </w:tcMar>
                  <w:vAlign w:val="center"/>
                </w:tcPr>
                <w:p w14:paraId="1E3C7F17">
                  <w:pPr>
                    <w:jc w:val="center"/>
                    <w:rPr>
                      <w:szCs w:val="21"/>
                    </w:rPr>
                  </w:pPr>
                  <w:r>
                    <w:rPr>
                      <w:rFonts w:hint="eastAsia"/>
                      <w:szCs w:val="21"/>
                    </w:rPr>
                    <w:t>0</w:t>
                  </w:r>
                </w:p>
              </w:tc>
              <w:tc>
                <w:tcPr>
                  <w:tcW w:w="600" w:type="pct"/>
                  <w:tcMar>
                    <w:left w:w="28" w:type="dxa"/>
                    <w:right w:w="28" w:type="dxa"/>
                  </w:tcMar>
                  <w:vAlign w:val="center"/>
                </w:tcPr>
                <w:p w14:paraId="11E44DC8">
                  <w:pPr>
                    <w:jc w:val="center"/>
                    <w:rPr>
                      <w:szCs w:val="21"/>
                    </w:rPr>
                  </w:pPr>
                  <w:r>
                    <w:rPr>
                      <w:rFonts w:hint="eastAsia"/>
                      <w:szCs w:val="21"/>
                    </w:rPr>
                    <w:t>2040</w:t>
                  </w:r>
                </w:p>
              </w:tc>
              <w:tc>
                <w:tcPr>
                  <w:tcW w:w="501" w:type="pct"/>
                  <w:tcMar>
                    <w:left w:w="28" w:type="dxa"/>
                    <w:right w:w="28" w:type="dxa"/>
                  </w:tcMar>
                  <w:vAlign w:val="center"/>
                </w:tcPr>
                <w:p w14:paraId="7E889C83">
                  <w:pPr>
                    <w:jc w:val="center"/>
                    <w:rPr>
                      <w:szCs w:val="21"/>
                    </w:rPr>
                  </w:pPr>
                  <w:r>
                    <w:rPr>
                      <w:rFonts w:hint="eastAsia"/>
                      <w:szCs w:val="21"/>
                    </w:rPr>
                    <w:t>2040</w:t>
                  </w:r>
                </w:p>
              </w:tc>
              <w:tc>
                <w:tcPr>
                  <w:tcW w:w="581" w:type="pct"/>
                  <w:vAlign w:val="center"/>
                </w:tcPr>
                <w:p w14:paraId="59E949E5">
                  <w:pPr>
                    <w:jc w:val="center"/>
                    <w:rPr>
                      <w:szCs w:val="21"/>
                    </w:rPr>
                  </w:pPr>
                  <w:r>
                    <w:rPr>
                      <w:rFonts w:hint="eastAsia"/>
                      <w:szCs w:val="21"/>
                    </w:rPr>
                    <w:t>/</w:t>
                  </w:r>
                </w:p>
              </w:tc>
              <w:tc>
                <w:tcPr>
                  <w:tcW w:w="660" w:type="pct"/>
                  <w:vAlign w:val="center"/>
                </w:tcPr>
                <w:p w14:paraId="65C4BD37">
                  <w:pPr>
                    <w:jc w:val="center"/>
                    <w:rPr>
                      <w:szCs w:val="21"/>
                    </w:rPr>
                  </w:pPr>
                  <w:r>
                    <w:rPr>
                      <w:rFonts w:hint="eastAsia"/>
                      <w:szCs w:val="21"/>
                    </w:rPr>
                    <w:t>/</w:t>
                  </w:r>
                </w:p>
              </w:tc>
            </w:tr>
            <w:tr w14:paraId="00C09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0" w:type="pct"/>
                  <w:gridSpan w:val="2"/>
                  <w:vMerge w:val="continue"/>
                  <w:tcMar>
                    <w:left w:w="28" w:type="dxa"/>
                    <w:right w:w="28" w:type="dxa"/>
                  </w:tcMar>
                  <w:vAlign w:val="center"/>
                </w:tcPr>
                <w:p w14:paraId="419977E9">
                  <w:pPr>
                    <w:jc w:val="center"/>
                    <w:rPr>
                      <w:szCs w:val="21"/>
                    </w:rPr>
                  </w:pPr>
                </w:p>
              </w:tc>
              <w:tc>
                <w:tcPr>
                  <w:tcW w:w="1047" w:type="pct"/>
                  <w:tcMar>
                    <w:left w:w="28" w:type="dxa"/>
                    <w:right w:w="28" w:type="dxa"/>
                  </w:tcMar>
                  <w:vAlign w:val="center"/>
                </w:tcPr>
                <w:p w14:paraId="379A0F72">
                  <w:pPr>
                    <w:widowControl/>
                    <w:jc w:val="center"/>
                    <w:rPr>
                      <w:szCs w:val="21"/>
                    </w:rPr>
                  </w:pPr>
                  <w:r>
                    <w:rPr>
                      <w:szCs w:val="21"/>
                    </w:rPr>
                    <w:t>COD</w:t>
                  </w:r>
                </w:p>
              </w:tc>
              <w:tc>
                <w:tcPr>
                  <w:tcW w:w="608" w:type="pct"/>
                  <w:tcMar>
                    <w:left w:w="28" w:type="dxa"/>
                    <w:right w:w="28" w:type="dxa"/>
                  </w:tcMar>
                  <w:vAlign w:val="center"/>
                </w:tcPr>
                <w:p w14:paraId="2C4F4E2D">
                  <w:pPr>
                    <w:widowControl/>
                    <w:jc w:val="center"/>
                    <w:textAlignment w:val="center"/>
                    <w:rPr>
                      <w:szCs w:val="21"/>
                    </w:rPr>
                  </w:pPr>
                  <w:r>
                    <w:rPr>
                      <w:kern w:val="0"/>
                      <w:szCs w:val="21"/>
                      <w:lang w:bidi="ar"/>
                    </w:rPr>
                    <w:t>0.816</w:t>
                  </w:r>
                </w:p>
              </w:tc>
              <w:tc>
                <w:tcPr>
                  <w:tcW w:w="591" w:type="pct"/>
                  <w:tcMar>
                    <w:left w:w="28" w:type="dxa"/>
                    <w:right w:w="28" w:type="dxa"/>
                  </w:tcMar>
                  <w:vAlign w:val="center"/>
                </w:tcPr>
                <w:p w14:paraId="7976CBF1">
                  <w:pPr>
                    <w:jc w:val="center"/>
                    <w:rPr>
                      <w:szCs w:val="21"/>
                    </w:rPr>
                  </w:pPr>
                  <w:r>
                    <w:rPr>
                      <w:rFonts w:hint="eastAsia"/>
                      <w:szCs w:val="21"/>
                    </w:rPr>
                    <w:t>0</w:t>
                  </w:r>
                </w:p>
              </w:tc>
              <w:tc>
                <w:tcPr>
                  <w:tcW w:w="600" w:type="pct"/>
                  <w:tcMar>
                    <w:left w:w="28" w:type="dxa"/>
                    <w:right w:w="28" w:type="dxa"/>
                  </w:tcMar>
                  <w:vAlign w:val="center"/>
                </w:tcPr>
                <w:p w14:paraId="5D7AD436">
                  <w:pPr>
                    <w:widowControl/>
                    <w:jc w:val="center"/>
                    <w:textAlignment w:val="center"/>
                    <w:rPr>
                      <w:szCs w:val="21"/>
                    </w:rPr>
                  </w:pPr>
                  <w:r>
                    <w:rPr>
                      <w:kern w:val="0"/>
                      <w:szCs w:val="21"/>
                      <w:lang w:bidi="ar"/>
                    </w:rPr>
                    <w:t>0.816</w:t>
                  </w:r>
                </w:p>
              </w:tc>
              <w:tc>
                <w:tcPr>
                  <w:tcW w:w="501" w:type="pct"/>
                  <w:tcMar>
                    <w:left w:w="28" w:type="dxa"/>
                    <w:right w:w="28" w:type="dxa"/>
                  </w:tcMar>
                  <w:vAlign w:val="center"/>
                </w:tcPr>
                <w:p w14:paraId="4C2BF89A">
                  <w:pPr>
                    <w:ind w:left="33" w:right="-80" w:hanging="113"/>
                    <w:jc w:val="center"/>
                  </w:pPr>
                  <w:r>
                    <w:t>0.102</w:t>
                  </w:r>
                </w:p>
              </w:tc>
              <w:tc>
                <w:tcPr>
                  <w:tcW w:w="581" w:type="pct"/>
                  <w:vAlign w:val="center"/>
                </w:tcPr>
                <w:p w14:paraId="4DED15BE">
                  <w:pPr>
                    <w:widowControl/>
                    <w:jc w:val="center"/>
                    <w:textAlignment w:val="center"/>
                    <w:rPr>
                      <w:szCs w:val="21"/>
                    </w:rPr>
                  </w:pPr>
                  <w:r>
                    <w:rPr>
                      <w:kern w:val="0"/>
                      <w:szCs w:val="21"/>
                      <w:lang w:bidi="ar"/>
                    </w:rPr>
                    <w:t>0.816</w:t>
                  </w:r>
                </w:p>
              </w:tc>
              <w:tc>
                <w:tcPr>
                  <w:tcW w:w="660" w:type="pct"/>
                  <w:vAlign w:val="center"/>
                </w:tcPr>
                <w:p w14:paraId="1B680626">
                  <w:pPr>
                    <w:jc w:val="center"/>
                    <w:rPr>
                      <w:szCs w:val="21"/>
                    </w:rPr>
                  </w:pPr>
                  <w:r>
                    <w:rPr>
                      <w:rFonts w:hint="eastAsia"/>
                      <w:szCs w:val="21"/>
                    </w:rPr>
                    <w:t>/</w:t>
                  </w:r>
                </w:p>
              </w:tc>
            </w:tr>
            <w:tr w14:paraId="77B1D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0" w:type="pct"/>
                  <w:gridSpan w:val="2"/>
                  <w:vMerge w:val="continue"/>
                  <w:tcMar>
                    <w:left w:w="28" w:type="dxa"/>
                    <w:right w:w="28" w:type="dxa"/>
                  </w:tcMar>
                  <w:vAlign w:val="center"/>
                </w:tcPr>
                <w:p w14:paraId="777D1BB6">
                  <w:pPr>
                    <w:jc w:val="center"/>
                    <w:rPr>
                      <w:szCs w:val="21"/>
                    </w:rPr>
                  </w:pPr>
                </w:p>
              </w:tc>
              <w:tc>
                <w:tcPr>
                  <w:tcW w:w="1047" w:type="pct"/>
                  <w:tcMar>
                    <w:left w:w="28" w:type="dxa"/>
                    <w:right w:w="28" w:type="dxa"/>
                  </w:tcMar>
                  <w:vAlign w:val="center"/>
                </w:tcPr>
                <w:p w14:paraId="159D1865">
                  <w:pPr>
                    <w:widowControl/>
                    <w:jc w:val="center"/>
                    <w:rPr>
                      <w:szCs w:val="21"/>
                    </w:rPr>
                  </w:pPr>
                  <w:r>
                    <w:rPr>
                      <w:szCs w:val="21"/>
                    </w:rPr>
                    <w:t>SS</w:t>
                  </w:r>
                </w:p>
              </w:tc>
              <w:tc>
                <w:tcPr>
                  <w:tcW w:w="608" w:type="pct"/>
                  <w:tcMar>
                    <w:left w:w="28" w:type="dxa"/>
                    <w:right w:w="28" w:type="dxa"/>
                  </w:tcMar>
                  <w:vAlign w:val="center"/>
                </w:tcPr>
                <w:p w14:paraId="46BDA2B3">
                  <w:pPr>
                    <w:widowControl/>
                    <w:jc w:val="center"/>
                    <w:textAlignment w:val="center"/>
                    <w:rPr>
                      <w:szCs w:val="21"/>
                    </w:rPr>
                  </w:pPr>
                  <w:r>
                    <w:rPr>
                      <w:kern w:val="0"/>
                      <w:szCs w:val="21"/>
                      <w:lang w:bidi="ar"/>
                    </w:rPr>
                    <w:t>0.612</w:t>
                  </w:r>
                </w:p>
              </w:tc>
              <w:tc>
                <w:tcPr>
                  <w:tcW w:w="591" w:type="pct"/>
                  <w:tcMar>
                    <w:left w:w="28" w:type="dxa"/>
                    <w:right w:w="28" w:type="dxa"/>
                  </w:tcMar>
                  <w:vAlign w:val="center"/>
                </w:tcPr>
                <w:p w14:paraId="741775DB">
                  <w:pPr>
                    <w:jc w:val="center"/>
                    <w:rPr>
                      <w:szCs w:val="21"/>
                    </w:rPr>
                  </w:pPr>
                  <w:r>
                    <w:rPr>
                      <w:rFonts w:hint="eastAsia"/>
                      <w:szCs w:val="21"/>
                    </w:rPr>
                    <w:t>0</w:t>
                  </w:r>
                </w:p>
              </w:tc>
              <w:tc>
                <w:tcPr>
                  <w:tcW w:w="600" w:type="pct"/>
                  <w:tcMar>
                    <w:left w:w="28" w:type="dxa"/>
                    <w:right w:w="28" w:type="dxa"/>
                  </w:tcMar>
                  <w:vAlign w:val="center"/>
                </w:tcPr>
                <w:p w14:paraId="431141AD">
                  <w:pPr>
                    <w:widowControl/>
                    <w:jc w:val="center"/>
                    <w:textAlignment w:val="center"/>
                    <w:rPr>
                      <w:szCs w:val="21"/>
                    </w:rPr>
                  </w:pPr>
                  <w:r>
                    <w:rPr>
                      <w:kern w:val="0"/>
                      <w:szCs w:val="21"/>
                      <w:lang w:bidi="ar"/>
                    </w:rPr>
                    <w:t>0.612</w:t>
                  </w:r>
                </w:p>
              </w:tc>
              <w:tc>
                <w:tcPr>
                  <w:tcW w:w="501" w:type="pct"/>
                  <w:tcMar>
                    <w:left w:w="28" w:type="dxa"/>
                    <w:right w:w="28" w:type="dxa"/>
                  </w:tcMar>
                  <w:vAlign w:val="center"/>
                </w:tcPr>
                <w:p w14:paraId="08117214">
                  <w:pPr>
                    <w:ind w:left="33" w:right="-80" w:hanging="113"/>
                    <w:jc w:val="center"/>
                  </w:pPr>
                  <w:r>
                    <w:t>0.0204</w:t>
                  </w:r>
                </w:p>
              </w:tc>
              <w:tc>
                <w:tcPr>
                  <w:tcW w:w="581" w:type="pct"/>
                  <w:vAlign w:val="center"/>
                </w:tcPr>
                <w:p w14:paraId="20520FC8">
                  <w:pPr>
                    <w:widowControl/>
                    <w:jc w:val="center"/>
                    <w:textAlignment w:val="center"/>
                    <w:rPr>
                      <w:szCs w:val="21"/>
                    </w:rPr>
                  </w:pPr>
                  <w:r>
                    <w:rPr>
                      <w:rFonts w:hint="eastAsia"/>
                      <w:kern w:val="0"/>
                      <w:szCs w:val="21"/>
                      <w:lang w:bidi="ar"/>
                    </w:rPr>
                    <w:t>/</w:t>
                  </w:r>
                </w:p>
              </w:tc>
              <w:tc>
                <w:tcPr>
                  <w:tcW w:w="660" w:type="pct"/>
                  <w:vAlign w:val="center"/>
                </w:tcPr>
                <w:p w14:paraId="07342D13">
                  <w:pPr>
                    <w:jc w:val="center"/>
                    <w:rPr>
                      <w:szCs w:val="21"/>
                    </w:rPr>
                  </w:pPr>
                  <w:r>
                    <w:rPr>
                      <w:kern w:val="0"/>
                      <w:szCs w:val="21"/>
                      <w:lang w:bidi="ar"/>
                    </w:rPr>
                    <w:t>0.612</w:t>
                  </w:r>
                </w:p>
              </w:tc>
            </w:tr>
            <w:tr w14:paraId="63761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0" w:type="pct"/>
                  <w:gridSpan w:val="2"/>
                  <w:vMerge w:val="continue"/>
                  <w:tcMar>
                    <w:left w:w="28" w:type="dxa"/>
                    <w:right w:w="28" w:type="dxa"/>
                  </w:tcMar>
                  <w:vAlign w:val="center"/>
                </w:tcPr>
                <w:p w14:paraId="7C44083B">
                  <w:pPr>
                    <w:jc w:val="center"/>
                    <w:rPr>
                      <w:szCs w:val="21"/>
                    </w:rPr>
                  </w:pPr>
                </w:p>
              </w:tc>
              <w:tc>
                <w:tcPr>
                  <w:tcW w:w="1047" w:type="pct"/>
                  <w:tcMar>
                    <w:left w:w="28" w:type="dxa"/>
                    <w:right w:w="28" w:type="dxa"/>
                  </w:tcMar>
                  <w:vAlign w:val="center"/>
                </w:tcPr>
                <w:p w14:paraId="58FCAD0D">
                  <w:pPr>
                    <w:widowControl/>
                    <w:jc w:val="center"/>
                    <w:rPr>
                      <w:szCs w:val="21"/>
                    </w:rPr>
                  </w:pPr>
                  <w:r>
                    <w:rPr>
                      <w:szCs w:val="21"/>
                    </w:rPr>
                    <w:t>NH</w:t>
                  </w:r>
                  <w:r>
                    <w:rPr>
                      <w:szCs w:val="21"/>
                      <w:vertAlign w:val="subscript"/>
                    </w:rPr>
                    <w:t>3</w:t>
                  </w:r>
                  <w:r>
                    <w:rPr>
                      <w:szCs w:val="21"/>
                    </w:rPr>
                    <w:t>-N</w:t>
                  </w:r>
                </w:p>
              </w:tc>
              <w:tc>
                <w:tcPr>
                  <w:tcW w:w="608" w:type="pct"/>
                  <w:tcMar>
                    <w:left w:w="28" w:type="dxa"/>
                    <w:right w:w="28" w:type="dxa"/>
                  </w:tcMar>
                  <w:vAlign w:val="center"/>
                </w:tcPr>
                <w:p w14:paraId="7087C208">
                  <w:pPr>
                    <w:widowControl/>
                    <w:jc w:val="center"/>
                    <w:textAlignment w:val="center"/>
                    <w:rPr>
                      <w:szCs w:val="21"/>
                    </w:rPr>
                  </w:pPr>
                  <w:r>
                    <w:rPr>
                      <w:kern w:val="0"/>
                      <w:szCs w:val="21"/>
                      <w:lang w:bidi="ar"/>
                    </w:rPr>
                    <w:t>0.0816</w:t>
                  </w:r>
                </w:p>
              </w:tc>
              <w:tc>
                <w:tcPr>
                  <w:tcW w:w="591" w:type="pct"/>
                  <w:tcMar>
                    <w:left w:w="28" w:type="dxa"/>
                    <w:right w:w="28" w:type="dxa"/>
                  </w:tcMar>
                  <w:vAlign w:val="center"/>
                </w:tcPr>
                <w:p w14:paraId="232BA5D8">
                  <w:pPr>
                    <w:jc w:val="center"/>
                    <w:rPr>
                      <w:szCs w:val="21"/>
                    </w:rPr>
                  </w:pPr>
                  <w:r>
                    <w:rPr>
                      <w:rFonts w:hint="eastAsia"/>
                      <w:szCs w:val="21"/>
                    </w:rPr>
                    <w:t>0</w:t>
                  </w:r>
                </w:p>
              </w:tc>
              <w:tc>
                <w:tcPr>
                  <w:tcW w:w="600" w:type="pct"/>
                  <w:tcMar>
                    <w:left w:w="28" w:type="dxa"/>
                    <w:right w:w="28" w:type="dxa"/>
                  </w:tcMar>
                  <w:vAlign w:val="center"/>
                </w:tcPr>
                <w:p w14:paraId="5C860989">
                  <w:pPr>
                    <w:widowControl/>
                    <w:jc w:val="center"/>
                    <w:textAlignment w:val="center"/>
                    <w:rPr>
                      <w:szCs w:val="21"/>
                    </w:rPr>
                  </w:pPr>
                  <w:r>
                    <w:rPr>
                      <w:kern w:val="0"/>
                      <w:szCs w:val="21"/>
                      <w:lang w:bidi="ar"/>
                    </w:rPr>
                    <w:t>0.0816</w:t>
                  </w:r>
                </w:p>
              </w:tc>
              <w:tc>
                <w:tcPr>
                  <w:tcW w:w="501" w:type="pct"/>
                  <w:tcMar>
                    <w:left w:w="28" w:type="dxa"/>
                    <w:right w:w="28" w:type="dxa"/>
                  </w:tcMar>
                  <w:vAlign w:val="center"/>
                </w:tcPr>
                <w:p w14:paraId="1D28C435">
                  <w:pPr>
                    <w:ind w:left="33" w:right="-80" w:hanging="113"/>
                    <w:jc w:val="center"/>
                  </w:pPr>
                  <w:r>
                    <w:t>0.008</w:t>
                  </w:r>
                  <w:r>
                    <w:rPr>
                      <w:rFonts w:hint="eastAsia"/>
                    </w:rPr>
                    <w:t>2</w:t>
                  </w:r>
                </w:p>
              </w:tc>
              <w:tc>
                <w:tcPr>
                  <w:tcW w:w="581" w:type="pct"/>
                  <w:vAlign w:val="center"/>
                </w:tcPr>
                <w:p w14:paraId="3FFBED43">
                  <w:pPr>
                    <w:widowControl/>
                    <w:jc w:val="center"/>
                    <w:textAlignment w:val="center"/>
                    <w:rPr>
                      <w:szCs w:val="21"/>
                    </w:rPr>
                  </w:pPr>
                  <w:r>
                    <w:rPr>
                      <w:kern w:val="0"/>
                      <w:szCs w:val="21"/>
                      <w:lang w:bidi="ar"/>
                    </w:rPr>
                    <w:t>0.0816</w:t>
                  </w:r>
                </w:p>
              </w:tc>
              <w:tc>
                <w:tcPr>
                  <w:tcW w:w="660" w:type="pct"/>
                  <w:vAlign w:val="center"/>
                </w:tcPr>
                <w:p w14:paraId="3EC9EC2C">
                  <w:pPr>
                    <w:jc w:val="center"/>
                    <w:rPr>
                      <w:szCs w:val="21"/>
                    </w:rPr>
                  </w:pPr>
                  <w:r>
                    <w:rPr>
                      <w:rFonts w:hint="eastAsia"/>
                      <w:szCs w:val="21"/>
                    </w:rPr>
                    <w:t>/</w:t>
                  </w:r>
                </w:p>
              </w:tc>
            </w:tr>
            <w:tr w14:paraId="39DD4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0" w:type="pct"/>
                  <w:gridSpan w:val="2"/>
                  <w:vMerge w:val="continue"/>
                  <w:tcMar>
                    <w:left w:w="28" w:type="dxa"/>
                    <w:right w:w="28" w:type="dxa"/>
                  </w:tcMar>
                  <w:vAlign w:val="center"/>
                </w:tcPr>
                <w:p w14:paraId="453966CF">
                  <w:pPr>
                    <w:jc w:val="center"/>
                    <w:rPr>
                      <w:szCs w:val="21"/>
                    </w:rPr>
                  </w:pPr>
                </w:p>
              </w:tc>
              <w:tc>
                <w:tcPr>
                  <w:tcW w:w="1047" w:type="pct"/>
                  <w:tcMar>
                    <w:left w:w="28" w:type="dxa"/>
                    <w:right w:w="28" w:type="dxa"/>
                  </w:tcMar>
                  <w:vAlign w:val="center"/>
                </w:tcPr>
                <w:p w14:paraId="4629FF78">
                  <w:pPr>
                    <w:widowControl/>
                    <w:jc w:val="center"/>
                    <w:rPr>
                      <w:szCs w:val="21"/>
                    </w:rPr>
                  </w:pPr>
                  <w:r>
                    <w:rPr>
                      <w:szCs w:val="21"/>
                    </w:rPr>
                    <w:t>TP</w:t>
                  </w:r>
                </w:p>
              </w:tc>
              <w:tc>
                <w:tcPr>
                  <w:tcW w:w="608" w:type="pct"/>
                  <w:tcMar>
                    <w:left w:w="28" w:type="dxa"/>
                    <w:right w:w="28" w:type="dxa"/>
                  </w:tcMar>
                  <w:vAlign w:val="center"/>
                </w:tcPr>
                <w:p w14:paraId="543A8A7D">
                  <w:pPr>
                    <w:widowControl/>
                    <w:jc w:val="center"/>
                    <w:textAlignment w:val="center"/>
                    <w:rPr>
                      <w:szCs w:val="21"/>
                    </w:rPr>
                  </w:pPr>
                  <w:r>
                    <w:rPr>
                      <w:kern w:val="0"/>
                      <w:szCs w:val="21"/>
                      <w:lang w:bidi="ar"/>
                    </w:rPr>
                    <w:t>0.0102</w:t>
                  </w:r>
                </w:p>
              </w:tc>
              <w:tc>
                <w:tcPr>
                  <w:tcW w:w="591" w:type="pct"/>
                  <w:tcMar>
                    <w:left w:w="28" w:type="dxa"/>
                    <w:right w:w="28" w:type="dxa"/>
                  </w:tcMar>
                  <w:vAlign w:val="center"/>
                </w:tcPr>
                <w:p w14:paraId="64DFCCD4">
                  <w:pPr>
                    <w:jc w:val="center"/>
                    <w:rPr>
                      <w:szCs w:val="21"/>
                    </w:rPr>
                  </w:pPr>
                  <w:r>
                    <w:rPr>
                      <w:rFonts w:hint="eastAsia"/>
                      <w:szCs w:val="21"/>
                    </w:rPr>
                    <w:t>0</w:t>
                  </w:r>
                </w:p>
              </w:tc>
              <w:tc>
                <w:tcPr>
                  <w:tcW w:w="600" w:type="pct"/>
                  <w:tcMar>
                    <w:left w:w="28" w:type="dxa"/>
                    <w:right w:w="28" w:type="dxa"/>
                  </w:tcMar>
                  <w:vAlign w:val="center"/>
                </w:tcPr>
                <w:p w14:paraId="78C1BEAC">
                  <w:pPr>
                    <w:widowControl/>
                    <w:jc w:val="center"/>
                    <w:textAlignment w:val="center"/>
                    <w:rPr>
                      <w:szCs w:val="21"/>
                    </w:rPr>
                  </w:pPr>
                  <w:r>
                    <w:rPr>
                      <w:kern w:val="0"/>
                      <w:szCs w:val="21"/>
                      <w:lang w:bidi="ar"/>
                    </w:rPr>
                    <w:t>0.0102</w:t>
                  </w:r>
                </w:p>
              </w:tc>
              <w:tc>
                <w:tcPr>
                  <w:tcW w:w="501" w:type="pct"/>
                  <w:tcMar>
                    <w:left w:w="28" w:type="dxa"/>
                    <w:right w:w="28" w:type="dxa"/>
                  </w:tcMar>
                  <w:vAlign w:val="center"/>
                </w:tcPr>
                <w:p w14:paraId="3BBCCEA3">
                  <w:pPr>
                    <w:ind w:left="33" w:right="-80" w:hanging="113"/>
                    <w:jc w:val="center"/>
                  </w:pPr>
                  <w:r>
                    <w:t>0.001</w:t>
                  </w:r>
                </w:p>
              </w:tc>
              <w:tc>
                <w:tcPr>
                  <w:tcW w:w="581" w:type="pct"/>
                  <w:vAlign w:val="center"/>
                </w:tcPr>
                <w:p w14:paraId="55500A52">
                  <w:pPr>
                    <w:widowControl/>
                    <w:jc w:val="center"/>
                    <w:textAlignment w:val="center"/>
                    <w:rPr>
                      <w:szCs w:val="21"/>
                    </w:rPr>
                  </w:pPr>
                  <w:r>
                    <w:rPr>
                      <w:kern w:val="0"/>
                      <w:szCs w:val="21"/>
                      <w:lang w:bidi="ar"/>
                    </w:rPr>
                    <w:t>0.0102</w:t>
                  </w:r>
                </w:p>
              </w:tc>
              <w:tc>
                <w:tcPr>
                  <w:tcW w:w="660" w:type="pct"/>
                  <w:vAlign w:val="center"/>
                </w:tcPr>
                <w:p w14:paraId="7AA8D416">
                  <w:pPr>
                    <w:jc w:val="center"/>
                    <w:rPr>
                      <w:szCs w:val="21"/>
                    </w:rPr>
                  </w:pPr>
                  <w:r>
                    <w:rPr>
                      <w:rFonts w:hint="eastAsia"/>
                      <w:szCs w:val="21"/>
                    </w:rPr>
                    <w:t>/</w:t>
                  </w:r>
                </w:p>
              </w:tc>
            </w:tr>
            <w:tr w14:paraId="4B716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0" w:type="pct"/>
                  <w:gridSpan w:val="2"/>
                  <w:vMerge w:val="continue"/>
                  <w:tcMar>
                    <w:left w:w="28" w:type="dxa"/>
                    <w:right w:w="28" w:type="dxa"/>
                  </w:tcMar>
                  <w:vAlign w:val="center"/>
                </w:tcPr>
                <w:p w14:paraId="79746A41">
                  <w:pPr>
                    <w:jc w:val="center"/>
                    <w:rPr>
                      <w:szCs w:val="21"/>
                    </w:rPr>
                  </w:pPr>
                </w:p>
              </w:tc>
              <w:tc>
                <w:tcPr>
                  <w:tcW w:w="1047" w:type="pct"/>
                  <w:tcMar>
                    <w:left w:w="28" w:type="dxa"/>
                    <w:right w:w="28" w:type="dxa"/>
                  </w:tcMar>
                  <w:vAlign w:val="center"/>
                </w:tcPr>
                <w:p w14:paraId="021D36C1">
                  <w:pPr>
                    <w:jc w:val="center"/>
                    <w:rPr>
                      <w:szCs w:val="21"/>
                    </w:rPr>
                  </w:pPr>
                  <w:r>
                    <w:rPr>
                      <w:rFonts w:hint="eastAsia"/>
                      <w:szCs w:val="21"/>
                    </w:rPr>
                    <w:t>TN*</w:t>
                  </w:r>
                </w:p>
              </w:tc>
              <w:tc>
                <w:tcPr>
                  <w:tcW w:w="608" w:type="pct"/>
                  <w:tcMar>
                    <w:left w:w="28" w:type="dxa"/>
                    <w:right w:w="28" w:type="dxa"/>
                  </w:tcMar>
                  <w:vAlign w:val="center"/>
                </w:tcPr>
                <w:p w14:paraId="35CA3666">
                  <w:pPr>
                    <w:widowControl/>
                    <w:jc w:val="center"/>
                    <w:textAlignment w:val="center"/>
                    <w:rPr>
                      <w:szCs w:val="21"/>
                    </w:rPr>
                  </w:pPr>
                  <w:r>
                    <w:rPr>
                      <w:kern w:val="0"/>
                      <w:szCs w:val="21"/>
                      <w:lang w:bidi="ar"/>
                    </w:rPr>
                    <w:t>0.102</w:t>
                  </w:r>
                </w:p>
              </w:tc>
              <w:tc>
                <w:tcPr>
                  <w:tcW w:w="591" w:type="pct"/>
                  <w:tcMar>
                    <w:left w:w="28" w:type="dxa"/>
                    <w:right w:w="28" w:type="dxa"/>
                  </w:tcMar>
                  <w:vAlign w:val="center"/>
                </w:tcPr>
                <w:p w14:paraId="2995A7F2">
                  <w:pPr>
                    <w:jc w:val="center"/>
                    <w:rPr>
                      <w:szCs w:val="21"/>
                    </w:rPr>
                  </w:pPr>
                  <w:r>
                    <w:rPr>
                      <w:rFonts w:hint="eastAsia"/>
                      <w:szCs w:val="21"/>
                    </w:rPr>
                    <w:t>0</w:t>
                  </w:r>
                </w:p>
              </w:tc>
              <w:tc>
                <w:tcPr>
                  <w:tcW w:w="600" w:type="pct"/>
                  <w:tcMar>
                    <w:left w:w="28" w:type="dxa"/>
                    <w:right w:w="28" w:type="dxa"/>
                  </w:tcMar>
                  <w:vAlign w:val="center"/>
                </w:tcPr>
                <w:p w14:paraId="6D58C4EE">
                  <w:pPr>
                    <w:widowControl/>
                    <w:jc w:val="center"/>
                    <w:textAlignment w:val="center"/>
                    <w:rPr>
                      <w:szCs w:val="21"/>
                    </w:rPr>
                  </w:pPr>
                  <w:r>
                    <w:rPr>
                      <w:kern w:val="0"/>
                      <w:szCs w:val="21"/>
                      <w:lang w:bidi="ar"/>
                    </w:rPr>
                    <w:t>0.102</w:t>
                  </w:r>
                </w:p>
              </w:tc>
              <w:tc>
                <w:tcPr>
                  <w:tcW w:w="501" w:type="pct"/>
                  <w:tcMar>
                    <w:left w:w="28" w:type="dxa"/>
                    <w:right w:w="28" w:type="dxa"/>
                  </w:tcMar>
                  <w:vAlign w:val="center"/>
                </w:tcPr>
                <w:p w14:paraId="0187CC63">
                  <w:pPr>
                    <w:ind w:left="33" w:right="-80" w:hanging="113"/>
                    <w:jc w:val="center"/>
                  </w:pPr>
                  <w:r>
                    <w:t>0.024</w:t>
                  </w:r>
                  <w:r>
                    <w:rPr>
                      <w:rFonts w:hint="eastAsia"/>
                    </w:rPr>
                    <w:t>5</w:t>
                  </w:r>
                </w:p>
              </w:tc>
              <w:tc>
                <w:tcPr>
                  <w:tcW w:w="581" w:type="pct"/>
                  <w:vAlign w:val="center"/>
                </w:tcPr>
                <w:p w14:paraId="51B8910F">
                  <w:pPr>
                    <w:widowControl/>
                    <w:jc w:val="center"/>
                    <w:textAlignment w:val="center"/>
                    <w:rPr>
                      <w:szCs w:val="21"/>
                    </w:rPr>
                  </w:pPr>
                  <w:r>
                    <w:rPr>
                      <w:kern w:val="0"/>
                      <w:szCs w:val="21"/>
                      <w:lang w:bidi="ar"/>
                    </w:rPr>
                    <w:t>0.102</w:t>
                  </w:r>
                </w:p>
              </w:tc>
              <w:tc>
                <w:tcPr>
                  <w:tcW w:w="660" w:type="pct"/>
                  <w:vAlign w:val="center"/>
                </w:tcPr>
                <w:p w14:paraId="30A1D4E7">
                  <w:pPr>
                    <w:jc w:val="center"/>
                    <w:rPr>
                      <w:szCs w:val="21"/>
                    </w:rPr>
                  </w:pPr>
                  <w:r>
                    <w:rPr>
                      <w:rFonts w:hint="eastAsia"/>
                      <w:szCs w:val="21"/>
                    </w:rPr>
                    <w:t>/</w:t>
                  </w:r>
                </w:p>
              </w:tc>
            </w:tr>
            <w:tr w14:paraId="6D2DF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6" w:type="pct"/>
                  <w:vMerge w:val="restart"/>
                  <w:tcMar>
                    <w:left w:w="28" w:type="dxa"/>
                    <w:right w:w="28" w:type="dxa"/>
                  </w:tcMar>
                  <w:vAlign w:val="center"/>
                </w:tcPr>
                <w:p w14:paraId="58CE53DE">
                  <w:pPr>
                    <w:jc w:val="center"/>
                    <w:rPr>
                      <w:szCs w:val="21"/>
                    </w:rPr>
                  </w:pPr>
                  <w:r>
                    <w:rPr>
                      <w:szCs w:val="21"/>
                    </w:rPr>
                    <w:t>废气</w:t>
                  </w:r>
                </w:p>
              </w:tc>
              <w:tc>
                <w:tcPr>
                  <w:tcW w:w="243" w:type="pct"/>
                  <w:vMerge w:val="restart"/>
                  <w:tcMar>
                    <w:left w:w="28" w:type="dxa"/>
                    <w:right w:w="28" w:type="dxa"/>
                  </w:tcMar>
                  <w:vAlign w:val="center"/>
                </w:tcPr>
                <w:p w14:paraId="7E744BDA">
                  <w:pPr>
                    <w:jc w:val="center"/>
                    <w:rPr>
                      <w:szCs w:val="21"/>
                    </w:rPr>
                  </w:pPr>
                  <w:r>
                    <w:rPr>
                      <w:rFonts w:hint="eastAsia"/>
                      <w:szCs w:val="21"/>
                    </w:rPr>
                    <w:t>有组织</w:t>
                  </w:r>
                </w:p>
              </w:tc>
              <w:tc>
                <w:tcPr>
                  <w:tcW w:w="1047" w:type="pct"/>
                  <w:tcMar>
                    <w:left w:w="28" w:type="dxa"/>
                    <w:right w:w="28" w:type="dxa"/>
                  </w:tcMar>
                  <w:vAlign w:val="center"/>
                </w:tcPr>
                <w:p w14:paraId="4E8EF317">
                  <w:pPr>
                    <w:jc w:val="center"/>
                    <w:rPr>
                      <w:szCs w:val="21"/>
                    </w:rPr>
                  </w:pPr>
                  <w:r>
                    <w:rPr>
                      <w:rFonts w:hint="eastAsia"/>
                      <w:szCs w:val="21"/>
                    </w:rPr>
                    <w:t>VOCs</w:t>
                  </w:r>
                </w:p>
              </w:tc>
              <w:tc>
                <w:tcPr>
                  <w:tcW w:w="608" w:type="pct"/>
                  <w:tcMar>
                    <w:left w:w="28" w:type="dxa"/>
                    <w:right w:w="28" w:type="dxa"/>
                  </w:tcMar>
                  <w:vAlign w:val="center"/>
                </w:tcPr>
                <w:p w14:paraId="5D108DCC">
                  <w:pPr>
                    <w:widowControl/>
                    <w:jc w:val="center"/>
                    <w:textAlignment w:val="center"/>
                    <w:rPr>
                      <w:szCs w:val="21"/>
                    </w:rPr>
                  </w:pPr>
                  <w:r>
                    <w:rPr>
                      <w:rFonts w:hint="eastAsia"/>
                      <w:kern w:val="0"/>
                      <w:szCs w:val="21"/>
                      <w:lang w:val="en-US" w:eastAsia="zh-CN" w:bidi="ar"/>
                    </w:rPr>
                    <w:t>0.657</w:t>
                  </w:r>
                </w:p>
              </w:tc>
              <w:tc>
                <w:tcPr>
                  <w:tcW w:w="591" w:type="pct"/>
                  <w:tcMar>
                    <w:left w:w="28" w:type="dxa"/>
                    <w:right w:w="28" w:type="dxa"/>
                  </w:tcMar>
                  <w:vAlign w:val="center"/>
                </w:tcPr>
                <w:p w14:paraId="5F1CC025">
                  <w:pPr>
                    <w:widowControl/>
                    <w:jc w:val="center"/>
                    <w:textAlignment w:val="center"/>
                    <w:rPr>
                      <w:rFonts w:hint="default" w:eastAsia="宋体"/>
                      <w:szCs w:val="21"/>
                      <w:lang w:val="en-US" w:eastAsia="zh-CN"/>
                    </w:rPr>
                  </w:pPr>
                  <w:r>
                    <w:rPr>
                      <w:rFonts w:hint="eastAsia"/>
                      <w:szCs w:val="21"/>
                      <w:lang w:val="en-US" w:eastAsia="zh-CN"/>
                    </w:rPr>
                    <w:t>0.591</w:t>
                  </w:r>
                </w:p>
              </w:tc>
              <w:tc>
                <w:tcPr>
                  <w:tcW w:w="600" w:type="pct"/>
                  <w:tcMar>
                    <w:left w:w="28" w:type="dxa"/>
                    <w:right w:w="28" w:type="dxa"/>
                  </w:tcMar>
                  <w:vAlign w:val="center"/>
                </w:tcPr>
                <w:p w14:paraId="6D044100">
                  <w:pPr>
                    <w:widowControl/>
                    <w:jc w:val="center"/>
                    <w:textAlignment w:val="center"/>
                    <w:rPr>
                      <w:szCs w:val="21"/>
                    </w:rPr>
                  </w:pPr>
                  <w:r>
                    <w:rPr>
                      <w:kern w:val="0"/>
                      <w:szCs w:val="21"/>
                      <w:lang w:bidi="ar"/>
                    </w:rPr>
                    <w:t>0.</w:t>
                  </w:r>
                  <w:r>
                    <w:rPr>
                      <w:rFonts w:hint="eastAsia"/>
                      <w:kern w:val="0"/>
                      <w:szCs w:val="21"/>
                      <w:lang w:val="en-US" w:eastAsia="zh-CN" w:bidi="ar"/>
                    </w:rPr>
                    <w:t>066</w:t>
                  </w:r>
                </w:p>
              </w:tc>
              <w:tc>
                <w:tcPr>
                  <w:tcW w:w="501" w:type="pct"/>
                  <w:tcMar>
                    <w:left w:w="28" w:type="dxa"/>
                    <w:right w:w="28" w:type="dxa"/>
                  </w:tcMar>
                  <w:vAlign w:val="center"/>
                </w:tcPr>
                <w:p w14:paraId="573E9CFA">
                  <w:pPr>
                    <w:widowControl/>
                    <w:jc w:val="center"/>
                    <w:textAlignment w:val="center"/>
                    <w:rPr>
                      <w:szCs w:val="21"/>
                    </w:rPr>
                  </w:pPr>
                  <w:r>
                    <w:rPr>
                      <w:kern w:val="0"/>
                      <w:szCs w:val="21"/>
                      <w:lang w:bidi="ar"/>
                    </w:rPr>
                    <w:t>0.</w:t>
                  </w:r>
                  <w:r>
                    <w:rPr>
                      <w:rFonts w:hint="eastAsia"/>
                      <w:kern w:val="0"/>
                      <w:szCs w:val="21"/>
                      <w:lang w:val="en-US" w:eastAsia="zh-CN" w:bidi="ar"/>
                    </w:rPr>
                    <w:t>066</w:t>
                  </w:r>
                </w:p>
              </w:tc>
              <w:tc>
                <w:tcPr>
                  <w:tcW w:w="581" w:type="pct"/>
                  <w:tcMar>
                    <w:left w:w="28" w:type="dxa"/>
                    <w:right w:w="28" w:type="dxa"/>
                  </w:tcMar>
                  <w:vAlign w:val="center"/>
                </w:tcPr>
                <w:p w14:paraId="181905F4">
                  <w:pPr>
                    <w:widowControl/>
                    <w:jc w:val="center"/>
                    <w:textAlignment w:val="center"/>
                    <w:rPr>
                      <w:szCs w:val="21"/>
                    </w:rPr>
                  </w:pPr>
                  <w:r>
                    <w:rPr>
                      <w:kern w:val="0"/>
                      <w:szCs w:val="21"/>
                      <w:lang w:bidi="ar"/>
                    </w:rPr>
                    <w:t>0.</w:t>
                  </w:r>
                  <w:r>
                    <w:rPr>
                      <w:rFonts w:hint="eastAsia"/>
                      <w:kern w:val="0"/>
                      <w:szCs w:val="21"/>
                      <w:lang w:val="en-US" w:eastAsia="zh-CN" w:bidi="ar"/>
                    </w:rPr>
                    <w:t>066</w:t>
                  </w:r>
                </w:p>
              </w:tc>
              <w:tc>
                <w:tcPr>
                  <w:tcW w:w="660" w:type="pct"/>
                  <w:tcMar>
                    <w:left w:w="28" w:type="dxa"/>
                    <w:right w:w="28" w:type="dxa"/>
                  </w:tcMar>
                  <w:vAlign w:val="center"/>
                </w:tcPr>
                <w:p w14:paraId="13062108">
                  <w:pPr>
                    <w:widowControl/>
                    <w:snapToGrid w:val="0"/>
                    <w:jc w:val="center"/>
                    <w:rPr>
                      <w:szCs w:val="21"/>
                    </w:rPr>
                  </w:pPr>
                  <w:r>
                    <w:rPr>
                      <w:rFonts w:hint="eastAsia"/>
                      <w:szCs w:val="21"/>
                    </w:rPr>
                    <w:t>/</w:t>
                  </w:r>
                </w:p>
              </w:tc>
            </w:tr>
            <w:tr w14:paraId="22147C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6" w:type="pct"/>
                  <w:vMerge w:val="continue"/>
                  <w:tcMar>
                    <w:left w:w="28" w:type="dxa"/>
                    <w:right w:w="28" w:type="dxa"/>
                  </w:tcMar>
                  <w:vAlign w:val="center"/>
                </w:tcPr>
                <w:p w14:paraId="18500C0C">
                  <w:pPr>
                    <w:widowControl/>
                    <w:snapToGrid w:val="0"/>
                    <w:jc w:val="center"/>
                    <w:rPr>
                      <w:szCs w:val="21"/>
                    </w:rPr>
                  </w:pPr>
                </w:p>
              </w:tc>
              <w:tc>
                <w:tcPr>
                  <w:tcW w:w="243" w:type="pct"/>
                  <w:vMerge w:val="continue"/>
                  <w:tcMar>
                    <w:left w:w="28" w:type="dxa"/>
                    <w:right w:w="28" w:type="dxa"/>
                  </w:tcMar>
                  <w:vAlign w:val="center"/>
                </w:tcPr>
                <w:p w14:paraId="51EAE56D">
                  <w:pPr>
                    <w:widowControl/>
                    <w:snapToGrid w:val="0"/>
                    <w:jc w:val="center"/>
                    <w:rPr>
                      <w:szCs w:val="21"/>
                    </w:rPr>
                  </w:pPr>
                </w:p>
              </w:tc>
              <w:tc>
                <w:tcPr>
                  <w:tcW w:w="1047" w:type="pct"/>
                  <w:tcMar>
                    <w:left w:w="28" w:type="dxa"/>
                    <w:right w:w="28" w:type="dxa"/>
                  </w:tcMar>
                  <w:vAlign w:val="center"/>
                </w:tcPr>
                <w:p w14:paraId="3B7061DC">
                  <w:pPr>
                    <w:jc w:val="center"/>
                    <w:rPr>
                      <w:szCs w:val="21"/>
                    </w:rPr>
                  </w:pPr>
                  <w:r>
                    <w:rPr>
                      <w:rFonts w:hint="eastAsia"/>
                      <w:szCs w:val="21"/>
                    </w:rPr>
                    <w:t>NOx</w:t>
                  </w:r>
                </w:p>
              </w:tc>
              <w:tc>
                <w:tcPr>
                  <w:tcW w:w="608" w:type="pct"/>
                  <w:shd w:val="clear" w:color="auto" w:fill="auto"/>
                  <w:tcMar>
                    <w:left w:w="28" w:type="dxa"/>
                    <w:right w:w="28" w:type="dxa"/>
                  </w:tcMar>
                  <w:vAlign w:val="center"/>
                </w:tcPr>
                <w:p w14:paraId="616717E7">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0.0418</w:t>
                  </w:r>
                </w:p>
              </w:tc>
              <w:tc>
                <w:tcPr>
                  <w:tcW w:w="591" w:type="pct"/>
                  <w:tcMar>
                    <w:left w:w="28" w:type="dxa"/>
                    <w:right w:w="28" w:type="dxa"/>
                  </w:tcMar>
                  <w:vAlign w:val="center"/>
                </w:tcPr>
                <w:p w14:paraId="4B0CD0BC">
                  <w:pPr>
                    <w:widowControl/>
                    <w:jc w:val="center"/>
                    <w:textAlignment w:val="center"/>
                    <w:rPr>
                      <w:szCs w:val="21"/>
                    </w:rPr>
                  </w:pPr>
                  <w:r>
                    <w:rPr>
                      <w:rFonts w:hint="eastAsia"/>
                      <w:szCs w:val="21"/>
                    </w:rPr>
                    <w:t>0</w:t>
                  </w:r>
                </w:p>
              </w:tc>
              <w:tc>
                <w:tcPr>
                  <w:tcW w:w="600" w:type="pct"/>
                  <w:tcMar>
                    <w:left w:w="28" w:type="dxa"/>
                    <w:right w:w="28" w:type="dxa"/>
                  </w:tcMar>
                  <w:vAlign w:val="center"/>
                </w:tcPr>
                <w:p w14:paraId="45B091A4">
                  <w:pPr>
                    <w:widowControl/>
                    <w:jc w:val="center"/>
                    <w:textAlignment w:val="center"/>
                    <w:rPr>
                      <w:kern w:val="0"/>
                      <w:szCs w:val="21"/>
                      <w:lang w:bidi="ar"/>
                    </w:rPr>
                  </w:pPr>
                  <w:r>
                    <w:rPr>
                      <w:kern w:val="0"/>
                      <w:szCs w:val="21"/>
                      <w:lang w:bidi="ar"/>
                    </w:rPr>
                    <w:t>0.0418</w:t>
                  </w:r>
                </w:p>
              </w:tc>
              <w:tc>
                <w:tcPr>
                  <w:tcW w:w="501" w:type="pct"/>
                  <w:tcMar>
                    <w:left w:w="28" w:type="dxa"/>
                    <w:right w:w="28" w:type="dxa"/>
                  </w:tcMar>
                  <w:vAlign w:val="center"/>
                </w:tcPr>
                <w:p w14:paraId="21D01626">
                  <w:pPr>
                    <w:widowControl/>
                    <w:jc w:val="center"/>
                    <w:textAlignment w:val="center"/>
                    <w:rPr>
                      <w:kern w:val="0"/>
                      <w:szCs w:val="21"/>
                      <w:lang w:bidi="ar"/>
                    </w:rPr>
                  </w:pPr>
                  <w:r>
                    <w:rPr>
                      <w:kern w:val="0"/>
                      <w:szCs w:val="21"/>
                      <w:lang w:bidi="ar"/>
                    </w:rPr>
                    <w:t>0.0418</w:t>
                  </w:r>
                </w:p>
              </w:tc>
              <w:tc>
                <w:tcPr>
                  <w:tcW w:w="581" w:type="pct"/>
                  <w:tcMar>
                    <w:left w:w="28" w:type="dxa"/>
                    <w:right w:w="28" w:type="dxa"/>
                  </w:tcMar>
                  <w:vAlign w:val="center"/>
                </w:tcPr>
                <w:p w14:paraId="46EE73EA">
                  <w:pPr>
                    <w:widowControl/>
                    <w:jc w:val="center"/>
                    <w:textAlignment w:val="center"/>
                    <w:rPr>
                      <w:kern w:val="0"/>
                      <w:szCs w:val="21"/>
                      <w:lang w:bidi="ar"/>
                    </w:rPr>
                  </w:pPr>
                  <w:r>
                    <w:rPr>
                      <w:kern w:val="0"/>
                      <w:szCs w:val="21"/>
                      <w:lang w:bidi="ar"/>
                    </w:rPr>
                    <w:t>0.0418</w:t>
                  </w:r>
                </w:p>
              </w:tc>
              <w:tc>
                <w:tcPr>
                  <w:tcW w:w="660" w:type="pct"/>
                  <w:tcMar>
                    <w:left w:w="28" w:type="dxa"/>
                    <w:right w:w="28" w:type="dxa"/>
                  </w:tcMar>
                  <w:vAlign w:val="center"/>
                </w:tcPr>
                <w:p w14:paraId="44E1B61E">
                  <w:pPr>
                    <w:widowControl/>
                    <w:snapToGrid w:val="0"/>
                    <w:jc w:val="center"/>
                    <w:rPr>
                      <w:szCs w:val="21"/>
                    </w:rPr>
                  </w:pPr>
                  <w:r>
                    <w:rPr>
                      <w:rFonts w:hint="eastAsia"/>
                      <w:szCs w:val="21"/>
                    </w:rPr>
                    <w:t>/</w:t>
                  </w:r>
                </w:p>
              </w:tc>
            </w:tr>
            <w:tr w14:paraId="75F46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6" w:type="pct"/>
                  <w:vMerge w:val="continue"/>
                  <w:tcMar>
                    <w:left w:w="28" w:type="dxa"/>
                    <w:right w:w="28" w:type="dxa"/>
                  </w:tcMar>
                  <w:vAlign w:val="center"/>
                </w:tcPr>
                <w:p w14:paraId="06EAF906">
                  <w:pPr>
                    <w:widowControl/>
                    <w:snapToGrid w:val="0"/>
                    <w:jc w:val="center"/>
                    <w:rPr>
                      <w:szCs w:val="21"/>
                    </w:rPr>
                  </w:pPr>
                </w:p>
              </w:tc>
              <w:tc>
                <w:tcPr>
                  <w:tcW w:w="243" w:type="pct"/>
                  <w:vMerge w:val="continue"/>
                  <w:tcMar>
                    <w:left w:w="28" w:type="dxa"/>
                    <w:right w:w="28" w:type="dxa"/>
                  </w:tcMar>
                  <w:vAlign w:val="center"/>
                </w:tcPr>
                <w:p w14:paraId="7F601864">
                  <w:pPr>
                    <w:widowControl/>
                    <w:snapToGrid w:val="0"/>
                    <w:jc w:val="center"/>
                    <w:rPr>
                      <w:szCs w:val="21"/>
                    </w:rPr>
                  </w:pPr>
                </w:p>
              </w:tc>
              <w:tc>
                <w:tcPr>
                  <w:tcW w:w="1047" w:type="pct"/>
                  <w:tcMar>
                    <w:left w:w="28" w:type="dxa"/>
                    <w:right w:w="28" w:type="dxa"/>
                  </w:tcMar>
                  <w:vAlign w:val="center"/>
                </w:tcPr>
                <w:p w14:paraId="2494C3E5">
                  <w:pPr>
                    <w:jc w:val="center"/>
                    <w:rPr>
                      <w:color w:val="auto"/>
                      <w:szCs w:val="21"/>
                    </w:rPr>
                  </w:pPr>
                  <w:r>
                    <w:rPr>
                      <w:rFonts w:hint="eastAsia"/>
                      <w:color w:val="auto"/>
                      <w:szCs w:val="21"/>
                    </w:rPr>
                    <w:t>SO</w:t>
                  </w:r>
                  <w:r>
                    <w:rPr>
                      <w:rFonts w:hint="eastAsia"/>
                      <w:color w:val="auto"/>
                      <w:szCs w:val="21"/>
                      <w:vertAlign w:val="subscript"/>
                    </w:rPr>
                    <w:t>2</w:t>
                  </w:r>
                </w:p>
              </w:tc>
              <w:tc>
                <w:tcPr>
                  <w:tcW w:w="608" w:type="pct"/>
                  <w:shd w:val="clear" w:color="auto" w:fill="auto"/>
                  <w:tcMar>
                    <w:left w:w="28" w:type="dxa"/>
                    <w:right w:w="28" w:type="dxa"/>
                  </w:tcMar>
                  <w:vAlign w:val="center"/>
                </w:tcPr>
                <w:p w14:paraId="7A2BDC90">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0.012</w:t>
                  </w:r>
                </w:p>
              </w:tc>
              <w:tc>
                <w:tcPr>
                  <w:tcW w:w="591" w:type="pct"/>
                  <w:tcMar>
                    <w:left w:w="28" w:type="dxa"/>
                    <w:right w:w="28" w:type="dxa"/>
                  </w:tcMar>
                  <w:vAlign w:val="center"/>
                </w:tcPr>
                <w:p w14:paraId="7FB97F3D">
                  <w:pPr>
                    <w:widowControl/>
                    <w:jc w:val="center"/>
                    <w:textAlignment w:val="center"/>
                    <w:rPr>
                      <w:color w:val="auto"/>
                      <w:szCs w:val="21"/>
                    </w:rPr>
                  </w:pPr>
                  <w:r>
                    <w:rPr>
                      <w:rFonts w:hint="eastAsia"/>
                      <w:szCs w:val="21"/>
                    </w:rPr>
                    <w:t>0</w:t>
                  </w:r>
                </w:p>
              </w:tc>
              <w:tc>
                <w:tcPr>
                  <w:tcW w:w="600" w:type="pct"/>
                  <w:tcMar>
                    <w:left w:w="28" w:type="dxa"/>
                    <w:right w:w="28" w:type="dxa"/>
                  </w:tcMar>
                  <w:vAlign w:val="center"/>
                </w:tcPr>
                <w:p w14:paraId="0A533BFA">
                  <w:pPr>
                    <w:widowControl/>
                    <w:jc w:val="center"/>
                    <w:textAlignment w:val="center"/>
                    <w:rPr>
                      <w:color w:val="auto"/>
                      <w:kern w:val="0"/>
                      <w:szCs w:val="21"/>
                      <w:lang w:bidi="ar"/>
                    </w:rPr>
                  </w:pPr>
                  <w:r>
                    <w:rPr>
                      <w:kern w:val="0"/>
                      <w:szCs w:val="21"/>
                      <w:lang w:bidi="ar"/>
                    </w:rPr>
                    <w:t>0.012</w:t>
                  </w:r>
                </w:p>
              </w:tc>
              <w:tc>
                <w:tcPr>
                  <w:tcW w:w="501" w:type="pct"/>
                  <w:tcMar>
                    <w:left w:w="28" w:type="dxa"/>
                    <w:right w:w="28" w:type="dxa"/>
                  </w:tcMar>
                  <w:vAlign w:val="center"/>
                </w:tcPr>
                <w:p w14:paraId="3630A031">
                  <w:pPr>
                    <w:widowControl/>
                    <w:jc w:val="center"/>
                    <w:textAlignment w:val="center"/>
                    <w:rPr>
                      <w:color w:val="auto"/>
                      <w:kern w:val="0"/>
                      <w:szCs w:val="21"/>
                      <w:lang w:bidi="ar"/>
                    </w:rPr>
                  </w:pPr>
                  <w:r>
                    <w:rPr>
                      <w:kern w:val="0"/>
                      <w:szCs w:val="21"/>
                      <w:lang w:bidi="ar"/>
                    </w:rPr>
                    <w:t>0.012</w:t>
                  </w:r>
                </w:p>
              </w:tc>
              <w:tc>
                <w:tcPr>
                  <w:tcW w:w="581" w:type="pct"/>
                  <w:tcMar>
                    <w:left w:w="28" w:type="dxa"/>
                    <w:right w:w="28" w:type="dxa"/>
                  </w:tcMar>
                  <w:vAlign w:val="center"/>
                </w:tcPr>
                <w:p w14:paraId="027E3E63">
                  <w:pPr>
                    <w:widowControl/>
                    <w:jc w:val="center"/>
                    <w:textAlignment w:val="center"/>
                    <w:rPr>
                      <w:color w:val="auto"/>
                      <w:kern w:val="0"/>
                      <w:szCs w:val="21"/>
                      <w:lang w:bidi="ar"/>
                    </w:rPr>
                  </w:pPr>
                  <w:r>
                    <w:rPr>
                      <w:kern w:val="0"/>
                      <w:szCs w:val="21"/>
                      <w:lang w:bidi="ar"/>
                    </w:rPr>
                    <w:t>0.012</w:t>
                  </w:r>
                </w:p>
              </w:tc>
              <w:tc>
                <w:tcPr>
                  <w:tcW w:w="660" w:type="pct"/>
                  <w:tcMar>
                    <w:left w:w="28" w:type="dxa"/>
                    <w:right w:w="28" w:type="dxa"/>
                  </w:tcMar>
                  <w:vAlign w:val="center"/>
                </w:tcPr>
                <w:p w14:paraId="402C137D">
                  <w:pPr>
                    <w:widowControl/>
                    <w:snapToGrid w:val="0"/>
                    <w:jc w:val="center"/>
                    <w:rPr>
                      <w:color w:val="auto"/>
                      <w:szCs w:val="21"/>
                    </w:rPr>
                  </w:pPr>
                  <w:r>
                    <w:rPr>
                      <w:rFonts w:hint="eastAsia"/>
                      <w:color w:val="auto"/>
                      <w:szCs w:val="21"/>
                    </w:rPr>
                    <w:t>/</w:t>
                  </w:r>
                </w:p>
              </w:tc>
            </w:tr>
            <w:tr w14:paraId="54A60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6" w:type="pct"/>
                  <w:vMerge w:val="continue"/>
                  <w:tcMar>
                    <w:left w:w="28" w:type="dxa"/>
                    <w:right w:w="28" w:type="dxa"/>
                  </w:tcMar>
                  <w:vAlign w:val="center"/>
                </w:tcPr>
                <w:p w14:paraId="3CFC86B2">
                  <w:pPr>
                    <w:widowControl/>
                    <w:snapToGrid w:val="0"/>
                    <w:jc w:val="center"/>
                    <w:rPr>
                      <w:szCs w:val="21"/>
                    </w:rPr>
                  </w:pPr>
                </w:p>
              </w:tc>
              <w:tc>
                <w:tcPr>
                  <w:tcW w:w="243" w:type="pct"/>
                  <w:vMerge w:val="continue"/>
                  <w:tcMar>
                    <w:left w:w="28" w:type="dxa"/>
                    <w:right w:w="28" w:type="dxa"/>
                  </w:tcMar>
                  <w:vAlign w:val="center"/>
                </w:tcPr>
                <w:p w14:paraId="3EC83434">
                  <w:pPr>
                    <w:widowControl/>
                    <w:snapToGrid w:val="0"/>
                    <w:jc w:val="center"/>
                    <w:rPr>
                      <w:szCs w:val="21"/>
                    </w:rPr>
                  </w:pPr>
                </w:p>
              </w:tc>
              <w:tc>
                <w:tcPr>
                  <w:tcW w:w="1047" w:type="pct"/>
                  <w:tcMar>
                    <w:left w:w="28" w:type="dxa"/>
                    <w:right w:w="28" w:type="dxa"/>
                  </w:tcMar>
                  <w:vAlign w:val="center"/>
                </w:tcPr>
                <w:p w14:paraId="21878B0E">
                  <w:pPr>
                    <w:widowControl/>
                    <w:snapToGrid w:val="0"/>
                    <w:jc w:val="center"/>
                    <w:rPr>
                      <w:color w:val="auto"/>
                      <w:szCs w:val="21"/>
                    </w:rPr>
                  </w:pPr>
                  <w:r>
                    <w:rPr>
                      <w:rFonts w:hint="eastAsia"/>
                      <w:color w:val="auto"/>
                      <w:szCs w:val="21"/>
                    </w:rPr>
                    <w:t>颗粒物</w:t>
                  </w:r>
                </w:p>
              </w:tc>
              <w:tc>
                <w:tcPr>
                  <w:tcW w:w="608" w:type="pct"/>
                  <w:tcMar>
                    <w:left w:w="28" w:type="dxa"/>
                    <w:right w:w="28" w:type="dxa"/>
                  </w:tcMar>
                  <w:vAlign w:val="center"/>
                </w:tcPr>
                <w:p w14:paraId="67EE5B98">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1.</w:t>
                  </w:r>
                  <w:r>
                    <w:rPr>
                      <w:rFonts w:hint="eastAsia"/>
                      <w:color w:val="auto"/>
                      <w:kern w:val="0"/>
                      <w:szCs w:val="21"/>
                      <w:lang w:val="en-US" w:eastAsia="zh-CN" w:bidi="ar"/>
                    </w:rPr>
                    <w:t>65</w:t>
                  </w:r>
                </w:p>
              </w:tc>
              <w:tc>
                <w:tcPr>
                  <w:tcW w:w="591" w:type="pct"/>
                  <w:tcMar>
                    <w:left w:w="28" w:type="dxa"/>
                    <w:right w:w="28" w:type="dxa"/>
                  </w:tcMar>
                  <w:vAlign w:val="center"/>
                </w:tcPr>
                <w:p w14:paraId="3E3CC94F">
                  <w:pPr>
                    <w:widowControl/>
                    <w:jc w:val="center"/>
                    <w:textAlignment w:val="center"/>
                    <w:rPr>
                      <w:rFonts w:hint="default" w:eastAsia="宋体"/>
                      <w:color w:val="auto"/>
                      <w:szCs w:val="21"/>
                      <w:lang w:val="en-US" w:eastAsia="zh-CN"/>
                    </w:rPr>
                  </w:pPr>
                  <w:r>
                    <w:rPr>
                      <w:rFonts w:hint="eastAsia" w:eastAsia="宋体"/>
                      <w:color w:val="auto"/>
                      <w:szCs w:val="21"/>
                      <w:lang w:val="en-US" w:eastAsia="zh-CN"/>
                    </w:rPr>
                    <w:t>1.</w:t>
                  </w:r>
                  <w:r>
                    <w:rPr>
                      <w:rFonts w:hint="eastAsia"/>
                      <w:color w:val="auto"/>
                      <w:szCs w:val="21"/>
                      <w:lang w:val="en-US" w:eastAsia="zh-CN"/>
                    </w:rPr>
                    <w:t>5</w:t>
                  </w:r>
                  <w:r>
                    <w:rPr>
                      <w:rFonts w:hint="eastAsia" w:eastAsia="宋体"/>
                      <w:color w:val="auto"/>
                      <w:szCs w:val="21"/>
                      <w:lang w:val="en-US" w:eastAsia="zh-CN"/>
                    </w:rPr>
                    <w:t>53</w:t>
                  </w:r>
                  <w:r>
                    <w:rPr>
                      <w:rFonts w:hint="eastAsia"/>
                      <w:color w:val="auto"/>
                      <w:szCs w:val="21"/>
                      <w:lang w:val="en-US" w:eastAsia="zh-CN"/>
                    </w:rPr>
                    <w:t>1</w:t>
                  </w:r>
                </w:p>
              </w:tc>
              <w:tc>
                <w:tcPr>
                  <w:tcW w:w="600" w:type="pct"/>
                  <w:tcMar>
                    <w:left w:w="28" w:type="dxa"/>
                    <w:right w:w="28" w:type="dxa"/>
                  </w:tcMar>
                  <w:vAlign w:val="center"/>
                </w:tcPr>
                <w:p w14:paraId="3D03B58A">
                  <w:pPr>
                    <w:widowControl/>
                    <w:jc w:val="center"/>
                    <w:textAlignment w:val="center"/>
                    <w:rPr>
                      <w:color w:val="auto"/>
                      <w:kern w:val="0"/>
                      <w:szCs w:val="21"/>
                      <w:lang w:bidi="ar"/>
                    </w:rPr>
                  </w:pPr>
                  <w:r>
                    <w:rPr>
                      <w:rFonts w:hint="eastAsia"/>
                    </w:rPr>
                    <w:t>0.0969</w:t>
                  </w:r>
                </w:p>
              </w:tc>
              <w:tc>
                <w:tcPr>
                  <w:tcW w:w="501" w:type="pct"/>
                  <w:tcMar>
                    <w:left w:w="28" w:type="dxa"/>
                    <w:right w:w="28" w:type="dxa"/>
                  </w:tcMar>
                  <w:vAlign w:val="center"/>
                </w:tcPr>
                <w:p w14:paraId="525840CE">
                  <w:pPr>
                    <w:widowControl/>
                    <w:jc w:val="center"/>
                    <w:textAlignment w:val="center"/>
                    <w:rPr>
                      <w:color w:val="auto"/>
                      <w:kern w:val="0"/>
                      <w:szCs w:val="21"/>
                      <w:lang w:bidi="ar"/>
                    </w:rPr>
                  </w:pPr>
                  <w:r>
                    <w:rPr>
                      <w:rFonts w:hint="eastAsia"/>
                    </w:rPr>
                    <w:t>0.0969</w:t>
                  </w:r>
                </w:p>
              </w:tc>
              <w:tc>
                <w:tcPr>
                  <w:tcW w:w="581" w:type="pct"/>
                  <w:tcMar>
                    <w:left w:w="28" w:type="dxa"/>
                    <w:right w:w="28" w:type="dxa"/>
                  </w:tcMar>
                  <w:vAlign w:val="center"/>
                </w:tcPr>
                <w:p w14:paraId="1EBAF83A">
                  <w:pPr>
                    <w:widowControl/>
                    <w:jc w:val="center"/>
                    <w:textAlignment w:val="center"/>
                    <w:rPr>
                      <w:color w:val="auto"/>
                      <w:kern w:val="0"/>
                      <w:szCs w:val="21"/>
                      <w:lang w:bidi="ar"/>
                    </w:rPr>
                  </w:pPr>
                  <w:r>
                    <w:rPr>
                      <w:rFonts w:hint="eastAsia"/>
                    </w:rPr>
                    <w:t>0.0969</w:t>
                  </w:r>
                </w:p>
              </w:tc>
              <w:tc>
                <w:tcPr>
                  <w:tcW w:w="660" w:type="pct"/>
                  <w:tcMar>
                    <w:left w:w="28" w:type="dxa"/>
                    <w:right w:w="28" w:type="dxa"/>
                  </w:tcMar>
                  <w:vAlign w:val="center"/>
                </w:tcPr>
                <w:p w14:paraId="05D1974D">
                  <w:pPr>
                    <w:widowControl/>
                    <w:snapToGrid w:val="0"/>
                    <w:jc w:val="center"/>
                    <w:rPr>
                      <w:color w:val="auto"/>
                      <w:szCs w:val="21"/>
                    </w:rPr>
                  </w:pPr>
                  <w:r>
                    <w:rPr>
                      <w:rFonts w:hint="eastAsia"/>
                      <w:color w:val="auto"/>
                      <w:szCs w:val="21"/>
                    </w:rPr>
                    <w:t>/</w:t>
                  </w:r>
                </w:p>
              </w:tc>
            </w:tr>
            <w:tr w14:paraId="3806B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6" w:type="pct"/>
                  <w:vMerge w:val="continue"/>
                  <w:tcMar>
                    <w:left w:w="28" w:type="dxa"/>
                    <w:right w:w="28" w:type="dxa"/>
                  </w:tcMar>
                  <w:vAlign w:val="center"/>
                </w:tcPr>
                <w:p w14:paraId="00E85DC4">
                  <w:pPr>
                    <w:jc w:val="center"/>
                    <w:rPr>
                      <w:szCs w:val="21"/>
                    </w:rPr>
                  </w:pPr>
                </w:p>
              </w:tc>
              <w:tc>
                <w:tcPr>
                  <w:tcW w:w="243" w:type="pct"/>
                  <w:vMerge w:val="restart"/>
                  <w:tcMar>
                    <w:left w:w="28" w:type="dxa"/>
                    <w:right w:w="28" w:type="dxa"/>
                  </w:tcMar>
                  <w:vAlign w:val="center"/>
                </w:tcPr>
                <w:p w14:paraId="6D61E2B8">
                  <w:pPr>
                    <w:jc w:val="center"/>
                    <w:rPr>
                      <w:szCs w:val="21"/>
                    </w:rPr>
                  </w:pPr>
                  <w:r>
                    <w:rPr>
                      <w:rFonts w:hint="eastAsia"/>
                      <w:szCs w:val="21"/>
                    </w:rPr>
                    <w:t>无组织</w:t>
                  </w:r>
                </w:p>
              </w:tc>
              <w:tc>
                <w:tcPr>
                  <w:tcW w:w="1047" w:type="pct"/>
                  <w:tcMar>
                    <w:left w:w="28" w:type="dxa"/>
                    <w:right w:w="28" w:type="dxa"/>
                  </w:tcMar>
                  <w:vAlign w:val="center"/>
                </w:tcPr>
                <w:p w14:paraId="5F43A7BA">
                  <w:pPr>
                    <w:jc w:val="center"/>
                    <w:rPr>
                      <w:color w:val="auto"/>
                      <w:szCs w:val="21"/>
                    </w:rPr>
                  </w:pPr>
                  <w:r>
                    <w:rPr>
                      <w:rFonts w:hint="eastAsia"/>
                      <w:color w:val="auto"/>
                      <w:szCs w:val="21"/>
                    </w:rPr>
                    <w:t>VOCs</w:t>
                  </w:r>
                </w:p>
              </w:tc>
              <w:tc>
                <w:tcPr>
                  <w:tcW w:w="608" w:type="pct"/>
                  <w:shd w:val="clear" w:color="auto" w:fill="auto"/>
                  <w:tcMar>
                    <w:left w:w="28" w:type="dxa"/>
                    <w:right w:w="28" w:type="dxa"/>
                  </w:tcMar>
                  <w:vAlign w:val="center"/>
                </w:tcPr>
                <w:p w14:paraId="41866BC1">
                  <w:pPr>
                    <w:widowControl/>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073</w:t>
                  </w:r>
                </w:p>
              </w:tc>
              <w:tc>
                <w:tcPr>
                  <w:tcW w:w="591" w:type="pct"/>
                  <w:tcMar>
                    <w:left w:w="28" w:type="dxa"/>
                    <w:right w:w="28" w:type="dxa"/>
                  </w:tcMar>
                  <w:vAlign w:val="center"/>
                </w:tcPr>
                <w:p w14:paraId="5CE09524">
                  <w:pPr>
                    <w:widowControl/>
                    <w:jc w:val="center"/>
                    <w:textAlignment w:val="center"/>
                    <w:rPr>
                      <w:color w:val="auto"/>
                      <w:szCs w:val="21"/>
                    </w:rPr>
                  </w:pPr>
                  <w:r>
                    <w:rPr>
                      <w:rFonts w:hint="eastAsia"/>
                      <w:szCs w:val="21"/>
                    </w:rPr>
                    <w:t>0</w:t>
                  </w:r>
                </w:p>
              </w:tc>
              <w:tc>
                <w:tcPr>
                  <w:tcW w:w="600" w:type="pct"/>
                  <w:tcMar>
                    <w:left w:w="28" w:type="dxa"/>
                    <w:right w:w="28" w:type="dxa"/>
                  </w:tcMar>
                  <w:vAlign w:val="center"/>
                </w:tcPr>
                <w:p w14:paraId="2EC6719A">
                  <w:pPr>
                    <w:widowControl/>
                    <w:jc w:val="center"/>
                    <w:textAlignment w:val="center"/>
                    <w:rPr>
                      <w:color w:val="auto"/>
                      <w:szCs w:val="21"/>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073</w:t>
                  </w:r>
                </w:p>
              </w:tc>
              <w:tc>
                <w:tcPr>
                  <w:tcW w:w="501" w:type="pct"/>
                  <w:tcMar>
                    <w:left w:w="28" w:type="dxa"/>
                    <w:right w:w="28" w:type="dxa"/>
                  </w:tcMar>
                  <w:vAlign w:val="center"/>
                </w:tcPr>
                <w:p w14:paraId="0E00ED87">
                  <w:pPr>
                    <w:widowControl/>
                    <w:jc w:val="center"/>
                    <w:textAlignment w:val="center"/>
                    <w:rPr>
                      <w:color w:val="auto"/>
                      <w:szCs w:val="21"/>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073</w:t>
                  </w:r>
                </w:p>
              </w:tc>
              <w:tc>
                <w:tcPr>
                  <w:tcW w:w="581" w:type="pct"/>
                  <w:tcMar>
                    <w:left w:w="28" w:type="dxa"/>
                    <w:right w:w="28" w:type="dxa"/>
                  </w:tcMar>
                  <w:vAlign w:val="center"/>
                </w:tcPr>
                <w:p w14:paraId="54A4F995">
                  <w:pPr>
                    <w:widowControl/>
                    <w:jc w:val="center"/>
                    <w:textAlignment w:val="center"/>
                    <w:rPr>
                      <w:color w:val="auto"/>
                      <w:szCs w:val="21"/>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073</w:t>
                  </w:r>
                </w:p>
              </w:tc>
              <w:tc>
                <w:tcPr>
                  <w:tcW w:w="660" w:type="pct"/>
                  <w:tcMar>
                    <w:left w:w="28" w:type="dxa"/>
                    <w:right w:w="28" w:type="dxa"/>
                  </w:tcMar>
                  <w:vAlign w:val="center"/>
                </w:tcPr>
                <w:p w14:paraId="5807A30B">
                  <w:pPr>
                    <w:widowControl/>
                    <w:jc w:val="center"/>
                    <w:textAlignment w:val="center"/>
                    <w:rPr>
                      <w:color w:val="auto"/>
                      <w:szCs w:val="21"/>
                    </w:rPr>
                  </w:pPr>
                  <w:r>
                    <w:rPr>
                      <w:rFonts w:hint="eastAsia"/>
                      <w:color w:val="auto"/>
                      <w:szCs w:val="21"/>
                    </w:rPr>
                    <w:t>/</w:t>
                  </w:r>
                </w:p>
              </w:tc>
            </w:tr>
            <w:tr w14:paraId="12F04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6" w:type="pct"/>
                  <w:vMerge w:val="continue"/>
                  <w:tcMar>
                    <w:left w:w="28" w:type="dxa"/>
                    <w:right w:w="28" w:type="dxa"/>
                  </w:tcMar>
                  <w:vAlign w:val="center"/>
                </w:tcPr>
                <w:p w14:paraId="7473037B">
                  <w:pPr>
                    <w:widowControl/>
                    <w:jc w:val="center"/>
                    <w:textAlignment w:val="center"/>
                    <w:rPr>
                      <w:szCs w:val="21"/>
                    </w:rPr>
                  </w:pPr>
                </w:p>
              </w:tc>
              <w:tc>
                <w:tcPr>
                  <w:tcW w:w="243" w:type="pct"/>
                  <w:vMerge w:val="continue"/>
                  <w:tcMar>
                    <w:left w:w="28" w:type="dxa"/>
                    <w:right w:w="28" w:type="dxa"/>
                  </w:tcMar>
                  <w:vAlign w:val="center"/>
                </w:tcPr>
                <w:p w14:paraId="7B597AA5">
                  <w:pPr>
                    <w:widowControl/>
                    <w:jc w:val="center"/>
                    <w:textAlignment w:val="center"/>
                    <w:rPr>
                      <w:szCs w:val="21"/>
                    </w:rPr>
                  </w:pPr>
                </w:p>
              </w:tc>
              <w:tc>
                <w:tcPr>
                  <w:tcW w:w="1047" w:type="pct"/>
                  <w:tcMar>
                    <w:left w:w="28" w:type="dxa"/>
                    <w:right w:w="28" w:type="dxa"/>
                  </w:tcMar>
                  <w:vAlign w:val="center"/>
                </w:tcPr>
                <w:p w14:paraId="32C2FA9D">
                  <w:pPr>
                    <w:widowControl/>
                    <w:jc w:val="center"/>
                    <w:textAlignment w:val="center"/>
                    <w:rPr>
                      <w:color w:val="auto"/>
                      <w:szCs w:val="21"/>
                    </w:rPr>
                  </w:pPr>
                  <w:r>
                    <w:rPr>
                      <w:rFonts w:hint="eastAsia"/>
                      <w:color w:val="auto"/>
                      <w:szCs w:val="21"/>
                    </w:rPr>
                    <w:t>颗粒物</w:t>
                  </w:r>
                </w:p>
              </w:tc>
              <w:tc>
                <w:tcPr>
                  <w:tcW w:w="608" w:type="pct"/>
                  <w:shd w:val="clear" w:color="auto" w:fill="auto"/>
                  <w:tcMar>
                    <w:left w:w="28" w:type="dxa"/>
                    <w:right w:w="28" w:type="dxa"/>
                  </w:tcMar>
                  <w:vAlign w:val="center"/>
                </w:tcPr>
                <w:p w14:paraId="7D151772">
                  <w:pPr>
                    <w:widowControl/>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0.</w:t>
                  </w:r>
                  <w:r>
                    <w:rPr>
                      <w:rFonts w:hint="eastAsia" w:cs="Times New Roman"/>
                      <w:szCs w:val="21"/>
                      <w:lang w:val="en-US" w:eastAsia="zh-CN"/>
                    </w:rPr>
                    <w:t>1835</w:t>
                  </w:r>
                </w:p>
              </w:tc>
              <w:tc>
                <w:tcPr>
                  <w:tcW w:w="591" w:type="pct"/>
                  <w:tcMar>
                    <w:left w:w="28" w:type="dxa"/>
                    <w:right w:w="28" w:type="dxa"/>
                  </w:tcMar>
                  <w:vAlign w:val="center"/>
                </w:tcPr>
                <w:p w14:paraId="2D317C62">
                  <w:pPr>
                    <w:widowControl/>
                    <w:jc w:val="center"/>
                    <w:textAlignment w:val="center"/>
                    <w:rPr>
                      <w:rFonts w:hint="default" w:eastAsia="宋体"/>
                      <w:color w:val="auto"/>
                      <w:szCs w:val="21"/>
                      <w:lang w:val="en-US" w:eastAsia="zh-CN"/>
                    </w:rPr>
                  </w:pPr>
                  <w:r>
                    <w:rPr>
                      <w:rFonts w:hint="eastAsia"/>
                      <w:szCs w:val="21"/>
                    </w:rPr>
                    <w:t>0</w:t>
                  </w:r>
                </w:p>
              </w:tc>
              <w:tc>
                <w:tcPr>
                  <w:tcW w:w="600" w:type="pct"/>
                  <w:tcMar>
                    <w:left w:w="28" w:type="dxa"/>
                    <w:right w:w="28" w:type="dxa"/>
                  </w:tcMar>
                  <w:vAlign w:val="center"/>
                </w:tcPr>
                <w:p w14:paraId="5E7D7AC4">
                  <w:pPr>
                    <w:widowControl/>
                    <w:jc w:val="center"/>
                    <w:textAlignment w:val="center"/>
                    <w:rPr>
                      <w:rFonts w:hint="default"/>
                      <w:color w:val="auto"/>
                      <w:szCs w:val="21"/>
                      <w:lang w:val="en-US"/>
                    </w:rPr>
                  </w:pPr>
                  <w:r>
                    <w:rPr>
                      <w:rFonts w:hint="eastAsia" w:ascii="Times New Roman" w:hAnsi="Times New Roman" w:eastAsia="宋体" w:cs="Times New Roman"/>
                      <w:szCs w:val="21"/>
                    </w:rPr>
                    <w:t>0.</w:t>
                  </w:r>
                  <w:r>
                    <w:rPr>
                      <w:rFonts w:hint="eastAsia" w:cs="Times New Roman"/>
                      <w:szCs w:val="21"/>
                      <w:lang w:val="en-US" w:eastAsia="zh-CN"/>
                    </w:rPr>
                    <w:t>1835</w:t>
                  </w:r>
                </w:p>
              </w:tc>
              <w:tc>
                <w:tcPr>
                  <w:tcW w:w="501" w:type="pct"/>
                  <w:tcMar>
                    <w:left w:w="28" w:type="dxa"/>
                    <w:right w:w="28" w:type="dxa"/>
                  </w:tcMar>
                  <w:vAlign w:val="center"/>
                </w:tcPr>
                <w:p w14:paraId="0EDB8FC4">
                  <w:pPr>
                    <w:widowControl/>
                    <w:jc w:val="center"/>
                    <w:textAlignment w:val="center"/>
                    <w:rPr>
                      <w:color w:val="auto"/>
                      <w:szCs w:val="21"/>
                    </w:rPr>
                  </w:pPr>
                  <w:r>
                    <w:rPr>
                      <w:rFonts w:hint="eastAsia" w:ascii="Times New Roman" w:hAnsi="Times New Roman" w:eastAsia="宋体" w:cs="Times New Roman"/>
                      <w:szCs w:val="21"/>
                    </w:rPr>
                    <w:t>0.</w:t>
                  </w:r>
                  <w:r>
                    <w:rPr>
                      <w:rFonts w:hint="eastAsia" w:cs="Times New Roman"/>
                      <w:szCs w:val="21"/>
                      <w:lang w:val="en-US" w:eastAsia="zh-CN"/>
                    </w:rPr>
                    <w:t>1835</w:t>
                  </w:r>
                </w:p>
              </w:tc>
              <w:tc>
                <w:tcPr>
                  <w:tcW w:w="581" w:type="pct"/>
                  <w:tcMar>
                    <w:left w:w="28" w:type="dxa"/>
                    <w:right w:w="28" w:type="dxa"/>
                  </w:tcMar>
                  <w:vAlign w:val="center"/>
                </w:tcPr>
                <w:p w14:paraId="18270E86">
                  <w:pPr>
                    <w:widowControl/>
                    <w:jc w:val="center"/>
                    <w:textAlignment w:val="center"/>
                    <w:rPr>
                      <w:color w:val="auto"/>
                      <w:szCs w:val="21"/>
                    </w:rPr>
                  </w:pPr>
                  <w:r>
                    <w:rPr>
                      <w:rFonts w:hint="eastAsia" w:ascii="Times New Roman" w:hAnsi="Times New Roman" w:eastAsia="宋体" w:cs="Times New Roman"/>
                      <w:szCs w:val="21"/>
                    </w:rPr>
                    <w:t>0.</w:t>
                  </w:r>
                  <w:r>
                    <w:rPr>
                      <w:rFonts w:hint="eastAsia" w:cs="Times New Roman"/>
                      <w:szCs w:val="21"/>
                      <w:lang w:val="en-US" w:eastAsia="zh-CN"/>
                    </w:rPr>
                    <w:t>1835</w:t>
                  </w:r>
                </w:p>
              </w:tc>
              <w:tc>
                <w:tcPr>
                  <w:tcW w:w="660" w:type="pct"/>
                  <w:tcMar>
                    <w:left w:w="28" w:type="dxa"/>
                    <w:right w:w="28" w:type="dxa"/>
                  </w:tcMar>
                  <w:vAlign w:val="center"/>
                </w:tcPr>
                <w:p w14:paraId="2D64E6A0">
                  <w:pPr>
                    <w:widowControl/>
                    <w:jc w:val="center"/>
                    <w:textAlignment w:val="center"/>
                    <w:rPr>
                      <w:color w:val="auto"/>
                      <w:szCs w:val="21"/>
                    </w:rPr>
                  </w:pPr>
                  <w:r>
                    <w:rPr>
                      <w:rFonts w:hint="eastAsia"/>
                      <w:color w:val="auto"/>
                      <w:szCs w:val="21"/>
                    </w:rPr>
                    <w:t>/</w:t>
                  </w:r>
                </w:p>
              </w:tc>
            </w:tr>
            <w:tr w14:paraId="074CA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0" w:type="pct"/>
                  <w:gridSpan w:val="2"/>
                  <w:vMerge w:val="restart"/>
                  <w:tcMar>
                    <w:left w:w="28" w:type="dxa"/>
                    <w:right w:w="28" w:type="dxa"/>
                  </w:tcMar>
                  <w:vAlign w:val="center"/>
                </w:tcPr>
                <w:p w14:paraId="26F73FED">
                  <w:pPr>
                    <w:jc w:val="center"/>
                    <w:rPr>
                      <w:szCs w:val="21"/>
                    </w:rPr>
                  </w:pPr>
                  <w:r>
                    <w:rPr>
                      <w:szCs w:val="21"/>
                    </w:rPr>
                    <w:t>固废</w:t>
                  </w:r>
                </w:p>
              </w:tc>
              <w:tc>
                <w:tcPr>
                  <w:tcW w:w="1047" w:type="pct"/>
                  <w:tcMar>
                    <w:left w:w="28" w:type="dxa"/>
                    <w:right w:w="28" w:type="dxa"/>
                  </w:tcMar>
                  <w:vAlign w:val="center"/>
                </w:tcPr>
                <w:p w14:paraId="765C394A">
                  <w:pPr>
                    <w:jc w:val="center"/>
                    <w:rPr>
                      <w:color w:val="auto"/>
                      <w:szCs w:val="21"/>
                    </w:rPr>
                  </w:pPr>
                  <w:r>
                    <w:rPr>
                      <w:color w:val="auto"/>
                      <w:szCs w:val="21"/>
                    </w:rPr>
                    <w:t>一般固废</w:t>
                  </w:r>
                </w:p>
              </w:tc>
              <w:tc>
                <w:tcPr>
                  <w:tcW w:w="608" w:type="pct"/>
                  <w:tcMar>
                    <w:left w:w="28" w:type="dxa"/>
                    <w:right w:w="28" w:type="dxa"/>
                  </w:tcMar>
                  <w:vAlign w:val="center"/>
                </w:tcPr>
                <w:p w14:paraId="4B0ED60D">
                  <w:pPr>
                    <w:widowControl/>
                    <w:jc w:val="center"/>
                    <w:textAlignment w:val="center"/>
                    <w:rPr>
                      <w:snapToGrid w:val="0"/>
                      <w:color w:val="auto"/>
                      <w:szCs w:val="21"/>
                    </w:rPr>
                  </w:pPr>
                  <w:r>
                    <w:rPr>
                      <w:rFonts w:hint="eastAsia"/>
                    </w:rPr>
                    <w:t>16.817</w:t>
                  </w:r>
                </w:p>
              </w:tc>
              <w:tc>
                <w:tcPr>
                  <w:tcW w:w="591" w:type="pct"/>
                  <w:tcMar>
                    <w:left w:w="28" w:type="dxa"/>
                    <w:right w:w="28" w:type="dxa"/>
                  </w:tcMar>
                  <w:vAlign w:val="center"/>
                </w:tcPr>
                <w:p w14:paraId="13368877">
                  <w:pPr>
                    <w:widowControl/>
                    <w:jc w:val="center"/>
                    <w:textAlignment w:val="center"/>
                    <w:rPr>
                      <w:snapToGrid w:val="0"/>
                      <w:color w:val="auto"/>
                      <w:szCs w:val="21"/>
                    </w:rPr>
                  </w:pPr>
                  <w:r>
                    <w:rPr>
                      <w:rFonts w:hint="eastAsia"/>
                    </w:rPr>
                    <w:t>16.817</w:t>
                  </w:r>
                </w:p>
              </w:tc>
              <w:tc>
                <w:tcPr>
                  <w:tcW w:w="600" w:type="pct"/>
                  <w:tcMar>
                    <w:left w:w="28" w:type="dxa"/>
                    <w:right w:w="28" w:type="dxa"/>
                  </w:tcMar>
                  <w:vAlign w:val="center"/>
                </w:tcPr>
                <w:p w14:paraId="2E1E0B9B">
                  <w:pPr>
                    <w:jc w:val="center"/>
                    <w:rPr>
                      <w:color w:val="auto"/>
                      <w:szCs w:val="21"/>
                    </w:rPr>
                  </w:pPr>
                  <w:r>
                    <w:rPr>
                      <w:rFonts w:hint="eastAsia"/>
                      <w:color w:val="auto"/>
                      <w:szCs w:val="21"/>
                    </w:rPr>
                    <w:t>0</w:t>
                  </w:r>
                </w:p>
              </w:tc>
              <w:tc>
                <w:tcPr>
                  <w:tcW w:w="501" w:type="pct"/>
                  <w:tcMar>
                    <w:left w:w="28" w:type="dxa"/>
                    <w:right w:w="28" w:type="dxa"/>
                  </w:tcMar>
                  <w:vAlign w:val="center"/>
                </w:tcPr>
                <w:p w14:paraId="51B012FF">
                  <w:pPr>
                    <w:jc w:val="center"/>
                    <w:rPr>
                      <w:color w:val="auto"/>
                      <w:szCs w:val="21"/>
                    </w:rPr>
                  </w:pPr>
                  <w:r>
                    <w:rPr>
                      <w:rFonts w:hint="eastAsia"/>
                      <w:color w:val="auto"/>
                      <w:szCs w:val="21"/>
                    </w:rPr>
                    <w:t>0</w:t>
                  </w:r>
                </w:p>
              </w:tc>
              <w:tc>
                <w:tcPr>
                  <w:tcW w:w="581" w:type="pct"/>
                  <w:tcMar>
                    <w:left w:w="28" w:type="dxa"/>
                    <w:right w:w="28" w:type="dxa"/>
                  </w:tcMar>
                  <w:vAlign w:val="center"/>
                </w:tcPr>
                <w:p w14:paraId="6AD5AABC">
                  <w:pPr>
                    <w:jc w:val="center"/>
                    <w:rPr>
                      <w:color w:val="auto"/>
                      <w:szCs w:val="21"/>
                    </w:rPr>
                  </w:pPr>
                  <w:r>
                    <w:rPr>
                      <w:color w:val="auto"/>
                      <w:szCs w:val="21"/>
                    </w:rPr>
                    <w:t>0</w:t>
                  </w:r>
                </w:p>
              </w:tc>
              <w:tc>
                <w:tcPr>
                  <w:tcW w:w="660" w:type="pct"/>
                  <w:tcMar>
                    <w:left w:w="28" w:type="dxa"/>
                    <w:right w:w="28" w:type="dxa"/>
                  </w:tcMar>
                  <w:vAlign w:val="center"/>
                </w:tcPr>
                <w:p w14:paraId="2203CFEE">
                  <w:pPr>
                    <w:jc w:val="center"/>
                    <w:rPr>
                      <w:color w:val="auto"/>
                      <w:szCs w:val="21"/>
                    </w:rPr>
                  </w:pPr>
                  <w:r>
                    <w:rPr>
                      <w:color w:val="auto"/>
                      <w:szCs w:val="21"/>
                    </w:rPr>
                    <w:t>0</w:t>
                  </w:r>
                </w:p>
              </w:tc>
            </w:tr>
            <w:tr w14:paraId="5B9C7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0" w:type="pct"/>
                  <w:gridSpan w:val="2"/>
                  <w:vMerge w:val="continue"/>
                  <w:tcMar>
                    <w:left w:w="28" w:type="dxa"/>
                    <w:right w:w="28" w:type="dxa"/>
                  </w:tcMar>
                  <w:vAlign w:val="center"/>
                </w:tcPr>
                <w:p w14:paraId="23496BDB">
                  <w:pPr>
                    <w:jc w:val="center"/>
                    <w:rPr>
                      <w:szCs w:val="21"/>
                    </w:rPr>
                  </w:pPr>
                </w:p>
              </w:tc>
              <w:tc>
                <w:tcPr>
                  <w:tcW w:w="1047" w:type="pct"/>
                  <w:tcMar>
                    <w:left w:w="28" w:type="dxa"/>
                    <w:right w:w="28" w:type="dxa"/>
                  </w:tcMar>
                  <w:vAlign w:val="center"/>
                </w:tcPr>
                <w:p w14:paraId="52BB7B43">
                  <w:pPr>
                    <w:jc w:val="center"/>
                    <w:rPr>
                      <w:szCs w:val="21"/>
                    </w:rPr>
                  </w:pPr>
                  <w:r>
                    <w:rPr>
                      <w:szCs w:val="21"/>
                    </w:rPr>
                    <w:t>危险固废</w:t>
                  </w:r>
                </w:p>
              </w:tc>
              <w:tc>
                <w:tcPr>
                  <w:tcW w:w="608" w:type="pct"/>
                  <w:tcMar>
                    <w:left w:w="28" w:type="dxa"/>
                    <w:right w:w="28" w:type="dxa"/>
                  </w:tcMar>
                  <w:vAlign w:val="center"/>
                </w:tcPr>
                <w:p w14:paraId="7D7496D9">
                  <w:pPr>
                    <w:widowControl/>
                    <w:jc w:val="center"/>
                    <w:textAlignment w:val="center"/>
                    <w:rPr>
                      <w:szCs w:val="21"/>
                    </w:rPr>
                  </w:pPr>
                  <w:r>
                    <w:rPr>
                      <w:rFonts w:hint="eastAsia"/>
                      <w:szCs w:val="21"/>
                    </w:rPr>
                    <w:t>11.331</w:t>
                  </w:r>
                </w:p>
              </w:tc>
              <w:tc>
                <w:tcPr>
                  <w:tcW w:w="591" w:type="pct"/>
                  <w:tcMar>
                    <w:left w:w="28" w:type="dxa"/>
                    <w:right w:w="28" w:type="dxa"/>
                  </w:tcMar>
                  <w:vAlign w:val="center"/>
                </w:tcPr>
                <w:p w14:paraId="7CCBF70B">
                  <w:pPr>
                    <w:widowControl/>
                    <w:jc w:val="center"/>
                    <w:textAlignment w:val="center"/>
                    <w:rPr>
                      <w:szCs w:val="21"/>
                    </w:rPr>
                  </w:pPr>
                  <w:r>
                    <w:rPr>
                      <w:rFonts w:hint="eastAsia"/>
                      <w:szCs w:val="21"/>
                    </w:rPr>
                    <w:t>11.331</w:t>
                  </w:r>
                </w:p>
              </w:tc>
              <w:tc>
                <w:tcPr>
                  <w:tcW w:w="600" w:type="pct"/>
                  <w:tcMar>
                    <w:left w:w="28" w:type="dxa"/>
                    <w:right w:w="28" w:type="dxa"/>
                  </w:tcMar>
                  <w:vAlign w:val="center"/>
                </w:tcPr>
                <w:p w14:paraId="37D156B6">
                  <w:pPr>
                    <w:jc w:val="center"/>
                    <w:rPr>
                      <w:szCs w:val="21"/>
                    </w:rPr>
                  </w:pPr>
                  <w:r>
                    <w:rPr>
                      <w:rFonts w:hint="eastAsia"/>
                      <w:szCs w:val="21"/>
                    </w:rPr>
                    <w:t>0</w:t>
                  </w:r>
                </w:p>
              </w:tc>
              <w:tc>
                <w:tcPr>
                  <w:tcW w:w="501" w:type="pct"/>
                  <w:tcMar>
                    <w:left w:w="28" w:type="dxa"/>
                    <w:right w:w="28" w:type="dxa"/>
                  </w:tcMar>
                  <w:vAlign w:val="center"/>
                </w:tcPr>
                <w:p w14:paraId="74F84560">
                  <w:pPr>
                    <w:jc w:val="center"/>
                    <w:rPr>
                      <w:szCs w:val="21"/>
                    </w:rPr>
                  </w:pPr>
                  <w:r>
                    <w:rPr>
                      <w:rFonts w:hint="eastAsia"/>
                      <w:szCs w:val="21"/>
                    </w:rPr>
                    <w:t>0</w:t>
                  </w:r>
                </w:p>
              </w:tc>
              <w:tc>
                <w:tcPr>
                  <w:tcW w:w="581" w:type="pct"/>
                  <w:tcMar>
                    <w:left w:w="28" w:type="dxa"/>
                    <w:right w:w="28" w:type="dxa"/>
                  </w:tcMar>
                  <w:vAlign w:val="center"/>
                </w:tcPr>
                <w:p w14:paraId="738A7C18">
                  <w:pPr>
                    <w:jc w:val="center"/>
                    <w:rPr>
                      <w:szCs w:val="21"/>
                    </w:rPr>
                  </w:pPr>
                  <w:r>
                    <w:rPr>
                      <w:szCs w:val="21"/>
                    </w:rPr>
                    <w:t>0</w:t>
                  </w:r>
                </w:p>
              </w:tc>
              <w:tc>
                <w:tcPr>
                  <w:tcW w:w="660" w:type="pct"/>
                  <w:tcMar>
                    <w:left w:w="28" w:type="dxa"/>
                    <w:right w:w="28" w:type="dxa"/>
                  </w:tcMar>
                  <w:vAlign w:val="center"/>
                </w:tcPr>
                <w:p w14:paraId="22C78740">
                  <w:pPr>
                    <w:jc w:val="center"/>
                    <w:rPr>
                      <w:szCs w:val="21"/>
                    </w:rPr>
                  </w:pPr>
                  <w:r>
                    <w:rPr>
                      <w:szCs w:val="21"/>
                    </w:rPr>
                    <w:t>0</w:t>
                  </w:r>
                </w:p>
              </w:tc>
            </w:tr>
            <w:tr w14:paraId="42A01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0" w:type="pct"/>
                  <w:gridSpan w:val="2"/>
                  <w:vMerge w:val="continue"/>
                  <w:tcMar>
                    <w:left w:w="28" w:type="dxa"/>
                    <w:right w:w="28" w:type="dxa"/>
                  </w:tcMar>
                  <w:vAlign w:val="center"/>
                </w:tcPr>
                <w:p w14:paraId="1C825957">
                  <w:pPr>
                    <w:jc w:val="center"/>
                    <w:rPr>
                      <w:szCs w:val="21"/>
                    </w:rPr>
                  </w:pPr>
                </w:p>
              </w:tc>
              <w:tc>
                <w:tcPr>
                  <w:tcW w:w="1047" w:type="pct"/>
                  <w:tcMar>
                    <w:left w:w="28" w:type="dxa"/>
                    <w:right w:w="28" w:type="dxa"/>
                  </w:tcMar>
                  <w:vAlign w:val="center"/>
                </w:tcPr>
                <w:p w14:paraId="4FAA2DCE">
                  <w:pPr>
                    <w:jc w:val="center"/>
                    <w:rPr>
                      <w:szCs w:val="21"/>
                    </w:rPr>
                  </w:pPr>
                  <w:r>
                    <w:rPr>
                      <w:szCs w:val="21"/>
                    </w:rPr>
                    <w:t>生活垃圾</w:t>
                  </w:r>
                </w:p>
              </w:tc>
              <w:tc>
                <w:tcPr>
                  <w:tcW w:w="608" w:type="pct"/>
                  <w:tcMar>
                    <w:left w:w="28" w:type="dxa"/>
                    <w:right w:w="28" w:type="dxa"/>
                  </w:tcMar>
                  <w:vAlign w:val="center"/>
                </w:tcPr>
                <w:p w14:paraId="4EAC1173">
                  <w:pPr>
                    <w:jc w:val="center"/>
                    <w:rPr>
                      <w:szCs w:val="21"/>
                    </w:rPr>
                  </w:pPr>
                  <w:r>
                    <w:rPr>
                      <w:rFonts w:hint="eastAsia"/>
                      <w:szCs w:val="21"/>
                    </w:rPr>
                    <w:t>15</w:t>
                  </w:r>
                </w:p>
              </w:tc>
              <w:tc>
                <w:tcPr>
                  <w:tcW w:w="591" w:type="pct"/>
                  <w:tcMar>
                    <w:left w:w="28" w:type="dxa"/>
                    <w:right w:w="28" w:type="dxa"/>
                  </w:tcMar>
                  <w:vAlign w:val="center"/>
                </w:tcPr>
                <w:p w14:paraId="3A264BE8">
                  <w:pPr>
                    <w:jc w:val="center"/>
                    <w:rPr>
                      <w:szCs w:val="21"/>
                    </w:rPr>
                  </w:pPr>
                  <w:r>
                    <w:rPr>
                      <w:rFonts w:hint="eastAsia"/>
                      <w:szCs w:val="21"/>
                    </w:rPr>
                    <w:t>15</w:t>
                  </w:r>
                </w:p>
              </w:tc>
              <w:tc>
                <w:tcPr>
                  <w:tcW w:w="600" w:type="pct"/>
                  <w:tcMar>
                    <w:left w:w="28" w:type="dxa"/>
                    <w:right w:w="28" w:type="dxa"/>
                  </w:tcMar>
                  <w:vAlign w:val="center"/>
                </w:tcPr>
                <w:p w14:paraId="6A3AE908">
                  <w:pPr>
                    <w:jc w:val="center"/>
                    <w:rPr>
                      <w:szCs w:val="21"/>
                    </w:rPr>
                  </w:pPr>
                  <w:r>
                    <w:rPr>
                      <w:rFonts w:hint="eastAsia"/>
                      <w:szCs w:val="21"/>
                    </w:rPr>
                    <w:t>0</w:t>
                  </w:r>
                </w:p>
              </w:tc>
              <w:tc>
                <w:tcPr>
                  <w:tcW w:w="501" w:type="pct"/>
                  <w:tcMar>
                    <w:left w:w="28" w:type="dxa"/>
                    <w:right w:w="28" w:type="dxa"/>
                  </w:tcMar>
                  <w:vAlign w:val="center"/>
                </w:tcPr>
                <w:p w14:paraId="710ACB5E">
                  <w:pPr>
                    <w:jc w:val="center"/>
                    <w:rPr>
                      <w:szCs w:val="21"/>
                    </w:rPr>
                  </w:pPr>
                  <w:r>
                    <w:rPr>
                      <w:rFonts w:hint="eastAsia"/>
                      <w:szCs w:val="21"/>
                    </w:rPr>
                    <w:t>0</w:t>
                  </w:r>
                </w:p>
              </w:tc>
              <w:tc>
                <w:tcPr>
                  <w:tcW w:w="581" w:type="pct"/>
                  <w:tcMar>
                    <w:left w:w="28" w:type="dxa"/>
                    <w:right w:w="28" w:type="dxa"/>
                  </w:tcMar>
                  <w:vAlign w:val="center"/>
                </w:tcPr>
                <w:p w14:paraId="4628D1D4">
                  <w:pPr>
                    <w:jc w:val="center"/>
                    <w:rPr>
                      <w:szCs w:val="21"/>
                    </w:rPr>
                  </w:pPr>
                  <w:r>
                    <w:rPr>
                      <w:szCs w:val="21"/>
                    </w:rPr>
                    <w:t>0</w:t>
                  </w:r>
                </w:p>
              </w:tc>
              <w:tc>
                <w:tcPr>
                  <w:tcW w:w="660" w:type="pct"/>
                  <w:tcMar>
                    <w:left w:w="28" w:type="dxa"/>
                    <w:right w:w="28" w:type="dxa"/>
                  </w:tcMar>
                  <w:vAlign w:val="center"/>
                </w:tcPr>
                <w:p w14:paraId="27069573">
                  <w:pPr>
                    <w:jc w:val="center"/>
                    <w:rPr>
                      <w:szCs w:val="21"/>
                    </w:rPr>
                  </w:pPr>
                  <w:r>
                    <w:rPr>
                      <w:szCs w:val="21"/>
                    </w:rPr>
                    <w:t>0</w:t>
                  </w:r>
                </w:p>
              </w:tc>
            </w:tr>
          </w:tbl>
          <w:p w14:paraId="5E11428F">
            <w:pPr>
              <w:pStyle w:val="2"/>
              <w:keepNext w:val="0"/>
              <w:keepLines w:val="0"/>
              <w:pageBreakBefore w:val="0"/>
              <w:widowControl w:val="0"/>
              <w:kinsoku/>
              <w:wordWrap/>
              <w:overflowPunct/>
              <w:topLinePunct w:val="0"/>
              <w:autoSpaceDE/>
              <w:autoSpaceDN/>
              <w:bidi w:val="0"/>
              <w:adjustRightInd/>
              <w:snapToGrid/>
              <w:spacing w:before="0" w:after="0" w:line="240" w:lineRule="auto"/>
              <w:ind w:right="0" w:firstLine="482" w:firstLineChars="200"/>
              <w:textAlignment w:val="auto"/>
              <w:rPr>
                <w:rFonts w:hint="eastAsia"/>
                <w:b/>
                <w:bCs w:val="0"/>
                <w:sz w:val="24"/>
                <w:szCs w:val="24"/>
                <w:lang w:val="en-US" w:eastAsia="zh-CN"/>
              </w:rPr>
            </w:pPr>
            <w:r>
              <w:rPr>
                <w:rFonts w:hint="eastAsia"/>
                <w:b/>
                <w:bCs w:val="0"/>
                <w:sz w:val="24"/>
                <w:szCs w:val="24"/>
                <w:lang w:val="en-US" w:eastAsia="zh-CN"/>
              </w:rPr>
              <w:t>备注：氮磷来自生活污水。</w:t>
            </w:r>
          </w:p>
          <w:p w14:paraId="11D2FCD5">
            <w:pPr>
              <w:pStyle w:val="2"/>
              <w:widowControl w:val="0"/>
              <w:snapToGrid/>
              <w:spacing w:before="0" w:after="0" w:line="480" w:lineRule="exact"/>
              <w:ind w:right="0" w:firstLine="482" w:firstLineChars="200"/>
              <w:rPr>
                <w:b/>
                <w:sz w:val="24"/>
                <w:szCs w:val="24"/>
              </w:rPr>
            </w:pPr>
            <w:r>
              <w:rPr>
                <w:b/>
                <w:sz w:val="24"/>
                <w:szCs w:val="24"/>
              </w:rPr>
              <w:t>2、总量申请方案</w:t>
            </w:r>
          </w:p>
          <w:p w14:paraId="663A28D4">
            <w:pPr>
              <w:adjustRightInd w:val="0"/>
              <w:snapToGrid w:val="0"/>
              <w:spacing w:line="480" w:lineRule="exact"/>
              <w:ind w:firstLine="480" w:firstLineChars="200"/>
              <w:rPr>
                <w:kern w:val="0"/>
                <w:sz w:val="24"/>
              </w:rPr>
            </w:pPr>
            <w:r>
              <w:rPr>
                <w:rFonts w:hint="eastAsia"/>
                <w:kern w:val="0"/>
                <w:sz w:val="24"/>
              </w:rPr>
              <w:t>（1）</w:t>
            </w:r>
            <w:r>
              <w:rPr>
                <w:kern w:val="0"/>
                <w:sz w:val="24"/>
              </w:rPr>
              <w:t>废水</w:t>
            </w:r>
          </w:p>
          <w:p w14:paraId="603D48B8">
            <w:pPr>
              <w:adjustRightInd w:val="0"/>
              <w:snapToGrid w:val="0"/>
              <w:spacing w:line="480" w:lineRule="exact"/>
              <w:ind w:firstLine="480" w:firstLineChars="200"/>
              <w:rPr>
                <w:kern w:val="0"/>
                <w:sz w:val="24"/>
              </w:rPr>
            </w:pPr>
            <w:r>
              <w:rPr>
                <w:rFonts w:hint="eastAsia"/>
                <w:kern w:val="0"/>
                <w:sz w:val="24"/>
              </w:rPr>
              <w:t>本项目生活污水排放量为2040m</w:t>
            </w:r>
            <w:r>
              <w:rPr>
                <w:rFonts w:hint="eastAsia"/>
                <w:kern w:val="0"/>
                <w:sz w:val="24"/>
                <w:vertAlign w:val="superscript"/>
              </w:rPr>
              <w:t>3</w:t>
            </w:r>
            <w:r>
              <w:rPr>
                <w:rFonts w:hint="eastAsia"/>
                <w:kern w:val="0"/>
                <w:sz w:val="24"/>
              </w:rPr>
              <w:t>/a，经厂内管网接入</w:t>
            </w:r>
            <w:r>
              <w:rPr>
                <w:rFonts w:hint="eastAsia"/>
                <w:sz w:val="24"/>
              </w:rPr>
              <w:t>金坛区溪城污水处理有限公司</w:t>
            </w:r>
            <w:r>
              <w:rPr>
                <w:sz w:val="24"/>
              </w:rPr>
              <w:t>集中处理，尾水排入</w:t>
            </w:r>
            <w:r>
              <w:rPr>
                <w:rFonts w:hint="eastAsia"/>
                <w:sz w:val="24"/>
              </w:rPr>
              <w:t>通济河</w:t>
            </w:r>
            <w:r>
              <w:rPr>
                <w:rFonts w:hint="eastAsia"/>
                <w:kern w:val="0"/>
                <w:sz w:val="24"/>
              </w:rPr>
              <w:t>，在金坛区溪城污水处理有限公司已批量中平衡。</w:t>
            </w:r>
          </w:p>
          <w:p w14:paraId="2A1BB6C7">
            <w:pPr>
              <w:numPr>
                <w:ilvl w:val="0"/>
                <w:numId w:val="5"/>
              </w:numPr>
              <w:adjustRightInd w:val="0"/>
              <w:snapToGrid w:val="0"/>
              <w:spacing w:line="480" w:lineRule="exact"/>
              <w:ind w:firstLine="480" w:firstLineChars="200"/>
              <w:rPr>
                <w:kern w:val="0"/>
                <w:sz w:val="24"/>
              </w:rPr>
            </w:pPr>
            <w:r>
              <w:rPr>
                <w:kern w:val="0"/>
                <w:sz w:val="24"/>
              </w:rPr>
              <w:t>废气</w:t>
            </w:r>
          </w:p>
          <w:p w14:paraId="043FB468">
            <w:pPr>
              <w:adjustRightInd w:val="0"/>
              <w:snapToGrid w:val="0"/>
              <w:spacing w:line="480" w:lineRule="exact"/>
              <w:ind w:firstLine="480" w:firstLineChars="200"/>
              <w:rPr>
                <w:kern w:val="0"/>
                <w:sz w:val="24"/>
              </w:rPr>
            </w:pPr>
            <w:r>
              <w:rPr>
                <w:kern w:val="0"/>
                <w:sz w:val="24"/>
              </w:rPr>
              <w:t>本项目新增</w:t>
            </w:r>
            <w:r>
              <w:rPr>
                <w:rFonts w:hint="eastAsia"/>
                <w:kern w:val="0"/>
                <w:sz w:val="24"/>
              </w:rPr>
              <w:t>有组织</w:t>
            </w:r>
            <w:r>
              <w:rPr>
                <w:kern w:val="0"/>
                <w:sz w:val="24"/>
              </w:rPr>
              <w:t>排放</w:t>
            </w:r>
            <w:r>
              <w:rPr>
                <w:rFonts w:hint="eastAsia"/>
                <w:kern w:val="0"/>
                <w:sz w:val="24"/>
              </w:rPr>
              <w:t>量：挥发性有机物0.0</w:t>
            </w:r>
            <w:r>
              <w:rPr>
                <w:rFonts w:hint="eastAsia"/>
                <w:kern w:val="0"/>
                <w:sz w:val="24"/>
                <w:lang w:val="en-US" w:eastAsia="zh-CN"/>
              </w:rPr>
              <w:t>66</w:t>
            </w:r>
            <w:r>
              <w:rPr>
                <w:rFonts w:hint="eastAsia"/>
                <w:kern w:val="0"/>
                <w:sz w:val="24"/>
              </w:rPr>
              <w:t>t/a、NOx 0.0418t/a、SO</w:t>
            </w:r>
            <w:r>
              <w:rPr>
                <w:rFonts w:hint="eastAsia"/>
                <w:kern w:val="0"/>
                <w:sz w:val="24"/>
                <w:vertAlign w:val="subscript"/>
              </w:rPr>
              <w:t>2</w:t>
            </w:r>
            <w:r>
              <w:rPr>
                <w:rFonts w:hint="eastAsia"/>
                <w:kern w:val="0"/>
                <w:sz w:val="24"/>
              </w:rPr>
              <w:t xml:space="preserve"> 0.012t/a、</w:t>
            </w:r>
            <w:r>
              <w:rPr>
                <w:kern w:val="0"/>
                <w:sz w:val="24"/>
              </w:rPr>
              <w:t>颗粒物0.</w:t>
            </w:r>
            <w:r>
              <w:rPr>
                <w:rFonts w:hint="eastAsia"/>
                <w:kern w:val="0"/>
                <w:sz w:val="24"/>
                <w:lang w:val="en-US" w:eastAsia="zh-CN"/>
              </w:rPr>
              <w:t>0969</w:t>
            </w:r>
            <w:r>
              <w:rPr>
                <w:kern w:val="0"/>
                <w:sz w:val="24"/>
              </w:rPr>
              <w:t>t/a，</w:t>
            </w:r>
            <w:r>
              <w:rPr>
                <w:rFonts w:hint="eastAsia"/>
                <w:kern w:val="0"/>
                <w:sz w:val="24"/>
              </w:rPr>
              <w:t>无组织</w:t>
            </w:r>
            <w:r>
              <w:rPr>
                <w:kern w:val="0"/>
                <w:sz w:val="24"/>
              </w:rPr>
              <w:t>排放</w:t>
            </w:r>
            <w:r>
              <w:rPr>
                <w:rFonts w:hint="eastAsia"/>
                <w:kern w:val="0"/>
                <w:sz w:val="24"/>
              </w:rPr>
              <w:t>量：挥发性有机物0.0</w:t>
            </w:r>
            <w:r>
              <w:rPr>
                <w:rFonts w:hint="eastAsia"/>
                <w:kern w:val="0"/>
                <w:sz w:val="24"/>
                <w:lang w:val="en-US" w:eastAsia="zh-CN"/>
              </w:rPr>
              <w:t>73</w:t>
            </w:r>
            <w:r>
              <w:rPr>
                <w:rFonts w:hint="eastAsia"/>
                <w:kern w:val="0"/>
                <w:sz w:val="24"/>
              </w:rPr>
              <w:t>t/a，颗粒物0.</w:t>
            </w:r>
            <w:r>
              <w:rPr>
                <w:rFonts w:hint="eastAsia"/>
                <w:kern w:val="0"/>
                <w:sz w:val="24"/>
                <w:lang w:val="en-US" w:eastAsia="zh-CN"/>
              </w:rPr>
              <w:t>1835</w:t>
            </w:r>
            <w:r>
              <w:rPr>
                <w:rFonts w:hint="eastAsia"/>
                <w:kern w:val="0"/>
                <w:sz w:val="24"/>
              </w:rPr>
              <w:t>t/a，</w:t>
            </w:r>
            <w:r>
              <w:rPr>
                <w:kern w:val="0"/>
                <w:sz w:val="24"/>
              </w:rPr>
              <w:t>在金坛区内平衡。</w:t>
            </w:r>
          </w:p>
          <w:p w14:paraId="1AF8B188">
            <w:pPr>
              <w:numPr>
                <w:ilvl w:val="0"/>
                <w:numId w:val="5"/>
              </w:numPr>
              <w:adjustRightInd w:val="0"/>
              <w:snapToGrid w:val="0"/>
              <w:spacing w:line="480" w:lineRule="exact"/>
              <w:ind w:firstLine="480" w:firstLineChars="200"/>
              <w:rPr>
                <w:kern w:val="0"/>
                <w:sz w:val="24"/>
              </w:rPr>
            </w:pPr>
            <w:r>
              <w:rPr>
                <w:kern w:val="0"/>
                <w:sz w:val="24"/>
              </w:rPr>
              <w:t>固废</w:t>
            </w:r>
          </w:p>
          <w:p w14:paraId="51BF6747">
            <w:pPr>
              <w:adjustRightInd w:val="0"/>
              <w:snapToGrid w:val="0"/>
              <w:spacing w:line="480" w:lineRule="exact"/>
              <w:ind w:firstLine="480" w:firstLineChars="200"/>
              <w:rPr>
                <w:kern w:val="0"/>
                <w:sz w:val="24"/>
              </w:rPr>
            </w:pPr>
            <w:r>
              <w:rPr>
                <w:kern w:val="0"/>
                <w:sz w:val="24"/>
              </w:rPr>
              <w:t>本项目所有固废均进行合理处理处置，实现固废零排放，不需申请总量。</w:t>
            </w:r>
          </w:p>
          <w:p w14:paraId="20613E4B">
            <w:pPr>
              <w:pStyle w:val="2"/>
              <w:rPr>
                <w:kern w:val="0"/>
                <w:sz w:val="24"/>
              </w:rPr>
            </w:pPr>
          </w:p>
          <w:p w14:paraId="264E470B">
            <w:pPr>
              <w:pStyle w:val="3"/>
              <w:widowControl w:val="0"/>
              <w:numPr>
                <w:ilvl w:val="0"/>
                <w:numId w:val="0"/>
              </w:numPr>
              <w:jc w:val="both"/>
              <w:rPr>
                <w:kern w:val="0"/>
                <w:sz w:val="24"/>
              </w:rPr>
            </w:pPr>
          </w:p>
          <w:p w14:paraId="1BC4AA8D">
            <w:pPr>
              <w:pStyle w:val="3"/>
              <w:widowControl w:val="0"/>
              <w:numPr>
                <w:ilvl w:val="0"/>
                <w:numId w:val="0"/>
              </w:numPr>
              <w:jc w:val="both"/>
              <w:rPr>
                <w:kern w:val="0"/>
                <w:sz w:val="24"/>
              </w:rPr>
            </w:pPr>
          </w:p>
          <w:p w14:paraId="17790D89">
            <w:pPr>
              <w:pStyle w:val="3"/>
              <w:widowControl w:val="0"/>
              <w:numPr>
                <w:ilvl w:val="0"/>
                <w:numId w:val="0"/>
              </w:numPr>
              <w:jc w:val="both"/>
              <w:rPr>
                <w:kern w:val="0"/>
                <w:sz w:val="24"/>
              </w:rPr>
            </w:pPr>
          </w:p>
        </w:tc>
      </w:tr>
    </w:tbl>
    <w:p w14:paraId="45C80972">
      <w:pPr>
        <w:pStyle w:val="23"/>
        <w:spacing w:before="0" w:beforeAutospacing="0" w:after="0" w:afterAutospacing="0"/>
        <w:jc w:val="center"/>
        <w:outlineLvl w:val="0"/>
        <w:rPr>
          <w:rFonts w:ascii="Times New Roman" w:hAnsi="Times New Roman"/>
          <w:b/>
          <w:bCs/>
          <w:snapToGrid w:val="0"/>
          <w:sz w:val="30"/>
          <w:szCs w:val="30"/>
        </w:rPr>
      </w:pPr>
      <w:r>
        <w:rPr>
          <w:rFonts w:ascii="Times New Roman" w:hAnsi="Times New Roman"/>
          <w:snapToGrid w:val="0"/>
          <w:color w:val="FF0000"/>
          <w:sz w:val="36"/>
          <w:szCs w:val="36"/>
        </w:rPr>
        <w:br w:type="page"/>
      </w:r>
      <w:r>
        <w:rPr>
          <w:rFonts w:ascii="Times New Roman" w:hAnsi="Times New Roman"/>
          <w:b/>
          <w:bCs/>
          <w:snapToGrid w:val="0"/>
          <w:sz w:val="30"/>
          <w:szCs w:val="30"/>
        </w:rPr>
        <w:t>四、主要环境影响和保护措施</w:t>
      </w:r>
    </w:p>
    <w:tbl>
      <w:tblPr>
        <w:tblStyle w:val="27"/>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1"/>
        <w:gridCol w:w="9107"/>
      </w:tblGrid>
      <w:tr w14:paraId="71EF2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495" w:type="dxa"/>
            <w:tcBorders>
              <w:tl2br w:val="nil"/>
              <w:tr2bl w:val="nil"/>
            </w:tcBorders>
            <w:tcMar>
              <w:left w:w="28" w:type="dxa"/>
              <w:right w:w="28" w:type="dxa"/>
            </w:tcMar>
            <w:vAlign w:val="center"/>
          </w:tcPr>
          <w:p w14:paraId="261F439E">
            <w:pPr>
              <w:pStyle w:val="23"/>
              <w:adjustRightInd w:val="0"/>
              <w:snapToGrid w:val="0"/>
              <w:spacing w:before="0" w:beforeAutospacing="0" w:after="0" w:afterAutospacing="0"/>
              <w:jc w:val="center"/>
              <w:rPr>
                <w:rFonts w:ascii="Times New Roman" w:hAnsi="Times New Roman"/>
                <w:b/>
                <w:color w:val="FF0000"/>
                <w:kern w:val="2"/>
                <w:szCs w:val="24"/>
              </w:rPr>
            </w:pPr>
            <w:r>
              <w:rPr>
                <w:rFonts w:ascii="Times New Roman" w:hAnsi="Times New Roman"/>
                <w:b/>
                <w:kern w:val="2"/>
                <w:szCs w:val="24"/>
              </w:rPr>
              <w:t>施工期环境保护措施</w:t>
            </w:r>
          </w:p>
        </w:tc>
        <w:tc>
          <w:tcPr>
            <w:tcW w:w="8486" w:type="dxa"/>
            <w:tcBorders>
              <w:tl2br w:val="nil"/>
              <w:tr2bl w:val="nil"/>
            </w:tcBorders>
            <w:vAlign w:val="center"/>
          </w:tcPr>
          <w:p w14:paraId="5DCA5C7E">
            <w:pPr>
              <w:pStyle w:val="92"/>
              <w:spacing w:line="480" w:lineRule="exact"/>
              <w:ind w:firstLine="480"/>
              <w:rPr>
                <w:rFonts w:hint="default" w:eastAsia="宋体"/>
                <w:sz w:val="24"/>
                <w:szCs w:val="24"/>
                <w:lang w:val="en-US" w:eastAsia="zh-CN"/>
              </w:rPr>
            </w:pPr>
            <w:r>
              <w:rPr>
                <w:sz w:val="24"/>
                <w:szCs w:val="24"/>
              </w:rPr>
              <w:t>本项目为</w:t>
            </w:r>
            <w:r>
              <w:rPr>
                <w:rFonts w:hint="eastAsia"/>
                <w:sz w:val="24"/>
                <w:szCs w:val="24"/>
              </w:rPr>
              <w:t>新建</w:t>
            </w:r>
            <w:r>
              <w:rPr>
                <w:sz w:val="24"/>
                <w:szCs w:val="24"/>
              </w:rPr>
              <w:t>项目，租用位于常州市</w:t>
            </w:r>
            <w:r>
              <w:rPr>
                <w:rFonts w:hint="eastAsia"/>
                <w:sz w:val="24"/>
                <w:szCs w:val="24"/>
              </w:rPr>
              <w:t>江苏省常州市金坛区朱林镇永顺路2号</w:t>
            </w:r>
            <w:r>
              <w:rPr>
                <w:sz w:val="24"/>
                <w:szCs w:val="24"/>
              </w:rPr>
              <w:t>的</w:t>
            </w:r>
            <w:r>
              <w:rPr>
                <w:rFonts w:hint="eastAsia"/>
                <w:sz w:val="24"/>
                <w:szCs w:val="24"/>
              </w:rPr>
              <w:t>江苏科奇新材料科技有限公司</w:t>
            </w:r>
            <w:r>
              <w:rPr>
                <w:sz w:val="24"/>
                <w:szCs w:val="24"/>
              </w:rPr>
              <w:t>的生产厂房进行生产</w:t>
            </w:r>
            <w:r>
              <w:rPr>
                <w:rFonts w:hint="eastAsia"/>
                <w:sz w:val="24"/>
                <w:szCs w:val="24"/>
                <w:lang w:eastAsia="zh-CN"/>
              </w:rPr>
              <w:t>。</w:t>
            </w:r>
            <w:r>
              <w:rPr>
                <w:rFonts w:hint="eastAsia"/>
                <w:sz w:val="24"/>
                <w:szCs w:val="24"/>
                <w:lang w:val="en-US" w:eastAsia="zh-CN"/>
              </w:rPr>
              <w:t>施工周期为2个月。计划于2025年9月开始施工。</w:t>
            </w:r>
          </w:p>
          <w:p w14:paraId="4D9A5318">
            <w:pPr>
              <w:pStyle w:val="92"/>
              <w:spacing w:line="48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项目施工阶段，各项施工、建筑原材料的装卸、运输等过程中，对环境的影响主要有以下几个方面：</w:t>
            </w:r>
          </w:p>
          <w:p w14:paraId="3C843D0C">
            <w:pPr>
              <w:tabs>
                <w:tab w:val="left" w:pos="3556"/>
              </w:tabs>
              <w:adjustRightInd w:val="0"/>
              <w:snapToGrid w:val="0"/>
              <w:spacing w:line="360" w:lineRule="auto"/>
              <w:ind w:firstLine="480" w:firstLineChars="200"/>
              <w:rPr>
                <w:snapToGrid w:val="0"/>
                <w:kern w:val="0"/>
                <w:sz w:val="24"/>
              </w:rPr>
            </w:pPr>
            <w:r>
              <w:rPr>
                <w:snapToGrid w:val="0"/>
                <w:kern w:val="0"/>
                <w:sz w:val="24"/>
              </w:rPr>
              <w:t>1</w:t>
            </w:r>
            <w:r>
              <w:rPr>
                <w:rFonts w:hAnsi="宋体"/>
                <w:snapToGrid w:val="0"/>
                <w:kern w:val="0"/>
                <w:sz w:val="24"/>
              </w:rPr>
              <w:t>、施工阶段产生的粉尘污染</w:t>
            </w:r>
          </w:p>
          <w:p w14:paraId="2DF0E53D">
            <w:pPr>
              <w:tabs>
                <w:tab w:val="left" w:pos="7875"/>
              </w:tabs>
              <w:adjustRightInd w:val="0"/>
              <w:snapToGrid w:val="0"/>
              <w:spacing w:line="360" w:lineRule="auto"/>
              <w:ind w:firstLine="480" w:firstLineChars="200"/>
              <w:rPr>
                <w:snapToGrid w:val="0"/>
                <w:kern w:val="0"/>
                <w:sz w:val="24"/>
              </w:rPr>
            </w:pPr>
            <w:r>
              <w:rPr>
                <w:rFonts w:hAnsi="宋体"/>
                <w:snapToGrid w:val="0"/>
                <w:kern w:val="0"/>
                <w:sz w:val="24"/>
              </w:rPr>
              <w:t>项目施工期间，粉尘污染主要来源有：土建施工产生的粉尘；建筑材料装卸、运输、堆放过程中因风力产生的扬尘；运输、施工车辆产生的扬尘等。</w:t>
            </w:r>
          </w:p>
          <w:p w14:paraId="68E3ED0A">
            <w:pPr>
              <w:tabs>
                <w:tab w:val="left" w:pos="7875"/>
              </w:tabs>
              <w:adjustRightInd w:val="0"/>
              <w:snapToGrid w:val="0"/>
              <w:spacing w:line="360" w:lineRule="auto"/>
              <w:ind w:firstLine="480" w:firstLineChars="200"/>
              <w:rPr>
                <w:snapToGrid w:val="0"/>
                <w:kern w:val="0"/>
                <w:sz w:val="24"/>
              </w:rPr>
            </w:pPr>
            <w:r>
              <w:rPr>
                <w:rFonts w:hAnsi="宋体"/>
                <w:snapToGrid w:val="0"/>
                <w:kern w:val="0"/>
                <w:sz w:val="24"/>
              </w:rPr>
              <w:t>而粉尘污染产生的主要决定因素为施工作业方式、原材料的堆放形式及风力等，其中风力因素的影响最大。</w:t>
            </w:r>
          </w:p>
          <w:p w14:paraId="4A1DD9CE">
            <w:pPr>
              <w:tabs>
                <w:tab w:val="left" w:pos="7875"/>
              </w:tabs>
              <w:adjustRightInd w:val="0"/>
              <w:snapToGrid w:val="0"/>
              <w:spacing w:line="360" w:lineRule="auto"/>
              <w:ind w:firstLine="480" w:firstLineChars="200"/>
              <w:rPr>
                <w:snapToGrid w:val="0"/>
                <w:kern w:val="0"/>
                <w:sz w:val="24"/>
              </w:rPr>
            </w:pPr>
            <w:r>
              <w:rPr>
                <w:rFonts w:hAnsi="宋体"/>
                <w:snapToGrid w:val="0"/>
                <w:kern w:val="0"/>
                <w:sz w:val="24"/>
              </w:rPr>
              <w:t>据有关资料，在一般气象条件下，平均风速</w:t>
            </w:r>
            <w:r>
              <w:rPr>
                <w:snapToGrid w:val="0"/>
                <w:kern w:val="0"/>
                <w:sz w:val="24"/>
              </w:rPr>
              <w:t>2.5m/s</w:t>
            </w:r>
            <w:r>
              <w:rPr>
                <w:rFonts w:hAnsi="宋体"/>
                <w:snapToGrid w:val="0"/>
                <w:kern w:val="0"/>
                <w:sz w:val="24"/>
              </w:rPr>
              <w:t>时，建筑工地的</w:t>
            </w:r>
            <w:r>
              <w:rPr>
                <w:snapToGrid w:val="0"/>
                <w:kern w:val="0"/>
                <w:sz w:val="24"/>
              </w:rPr>
              <w:t>TSP</w:t>
            </w:r>
            <w:r>
              <w:rPr>
                <w:rFonts w:hAnsi="宋体"/>
                <w:snapToGrid w:val="0"/>
                <w:kern w:val="0"/>
                <w:sz w:val="24"/>
              </w:rPr>
              <w:t>浓度为其上风向的</w:t>
            </w:r>
            <w:r>
              <w:rPr>
                <w:snapToGrid w:val="0"/>
                <w:kern w:val="0"/>
                <w:sz w:val="24"/>
              </w:rPr>
              <w:t>2</w:t>
            </w:r>
            <w:r>
              <w:rPr>
                <w:rFonts w:hAnsi="宋体"/>
                <w:snapToGrid w:val="0"/>
                <w:kern w:val="0"/>
                <w:sz w:val="24"/>
              </w:rPr>
              <w:t>～</w:t>
            </w:r>
            <w:r>
              <w:rPr>
                <w:snapToGrid w:val="0"/>
                <w:kern w:val="0"/>
                <w:sz w:val="24"/>
              </w:rPr>
              <w:t>2.5</w:t>
            </w:r>
            <w:r>
              <w:rPr>
                <w:rFonts w:hAnsi="宋体"/>
                <w:snapToGrid w:val="0"/>
                <w:kern w:val="0"/>
                <w:sz w:val="24"/>
              </w:rPr>
              <w:t>倍，其扬尘的影响范围在其下风向可达</w:t>
            </w:r>
            <w:r>
              <w:rPr>
                <w:snapToGrid w:val="0"/>
                <w:kern w:val="0"/>
                <w:sz w:val="24"/>
              </w:rPr>
              <w:t>150m</w:t>
            </w:r>
            <w:r>
              <w:rPr>
                <w:rFonts w:hAnsi="宋体"/>
                <w:snapToGrid w:val="0"/>
                <w:kern w:val="0"/>
                <w:sz w:val="24"/>
              </w:rPr>
              <w:t>，影响范围内</w:t>
            </w:r>
            <w:r>
              <w:rPr>
                <w:snapToGrid w:val="0"/>
                <w:kern w:val="0"/>
                <w:sz w:val="24"/>
              </w:rPr>
              <w:t>TSP</w:t>
            </w:r>
            <w:r>
              <w:rPr>
                <w:rFonts w:hAnsi="宋体"/>
                <w:snapToGrid w:val="0"/>
                <w:kern w:val="0"/>
                <w:sz w:val="24"/>
              </w:rPr>
              <w:t>的浓度均值可达</w:t>
            </w:r>
            <w:r>
              <w:rPr>
                <w:snapToGrid w:val="0"/>
                <w:kern w:val="0"/>
                <w:sz w:val="24"/>
              </w:rPr>
              <w:t>0.49mg/m</w:t>
            </w:r>
            <w:r>
              <w:rPr>
                <w:snapToGrid w:val="0"/>
                <w:kern w:val="0"/>
                <w:sz w:val="24"/>
                <w:vertAlign w:val="superscript"/>
              </w:rPr>
              <w:t>3</w:t>
            </w:r>
            <w:r>
              <w:rPr>
                <w:rFonts w:hAnsi="宋体"/>
                <w:snapToGrid w:val="0"/>
                <w:kern w:val="0"/>
                <w:sz w:val="24"/>
              </w:rPr>
              <w:t>，相当于空气质量标准的</w:t>
            </w:r>
            <w:r>
              <w:rPr>
                <w:snapToGrid w:val="0"/>
                <w:kern w:val="0"/>
                <w:sz w:val="24"/>
              </w:rPr>
              <w:t>1.6</w:t>
            </w:r>
            <w:r>
              <w:rPr>
                <w:rFonts w:hAnsi="宋体"/>
                <w:snapToGrid w:val="0"/>
                <w:kern w:val="0"/>
                <w:sz w:val="24"/>
              </w:rPr>
              <w:t>倍。当有围栏时，在同等条件下，其影响距离可缩短</w:t>
            </w:r>
            <w:r>
              <w:rPr>
                <w:snapToGrid w:val="0"/>
                <w:kern w:val="0"/>
                <w:sz w:val="24"/>
              </w:rPr>
              <w:t>60m</w:t>
            </w:r>
            <w:r>
              <w:rPr>
                <w:rFonts w:hAnsi="宋体"/>
                <w:snapToGrid w:val="0"/>
                <w:kern w:val="0"/>
                <w:sz w:val="24"/>
              </w:rPr>
              <w:t>。所以，若在大风及干燥天气施工，施工现场、周围居民区及其下风向将存在粉尘污染。但这些影响都是暂时性的，会随着施工工作的结束自然消除。</w:t>
            </w:r>
          </w:p>
          <w:p w14:paraId="4B4891C4">
            <w:pPr>
              <w:tabs>
                <w:tab w:val="left" w:pos="7875"/>
              </w:tabs>
              <w:adjustRightInd w:val="0"/>
              <w:snapToGrid w:val="0"/>
              <w:spacing w:line="360" w:lineRule="auto"/>
              <w:ind w:firstLine="480" w:firstLineChars="200"/>
              <w:rPr>
                <w:snapToGrid w:val="0"/>
                <w:kern w:val="0"/>
                <w:sz w:val="24"/>
              </w:rPr>
            </w:pPr>
            <w:r>
              <w:rPr>
                <w:rFonts w:hAnsi="宋体"/>
                <w:snapToGrid w:val="0"/>
                <w:kern w:val="0"/>
                <w:sz w:val="24"/>
              </w:rPr>
              <w:t>为防止施工中粉尘污染，可采取如下措施：</w:t>
            </w:r>
            <w:r>
              <w:rPr>
                <w:snapToGrid w:val="0"/>
                <w:kern w:val="0"/>
                <w:sz w:val="24"/>
              </w:rPr>
              <w:t>a</w:t>
            </w:r>
            <w:r>
              <w:rPr>
                <w:b/>
                <w:snapToGrid w:val="0"/>
                <w:kern w:val="0"/>
                <w:sz w:val="24"/>
              </w:rPr>
              <w:t>.</w:t>
            </w:r>
            <w:r>
              <w:rPr>
                <w:rFonts w:hAnsi="宋体"/>
                <w:snapToGrid w:val="0"/>
                <w:kern w:val="0"/>
                <w:sz w:val="24"/>
              </w:rPr>
              <w:t>加强管理；如建筑材料（白灰、水泥等）的装载、堆放堆存应在指定地点，不要散堆；</w:t>
            </w:r>
            <w:r>
              <w:rPr>
                <w:snapToGrid w:val="0"/>
                <w:kern w:val="0"/>
                <w:sz w:val="24"/>
              </w:rPr>
              <w:t>b</w:t>
            </w:r>
            <w:r>
              <w:rPr>
                <w:b/>
                <w:snapToGrid w:val="0"/>
                <w:kern w:val="0"/>
                <w:sz w:val="24"/>
              </w:rPr>
              <w:t xml:space="preserve">. </w:t>
            </w:r>
            <w:r>
              <w:rPr>
                <w:rFonts w:hAnsi="宋体"/>
                <w:snapToGrid w:val="0"/>
                <w:kern w:val="0"/>
                <w:sz w:val="24"/>
              </w:rPr>
              <w:t>洒水压尘，保持场地湿润；</w:t>
            </w:r>
            <w:r>
              <w:rPr>
                <w:snapToGrid w:val="0"/>
                <w:kern w:val="0"/>
                <w:sz w:val="24"/>
              </w:rPr>
              <w:t>c</w:t>
            </w:r>
            <w:r>
              <w:rPr>
                <w:b/>
                <w:snapToGrid w:val="0"/>
                <w:kern w:val="0"/>
                <w:sz w:val="24"/>
              </w:rPr>
              <w:t>.</w:t>
            </w:r>
            <w:r>
              <w:rPr>
                <w:snapToGrid w:val="0"/>
                <w:kern w:val="0"/>
                <w:sz w:val="24"/>
              </w:rPr>
              <w:t xml:space="preserve"> </w:t>
            </w:r>
            <w:r>
              <w:rPr>
                <w:rFonts w:hAnsi="宋体"/>
                <w:snapToGrid w:val="0"/>
                <w:kern w:val="0"/>
                <w:sz w:val="24"/>
              </w:rPr>
              <w:t>设置围栏，较大风速时停止施工。</w:t>
            </w:r>
          </w:p>
          <w:p w14:paraId="110BD04E">
            <w:pPr>
              <w:tabs>
                <w:tab w:val="left" w:pos="7875"/>
              </w:tabs>
              <w:adjustRightInd w:val="0"/>
              <w:snapToGrid w:val="0"/>
              <w:spacing w:line="360" w:lineRule="auto"/>
              <w:ind w:firstLine="480" w:firstLineChars="200"/>
              <w:rPr>
                <w:rFonts w:hint="eastAsia" w:ascii="Times New Roman" w:hAnsi="宋体" w:eastAsia="宋体" w:cs="Times New Roman"/>
                <w:snapToGrid w:val="0"/>
                <w:kern w:val="0"/>
                <w:sz w:val="24"/>
                <w:lang w:val="en-US" w:eastAsia="zh-CN"/>
              </w:rPr>
            </w:pPr>
            <w:r>
              <w:rPr>
                <w:rFonts w:hint="eastAsia" w:ascii="Times New Roman" w:hAnsi="宋体" w:eastAsia="宋体" w:cs="Times New Roman"/>
                <w:snapToGrid w:val="0"/>
                <w:kern w:val="0"/>
                <w:sz w:val="24"/>
                <w:lang w:val="en-US" w:eastAsia="zh-CN"/>
              </w:rPr>
              <w:t>2、尾气</w:t>
            </w:r>
          </w:p>
          <w:p w14:paraId="29A97064">
            <w:pPr>
              <w:tabs>
                <w:tab w:val="left" w:pos="7875"/>
              </w:tabs>
              <w:adjustRightInd w:val="0"/>
              <w:snapToGrid w:val="0"/>
              <w:spacing w:line="360" w:lineRule="auto"/>
              <w:ind w:firstLine="480" w:firstLineChars="200"/>
              <w:rPr>
                <w:rFonts w:hint="eastAsia" w:ascii="Times New Roman" w:hAnsi="宋体" w:eastAsia="宋体" w:cs="Times New Roman"/>
                <w:snapToGrid w:val="0"/>
                <w:kern w:val="0"/>
                <w:sz w:val="24"/>
                <w:lang w:val="en-US" w:eastAsia="zh-CN"/>
              </w:rPr>
            </w:pPr>
            <w:r>
              <w:rPr>
                <w:rFonts w:hint="eastAsia" w:ascii="Times New Roman" w:hAnsi="宋体" w:eastAsia="宋体" w:cs="Times New Roman"/>
                <w:snapToGrid w:val="0"/>
                <w:kern w:val="0"/>
                <w:sz w:val="24"/>
                <w:lang w:val="en-US" w:eastAsia="zh-CN"/>
              </w:rPr>
              <w:t>尾气主要来自于施工机械和交通运输车辆，排放的主要污染物为 NOx、CO和烃类物等，机动车辆污染物排放系数见下表。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8"/>
              <w:gridCol w:w="2218"/>
              <w:gridCol w:w="2221"/>
              <w:gridCol w:w="2220"/>
            </w:tblGrid>
            <w:tr w14:paraId="7DA4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249" w:type="pct"/>
                  <w:vMerge w:val="restart"/>
                  <w:noWrap w:val="0"/>
                  <w:vAlign w:val="center"/>
                </w:tcPr>
                <w:p w14:paraId="7B553581">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right="113"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污染物</w:t>
                  </w:r>
                </w:p>
              </w:tc>
              <w:tc>
                <w:tcPr>
                  <w:tcW w:w="1249" w:type="pct"/>
                  <w:noWrap w:val="0"/>
                  <w:vAlign w:val="center"/>
                </w:tcPr>
                <w:p w14:paraId="3BBD0D52">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right="113"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以汽油为燃料（g/L）</w:t>
                  </w:r>
                </w:p>
              </w:tc>
              <w:tc>
                <w:tcPr>
                  <w:tcW w:w="2501" w:type="pct"/>
                  <w:gridSpan w:val="2"/>
                  <w:noWrap w:val="0"/>
                  <w:vAlign w:val="center"/>
                </w:tcPr>
                <w:p w14:paraId="672F44D5">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right="113"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以柴油为燃料（g/L）</w:t>
                  </w:r>
                </w:p>
              </w:tc>
            </w:tr>
            <w:tr w14:paraId="13F2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249" w:type="pct"/>
                  <w:vMerge w:val="continue"/>
                  <w:noWrap w:val="0"/>
                  <w:vAlign w:val="center"/>
                </w:tcPr>
                <w:p w14:paraId="70F078EA">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right="113" w:firstLine="0" w:firstLineChars="0"/>
                    <w:jc w:val="center"/>
                    <w:textAlignment w:val="auto"/>
                  </w:pPr>
                </w:p>
              </w:tc>
              <w:tc>
                <w:tcPr>
                  <w:tcW w:w="1249" w:type="pct"/>
                  <w:noWrap w:val="0"/>
                  <w:vAlign w:val="center"/>
                </w:tcPr>
                <w:p w14:paraId="630DF354">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right="113" w:firstLine="0" w:firstLineChars="0"/>
                    <w:jc w:val="center"/>
                    <w:textAlignment w:val="auto"/>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小汽车</w:t>
                  </w:r>
                </w:p>
              </w:tc>
              <w:tc>
                <w:tcPr>
                  <w:tcW w:w="1251" w:type="pct"/>
                  <w:noWrap w:val="0"/>
                  <w:vAlign w:val="center"/>
                </w:tcPr>
                <w:p w14:paraId="5E5C6FA1">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right="113" w:firstLine="0" w:firstLineChars="0"/>
                    <w:jc w:val="center"/>
                    <w:textAlignment w:val="auto"/>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装载车</w:t>
                  </w:r>
                </w:p>
              </w:tc>
              <w:tc>
                <w:tcPr>
                  <w:tcW w:w="1250" w:type="pct"/>
                  <w:noWrap w:val="0"/>
                  <w:vAlign w:val="center"/>
                </w:tcPr>
                <w:p w14:paraId="0C86878A">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right="113" w:firstLine="0" w:firstLineChars="0"/>
                    <w:jc w:val="center"/>
                    <w:textAlignment w:val="auto"/>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机车</w:t>
                  </w:r>
                </w:p>
              </w:tc>
            </w:tr>
            <w:tr w14:paraId="581C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noWrap w:val="0"/>
                  <w:vAlign w:val="center"/>
                </w:tcPr>
                <w:p w14:paraId="43D5DF8B">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right="113" w:firstLine="0" w:firstLineChars="0"/>
                    <w:jc w:val="center"/>
                    <w:textAlignment w:val="auto"/>
                    <w:rPr>
                      <w:rFonts w:hint="default" w:eastAsia="宋体"/>
                      <w:b w:val="0"/>
                      <w:bCs w:val="0"/>
                      <w:lang w:val="en-US" w:eastAsia="zh-CN"/>
                    </w:rPr>
                  </w:pPr>
                  <w:r>
                    <w:rPr>
                      <w:rFonts w:hint="eastAsia"/>
                      <w:b w:val="0"/>
                      <w:bCs w:val="0"/>
                      <w:lang w:val="en-US" w:eastAsia="zh-CN"/>
                    </w:rPr>
                    <w:t>CO</w:t>
                  </w:r>
                </w:p>
              </w:tc>
              <w:tc>
                <w:tcPr>
                  <w:tcW w:w="1249" w:type="pct"/>
                  <w:noWrap w:val="0"/>
                  <w:vAlign w:val="center"/>
                </w:tcPr>
                <w:p w14:paraId="7D1E5D11">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right="113" w:firstLine="0" w:firstLineChars="0"/>
                    <w:jc w:val="center"/>
                    <w:textAlignment w:val="auto"/>
                    <w:rPr>
                      <w:rFonts w:hint="default" w:eastAsia="宋体"/>
                      <w:b w:val="0"/>
                      <w:bCs w:val="0"/>
                      <w:lang w:val="en-US" w:eastAsia="zh-CN"/>
                    </w:rPr>
                  </w:pPr>
                  <w:r>
                    <w:rPr>
                      <w:rFonts w:hint="eastAsia"/>
                      <w:b w:val="0"/>
                      <w:bCs w:val="0"/>
                      <w:lang w:val="en-US" w:eastAsia="zh-CN"/>
                    </w:rPr>
                    <w:t>169.0</w:t>
                  </w:r>
                </w:p>
              </w:tc>
              <w:tc>
                <w:tcPr>
                  <w:tcW w:w="1251" w:type="pct"/>
                  <w:noWrap w:val="0"/>
                  <w:vAlign w:val="center"/>
                </w:tcPr>
                <w:p w14:paraId="729F7ED7">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right="113" w:firstLine="0" w:firstLineChars="0"/>
                    <w:jc w:val="center"/>
                    <w:textAlignment w:val="auto"/>
                    <w:rPr>
                      <w:rFonts w:hint="default" w:eastAsia="宋体"/>
                      <w:b w:val="0"/>
                      <w:bCs w:val="0"/>
                      <w:lang w:val="en-US" w:eastAsia="zh-CN"/>
                    </w:rPr>
                  </w:pPr>
                  <w:r>
                    <w:rPr>
                      <w:rFonts w:hint="eastAsia"/>
                      <w:b w:val="0"/>
                      <w:bCs w:val="0"/>
                      <w:lang w:val="en-US" w:eastAsia="zh-CN"/>
                    </w:rPr>
                    <w:t>27.0</w:t>
                  </w:r>
                </w:p>
              </w:tc>
              <w:tc>
                <w:tcPr>
                  <w:tcW w:w="1250" w:type="pct"/>
                  <w:noWrap w:val="0"/>
                  <w:vAlign w:val="center"/>
                </w:tcPr>
                <w:p w14:paraId="2373EF26">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right="113"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8.4</w:t>
                  </w:r>
                </w:p>
              </w:tc>
            </w:tr>
            <w:tr w14:paraId="0C83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noWrap w:val="0"/>
                  <w:vAlign w:val="center"/>
                </w:tcPr>
                <w:p w14:paraId="56BD05FB">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NOx</w:t>
                  </w:r>
                </w:p>
              </w:tc>
              <w:tc>
                <w:tcPr>
                  <w:tcW w:w="1249" w:type="pct"/>
                  <w:noWrap w:val="0"/>
                  <w:vAlign w:val="center"/>
                </w:tcPr>
                <w:p w14:paraId="435F92CB">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21.1</w:t>
                  </w:r>
                </w:p>
              </w:tc>
              <w:tc>
                <w:tcPr>
                  <w:tcW w:w="1251" w:type="pct"/>
                  <w:noWrap w:val="0"/>
                  <w:vAlign w:val="center"/>
                </w:tcPr>
                <w:p w14:paraId="6322C6C5">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44.4</w:t>
                  </w:r>
                </w:p>
              </w:tc>
              <w:tc>
                <w:tcPr>
                  <w:tcW w:w="1250" w:type="pct"/>
                  <w:noWrap w:val="0"/>
                  <w:vAlign w:val="center"/>
                </w:tcPr>
                <w:p w14:paraId="62A9CB90">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9.0</w:t>
                  </w:r>
                </w:p>
              </w:tc>
            </w:tr>
            <w:tr w14:paraId="6252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noWrap w:val="0"/>
                  <w:vAlign w:val="center"/>
                </w:tcPr>
                <w:p w14:paraId="3BDBD6BE">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烃类</w:t>
                  </w:r>
                </w:p>
              </w:tc>
              <w:tc>
                <w:tcPr>
                  <w:tcW w:w="1249" w:type="pct"/>
                  <w:noWrap w:val="0"/>
                  <w:vAlign w:val="center"/>
                </w:tcPr>
                <w:p w14:paraId="4359BF43">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33.3</w:t>
                  </w:r>
                </w:p>
              </w:tc>
              <w:tc>
                <w:tcPr>
                  <w:tcW w:w="1251" w:type="pct"/>
                  <w:noWrap w:val="0"/>
                  <w:vAlign w:val="center"/>
                </w:tcPr>
                <w:p w14:paraId="73EAC148">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SA"/>
                      <w14:textFill>
                        <w14:solidFill>
                          <w14:schemeClr w14:val="tx1"/>
                        </w14:solidFill>
                      </w14:textFill>
                    </w:rPr>
                    <w:t>4.44</w:t>
                  </w:r>
                </w:p>
              </w:tc>
              <w:tc>
                <w:tcPr>
                  <w:tcW w:w="1250" w:type="pct"/>
                  <w:noWrap w:val="0"/>
                  <w:vAlign w:val="center"/>
                </w:tcPr>
                <w:p w14:paraId="4C41E2AA">
                  <w:pPr>
                    <w:pStyle w:val="2"/>
                    <w:keepNext w:val="0"/>
                    <w:keepLines w:val="0"/>
                    <w:pageBreakBefore w:val="0"/>
                    <w:widowControl w:val="0"/>
                    <w:kinsoku/>
                    <w:wordWrap/>
                    <w:overflowPunct/>
                    <w:topLinePunct w:val="0"/>
                    <w:autoSpaceDE w:val="0"/>
                    <w:autoSpaceDN w:val="0"/>
                    <w:bidi w:val="0"/>
                    <w:adjustRightInd w:val="0"/>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SA"/>
                      <w14:textFill>
                        <w14:solidFill>
                          <w14:schemeClr w14:val="tx1"/>
                        </w14:solidFill>
                      </w14:textFill>
                    </w:rPr>
                    <w:t>6.0</w:t>
                  </w:r>
                </w:p>
              </w:tc>
            </w:tr>
          </w:tbl>
          <w:p w14:paraId="73E7D94E">
            <w:pPr>
              <w:tabs>
                <w:tab w:val="left" w:pos="7875"/>
              </w:tabs>
              <w:adjustRightInd w:val="0"/>
              <w:snapToGrid w:val="0"/>
              <w:spacing w:line="360" w:lineRule="auto"/>
              <w:ind w:firstLine="480" w:firstLineChars="200"/>
              <w:rPr>
                <w:rFonts w:hint="eastAsia" w:ascii="Times New Roman" w:hAnsi="宋体" w:eastAsia="宋体" w:cs="Times New Roman"/>
                <w:snapToGrid w:val="0"/>
                <w:kern w:val="0"/>
                <w:sz w:val="24"/>
                <w:lang w:val="en-US" w:eastAsia="zh-CN"/>
              </w:rPr>
            </w:pPr>
            <w:r>
              <w:rPr>
                <w:rFonts w:hint="eastAsia" w:ascii="Times New Roman" w:hAnsi="宋体" w:eastAsia="宋体" w:cs="Times New Roman"/>
                <w:snapToGrid w:val="0"/>
                <w:kern w:val="0"/>
                <w:sz w:val="24"/>
                <w:lang w:val="en-US" w:eastAsia="zh-CN"/>
              </w:rPr>
              <w:t>以黄河重型车为例，其额定燃油率为</w:t>
            </w:r>
            <w:r>
              <w:rPr>
                <w:rFonts w:hint="default" w:ascii="Times New Roman" w:hAnsi="宋体" w:eastAsia="宋体" w:cs="Times New Roman"/>
                <w:snapToGrid w:val="0"/>
                <w:kern w:val="0"/>
                <w:sz w:val="24"/>
                <w:lang w:val="en-US" w:eastAsia="zh-CN"/>
              </w:rPr>
              <w:t>30.19L/100km</w:t>
            </w:r>
            <w:r>
              <w:rPr>
                <w:rFonts w:hint="eastAsia" w:ascii="Times New Roman" w:hAnsi="宋体" w:eastAsia="宋体" w:cs="Times New Roman"/>
                <w:snapToGrid w:val="0"/>
                <w:kern w:val="0"/>
                <w:sz w:val="24"/>
                <w:lang w:val="en-US" w:eastAsia="zh-CN"/>
              </w:rPr>
              <w:t>，按上表机动车辆污染排放系数测算，单车污染物平均排放量分别为：</w:t>
            </w:r>
            <w:r>
              <w:rPr>
                <w:rFonts w:hint="default" w:ascii="Times New Roman" w:hAnsi="宋体" w:eastAsia="宋体" w:cs="Times New Roman"/>
                <w:snapToGrid w:val="0"/>
                <w:kern w:val="0"/>
                <w:sz w:val="24"/>
                <w:lang w:val="en-US" w:eastAsia="zh-CN"/>
              </w:rPr>
              <w:t>CO</w:t>
            </w:r>
            <w:r>
              <w:rPr>
                <w:rFonts w:hint="eastAsia" w:ascii="Times New Roman" w:hAnsi="宋体" w:eastAsia="宋体" w:cs="Times New Roman"/>
                <w:snapToGrid w:val="0"/>
                <w:kern w:val="0"/>
                <w:sz w:val="24"/>
                <w:lang w:val="en-US" w:eastAsia="zh-CN"/>
              </w:rPr>
              <w:t xml:space="preserve"> </w:t>
            </w:r>
            <w:r>
              <w:rPr>
                <w:rFonts w:hint="default" w:ascii="Times New Roman" w:hAnsi="宋体" w:eastAsia="宋体" w:cs="Times New Roman"/>
                <w:snapToGrid w:val="0"/>
                <w:kern w:val="0"/>
                <w:sz w:val="24"/>
                <w:lang w:val="en-US" w:eastAsia="zh-CN"/>
              </w:rPr>
              <w:t>815.13g/100km</w:t>
            </w:r>
            <w:r>
              <w:rPr>
                <w:rFonts w:hint="eastAsia" w:ascii="Times New Roman" w:hAnsi="宋体" w:eastAsia="宋体" w:cs="Times New Roman"/>
                <w:snapToGrid w:val="0"/>
                <w:kern w:val="0"/>
                <w:sz w:val="24"/>
                <w:lang w:val="en-US" w:eastAsia="zh-CN"/>
              </w:rPr>
              <w:t>；</w:t>
            </w:r>
            <w:r>
              <w:rPr>
                <w:rFonts w:hint="default" w:ascii="Times New Roman" w:hAnsi="宋体" w:eastAsia="宋体" w:cs="Times New Roman"/>
                <w:snapToGrid w:val="0"/>
                <w:kern w:val="0"/>
                <w:sz w:val="24"/>
                <w:lang w:val="en-US" w:eastAsia="zh-CN"/>
              </w:rPr>
              <w:t>NOx</w:t>
            </w:r>
            <w:r>
              <w:rPr>
                <w:rFonts w:hint="eastAsia" w:ascii="Times New Roman" w:hAnsi="宋体" w:eastAsia="宋体" w:cs="Times New Roman"/>
                <w:snapToGrid w:val="0"/>
                <w:kern w:val="0"/>
                <w:sz w:val="24"/>
                <w:lang w:val="en-US" w:eastAsia="zh-CN"/>
              </w:rPr>
              <w:t xml:space="preserve"> </w:t>
            </w:r>
            <w:r>
              <w:rPr>
                <w:rFonts w:hint="default" w:ascii="Times New Roman" w:hAnsi="宋体" w:eastAsia="宋体" w:cs="Times New Roman"/>
                <w:snapToGrid w:val="0"/>
                <w:kern w:val="0"/>
                <w:sz w:val="24"/>
                <w:lang w:val="en-US" w:eastAsia="zh-CN"/>
              </w:rPr>
              <w:t>1340.44g/100km</w:t>
            </w:r>
            <w:r>
              <w:rPr>
                <w:rFonts w:hint="eastAsia" w:ascii="Times New Roman" w:hAnsi="宋体" w:eastAsia="宋体" w:cs="Times New Roman"/>
                <w:snapToGrid w:val="0"/>
                <w:kern w:val="0"/>
                <w:sz w:val="24"/>
                <w:lang w:val="en-US" w:eastAsia="zh-CN"/>
              </w:rPr>
              <w:t>；烃类物质</w:t>
            </w:r>
            <w:r>
              <w:rPr>
                <w:rFonts w:hint="default" w:ascii="Times New Roman" w:hAnsi="宋体" w:eastAsia="宋体" w:cs="Times New Roman"/>
                <w:snapToGrid w:val="0"/>
                <w:kern w:val="0"/>
                <w:sz w:val="24"/>
                <w:lang w:val="en-US" w:eastAsia="zh-CN"/>
              </w:rPr>
              <w:t>134.0g/100km</w:t>
            </w:r>
            <w:r>
              <w:rPr>
                <w:rFonts w:hint="eastAsia" w:ascii="Times New Roman" w:hAnsi="宋体" w:eastAsia="宋体" w:cs="Times New Roman"/>
                <w:snapToGrid w:val="0"/>
                <w:kern w:val="0"/>
                <w:sz w:val="24"/>
                <w:lang w:val="en-US" w:eastAsia="zh-CN"/>
              </w:rPr>
              <w:t xml:space="preserve">。 </w:t>
            </w:r>
          </w:p>
          <w:p w14:paraId="4BE1226C">
            <w:pPr>
              <w:tabs>
                <w:tab w:val="left" w:pos="7875"/>
              </w:tabs>
              <w:adjustRightInd w:val="0"/>
              <w:snapToGrid w:val="0"/>
              <w:spacing w:line="360" w:lineRule="auto"/>
              <w:ind w:firstLine="480" w:firstLineChars="200"/>
              <w:rPr>
                <w:snapToGrid w:val="0"/>
                <w:kern w:val="0"/>
                <w:sz w:val="24"/>
              </w:rPr>
            </w:pPr>
            <w:r>
              <w:rPr>
                <w:rFonts w:hint="eastAsia"/>
                <w:snapToGrid w:val="0"/>
                <w:kern w:val="0"/>
                <w:sz w:val="24"/>
                <w:lang w:val="en-US" w:eastAsia="zh-CN"/>
              </w:rPr>
              <w:t>3</w:t>
            </w:r>
            <w:r>
              <w:rPr>
                <w:rFonts w:hAnsi="宋体"/>
                <w:snapToGrid w:val="0"/>
                <w:kern w:val="0"/>
                <w:sz w:val="24"/>
              </w:rPr>
              <w:t>、建筑垃圾及施工人员产生的生活垃圾</w:t>
            </w:r>
          </w:p>
          <w:p w14:paraId="42FEACD7">
            <w:pPr>
              <w:tabs>
                <w:tab w:val="left" w:pos="7875"/>
              </w:tabs>
              <w:adjustRightInd w:val="0"/>
              <w:snapToGrid w:val="0"/>
              <w:spacing w:line="360" w:lineRule="auto"/>
              <w:ind w:firstLine="480" w:firstLineChars="200"/>
              <w:rPr>
                <w:snapToGrid w:val="0"/>
                <w:kern w:val="0"/>
                <w:sz w:val="24"/>
              </w:rPr>
            </w:pPr>
            <w:r>
              <w:rPr>
                <w:rFonts w:hAnsi="宋体"/>
                <w:snapToGrid w:val="0"/>
                <w:kern w:val="0"/>
                <w:sz w:val="24"/>
              </w:rPr>
              <w:t>在施工阶段，会产生一定量的建筑垃圾，建筑垃圾拟经处理后作回填土使用，不能利用的部分按城市管理部门规定的时间、地点及时清运，以免产生扬尘；施工人员在施工期内会产生一些生活垃圾，定点堆存后由环卫部门统一处理。但这些影响都是间歇的和暂时的，待施工阶段结束以后，就会消除。</w:t>
            </w:r>
          </w:p>
          <w:p w14:paraId="1971A5DF">
            <w:pPr>
              <w:tabs>
                <w:tab w:val="left" w:pos="7875"/>
              </w:tabs>
              <w:adjustRightInd w:val="0"/>
              <w:snapToGrid w:val="0"/>
              <w:spacing w:line="360" w:lineRule="auto"/>
              <w:ind w:firstLine="480" w:firstLineChars="200"/>
              <w:rPr>
                <w:snapToGrid w:val="0"/>
                <w:kern w:val="0"/>
                <w:sz w:val="24"/>
              </w:rPr>
            </w:pPr>
            <w:r>
              <w:rPr>
                <w:rFonts w:hint="eastAsia"/>
                <w:snapToGrid w:val="0"/>
                <w:kern w:val="0"/>
                <w:sz w:val="24"/>
                <w:lang w:val="en-US" w:eastAsia="zh-CN"/>
              </w:rPr>
              <w:t>4</w:t>
            </w:r>
            <w:r>
              <w:rPr>
                <w:rFonts w:hAnsi="宋体"/>
                <w:snapToGrid w:val="0"/>
                <w:kern w:val="0"/>
                <w:sz w:val="24"/>
              </w:rPr>
              <w:t>、施工机械、建筑运输车辆产生的噪声影响</w:t>
            </w:r>
          </w:p>
          <w:p w14:paraId="5068DFBD">
            <w:pPr>
              <w:tabs>
                <w:tab w:val="left" w:pos="7875"/>
              </w:tabs>
              <w:adjustRightInd w:val="0"/>
              <w:snapToGrid w:val="0"/>
              <w:spacing w:line="360" w:lineRule="auto"/>
              <w:ind w:firstLine="480" w:firstLineChars="200"/>
              <w:rPr>
                <w:snapToGrid w:val="0"/>
                <w:kern w:val="0"/>
                <w:sz w:val="24"/>
              </w:rPr>
            </w:pPr>
            <w:r>
              <w:rPr>
                <w:rFonts w:hAnsi="宋体"/>
                <w:snapToGrid w:val="0"/>
                <w:kern w:val="0"/>
                <w:sz w:val="24"/>
              </w:rPr>
              <w:t>施工期的主要噪声源为挖掘机、打桩机、混凝土搅拌机、起重机、汽车等各种施工机械设备，具体数值如下：</w:t>
            </w:r>
          </w:p>
          <w:p w14:paraId="2A08BBB5">
            <w:pPr>
              <w:numPr>
                <w:ilvl w:val="0"/>
                <w:numId w:val="6"/>
              </w:numPr>
              <w:tabs>
                <w:tab w:val="left" w:pos="7875"/>
              </w:tabs>
              <w:adjustRightInd w:val="0"/>
              <w:snapToGrid w:val="0"/>
              <w:spacing w:line="360" w:lineRule="auto"/>
              <w:ind w:firstLine="480" w:firstLineChars="200"/>
              <w:rPr>
                <w:snapToGrid w:val="0"/>
                <w:kern w:val="0"/>
                <w:sz w:val="24"/>
              </w:rPr>
            </w:pPr>
            <w:r>
              <w:rPr>
                <w:rFonts w:hAnsi="宋体"/>
                <w:snapToGrid w:val="0"/>
                <w:kern w:val="0"/>
                <w:sz w:val="24"/>
              </w:rPr>
              <w:t>在施工阶段，推土机、挖掘机、装载机等会产生约</w:t>
            </w:r>
            <w:r>
              <w:rPr>
                <w:snapToGrid w:val="0"/>
                <w:kern w:val="0"/>
                <w:sz w:val="24"/>
              </w:rPr>
              <w:t>82dB(A)</w:t>
            </w:r>
            <w:r>
              <w:rPr>
                <w:rFonts w:hAnsi="宋体"/>
                <w:snapToGrid w:val="0"/>
                <w:kern w:val="0"/>
                <w:sz w:val="24"/>
              </w:rPr>
              <w:t>的噪声；在打桩施工阶段，打桩机会产生约</w:t>
            </w:r>
            <w:r>
              <w:rPr>
                <w:snapToGrid w:val="0"/>
                <w:kern w:val="0"/>
                <w:sz w:val="24"/>
              </w:rPr>
              <w:t>105dB(A)</w:t>
            </w:r>
            <w:r>
              <w:rPr>
                <w:rFonts w:hAnsi="宋体"/>
                <w:snapToGrid w:val="0"/>
                <w:kern w:val="0"/>
                <w:sz w:val="24"/>
              </w:rPr>
              <w:t>的噪声；在结构施工阶段，混凝土搅拌机、电锯等会产生约</w:t>
            </w:r>
            <w:r>
              <w:rPr>
                <w:snapToGrid w:val="0"/>
                <w:kern w:val="0"/>
                <w:sz w:val="24"/>
              </w:rPr>
              <w:t>84dB(A)</w:t>
            </w:r>
            <w:r>
              <w:rPr>
                <w:rFonts w:hAnsi="宋体"/>
                <w:snapToGrid w:val="0"/>
                <w:kern w:val="0"/>
                <w:sz w:val="24"/>
              </w:rPr>
              <w:t>的噪声；在装修施工阶段，吊车、升降机等会产生约</w:t>
            </w:r>
            <w:r>
              <w:rPr>
                <w:snapToGrid w:val="0"/>
                <w:kern w:val="0"/>
                <w:sz w:val="24"/>
              </w:rPr>
              <w:t>75dB(A)</w:t>
            </w:r>
            <w:r>
              <w:rPr>
                <w:rFonts w:hAnsi="宋体"/>
                <w:snapToGrid w:val="0"/>
                <w:kern w:val="0"/>
                <w:sz w:val="24"/>
              </w:rPr>
              <w:t>的噪声。</w:t>
            </w:r>
          </w:p>
          <w:p w14:paraId="5CE719D1">
            <w:pPr>
              <w:numPr>
                <w:ilvl w:val="0"/>
                <w:numId w:val="6"/>
              </w:numPr>
              <w:tabs>
                <w:tab w:val="left" w:pos="7875"/>
              </w:tabs>
              <w:adjustRightInd w:val="0"/>
              <w:snapToGrid w:val="0"/>
              <w:spacing w:line="360" w:lineRule="auto"/>
              <w:ind w:firstLine="480" w:firstLineChars="200"/>
              <w:rPr>
                <w:snapToGrid w:val="0"/>
                <w:kern w:val="0"/>
                <w:sz w:val="24"/>
              </w:rPr>
            </w:pPr>
            <w:r>
              <w:rPr>
                <w:rFonts w:hAnsi="宋体"/>
                <w:snapToGrid w:val="0"/>
                <w:kern w:val="0"/>
                <w:sz w:val="24"/>
              </w:rPr>
              <w:t>车辆运送建筑材料时产生的发动机噪声及汽笛噪声约</w:t>
            </w:r>
            <w:r>
              <w:rPr>
                <w:snapToGrid w:val="0"/>
                <w:kern w:val="0"/>
                <w:sz w:val="24"/>
              </w:rPr>
              <w:t>75~90 dB(A)</w:t>
            </w:r>
            <w:r>
              <w:rPr>
                <w:rFonts w:hAnsi="宋体"/>
                <w:snapToGrid w:val="0"/>
                <w:kern w:val="0"/>
                <w:sz w:val="24"/>
              </w:rPr>
              <w:t>。</w:t>
            </w:r>
          </w:p>
          <w:p w14:paraId="7580C63B">
            <w:pPr>
              <w:numPr>
                <w:ilvl w:val="0"/>
                <w:numId w:val="6"/>
              </w:numPr>
              <w:tabs>
                <w:tab w:val="left" w:pos="7875"/>
              </w:tabs>
              <w:adjustRightInd w:val="0"/>
              <w:snapToGrid w:val="0"/>
              <w:spacing w:line="360" w:lineRule="auto"/>
              <w:ind w:firstLine="480" w:firstLineChars="200"/>
              <w:rPr>
                <w:snapToGrid w:val="0"/>
                <w:kern w:val="0"/>
                <w:sz w:val="24"/>
              </w:rPr>
            </w:pPr>
            <w:r>
              <w:rPr>
                <w:rFonts w:hAnsi="宋体"/>
                <w:snapToGrid w:val="0"/>
                <w:kern w:val="0"/>
                <w:sz w:val="24"/>
              </w:rPr>
              <w:t>施工噪声预测采用模式：</w:t>
            </w:r>
            <w:r>
              <w:rPr>
                <w:snapToGrid w:val="0"/>
                <w:kern w:val="0"/>
                <w:sz w:val="24"/>
              </w:rPr>
              <w:t>L=L</w:t>
            </w:r>
            <w:r>
              <w:rPr>
                <w:snapToGrid w:val="0"/>
                <w:kern w:val="0"/>
                <w:sz w:val="24"/>
                <w:vertAlign w:val="subscript"/>
              </w:rPr>
              <w:t>ref</w:t>
            </w:r>
            <w:r>
              <w:rPr>
                <w:snapToGrid w:val="0"/>
                <w:kern w:val="0"/>
                <w:sz w:val="24"/>
              </w:rPr>
              <w:t>(r</w:t>
            </w:r>
            <w:r>
              <w:rPr>
                <w:snapToGrid w:val="0"/>
                <w:kern w:val="0"/>
                <w:sz w:val="24"/>
                <w:vertAlign w:val="subscript"/>
              </w:rPr>
              <w:t>0</w:t>
            </w:r>
            <w:r>
              <w:rPr>
                <w:snapToGrid w:val="0"/>
                <w:kern w:val="0"/>
                <w:sz w:val="24"/>
              </w:rPr>
              <w:t>)-(A</w:t>
            </w:r>
            <w:r>
              <w:rPr>
                <w:snapToGrid w:val="0"/>
                <w:kern w:val="0"/>
                <w:sz w:val="24"/>
                <w:vertAlign w:val="subscript"/>
              </w:rPr>
              <w:t>div</w:t>
            </w:r>
            <w:r>
              <w:rPr>
                <w:snapToGrid w:val="0"/>
                <w:kern w:val="0"/>
                <w:sz w:val="24"/>
              </w:rPr>
              <w:t>+A</w:t>
            </w:r>
            <w:r>
              <w:rPr>
                <w:snapToGrid w:val="0"/>
                <w:kern w:val="0"/>
                <w:sz w:val="24"/>
                <w:vertAlign w:val="subscript"/>
              </w:rPr>
              <w:t>bar</w:t>
            </w:r>
            <w:r>
              <w:rPr>
                <w:snapToGrid w:val="0"/>
                <w:kern w:val="0"/>
                <w:sz w:val="24"/>
              </w:rPr>
              <w:t>+A</w:t>
            </w:r>
            <w:r>
              <w:rPr>
                <w:snapToGrid w:val="0"/>
                <w:kern w:val="0"/>
                <w:sz w:val="24"/>
                <w:vertAlign w:val="subscript"/>
              </w:rPr>
              <w:t>atm</w:t>
            </w:r>
            <w:r>
              <w:rPr>
                <w:snapToGrid w:val="0"/>
                <w:kern w:val="0"/>
                <w:sz w:val="24"/>
              </w:rPr>
              <w:t>+A</w:t>
            </w:r>
            <w:r>
              <w:rPr>
                <w:snapToGrid w:val="0"/>
                <w:kern w:val="0"/>
                <w:sz w:val="24"/>
                <w:vertAlign w:val="subscript"/>
              </w:rPr>
              <w:t>gr</w:t>
            </w:r>
            <w:r>
              <w:rPr>
                <w:snapToGrid w:val="0"/>
                <w:kern w:val="0"/>
                <w:sz w:val="24"/>
              </w:rPr>
              <w:t>+A</w:t>
            </w:r>
            <w:r>
              <w:rPr>
                <w:snapToGrid w:val="0"/>
                <w:kern w:val="0"/>
                <w:sz w:val="24"/>
                <w:vertAlign w:val="subscript"/>
              </w:rPr>
              <w:t>misc</w:t>
            </w:r>
            <w:r>
              <w:rPr>
                <w:snapToGrid w:val="0"/>
                <w:kern w:val="0"/>
                <w:sz w:val="24"/>
              </w:rPr>
              <w:t>)</w:t>
            </w:r>
            <w:r>
              <w:rPr>
                <w:rFonts w:hAnsi="宋体"/>
                <w:snapToGrid w:val="0"/>
                <w:kern w:val="0"/>
                <w:sz w:val="24"/>
              </w:rPr>
              <w:t>，式中：</w:t>
            </w:r>
            <w:r>
              <w:rPr>
                <w:snapToGrid w:val="0"/>
                <w:kern w:val="0"/>
                <w:sz w:val="24"/>
              </w:rPr>
              <w:t>A</w:t>
            </w:r>
            <w:r>
              <w:rPr>
                <w:snapToGrid w:val="0"/>
                <w:kern w:val="0"/>
                <w:sz w:val="24"/>
                <w:vertAlign w:val="subscript"/>
              </w:rPr>
              <w:t>div</w:t>
            </w:r>
            <w:r>
              <w:rPr>
                <w:rFonts w:hAnsi="宋体"/>
                <w:snapToGrid w:val="0"/>
                <w:kern w:val="0"/>
                <w:sz w:val="24"/>
              </w:rPr>
              <w:t>为</w:t>
            </w:r>
            <w:r>
              <w:rPr>
                <w:snapToGrid w:val="0"/>
                <w:kern w:val="0"/>
                <w:sz w:val="24"/>
              </w:rPr>
              <w:t xml:space="preserve"> </w:t>
            </w:r>
            <w:r>
              <w:rPr>
                <w:rFonts w:hAnsi="宋体"/>
                <w:snapToGrid w:val="0"/>
                <w:kern w:val="0"/>
                <w:sz w:val="24"/>
              </w:rPr>
              <w:t>几何发散衰减，</w:t>
            </w:r>
            <w:r>
              <w:rPr>
                <w:snapToGrid w:val="0"/>
                <w:kern w:val="0"/>
                <w:sz w:val="24"/>
              </w:rPr>
              <w:t>A</w:t>
            </w:r>
            <w:r>
              <w:rPr>
                <w:snapToGrid w:val="0"/>
                <w:kern w:val="0"/>
                <w:sz w:val="24"/>
                <w:vertAlign w:val="subscript"/>
              </w:rPr>
              <w:t>bar</w:t>
            </w:r>
            <w:r>
              <w:rPr>
                <w:rFonts w:hAnsi="宋体"/>
                <w:snapToGrid w:val="0"/>
                <w:kern w:val="0"/>
                <w:sz w:val="24"/>
              </w:rPr>
              <w:t>为声屏障引起的衰减，</w:t>
            </w:r>
            <w:r>
              <w:rPr>
                <w:snapToGrid w:val="0"/>
                <w:kern w:val="0"/>
                <w:sz w:val="24"/>
              </w:rPr>
              <w:t>A</w:t>
            </w:r>
            <w:r>
              <w:rPr>
                <w:snapToGrid w:val="0"/>
                <w:kern w:val="0"/>
                <w:sz w:val="24"/>
                <w:vertAlign w:val="subscript"/>
              </w:rPr>
              <w:t>atm</w:t>
            </w:r>
            <w:r>
              <w:rPr>
                <w:rFonts w:hAnsi="宋体"/>
                <w:snapToGrid w:val="0"/>
                <w:kern w:val="0"/>
                <w:sz w:val="24"/>
              </w:rPr>
              <w:t>为空气吸收引起的衰减，</w:t>
            </w:r>
            <w:r>
              <w:rPr>
                <w:snapToGrid w:val="0"/>
                <w:kern w:val="0"/>
                <w:sz w:val="24"/>
              </w:rPr>
              <w:t>A</w:t>
            </w:r>
            <w:r>
              <w:rPr>
                <w:snapToGrid w:val="0"/>
                <w:kern w:val="0"/>
                <w:sz w:val="24"/>
                <w:vertAlign w:val="subscript"/>
              </w:rPr>
              <w:t>gr</w:t>
            </w:r>
            <w:r>
              <w:rPr>
                <w:rFonts w:hAnsi="宋体"/>
                <w:snapToGrid w:val="0"/>
                <w:kern w:val="0"/>
                <w:sz w:val="24"/>
              </w:rPr>
              <w:t>为地面效应引起的附加衰减，</w:t>
            </w:r>
            <w:r>
              <w:rPr>
                <w:snapToGrid w:val="0"/>
                <w:kern w:val="0"/>
                <w:sz w:val="24"/>
              </w:rPr>
              <w:t>A</w:t>
            </w:r>
            <w:r>
              <w:rPr>
                <w:snapToGrid w:val="0"/>
                <w:kern w:val="0"/>
                <w:sz w:val="24"/>
                <w:vertAlign w:val="subscript"/>
              </w:rPr>
              <w:t>misc</w:t>
            </w:r>
            <w:r>
              <w:rPr>
                <w:rFonts w:hAnsi="宋体"/>
                <w:snapToGrid w:val="0"/>
                <w:kern w:val="0"/>
                <w:sz w:val="24"/>
              </w:rPr>
              <w:t>为其他附加衰减，经预测计算，结果如下：</w:t>
            </w:r>
          </w:p>
          <w:tbl>
            <w:tblPr>
              <w:tblStyle w:val="27"/>
              <w:tblW w:w="7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1"/>
              <w:gridCol w:w="863"/>
              <w:gridCol w:w="863"/>
              <w:gridCol w:w="863"/>
              <w:gridCol w:w="863"/>
              <w:gridCol w:w="863"/>
            </w:tblGrid>
            <w:tr w14:paraId="625D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881" w:type="dxa"/>
                  <w:noWrap w:val="0"/>
                  <w:vAlign w:val="center"/>
                </w:tcPr>
                <w:p w14:paraId="06688596">
                  <w:pPr>
                    <w:tabs>
                      <w:tab w:val="left" w:pos="3556"/>
                    </w:tabs>
                    <w:adjustRightInd w:val="0"/>
                    <w:snapToGrid w:val="0"/>
                    <w:jc w:val="center"/>
                    <w:rPr>
                      <w:b/>
                      <w:bCs/>
                      <w:snapToGrid w:val="0"/>
                      <w:kern w:val="0"/>
                      <w:szCs w:val="21"/>
                    </w:rPr>
                  </w:pPr>
                  <w:r>
                    <w:rPr>
                      <w:rFonts w:hAnsi="宋体"/>
                      <w:b/>
                      <w:bCs/>
                      <w:snapToGrid w:val="0"/>
                      <w:kern w:val="0"/>
                      <w:szCs w:val="21"/>
                    </w:rPr>
                    <w:t>距离（</w:t>
                  </w:r>
                  <w:r>
                    <w:rPr>
                      <w:b/>
                      <w:bCs/>
                      <w:snapToGrid w:val="0"/>
                      <w:kern w:val="0"/>
                      <w:szCs w:val="21"/>
                    </w:rPr>
                    <w:t>m</w:t>
                  </w:r>
                  <w:r>
                    <w:rPr>
                      <w:rFonts w:hAnsi="宋体"/>
                      <w:b/>
                      <w:bCs/>
                      <w:snapToGrid w:val="0"/>
                      <w:kern w:val="0"/>
                      <w:szCs w:val="21"/>
                    </w:rPr>
                    <w:t>）</w:t>
                  </w:r>
                </w:p>
              </w:tc>
              <w:tc>
                <w:tcPr>
                  <w:tcW w:w="863" w:type="dxa"/>
                  <w:noWrap w:val="0"/>
                  <w:vAlign w:val="center"/>
                </w:tcPr>
                <w:p w14:paraId="34F4B682">
                  <w:pPr>
                    <w:tabs>
                      <w:tab w:val="left" w:pos="3556"/>
                    </w:tabs>
                    <w:adjustRightInd w:val="0"/>
                    <w:snapToGrid w:val="0"/>
                    <w:jc w:val="center"/>
                    <w:rPr>
                      <w:b/>
                      <w:bCs/>
                      <w:snapToGrid w:val="0"/>
                      <w:kern w:val="0"/>
                      <w:szCs w:val="21"/>
                    </w:rPr>
                  </w:pPr>
                  <w:r>
                    <w:rPr>
                      <w:b/>
                      <w:bCs/>
                      <w:snapToGrid w:val="0"/>
                      <w:kern w:val="0"/>
                      <w:szCs w:val="21"/>
                    </w:rPr>
                    <w:t>10(r</w:t>
                  </w:r>
                  <w:r>
                    <w:rPr>
                      <w:b/>
                      <w:bCs/>
                      <w:snapToGrid w:val="0"/>
                      <w:kern w:val="0"/>
                      <w:szCs w:val="21"/>
                      <w:vertAlign w:val="subscript"/>
                    </w:rPr>
                    <w:t>0</w:t>
                  </w:r>
                  <w:r>
                    <w:rPr>
                      <w:b/>
                      <w:bCs/>
                      <w:snapToGrid w:val="0"/>
                      <w:kern w:val="0"/>
                      <w:szCs w:val="21"/>
                    </w:rPr>
                    <w:t>)</w:t>
                  </w:r>
                </w:p>
              </w:tc>
              <w:tc>
                <w:tcPr>
                  <w:tcW w:w="863" w:type="dxa"/>
                  <w:noWrap w:val="0"/>
                  <w:vAlign w:val="center"/>
                </w:tcPr>
                <w:p w14:paraId="7C36D9F2">
                  <w:pPr>
                    <w:tabs>
                      <w:tab w:val="left" w:pos="3556"/>
                    </w:tabs>
                    <w:adjustRightInd w:val="0"/>
                    <w:snapToGrid w:val="0"/>
                    <w:jc w:val="center"/>
                    <w:rPr>
                      <w:b/>
                      <w:bCs/>
                      <w:snapToGrid w:val="0"/>
                      <w:kern w:val="0"/>
                      <w:szCs w:val="21"/>
                    </w:rPr>
                  </w:pPr>
                  <w:r>
                    <w:rPr>
                      <w:b/>
                      <w:bCs/>
                      <w:snapToGrid w:val="0"/>
                      <w:kern w:val="0"/>
                      <w:szCs w:val="21"/>
                    </w:rPr>
                    <w:t>30</w:t>
                  </w:r>
                </w:p>
              </w:tc>
              <w:tc>
                <w:tcPr>
                  <w:tcW w:w="863" w:type="dxa"/>
                  <w:noWrap w:val="0"/>
                  <w:vAlign w:val="center"/>
                </w:tcPr>
                <w:p w14:paraId="713BF243">
                  <w:pPr>
                    <w:tabs>
                      <w:tab w:val="left" w:pos="3556"/>
                    </w:tabs>
                    <w:adjustRightInd w:val="0"/>
                    <w:snapToGrid w:val="0"/>
                    <w:jc w:val="center"/>
                    <w:rPr>
                      <w:b/>
                      <w:bCs/>
                      <w:snapToGrid w:val="0"/>
                      <w:kern w:val="0"/>
                      <w:szCs w:val="21"/>
                    </w:rPr>
                  </w:pPr>
                  <w:r>
                    <w:rPr>
                      <w:b/>
                      <w:bCs/>
                      <w:snapToGrid w:val="0"/>
                      <w:kern w:val="0"/>
                      <w:szCs w:val="21"/>
                    </w:rPr>
                    <w:t>40</w:t>
                  </w:r>
                </w:p>
              </w:tc>
              <w:tc>
                <w:tcPr>
                  <w:tcW w:w="863" w:type="dxa"/>
                  <w:noWrap w:val="0"/>
                  <w:vAlign w:val="center"/>
                </w:tcPr>
                <w:p w14:paraId="52BDB3A5">
                  <w:pPr>
                    <w:tabs>
                      <w:tab w:val="left" w:pos="3556"/>
                    </w:tabs>
                    <w:adjustRightInd w:val="0"/>
                    <w:snapToGrid w:val="0"/>
                    <w:jc w:val="center"/>
                    <w:rPr>
                      <w:b/>
                      <w:bCs/>
                      <w:snapToGrid w:val="0"/>
                      <w:kern w:val="0"/>
                      <w:szCs w:val="21"/>
                    </w:rPr>
                  </w:pPr>
                  <w:r>
                    <w:rPr>
                      <w:b/>
                      <w:bCs/>
                      <w:snapToGrid w:val="0"/>
                      <w:kern w:val="0"/>
                      <w:szCs w:val="21"/>
                    </w:rPr>
                    <w:t>50</w:t>
                  </w:r>
                </w:p>
              </w:tc>
              <w:tc>
                <w:tcPr>
                  <w:tcW w:w="863" w:type="dxa"/>
                  <w:noWrap w:val="0"/>
                  <w:vAlign w:val="center"/>
                </w:tcPr>
                <w:p w14:paraId="45B3D02C">
                  <w:pPr>
                    <w:tabs>
                      <w:tab w:val="left" w:pos="3556"/>
                    </w:tabs>
                    <w:adjustRightInd w:val="0"/>
                    <w:snapToGrid w:val="0"/>
                    <w:jc w:val="center"/>
                    <w:rPr>
                      <w:b/>
                      <w:bCs/>
                      <w:snapToGrid w:val="0"/>
                      <w:kern w:val="0"/>
                      <w:szCs w:val="21"/>
                    </w:rPr>
                  </w:pPr>
                  <w:r>
                    <w:rPr>
                      <w:b/>
                      <w:bCs/>
                      <w:snapToGrid w:val="0"/>
                      <w:kern w:val="0"/>
                      <w:szCs w:val="21"/>
                    </w:rPr>
                    <w:t>100</w:t>
                  </w:r>
                </w:p>
              </w:tc>
            </w:tr>
            <w:tr w14:paraId="5452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881" w:type="dxa"/>
                  <w:noWrap w:val="0"/>
                  <w:vAlign w:val="center"/>
                </w:tcPr>
                <w:p w14:paraId="361FC7CE">
                  <w:pPr>
                    <w:tabs>
                      <w:tab w:val="left" w:pos="3556"/>
                    </w:tabs>
                    <w:adjustRightInd w:val="0"/>
                    <w:snapToGrid w:val="0"/>
                    <w:jc w:val="center"/>
                    <w:rPr>
                      <w:snapToGrid w:val="0"/>
                      <w:kern w:val="0"/>
                      <w:szCs w:val="21"/>
                    </w:rPr>
                  </w:pPr>
                  <w:r>
                    <w:rPr>
                      <w:rFonts w:hAnsi="宋体"/>
                      <w:snapToGrid w:val="0"/>
                      <w:kern w:val="0"/>
                      <w:szCs w:val="21"/>
                    </w:rPr>
                    <w:t>打桩机等</w:t>
                  </w:r>
                </w:p>
              </w:tc>
              <w:tc>
                <w:tcPr>
                  <w:tcW w:w="863" w:type="dxa"/>
                  <w:noWrap w:val="0"/>
                  <w:vAlign w:val="center"/>
                </w:tcPr>
                <w:p w14:paraId="2060EBEC">
                  <w:pPr>
                    <w:tabs>
                      <w:tab w:val="left" w:pos="3556"/>
                    </w:tabs>
                    <w:adjustRightInd w:val="0"/>
                    <w:snapToGrid w:val="0"/>
                    <w:jc w:val="center"/>
                    <w:rPr>
                      <w:snapToGrid w:val="0"/>
                      <w:kern w:val="0"/>
                      <w:szCs w:val="21"/>
                    </w:rPr>
                  </w:pPr>
                  <w:r>
                    <w:rPr>
                      <w:snapToGrid w:val="0"/>
                      <w:kern w:val="0"/>
                      <w:szCs w:val="21"/>
                    </w:rPr>
                    <w:t>105</w:t>
                  </w:r>
                </w:p>
              </w:tc>
              <w:tc>
                <w:tcPr>
                  <w:tcW w:w="863" w:type="dxa"/>
                  <w:noWrap w:val="0"/>
                  <w:vAlign w:val="center"/>
                </w:tcPr>
                <w:p w14:paraId="53B5801E">
                  <w:pPr>
                    <w:tabs>
                      <w:tab w:val="left" w:pos="3556"/>
                    </w:tabs>
                    <w:adjustRightInd w:val="0"/>
                    <w:snapToGrid w:val="0"/>
                    <w:jc w:val="center"/>
                    <w:rPr>
                      <w:snapToGrid w:val="0"/>
                      <w:kern w:val="0"/>
                      <w:szCs w:val="21"/>
                    </w:rPr>
                  </w:pPr>
                  <w:r>
                    <w:rPr>
                      <w:snapToGrid w:val="0"/>
                      <w:kern w:val="0"/>
                      <w:szCs w:val="21"/>
                    </w:rPr>
                    <w:t>93</w:t>
                  </w:r>
                </w:p>
              </w:tc>
              <w:tc>
                <w:tcPr>
                  <w:tcW w:w="863" w:type="dxa"/>
                  <w:noWrap w:val="0"/>
                  <w:vAlign w:val="center"/>
                </w:tcPr>
                <w:p w14:paraId="317937EE">
                  <w:pPr>
                    <w:tabs>
                      <w:tab w:val="left" w:pos="3556"/>
                    </w:tabs>
                    <w:adjustRightInd w:val="0"/>
                    <w:snapToGrid w:val="0"/>
                    <w:jc w:val="center"/>
                    <w:rPr>
                      <w:snapToGrid w:val="0"/>
                      <w:kern w:val="0"/>
                      <w:szCs w:val="21"/>
                    </w:rPr>
                  </w:pPr>
                  <w:r>
                    <w:rPr>
                      <w:snapToGrid w:val="0"/>
                      <w:kern w:val="0"/>
                      <w:szCs w:val="21"/>
                    </w:rPr>
                    <w:t>91</w:t>
                  </w:r>
                </w:p>
              </w:tc>
              <w:tc>
                <w:tcPr>
                  <w:tcW w:w="863" w:type="dxa"/>
                  <w:noWrap w:val="0"/>
                  <w:vAlign w:val="center"/>
                </w:tcPr>
                <w:p w14:paraId="769EBF56">
                  <w:pPr>
                    <w:tabs>
                      <w:tab w:val="left" w:pos="3556"/>
                    </w:tabs>
                    <w:adjustRightInd w:val="0"/>
                    <w:snapToGrid w:val="0"/>
                    <w:jc w:val="center"/>
                    <w:rPr>
                      <w:rFonts w:hint="eastAsia" w:eastAsia="Calibri"/>
                      <w:snapToGrid w:val="0"/>
                      <w:kern w:val="0"/>
                      <w:szCs w:val="21"/>
                    </w:rPr>
                  </w:pPr>
                  <w:r>
                    <w:rPr>
                      <w:snapToGrid w:val="0"/>
                      <w:kern w:val="0"/>
                      <w:szCs w:val="21"/>
                    </w:rPr>
                    <w:t>8</w:t>
                  </w:r>
                  <w:r>
                    <w:rPr>
                      <w:rFonts w:hint="eastAsia"/>
                      <w:snapToGrid w:val="0"/>
                      <w:kern w:val="0"/>
                      <w:szCs w:val="21"/>
                    </w:rPr>
                    <w:t>3</w:t>
                  </w:r>
                </w:p>
              </w:tc>
              <w:tc>
                <w:tcPr>
                  <w:tcW w:w="863" w:type="dxa"/>
                  <w:noWrap w:val="0"/>
                  <w:vAlign w:val="center"/>
                </w:tcPr>
                <w:p w14:paraId="341112C6">
                  <w:pPr>
                    <w:tabs>
                      <w:tab w:val="left" w:pos="3556"/>
                    </w:tabs>
                    <w:adjustRightInd w:val="0"/>
                    <w:snapToGrid w:val="0"/>
                    <w:jc w:val="center"/>
                    <w:rPr>
                      <w:rFonts w:eastAsia="Calibri"/>
                      <w:snapToGrid w:val="0"/>
                      <w:kern w:val="0"/>
                      <w:szCs w:val="21"/>
                    </w:rPr>
                  </w:pPr>
                  <w:r>
                    <w:rPr>
                      <w:rFonts w:hint="eastAsia"/>
                      <w:snapToGrid w:val="0"/>
                      <w:kern w:val="0"/>
                      <w:szCs w:val="21"/>
                    </w:rPr>
                    <w:t>70</w:t>
                  </w:r>
                </w:p>
              </w:tc>
            </w:tr>
            <w:tr w14:paraId="4A04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881" w:type="dxa"/>
                  <w:noWrap w:val="0"/>
                  <w:vAlign w:val="center"/>
                </w:tcPr>
                <w:p w14:paraId="11C524E6">
                  <w:pPr>
                    <w:tabs>
                      <w:tab w:val="left" w:pos="3556"/>
                    </w:tabs>
                    <w:adjustRightInd w:val="0"/>
                    <w:snapToGrid w:val="0"/>
                    <w:jc w:val="center"/>
                    <w:rPr>
                      <w:snapToGrid w:val="0"/>
                      <w:kern w:val="0"/>
                      <w:szCs w:val="21"/>
                    </w:rPr>
                  </w:pPr>
                  <w:r>
                    <w:rPr>
                      <w:rFonts w:hAnsi="宋体"/>
                      <w:snapToGrid w:val="0"/>
                      <w:kern w:val="0"/>
                      <w:szCs w:val="21"/>
                    </w:rPr>
                    <w:t>推土机、挖掘机</w:t>
                  </w:r>
                  <w:r>
                    <w:rPr>
                      <w:snapToGrid w:val="0"/>
                      <w:kern w:val="0"/>
                      <w:szCs w:val="21"/>
                    </w:rPr>
                    <w:t xml:space="preserve"> </w:t>
                  </w:r>
                  <w:r>
                    <w:rPr>
                      <w:rFonts w:hAnsi="宋体"/>
                      <w:snapToGrid w:val="0"/>
                      <w:kern w:val="0"/>
                      <w:szCs w:val="21"/>
                    </w:rPr>
                    <w:t>、装载机</w:t>
                  </w:r>
                </w:p>
              </w:tc>
              <w:tc>
                <w:tcPr>
                  <w:tcW w:w="863" w:type="dxa"/>
                  <w:noWrap w:val="0"/>
                  <w:vAlign w:val="center"/>
                </w:tcPr>
                <w:p w14:paraId="6FBA0CEE">
                  <w:pPr>
                    <w:tabs>
                      <w:tab w:val="left" w:pos="3556"/>
                    </w:tabs>
                    <w:adjustRightInd w:val="0"/>
                    <w:snapToGrid w:val="0"/>
                    <w:jc w:val="center"/>
                    <w:rPr>
                      <w:snapToGrid w:val="0"/>
                      <w:kern w:val="0"/>
                      <w:szCs w:val="21"/>
                    </w:rPr>
                  </w:pPr>
                  <w:r>
                    <w:rPr>
                      <w:snapToGrid w:val="0"/>
                      <w:kern w:val="0"/>
                      <w:szCs w:val="21"/>
                    </w:rPr>
                    <w:t>82</w:t>
                  </w:r>
                </w:p>
              </w:tc>
              <w:tc>
                <w:tcPr>
                  <w:tcW w:w="863" w:type="dxa"/>
                  <w:noWrap w:val="0"/>
                  <w:vAlign w:val="center"/>
                </w:tcPr>
                <w:p w14:paraId="4BE8915C">
                  <w:pPr>
                    <w:tabs>
                      <w:tab w:val="left" w:pos="3556"/>
                    </w:tabs>
                    <w:adjustRightInd w:val="0"/>
                    <w:snapToGrid w:val="0"/>
                    <w:jc w:val="center"/>
                    <w:rPr>
                      <w:snapToGrid w:val="0"/>
                      <w:kern w:val="0"/>
                      <w:szCs w:val="21"/>
                    </w:rPr>
                  </w:pPr>
                  <w:r>
                    <w:rPr>
                      <w:snapToGrid w:val="0"/>
                      <w:kern w:val="0"/>
                      <w:szCs w:val="21"/>
                    </w:rPr>
                    <w:t>70</w:t>
                  </w:r>
                </w:p>
              </w:tc>
              <w:tc>
                <w:tcPr>
                  <w:tcW w:w="863" w:type="dxa"/>
                  <w:noWrap w:val="0"/>
                  <w:vAlign w:val="center"/>
                </w:tcPr>
                <w:p w14:paraId="49FD89A5">
                  <w:pPr>
                    <w:tabs>
                      <w:tab w:val="left" w:pos="3556"/>
                    </w:tabs>
                    <w:adjustRightInd w:val="0"/>
                    <w:snapToGrid w:val="0"/>
                    <w:jc w:val="center"/>
                    <w:rPr>
                      <w:snapToGrid w:val="0"/>
                      <w:kern w:val="0"/>
                      <w:szCs w:val="21"/>
                    </w:rPr>
                  </w:pPr>
                  <w:r>
                    <w:rPr>
                      <w:snapToGrid w:val="0"/>
                      <w:kern w:val="0"/>
                      <w:szCs w:val="21"/>
                    </w:rPr>
                    <w:t>68</w:t>
                  </w:r>
                </w:p>
              </w:tc>
              <w:tc>
                <w:tcPr>
                  <w:tcW w:w="863" w:type="dxa"/>
                  <w:noWrap w:val="0"/>
                  <w:vAlign w:val="center"/>
                </w:tcPr>
                <w:p w14:paraId="042A0D72">
                  <w:pPr>
                    <w:tabs>
                      <w:tab w:val="left" w:pos="3556"/>
                    </w:tabs>
                    <w:adjustRightInd w:val="0"/>
                    <w:snapToGrid w:val="0"/>
                    <w:jc w:val="center"/>
                    <w:rPr>
                      <w:snapToGrid w:val="0"/>
                      <w:kern w:val="0"/>
                      <w:szCs w:val="21"/>
                    </w:rPr>
                  </w:pPr>
                  <w:r>
                    <w:rPr>
                      <w:snapToGrid w:val="0"/>
                      <w:kern w:val="0"/>
                      <w:szCs w:val="21"/>
                    </w:rPr>
                    <w:t>66</w:t>
                  </w:r>
                </w:p>
              </w:tc>
              <w:tc>
                <w:tcPr>
                  <w:tcW w:w="863" w:type="dxa"/>
                  <w:noWrap w:val="0"/>
                  <w:vAlign w:val="center"/>
                </w:tcPr>
                <w:p w14:paraId="5A41E889">
                  <w:pPr>
                    <w:tabs>
                      <w:tab w:val="left" w:pos="3556"/>
                    </w:tabs>
                    <w:adjustRightInd w:val="0"/>
                    <w:snapToGrid w:val="0"/>
                    <w:jc w:val="center"/>
                    <w:rPr>
                      <w:snapToGrid w:val="0"/>
                      <w:kern w:val="0"/>
                      <w:szCs w:val="21"/>
                    </w:rPr>
                  </w:pPr>
                  <w:r>
                    <w:rPr>
                      <w:snapToGrid w:val="0"/>
                      <w:kern w:val="0"/>
                      <w:szCs w:val="21"/>
                    </w:rPr>
                    <w:t>60</w:t>
                  </w:r>
                </w:p>
              </w:tc>
            </w:tr>
            <w:tr w14:paraId="79FA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881" w:type="dxa"/>
                  <w:noWrap w:val="0"/>
                  <w:vAlign w:val="center"/>
                </w:tcPr>
                <w:p w14:paraId="7769570D">
                  <w:pPr>
                    <w:tabs>
                      <w:tab w:val="left" w:pos="3556"/>
                    </w:tabs>
                    <w:adjustRightInd w:val="0"/>
                    <w:snapToGrid w:val="0"/>
                    <w:jc w:val="center"/>
                    <w:rPr>
                      <w:snapToGrid w:val="0"/>
                      <w:kern w:val="0"/>
                      <w:szCs w:val="21"/>
                    </w:rPr>
                  </w:pPr>
                  <w:r>
                    <w:rPr>
                      <w:rFonts w:hAnsi="宋体"/>
                      <w:snapToGrid w:val="0"/>
                      <w:kern w:val="0"/>
                      <w:szCs w:val="21"/>
                    </w:rPr>
                    <w:t>搅拌机、振捣机、中锯等</w:t>
                  </w:r>
                </w:p>
              </w:tc>
              <w:tc>
                <w:tcPr>
                  <w:tcW w:w="863" w:type="dxa"/>
                  <w:noWrap w:val="0"/>
                  <w:vAlign w:val="center"/>
                </w:tcPr>
                <w:p w14:paraId="0BD8F0A6">
                  <w:pPr>
                    <w:tabs>
                      <w:tab w:val="left" w:pos="3556"/>
                    </w:tabs>
                    <w:adjustRightInd w:val="0"/>
                    <w:snapToGrid w:val="0"/>
                    <w:jc w:val="center"/>
                    <w:rPr>
                      <w:snapToGrid w:val="0"/>
                      <w:kern w:val="0"/>
                      <w:szCs w:val="21"/>
                    </w:rPr>
                  </w:pPr>
                  <w:r>
                    <w:rPr>
                      <w:snapToGrid w:val="0"/>
                      <w:kern w:val="0"/>
                      <w:szCs w:val="21"/>
                    </w:rPr>
                    <w:t>84</w:t>
                  </w:r>
                </w:p>
              </w:tc>
              <w:tc>
                <w:tcPr>
                  <w:tcW w:w="863" w:type="dxa"/>
                  <w:noWrap w:val="0"/>
                  <w:vAlign w:val="center"/>
                </w:tcPr>
                <w:p w14:paraId="622DFB04">
                  <w:pPr>
                    <w:tabs>
                      <w:tab w:val="left" w:pos="3556"/>
                    </w:tabs>
                    <w:adjustRightInd w:val="0"/>
                    <w:snapToGrid w:val="0"/>
                    <w:jc w:val="center"/>
                    <w:rPr>
                      <w:snapToGrid w:val="0"/>
                      <w:kern w:val="0"/>
                      <w:szCs w:val="21"/>
                    </w:rPr>
                  </w:pPr>
                  <w:r>
                    <w:rPr>
                      <w:snapToGrid w:val="0"/>
                      <w:kern w:val="0"/>
                      <w:szCs w:val="21"/>
                    </w:rPr>
                    <w:t>72</w:t>
                  </w:r>
                </w:p>
              </w:tc>
              <w:tc>
                <w:tcPr>
                  <w:tcW w:w="863" w:type="dxa"/>
                  <w:noWrap w:val="0"/>
                  <w:vAlign w:val="center"/>
                </w:tcPr>
                <w:p w14:paraId="27B0AA9E">
                  <w:pPr>
                    <w:tabs>
                      <w:tab w:val="left" w:pos="3556"/>
                    </w:tabs>
                    <w:adjustRightInd w:val="0"/>
                    <w:snapToGrid w:val="0"/>
                    <w:jc w:val="center"/>
                    <w:rPr>
                      <w:snapToGrid w:val="0"/>
                      <w:kern w:val="0"/>
                      <w:szCs w:val="21"/>
                    </w:rPr>
                  </w:pPr>
                  <w:r>
                    <w:rPr>
                      <w:snapToGrid w:val="0"/>
                      <w:kern w:val="0"/>
                      <w:szCs w:val="21"/>
                    </w:rPr>
                    <w:t>70</w:t>
                  </w:r>
                </w:p>
              </w:tc>
              <w:tc>
                <w:tcPr>
                  <w:tcW w:w="863" w:type="dxa"/>
                  <w:noWrap w:val="0"/>
                  <w:vAlign w:val="center"/>
                </w:tcPr>
                <w:p w14:paraId="7F6D8ADD">
                  <w:pPr>
                    <w:tabs>
                      <w:tab w:val="left" w:pos="3556"/>
                    </w:tabs>
                    <w:adjustRightInd w:val="0"/>
                    <w:snapToGrid w:val="0"/>
                    <w:jc w:val="center"/>
                    <w:rPr>
                      <w:snapToGrid w:val="0"/>
                      <w:kern w:val="0"/>
                      <w:szCs w:val="21"/>
                    </w:rPr>
                  </w:pPr>
                  <w:r>
                    <w:rPr>
                      <w:snapToGrid w:val="0"/>
                      <w:kern w:val="0"/>
                      <w:szCs w:val="21"/>
                    </w:rPr>
                    <w:t>68</w:t>
                  </w:r>
                </w:p>
              </w:tc>
              <w:tc>
                <w:tcPr>
                  <w:tcW w:w="863" w:type="dxa"/>
                  <w:noWrap w:val="0"/>
                  <w:vAlign w:val="center"/>
                </w:tcPr>
                <w:p w14:paraId="6F44018C">
                  <w:pPr>
                    <w:tabs>
                      <w:tab w:val="left" w:pos="3556"/>
                    </w:tabs>
                    <w:adjustRightInd w:val="0"/>
                    <w:snapToGrid w:val="0"/>
                    <w:jc w:val="center"/>
                    <w:rPr>
                      <w:snapToGrid w:val="0"/>
                      <w:kern w:val="0"/>
                      <w:szCs w:val="21"/>
                    </w:rPr>
                  </w:pPr>
                  <w:r>
                    <w:rPr>
                      <w:snapToGrid w:val="0"/>
                      <w:kern w:val="0"/>
                      <w:szCs w:val="21"/>
                    </w:rPr>
                    <w:t>62</w:t>
                  </w:r>
                </w:p>
              </w:tc>
            </w:tr>
            <w:tr w14:paraId="5AAA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881" w:type="dxa"/>
                  <w:noWrap w:val="0"/>
                  <w:vAlign w:val="center"/>
                </w:tcPr>
                <w:p w14:paraId="5E108C50">
                  <w:pPr>
                    <w:tabs>
                      <w:tab w:val="left" w:pos="3556"/>
                    </w:tabs>
                    <w:adjustRightInd w:val="0"/>
                    <w:snapToGrid w:val="0"/>
                    <w:jc w:val="center"/>
                    <w:rPr>
                      <w:snapToGrid w:val="0"/>
                      <w:kern w:val="0"/>
                      <w:szCs w:val="21"/>
                    </w:rPr>
                  </w:pPr>
                  <w:r>
                    <w:rPr>
                      <w:rFonts w:hAnsi="宋体"/>
                      <w:snapToGrid w:val="0"/>
                      <w:kern w:val="0"/>
                      <w:szCs w:val="21"/>
                    </w:rPr>
                    <w:t>吊车、升降机等</w:t>
                  </w:r>
                </w:p>
              </w:tc>
              <w:tc>
                <w:tcPr>
                  <w:tcW w:w="863" w:type="dxa"/>
                  <w:noWrap w:val="0"/>
                  <w:vAlign w:val="center"/>
                </w:tcPr>
                <w:p w14:paraId="45EF73CA">
                  <w:pPr>
                    <w:tabs>
                      <w:tab w:val="left" w:pos="3556"/>
                    </w:tabs>
                    <w:adjustRightInd w:val="0"/>
                    <w:snapToGrid w:val="0"/>
                    <w:jc w:val="center"/>
                    <w:rPr>
                      <w:snapToGrid w:val="0"/>
                      <w:kern w:val="0"/>
                      <w:szCs w:val="21"/>
                    </w:rPr>
                  </w:pPr>
                  <w:r>
                    <w:rPr>
                      <w:snapToGrid w:val="0"/>
                      <w:kern w:val="0"/>
                      <w:szCs w:val="21"/>
                    </w:rPr>
                    <w:t>75</w:t>
                  </w:r>
                </w:p>
              </w:tc>
              <w:tc>
                <w:tcPr>
                  <w:tcW w:w="863" w:type="dxa"/>
                  <w:noWrap w:val="0"/>
                  <w:vAlign w:val="center"/>
                </w:tcPr>
                <w:p w14:paraId="5C193666">
                  <w:pPr>
                    <w:tabs>
                      <w:tab w:val="left" w:pos="3556"/>
                    </w:tabs>
                    <w:adjustRightInd w:val="0"/>
                    <w:snapToGrid w:val="0"/>
                    <w:jc w:val="center"/>
                    <w:rPr>
                      <w:snapToGrid w:val="0"/>
                      <w:kern w:val="0"/>
                      <w:szCs w:val="21"/>
                    </w:rPr>
                  </w:pPr>
                  <w:r>
                    <w:rPr>
                      <w:snapToGrid w:val="0"/>
                      <w:kern w:val="0"/>
                      <w:szCs w:val="21"/>
                    </w:rPr>
                    <w:t>63</w:t>
                  </w:r>
                </w:p>
              </w:tc>
              <w:tc>
                <w:tcPr>
                  <w:tcW w:w="863" w:type="dxa"/>
                  <w:noWrap w:val="0"/>
                  <w:vAlign w:val="center"/>
                </w:tcPr>
                <w:p w14:paraId="0513D087">
                  <w:pPr>
                    <w:tabs>
                      <w:tab w:val="left" w:pos="3556"/>
                    </w:tabs>
                    <w:adjustRightInd w:val="0"/>
                    <w:snapToGrid w:val="0"/>
                    <w:jc w:val="center"/>
                    <w:rPr>
                      <w:snapToGrid w:val="0"/>
                      <w:kern w:val="0"/>
                      <w:szCs w:val="21"/>
                    </w:rPr>
                  </w:pPr>
                  <w:r>
                    <w:rPr>
                      <w:snapToGrid w:val="0"/>
                      <w:kern w:val="0"/>
                      <w:szCs w:val="21"/>
                    </w:rPr>
                    <w:t>61</w:t>
                  </w:r>
                </w:p>
              </w:tc>
              <w:tc>
                <w:tcPr>
                  <w:tcW w:w="863" w:type="dxa"/>
                  <w:noWrap w:val="0"/>
                  <w:vAlign w:val="center"/>
                </w:tcPr>
                <w:p w14:paraId="067E653B">
                  <w:pPr>
                    <w:tabs>
                      <w:tab w:val="left" w:pos="3556"/>
                    </w:tabs>
                    <w:adjustRightInd w:val="0"/>
                    <w:snapToGrid w:val="0"/>
                    <w:jc w:val="center"/>
                    <w:rPr>
                      <w:snapToGrid w:val="0"/>
                      <w:kern w:val="0"/>
                      <w:szCs w:val="21"/>
                    </w:rPr>
                  </w:pPr>
                  <w:r>
                    <w:rPr>
                      <w:snapToGrid w:val="0"/>
                      <w:kern w:val="0"/>
                      <w:szCs w:val="21"/>
                    </w:rPr>
                    <w:t>59</w:t>
                  </w:r>
                </w:p>
              </w:tc>
              <w:tc>
                <w:tcPr>
                  <w:tcW w:w="863" w:type="dxa"/>
                  <w:noWrap w:val="0"/>
                  <w:vAlign w:val="center"/>
                </w:tcPr>
                <w:p w14:paraId="7EFBA1C4">
                  <w:pPr>
                    <w:tabs>
                      <w:tab w:val="left" w:pos="3556"/>
                    </w:tabs>
                    <w:adjustRightInd w:val="0"/>
                    <w:snapToGrid w:val="0"/>
                    <w:jc w:val="center"/>
                    <w:rPr>
                      <w:snapToGrid w:val="0"/>
                      <w:kern w:val="0"/>
                      <w:szCs w:val="21"/>
                    </w:rPr>
                  </w:pPr>
                  <w:r>
                    <w:rPr>
                      <w:snapToGrid w:val="0"/>
                      <w:kern w:val="0"/>
                      <w:szCs w:val="21"/>
                    </w:rPr>
                    <w:t>53</w:t>
                  </w:r>
                </w:p>
              </w:tc>
            </w:tr>
          </w:tbl>
          <w:p w14:paraId="1A315558">
            <w:pPr>
              <w:tabs>
                <w:tab w:val="left" w:pos="7875"/>
              </w:tabs>
              <w:adjustRightInd w:val="0"/>
              <w:snapToGrid w:val="0"/>
              <w:spacing w:line="360" w:lineRule="auto"/>
              <w:ind w:firstLine="480" w:firstLineChars="200"/>
              <w:rPr>
                <w:snapToGrid w:val="0"/>
                <w:kern w:val="0"/>
                <w:sz w:val="24"/>
              </w:rPr>
            </w:pPr>
            <w:r>
              <w:rPr>
                <w:rFonts w:hAnsi="宋体"/>
                <w:snapToGrid w:val="0"/>
                <w:kern w:val="0"/>
                <w:sz w:val="24"/>
              </w:rPr>
              <w:t>与</w:t>
            </w:r>
            <w:r>
              <w:rPr>
                <w:rFonts w:hAnsi="宋体"/>
                <w:sz w:val="24"/>
              </w:rPr>
              <w:t>《建筑施工厂界环境噪声排放标准》</w:t>
            </w:r>
            <w:r>
              <w:rPr>
                <w:sz w:val="24"/>
              </w:rPr>
              <w:t>(GB12523-2011)</w:t>
            </w:r>
            <w:r>
              <w:rPr>
                <w:rFonts w:hAnsi="宋体"/>
                <w:snapToGrid w:val="0"/>
                <w:kern w:val="0"/>
                <w:sz w:val="24"/>
              </w:rPr>
              <w:t>相对照，白天施工时距作业区</w:t>
            </w:r>
            <w:r>
              <w:rPr>
                <w:snapToGrid w:val="0"/>
                <w:kern w:val="0"/>
                <w:sz w:val="24"/>
              </w:rPr>
              <w:t>100m</w:t>
            </w:r>
            <w:r>
              <w:rPr>
                <w:rFonts w:hAnsi="宋体"/>
                <w:snapToGrid w:val="0"/>
                <w:kern w:val="0"/>
                <w:sz w:val="24"/>
              </w:rPr>
              <w:t>处打桩机噪声达标；</w:t>
            </w:r>
            <w:r>
              <w:rPr>
                <w:snapToGrid w:val="0"/>
                <w:kern w:val="0"/>
                <w:sz w:val="24"/>
              </w:rPr>
              <w:t>30m</w:t>
            </w:r>
            <w:r>
              <w:rPr>
                <w:rFonts w:hAnsi="宋体"/>
                <w:snapToGrid w:val="0"/>
                <w:kern w:val="0"/>
                <w:sz w:val="24"/>
              </w:rPr>
              <w:t>处推土机、挖掘机、装载机、吊车、升降机噪声达标；</w:t>
            </w:r>
            <w:r>
              <w:rPr>
                <w:snapToGrid w:val="0"/>
                <w:kern w:val="0"/>
                <w:sz w:val="24"/>
              </w:rPr>
              <w:t>40m</w:t>
            </w:r>
            <w:r>
              <w:rPr>
                <w:rFonts w:hAnsi="宋体"/>
                <w:snapToGrid w:val="0"/>
                <w:kern w:val="0"/>
                <w:sz w:val="24"/>
              </w:rPr>
              <w:t>处搅拌机噪声达标。</w:t>
            </w:r>
          </w:p>
          <w:p w14:paraId="5E2E30C9">
            <w:pPr>
              <w:tabs>
                <w:tab w:val="left" w:pos="7875"/>
              </w:tabs>
              <w:adjustRightInd w:val="0"/>
              <w:snapToGrid w:val="0"/>
              <w:spacing w:line="360" w:lineRule="auto"/>
              <w:ind w:firstLine="480" w:firstLineChars="200"/>
              <w:rPr>
                <w:snapToGrid w:val="0"/>
                <w:kern w:val="0"/>
                <w:sz w:val="24"/>
              </w:rPr>
            </w:pPr>
            <w:r>
              <w:rPr>
                <w:rFonts w:hAnsi="宋体"/>
                <w:snapToGrid w:val="0"/>
                <w:kern w:val="0"/>
                <w:sz w:val="24"/>
              </w:rPr>
              <w:t>施工期噪声防治可采取如下对策：合理安排施工作业时间，夜间禁止进行高噪声作业；施工机械应尽可能放置于对场界外影响最小的地点；压缩工区汽车数量和行车密度，控制汽车鸣笛等。</w:t>
            </w:r>
          </w:p>
          <w:p w14:paraId="00DC487E">
            <w:pPr>
              <w:tabs>
                <w:tab w:val="left" w:pos="7875"/>
              </w:tabs>
              <w:adjustRightInd w:val="0"/>
              <w:snapToGrid w:val="0"/>
              <w:spacing w:line="360" w:lineRule="auto"/>
              <w:ind w:firstLine="480" w:firstLineChars="200"/>
              <w:rPr>
                <w:snapToGrid w:val="0"/>
                <w:kern w:val="0"/>
                <w:sz w:val="24"/>
              </w:rPr>
            </w:pPr>
            <w:r>
              <w:rPr>
                <w:snapToGrid w:val="0"/>
                <w:kern w:val="0"/>
                <w:sz w:val="24"/>
              </w:rPr>
              <w:t>4</w:t>
            </w:r>
            <w:r>
              <w:rPr>
                <w:rFonts w:hAnsi="宋体"/>
                <w:snapToGrid w:val="0"/>
                <w:kern w:val="0"/>
                <w:sz w:val="24"/>
              </w:rPr>
              <w:t>、建筑污水及施工人员产生的生活污水等</w:t>
            </w:r>
          </w:p>
          <w:p w14:paraId="53FBECA3">
            <w:pPr>
              <w:tabs>
                <w:tab w:val="left" w:pos="7875"/>
              </w:tabs>
              <w:adjustRightInd w:val="0"/>
              <w:snapToGrid w:val="0"/>
              <w:spacing w:line="360" w:lineRule="auto"/>
              <w:ind w:firstLine="480" w:firstLineChars="200"/>
              <w:rPr>
                <w:snapToGrid w:val="0"/>
                <w:kern w:val="0"/>
                <w:sz w:val="24"/>
              </w:rPr>
            </w:pPr>
            <w:r>
              <w:rPr>
                <w:snapToGrid w:val="0"/>
                <w:kern w:val="0"/>
                <w:sz w:val="24"/>
              </w:rPr>
              <w:t>a</w:t>
            </w:r>
            <w:r>
              <w:rPr>
                <w:rFonts w:hAnsi="宋体"/>
                <w:snapToGrid w:val="0"/>
                <w:kern w:val="0"/>
                <w:sz w:val="24"/>
              </w:rPr>
              <w:t>．在施工阶段，会产生一定量的建筑污水，建筑污水回用到生产中。</w:t>
            </w:r>
          </w:p>
          <w:p w14:paraId="3413890D">
            <w:pPr>
              <w:adjustRightInd w:val="0"/>
              <w:snapToGrid w:val="0"/>
              <w:spacing w:line="360" w:lineRule="auto"/>
              <w:ind w:firstLine="480" w:firstLineChars="200"/>
              <w:rPr>
                <w:snapToGrid w:val="0"/>
                <w:kern w:val="0"/>
                <w:sz w:val="24"/>
              </w:rPr>
            </w:pPr>
            <w:r>
              <w:rPr>
                <w:snapToGrid w:val="0"/>
                <w:kern w:val="0"/>
                <w:sz w:val="24"/>
              </w:rPr>
              <w:t>b</w:t>
            </w:r>
            <w:r>
              <w:rPr>
                <w:b/>
                <w:snapToGrid w:val="0"/>
                <w:kern w:val="0"/>
                <w:sz w:val="24"/>
              </w:rPr>
              <w:t xml:space="preserve">. </w:t>
            </w:r>
            <w:r>
              <w:rPr>
                <w:rFonts w:hAnsi="宋体"/>
                <w:snapToGrid w:val="0"/>
                <w:kern w:val="0"/>
                <w:sz w:val="24"/>
              </w:rPr>
              <w:t>施工人员在施工期内会产生一些生活污水，生活污水纳入市政污水管网。</w:t>
            </w:r>
          </w:p>
          <w:p w14:paraId="0532A3C0">
            <w:pPr>
              <w:adjustRightInd w:val="0"/>
              <w:snapToGrid w:val="0"/>
              <w:spacing w:line="360" w:lineRule="auto"/>
              <w:ind w:firstLine="480" w:firstLineChars="200"/>
              <w:rPr>
                <w:snapToGrid w:val="0"/>
                <w:kern w:val="0"/>
                <w:sz w:val="24"/>
              </w:rPr>
            </w:pPr>
            <w:r>
              <w:rPr>
                <w:snapToGrid w:val="0"/>
                <w:kern w:val="0"/>
                <w:sz w:val="24"/>
              </w:rPr>
              <w:t>5</w:t>
            </w:r>
            <w:r>
              <w:rPr>
                <w:rFonts w:hAnsi="宋体"/>
                <w:snapToGrid w:val="0"/>
                <w:kern w:val="0"/>
                <w:sz w:val="24"/>
              </w:rPr>
              <w:t>、水土保持</w:t>
            </w:r>
          </w:p>
          <w:p w14:paraId="7972F2BE">
            <w:pPr>
              <w:pStyle w:val="92"/>
              <w:spacing w:line="480" w:lineRule="exact"/>
              <w:ind w:firstLine="480"/>
              <w:rPr>
                <w:color w:val="FF0000"/>
                <w:sz w:val="24"/>
                <w:szCs w:val="24"/>
              </w:rPr>
            </w:pPr>
            <w:r>
              <w:rPr>
                <w:rFonts w:hAnsi="宋体"/>
                <w:snapToGrid w:val="0"/>
                <w:kern w:val="0"/>
                <w:sz w:val="24"/>
              </w:rPr>
              <w:t>建设过程中应加强管理，取土及时回填，堆土应设置围墙，防止水土流失。建设过程中的绿化等植被的破坏，应有计划的进行植被恢复措施，如植树、绿化等，绿化建议采取点、线、面结合的立体绿化方式，以树、灌木、草等互补种植。</w:t>
            </w:r>
          </w:p>
        </w:tc>
      </w:tr>
      <w:tr w14:paraId="2836A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4" w:hRule="atLeast"/>
          <w:jc w:val="center"/>
        </w:trPr>
        <w:tc>
          <w:tcPr>
            <w:tcW w:w="495" w:type="dxa"/>
            <w:tcBorders>
              <w:tl2br w:val="nil"/>
              <w:tr2bl w:val="nil"/>
            </w:tcBorders>
            <w:tcMar>
              <w:left w:w="28" w:type="dxa"/>
              <w:right w:w="28" w:type="dxa"/>
            </w:tcMar>
            <w:vAlign w:val="center"/>
          </w:tcPr>
          <w:p w14:paraId="7FBFB2C1">
            <w:pPr>
              <w:adjustRightInd w:val="0"/>
              <w:snapToGrid w:val="0"/>
              <w:jc w:val="center"/>
              <w:rPr>
                <w:b/>
                <w:color w:val="FF0000"/>
              </w:rPr>
            </w:pPr>
            <w:r>
              <w:rPr>
                <w:b/>
                <w:sz w:val="24"/>
              </w:rPr>
              <w:t>运营期环境影响和保护措施</w:t>
            </w:r>
          </w:p>
        </w:tc>
        <w:tc>
          <w:tcPr>
            <w:tcW w:w="8486" w:type="dxa"/>
            <w:tcBorders>
              <w:tl2br w:val="nil"/>
              <w:tr2bl w:val="nil"/>
            </w:tcBorders>
            <w:vAlign w:val="center"/>
          </w:tcPr>
          <w:p w14:paraId="783981EF">
            <w:pPr>
              <w:adjustRightInd w:val="0"/>
              <w:snapToGrid w:val="0"/>
              <w:spacing w:line="480" w:lineRule="exact"/>
              <w:ind w:firstLine="482" w:firstLineChars="200"/>
              <w:rPr>
                <w:b/>
                <w:bCs/>
                <w:sz w:val="24"/>
              </w:rPr>
            </w:pPr>
            <w:r>
              <w:rPr>
                <w:b/>
                <w:sz w:val="24"/>
              </w:rPr>
              <w:t>一、运营期水环境影响和保护措施</w:t>
            </w:r>
          </w:p>
          <w:p w14:paraId="513A9659">
            <w:pPr>
              <w:spacing w:line="480" w:lineRule="exact"/>
              <w:ind w:firstLine="482" w:firstLineChars="200"/>
              <w:jc w:val="left"/>
              <w:rPr>
                <w:b/>
                <w:bCs/>
                <w:sz w:val="24"/>
              </w:rPr>
            </w:pPr>
            <w:r>
              <w:rPr>
                <w:b/>
                <w:bCs/>
                <w:sz w:val="24"/>
              </w:rPr>
              <w:t>1、水污染物产生及排放情况</w:t>
            </w:r>
          </w:p>
          <w:p w14:paraId="4FA6BD28">
            <w:pPr>
              <w:adjustRightInd w:val="0"/>
              <w:snapToGrid w:val="0"/>
              <w:spacing w:line="480" w:lineRule="exact"/>
              <w:ind w:firstLine="480" w:firstLineChars="200"/>
              <w:rPr>
                <w:sz w:val="24"/>
              </w:rPr>
            </w:pPr>
            <w:r>
              <w:rPr>
                <w:sz w:val="24"/>
              </w:rPr>
              <w:t>（1）生活污水</w:t>
            </w:r>
          </w:p>
          <w:p w14:paraId="4AB385CA">
            <w:pPr>
              <w:spacing w:line="480" w:lineRule="exact"/>
              <w:ind w:firstLine="480" w:firstLineChars="200"/>
              <w:rPr>
                <w:kern w:val="0"/>
                <w:sz w:val="24"/>
                <w:lang w:bidi="ar"/>
              </w:rPr>
            </w:pPr>
            <w:r>
              <w:rPr>
                <w:kern w:val="0"/>
                <w:sz w:val="24"/>
                <w:lang w:bidi="ar"/>
              </w:rPr>
              <w:t>项目建成后全厂员工</w:t>
            </w:r>
            <w:r>
              <w:rPr>
                <w:rFonts w:hint="eastAsia"/>
                <w:kern w:val="0"/>
                <w:sz w:val="24"/>
                <w:lang w:bidi="ar"/>
              </w:rPr>
              <w:t>100</w:t>
            </w:r>
            <w:r>
              <w:rPr>
                <w:kern w:val="0"/>
                <w:sz w:val="24"/>
                <w:lang w:bidi="ar"/>
              </w:rPr>
              <w:t>人，</w:t>
            </w:r>
            <w:r>
              <w:rPr>
                <w:sz w:val="24"/>
              </w:rPr>
              <w:t>不设宿舍和浴室等生活设施。根据《常州市工业和城市生活用水定额（2011年修订）》人均生活用水定额按80L/（人•天）计，年工作天数300天，产污率按85%计，则全厂用水量为</w:t>
            </w:r>
            <w:r>
              <w:rPr>
                <w:rFonts w:hint="eastAsia"/>
                <w:sz w:val="24"/>
              </w:rPr>
              <w:t>2400</w:t>
            </w:r>
            <w:r>
              <w:rPr>
                <w:sz w:val="24"/>
              </w:rPr>
              <w:t>t/a，排放量为</w:t>
            </w:r>
            <w:r>
              <w:rPr>
                <w:rFonts w:hint="eastAsia"/>
                <w:sz w:val="24"/>
              </w:rPr>
              <w:t>2040</w:t>
            </w:r>
            <w:r>
              <w:rPr>
                <w:sz w:val="24"/>
              </w:rPr>
              <w:t>t/a。主要污染物为COD、SS、NH</w:t>
            </w:r>
            <w:r>
              <w:rPr>
                <w:sz w:val="24"/>
                <w:vertAlign w:val="subscript"/>
              </w:rPr>
              <w:t>3</w:t>
            </w:r>
            <w:r>
              <w:rPr>
                <w:sz w:val="24"/>
              </w:rPr>
              <w:t>-N、TP、TN</w:t>
            </w:r>
            <w:r>
              <w:rPr>
                <w:kern w:val="0"/>
                <w:sz w:val="24"/>
                <w:lang w:bidi="ar"/>
              </w:rPr>
              <w:t>，生活污水依托出租方厂内污水管网收集后接入市政污水管网</w:t>
            </w:r>
            <w:r>
              <w:rPr>
                <w:rFonts w:hint="eastAsia"/>
                <w:kern w:val="0"/>
                <w:sz w:val="24"/>
                <w:lang w:bidi="ar"/>
              </w:rPr>
              <w:t>进入金坛区溪城污水处理有限公司</w:t>
            </w:r>
            <w:r>
              <w:rPr>
                <w:kern w:val="0"/>
                <w:sz w:val="24"/>
                <w:lang w:bidi="ar"/>
              </w:rPr>
              <w:t>集中处理，达标尾水排入</w:t>
            </w:r>
            <w:r>
              <w:rPr>
                <w:rFonts w:hint="eastAsia"/>
                <w:kern w:val="0"/>
                <w:sz w:val="24"/>
                <w:lang w:bidi="ar"/>
              </w:rPr>
              <w:t>通济河</w:t>
            </w:r>
            <w:r>
              <w:rPr>
                <w:kern w:val="0"/>
                <w:sz w:val="24"/>
                <w:lang w:bidi="ar"/>
              </w:rPr>
              <w:t>。</w:t>
            </w:r>
          </w:p>
          <w:p w14:paraId="6420838D">
            <w:pPr>
              <w:adjustRightInd w:val="0"/>
              <w:snapToGrid w:val="0"/>
              <w:spacing w:line="480" w:lineRule="exact"/>
              <w:ind w:firstLine="480" w:firstLineChars="200"/>
              <w:rPr>
                <w:sz w:val="24"/>
              </w:rPr>
            </w:pPr>
            <w:r>
              <w:rPr>
                <w:sz w:val="24"/>
              </w:rPr>
              <w:t>（</w:t>
            </w:r>
            <w:r>
              <w:rPr>
                <w:rFonts w:hint="eastAsia"/>
                <w:sz w:val="24"/>
              </w:rPr>
              <w:t>2</w:t>
            </w:r>
            <w:r>
              <w:rPr>
                <w:sz w:val="24"/>
              </w:rPr>
              <w:t>）</w:t>
            </w:r>
            <w:r>
              <w:rPr>
                <w:rFonts w:hint="eastAsia"/>
                <w:sz w:val="24"/>
              </w:rPr>
              <w:t>胶水</w:t>
            </w:r>
            <w:r>
              <w:rPr>
                <w:sz w:val="24"/>
              </w:rPr>
              <w:t>配置用水</w:t>
            </w:r>
          </w:p>
          <w:p w14:paraId="4E63AB03">
            <w:pPr>
              <w:widowControl/>
              <w:spacing w:line="480" w:lineRule="exact"/>
              <w:ind w:firstLine="480" w:firstLineChars="200"/>
              <w:rPr>
                <w:kern w:val="0"/>
                <w:sz w:val="24"/>
                <w:lang w:bidi="ar"/>
              </w:rPr>
            </w:pPr>
            <w:r>
              <w:rPr>
                <w:rFonts w:hint="eastAsia"/>
                <w:kern w:val="0"/>
                <w:sz w:val="24"/>
                <w:lang w:bidi="ar"/>
              </w:rPr>
              <w:t>丁苯胶乳、水配置</w:t>
            </w:r>
            <w:r>
              <w:rPr>
                <w:kern w:val="0"/>
                <w:sz w:val="24"/>
                <w:lang w:bidi="ar"/>
              </w:rPr>
              <w:t>比例</w:t>
            </w:r>
            <w:r>
              <w:rPr>
                <w:rFonts w:hint="eastAsia"/>
                <w:kern w:val="0"/>
                <w:sz w:val="24"/>
                <w:lang w:bidi="ar"/>
              </w:rPr>
              <w:t>约1:2</w:t>
            </w:r>
            <w:r>
              <w:rPr>
                <w:kern w:val="0"/>
                <w:sz w:val="24"/>
                <w:lang w:bidi="ar"/>
              </w:rPr>
              <w:t>；经计算，原辅料</w:t>
            </w:r>
            <w:r>
              <w:rPr>
                <w:rFonts w:hint="eastAsia"/>
                <w:kern w:val="0"/>
                <w:sz w:val="24"/>
                <w:lang w:bidi="ar"/>
              </w:rPr>
              <w:t>配置</w:t>
            </w:r>
            <w:r>
              <w:rPr>
                <w:kern w:val="0"/>
                <w:sz w:val="24"/>
                <w:lang w:bidi="ar"/>
              </w:rPr>
              <w:t>用水约为</w:t>
            </w:r>
            <w:r>
              <w:rPr>
                <w:rFonts w:hint="eastAsia"/>
                <w:kern w:val="0"/>
                <w:sz w:val="24"/>
                <w:lang w:bidi="ar"/>
              </w:rPr>
              <w:t>400m</w:t>
            </w:r>
            <w:r>
              <w:rPr>
                <w:rFonts w:hint="eastAsia"/>
                <w:kern w:val="0"/>
                <w:sz w:val="24"/>
                <w:vertAlign w:val="superscript"/>
                <w:lang w:bidi="ar"/>
              </w:rPr>
              <w:t>3</w:t>
            </w:r>
            <w:r>
              <w:rPr>
                <w:kern w:val="0"/>
                <w:sz w:val="24"/>
                <w:lang w:bidi="ar"/>
              </w:rPr>
              <w:t>/a</w:t>
            </w:r>
            <w:r>
              <w:rPr>
                <w:rFonts w:hint="eastAsia"/>
                <w:kern w:val="0"/>
                <w:sz w:val="24"/>
                <w:lang w:bidi="ar"/>
              </w:rPr>
              <w:t>，烘干过程中水分全部挥发</w:t>
            </w:r>
            <w:r>
              <w:rPr>
                <w:kern w:val="0"/>
                <w:sz w:val="24"/>
                <w:lang w:bidi="ar"/>
              </w:rPr>
              <w:t>。</w:t>
            </w:r>
          </w:p>
          <w:p w14:paraId="03F4300E">
            <w:pPr>
              <w:adjustRightInd w:val="0"/>
              <w:snapToGrid w:val="0"/>
              <w:spacing w:line="480" w:lineRule="exact"/>
              <w:ind w:firstLine="480" w:firstLineChars="200"/>
              <w:rPr>
                <w:rFonts w:hint="default" w:eastAsia="宋体"/>
                <w:sz w:val="24"/>
                <w:lang w:val="en-US" w:eastAsia="zh-CN"/>
              </w:rPr>
            </w:pPr>
            <w:r>
              <w:rPr>
                <w:sz w:val="24"/>
              </w:rPr>
              <w:t>（</w:t>
            </w:r>
            <w:r>
              <w:rPr>
                <w:rFonts w:hint="eastAsia"/>
                <w:sz w:val="24"/>
                <w:lang w:val="en-US" w:eastAsia="zh-CN"/>
              </w:rPr>
              <w:t>3</w:t>
            </w:r>
            <w:r>
              <w:rPr>
                <w:sz w:val="24"/>
              </w:rPr>
              <w:t>）</w:t>
            </w:r>
            <w:r>
              <w:rPr>
                <w:rFonts w:hint="eastAsia"/>
                <w:sz w:val="24"/>
                <w:lang w:val="en-US" w:eastAsia="zh-CN"/>
              </w:rPr>
              <w:t>地面干式清洁</w:t>
            </w:r>
          </w:p>
          <w:p w14:paraId="6802A0FE">
            <w:pPr>
              <w:widowControl/>
              <w:spacing w:line="480" w:lineRule="exact"/>
              <w:ind w:firstLine="480" w:firstLineChars="200"/>
              <w:rPr>
                <w:rFonts w:hint="default" w:eastAsia="宋体"/>
                <w:kern w:val="0"/>
                <w:sz w:val="24"/>
                <w:lang w:val="en-US" w:eastAsia="zh-CN" w:bidi="ar"/>
              </w:rPr>
            </w:pPr>
            <w:r>
              <w:rPr>
                <w:rFonts w:hint="eastAsia" w:ascii="Times New Roman" w:hAnsi="Times New Roman" w:eastAsia="宋体" w:cs="Times New Roman"/>
                <w:b w:val="0"/>
                <w:bCs w:val="0"/>
                <w:sz w:val="24"/>
                <w:lang w:val="en-US" w:eastAsia="zh-CN"/>
              </w:rPr>
              <w:t>本项目地面采用干式清洁，无地面清洁废水产生。</w:t>
            </w:r>
          </w:p>
          <w:p w14:paraId="60A4766B">
            <w:pPr>
              <w:spacing w:line="480" w:lineRule="exact"/>
              <w:jc w:val="center"/>
              <w:rPr>
                <w:b/>
                <w:sz w:val="24"/>
              </w:rPr>
            </w:pPr>
            <w:r>
              <w:rPr>
                <w:b/>
                <w:sz w:val="24"/>
              </w:rPr>
              <w:t>表4-1  全厂水污染物产生及排放量一览表</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6"/>
              <w:gridCol w:w="809"/>
              <w:gridCol w:w="1003"/>
              <w:gridCol w:w="902"/>
              <w:gridCol w:w="856"/>
              <w:gridCol w:w="675"/>
              <w:gridCol w:w="839"/>
              <w:gridCol w:w="1020"/>
              <w:gridCol w:w="901"/>
              <w:gridCol w:w="796"/>
              <w:gridCol w:w="567"/>
            </w:tblGrid>
            <w:tr w14:paraId="6E1D8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restart"/>
                  <w:tcMar>
                    <w:top w:w="0" w:type="dxa"/>
                    <w:left w:w="0" w:type="dxa"/>
                    <w:bottom w:w="0" w:type="dxa"/>
                    <w:right w:w="0" w:type="dxa"/>
                  </w:tcMar>
                  <w:vAlign w:val="center"/>
                </w:tcPr>
                <w:p w14:paraId="205FC908">
                  <w:pPr>
                    <w:widowControl/>
                    <w:jc w:val="center"/>
                    <w:rPr>
                      <w:b/>
                      <w:kern w:val="0"/>
                      <w:szCs w:val="21"/>
                    </w:rPr>
                  </w:pPr>
                  <w:r>
                    <w:rPr>
                      <w:b/>
                      <w:kern w:val="0"/>
                      <w:szCs w:val="21"/>
                    </w:rPr>
                    <w:t>废水来源</w:t>
                  </w:r>
                </w:p>
              </w:tc>
              <w:tc>
                <w:tcPr>
                  <w:tcW w:w="455" w:type="pct"/>
                  <w:vMerge w:val="restart"/>
                  <w:tcMar>
                    <w:top w:w="0" w:type="dxa"/>
                    <w:left w:w="0" w:type="dxa"/>
                    <w:bottom w:w="0" w:type="dxa"/>
                    <w:right w:w="0" w:type="dxa"/>
                  </w:tcMar>
                  <w:vAlign w:val="center"/>
                </w:tcPr>
                <w:p w14:paraId="15AFE970">
                  <w:pPr>
                    <w:widowControl/>
                    <w:jc w:val="center"/>
                    <w:rPr>
                      <w:b/>
                      <w:kern w:val="0"/>
                      <w:szCs w:val="21"/>
                    </w:rPr>
                  </w:pPr>
                  <w:r>
                    <w:rPr>
                      <w:b/>
                      <w:kern w:val="0"/>
                      <w:szCs w:val="21"/>
                    </w:rPr>
                    <w:t>废水量（</w:t>
                  </w:r>
                  <w:r>
                    <w:rPr>
                      <w:b/>
                      <w:szCs w:val="21"/>
                    </w:rPr>
                    <w:t>m</w:t>
                  </w:r>
                  <w:r>
                    <w:rPr>
                      <w:b/>
                      <w:szCs w:val="21"/>
                      <w:vertAlign w:val="superscript"/>
                    </w:rPr>
                    <w:t>3</w:t>
                  </w:r>
                  <w:r>
                    <w:rPr>
                      <w:b/>
                      <w:kern w:val="0"/>
                      <w:szCs w:val="21"/>
                    </w:rPr>
                    <w:t>/a）</w:t>
                  </w:r>
                </w:p>
              </w:tc>
              <w:tc>
                <w:tcPr>
                  <w:tcW w:w="564" w:type="pct"/>
                  <w:vMerge w:val="restart"/>
                  <w:tcMar>
                    <w:top w:w="0" w:type="dxa"/>
                    <w:left w:w="0" w:type="dxa"/>
                    <w:bottom w:w="0" w:type="dxa"/>
                    <w:right w:w="0" w:type="dxa"/>
                  </w:tcMar>
                  <w:vAlign w:val="center"/>
                </w:tcPr>
                <w:p w14:paraId="189B23A3">
                  <w:pPr>
                    <w:widowControl/>
                    <w:jc w:val="center"/>
                    <w:rPr>
                      <w:b/>
                      <w:kern w:val="0"/>
                      <w:szCs w:val="21"/>
                    </w:rPr>
                  </w:pPr>
                  <w:r>
                    <w:rPr>
                      <w:b/>
                      <w:kern w:val="0"/>
                      <w:szCs w:val="21"/>
                    </w:rPr>
                    <w:t>污染物</w:t>
                  </w:r>
                </w:p>
                <w:p w14:paraId="12B2F5AA">
                  <w:pPr>
                    <w:widowControl/>
                    <w:jc w:val="center"/>
                    <w:rPr>
                      <w:b/>
                      <w:kern w:val="0"/>
                      <w:szCs w:val="21"/>
                    </w:rPr>
                  </w:pPr>
                  <w:r>
                    <w:rPr>
                      <w:b/>
                      <w:kern w:val="0"/>
                      <w:szCs w:val="21"/>
                    </w:rPr>
                    <w:t>名称</w:t>
                  </w:r>
                </w:p>
              </w:tc>
              <w:tc>
                <w:tcPr>
                  <w:tcW w:w="988" w:type="pct"/>
                  <w:gridSpan w:val="2"/>
                  <w:tcMar>
                    <w:top w:w="0" w:type="dxa"/>
                    <w:left w:w="0" w:type="dxa"/>
                    <w:bottom w:w="0" w:type="dxa"/>
                    <w:right w:w="0" w:type="dxa"/>
                  </w:tcMar>
                  <w:vAlign w:val="center"/>
                </w:tcPr>
                <w:p w14:paraId="76873F3D">
                  <w:pPr>
                    <w:widowControl/>
                    <w:jc w:val="center"/>
                    <w:rPr>
                      <w:b/>
                      <w:kern w:val="0"/>
                      <w:szCs w:val="21"/>
                    </w:rPr>
                  </w:pPr>
                  <w:r>
                    <w:rPr>
                      <w:b/>
                      <w:kern w:val="0"/>
                      <w:szCs w:val="21"/>
                    </w:rPr>
                    <w:t>污染物产生量</w:t>
                  </w:r>
                </w:p>
              </w:tc>
              <w:tc>
                <w:tcPr>
                  <w:tcW w:w="380" w:type="pct"/>
                  <w:vMerge w:val="restart"/>
                  <w:tcMar>
                    <w:top w:w="0" w:type="dxa"/>
                    <w:left w:w="0" w:type="dxa"/>
                    <w:bottom w:w="0" w:type="dxa"/>
                    <w:right w:w="0" w:type="dxa"/>
                  </w:tcMar>
                  <w:vAlign w:val="center"/>
                </w:tcPr>
                <w:p w14:paraId="3D92081D">
                  <w:pPr>
                    <w:widowControl/>
                    <w:jc w:val="center"/>
                    <w:rPr>
                      <w:b/>
                      <w:szCs w:val="21"/>
                    </w:rPr>
                  </w:pPr>
                  <w:r>
                    <w:rPr>
                      <w:b/>
                      <w:szCs w:val="21"/>
                    </w:rPr>
                    <w:t>治理</w:t>
                  </w:r>
                </w:p>
                <w:p w14:paraId="264E0B3E">
                  <w:pPr>
                    <w:widowControl/>
                    <w:jc w:val="center"/>
                    <w:rPr>
                      <w:b/>
                      <w:kern w:val="0"/>
                      <w:szCs w:val="21"/>
                    </w:rPr>
                  </w:pPr>
                  <w:r>
                    <w:rPr>
                      <w:b/>
                      <w:szCs w:val="21"/>
                    </w:rPr>
                    <w:t>措施</w:t>
                  </w:r>
                </w:p>
              </w:tc>
              <w:tc>
                <w:tcPr>
                  <w:tcW w:w="471" w:type="pct"/>
                  <w:vMerge w:val="restart"/>
                  <w:tcMar>
                    <w:top w:w="0" w:type="dxa"/>
                    <w:left w:w="0" w:type="dxa"/>
                    <w:bottom w:w="0" w:type="dxa"/>
                    <w:right w:w="0" w:type="dxa"/>
                  </w:tcMar>
                  <w:vAlign w:val="center"/>
                </w:tcPr>
                <w:p w14:paraId="1B1200AC">
                  <w:pPr>
                    <w:widowControl/>
                    <w:jc w:val="center"/>
                    <w:rPr>
                      <w:b/>
                      <w:kern w:val="0"/>
                      <w:szCs w:val="21"/>
                    </w:rPr>
                  </w:pPr>
                  <w:r>
                    <w:rPr>
                      <w:b/>
                      <w:kern w:val="0"/>
                      <w:szCs w:val="21"/>
                    </w:rPr>
                    <w:t>废水量（</w:t>
                  </w:r>
                  <w:r>
                    <w:rPr>
                      <w:b/>
                      <w:szCs w:val="21"/>
                    </w:rPr>
                    <w:t>m</w:t>
                  </w:r>
                  <w:r>
                    <w:rPr>
                      <w:b/>
                      <w:szCs w:val="21"/>
                      <w:vertAlign w:val="superscript"/>
                    </w:rPr>
                    <w:t>3</w:t>
                  </w:r>
                  <w:r>
                    <w:rPr>
                      <w:b/>
                      <w:kern w:val="0"/>
                      <w:szCs w:val="21"/>
                    </w:rPr>
                    <w:t>/a）</w:t>
                  </w:r>
                </w:p>
              </w:tc>
              <w:tc>
                <w:tcPr>
                  <w:tcW w:w="573" w:type="pct"/>
                  <w:vMerge w:val="restart"/>
                  <w:tcMar>
                    <w:top w:w="0" w:type="dxa"/>
                    <w:left w:w="0" w:type="dxa"/>
                    <w:bottom w:w="0" w:type="dxa"/>
                    <w:right w:w="0" w:type="dxa"/>
                  </w:tcMar>
                  <w:vAlign w:val="center"/>
                </w:tcPr>
                <w:p w14:paraId="1CB09456">
                  <w:pPr>
                    <w:widowControl/>
                    <w:jc w:val="center"/>
                    <w:rPr>
                      <w:b/>
                      <w:kern w:val="0"/>
                      <w:szCs w:val="21"/>
                    </w:rPr>
                  </w:pPr>
                  <w:r>
                    <w:rPr>
                      <w:b/>
                      <w:kern w:val="0"/>
                      <w:szCs w:val="21"/>
                    </w:rPr>
                    <w:t>污染物</w:t>
                  </w:r>
                </w:p>
                <w:p w14:paraId="3D377684">
                  <w:pPr>
                    <w:widowControl/>
                    <w:jc w:val="center"/>
                    <w:rPr>
                      <w:b/>
                      <w:kern w:val="0"/>
                      <w:szCs w:val="21"/>
                    </w:rPr>
                  </w:pPr>
                  <w:r>
                    <w:rPr>
                      <w:b/>
                      <w:kern w:val="0"/>
                      <w:szCs w:val="21"/>
                    </w:rPr>
                    <w:t>名称</w:t>
                  </w:r>
                </w:p>
              </w:tc>
              <w:tc>
                <w:tcPr>
                  <w:tcW w:w="953" w:type="pct"/>
                  <w:gridSpan w:val="2"/>
                  <w:tcMar>
                    <w:top w:w="0" w:type="dxa"/>
                    <w:left w:w="0" w:type="dxa"/>
                    <w:bottom w:w="0" w:type="dxa"/>
                    <w:right w:w="0" w:type="dxa"/>
                  </w:tcMar>
                  <w:vAlign w:val="center"/>
                </w:tcPr>
                <w:p w14:paraId="13CA868A">
                  <w:pPr>
                    <w:jc w:val="center"/>
                    <w:rPr>
                      <w:b/>
                      <w:kern w:val="0"/>
                      <w:szCs w:val="21"/>
                    </w:rPr>
                  </w:pPr>
                  <w:r>
                    <w:rPr>
                      <w:b/>
                      <w:kern w:val="0"/>
                      <w:szCs w:val="21"/>
                    </w:rPr>
                    <w:t>污染物排放量</w:t>
                  </w:r>
                </w:p>
              </w:tc>
              <w:tc>
                <w:tcPr>
                  <w:tcW w:w="319" w:type="pct"/>
                  <w:vMerge w:val="restart"/>
                  <w:tcMar>
                    <w:top w:w="0" w:type="dxa"/>
                    <w:left w:w="0" w:type="dxa"/>
                    <w:bottom w:w="0" w:type="dxa"/>
                    <w:right w:w="0" w:type="dxa"/>
                  </w:tcMar>
                  <w:vAlign w:val="center"/>
                </w:tcPr>
                <w:p w14:paraId="5B9814C7">
                  <w:pPr>
                    <w:widowControl/>
                    <w:jc w:val="center"/>
                    <w:rPr>
                      <w:b/>
                      <w:kern w:val="0"/>
                      <w:szCs w:val="21"/>
                    </w:rPr>
                  </w:pPr>
                  <w:r>
                    <w:rPr>
                      <w:b/>
                      <w:kern w:val="0"/>
                      <w:szCs w:val="21"/>
                    </w:rPr>
                    <w:t>排放</w:t>
                  </w:r>
                </w:p>
                <w:p w14:paraId="7461FC6B">
                  <w:pPr>
                    <w:jc w:val="center"/>
                    <w:rPr>
                      <w:b/>
                      <w:kern w:val="0"/>
                      <w:szCs w:val="21"/>
                    </w:rPr>
                  </w:pPr>
                  <w:r>
                    <w:rPr>
                      <w:b/>
                      <w:kern w:val="0"/>
                      <w:szCs w:val="21"/>
                    </w:rPr>
                    <w:t>去向</w:t>
                  </w:r>
                </w:p>
              </w:tc>
            </w:tr>
            <w:tr w14:paraId="02B6F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Mar>
                    <w:top w:w="0" w:type="dxa"/>
                    <w:left w:w="0" w:type="dxa"/>
                    <w:bottom w:w="0" w:type="dxa"/>
                    <w:right w:w="0" w:type="dxa"/>
                  </w:tcMar>
                  <w:vAlign w:val="center"/>
                </w:tcPr>
                <w:p w14:paraId="7D7D07C9">
                  <w:pPr>
                    <w:widowControl/>
                    <w:jc w:val="center"/>
                    <w:rPr>
                      <w:b/>
                      <w:kern w:val="0"/>
                      <w:szCs w:val="21"/>
                    </w:rPr>
                  </w:pPr>
                </w:p>
              </w:tc>
              <w:tc>
                <w:tcPr>
                  <w:tcW w:w="455" w:type="pct"/>
                  <w:vMerge w:val="continue"/>
                  <w:tcMar>
                    <w:top w:w="0" w:type="dxa"/>
                    <w:left w:w="0" w:type="dxa"/>
                    <w:bottom w:w="0" w:type="dxa"/>
                    <w:right w:w="0" w:type="dxa"/>
                  </w:tcMar>
                  <w:vAlign w:val="center"/>
                </w:tcPr>
                <w:p w14:paraId="40A09D56">
                  <w:pPr>
                    <w:widowControl/>
                    <w:jc w:val="center"/>
                    <w:rPr>
                      <w:b/>
                      <w:kern w:val="0"/>
                      <w:szCs w:val="21"/>
                    </w:rPr>
                  </w:pPr>
                </w:p>
              </w:tc>
              <w:tc>
                <w:tcPr>
                  <w:tcW w:w="564" w:type="pct"/>
                  <w:vMerge w:val="continue"/>
                  <w:tcMar>
                    <w:top w:w="0" w:type="dxa"/>
                    <w:left w:w="0" w:type="dxa"/>
                    <w:bottom w:w="0" w:type="dxa"/>
                    <w:right w:w="0" w:type="dxa"/>
                  </w:tcMar>
                  <w:vAlign w:val="center"/>
                </w:tcPr>
                <w:p w14:paraId="6CC0B4B2">
                  <w:pPr>
                    <w:widowControl/>
                    <w:jc w:val="center"/>
                    <w:rPr>
                      <w:b/>
                      <w:kern w:val="0"/>
                      <w:szCs w:val="21"/>
                    </w:rPr>
                  </w:pPr>
                </w:p>
              </w:tc>
              <w:tc>
                <w:tcPr>
                  <w:tcW w:w="507" w:type="pct"/>
                  <w:tcMar>
                    <w:top w:w="0" w:type="dxa"/>
                    <w:left w:w="0" w:type="dxa"/>
                    <w:bottom w:w="0" w:type="dxa"/>
                    <w:right w:w="0" w:type="dxa"/>
                  </w:tcMar>
                  <w:vAlign w:val="center"/>
                </w:tcPr>
                <w:p w14:paraId="37E1034E">
                  <w:pPr>
                    <w:widowControl/>
                    <w:jc w:val="center"/>
                    <w:rPr>
                      <w:b/>
                      <w:kern w:val="0"/>
                      <w:szCs w:val="21"/>
                    </w:rPr>
                  </w:pPr>
                  <w:r>
                    <w:rPr>
                      <w:b/>
                      <w:kern w:val="0"/>
                      <w:szCs w:val="21"/>
                    </w:rPr>
                    <w:t>浓度（mg/L）</w:t>
                  </w:r>
                </w:p>
              </w:tc>
              <w:tc>
                <w:tcPr>
                  <w:tcW w:w="481" w:type="pct"/>
                  <w:tcMar>
                    <w:top w:w="0" w:type="dxa"/>
                    <w:left w:w="0" w:type="dxa"/>
                    <w:bottom w:w="0" w:type="dxa"/>
                    <w:right w:w="0" w:type="dxa"/>
                  </w:tcMar>
                  <w:vAlign w:val="center"/>
                </w:tcPr>
                <w:p w14:paraId="4E489DE1">
                  <w:pPr>
                    <w:widowControl/>
                    <w:jc w:val="center"/>
                    <w:rPr>
                      <w:b/>
                      <w:kern w:val="0"/>
                      <w:szCs w:val="21"/>
                    </w:rPr>
                  </w:pPr>
                  <w:r>
                    <w:rPr>
                      <w:b/>
                      <w:kern w:val="0"/>
                      <w:szCs w:val="21"/>
                    </w:rPr>
                    <w:t>产生量</w:t>
                  </w:r>
                  <w:r>
                    <w:rPr>
                      <w:b/>
                      <w:szCs w:val="21"/>
                    </w:rPr>
                    <w:t>（t/a）</w:t>
                  </w:r>
                </w:p>
              </w:tc>
              <w:tc>
                <w:tcPr>
                  <w:tcW w:w="380" w:type="pct"/>
                  <w:vMerge w:val="continue"/>
                  <w:tcMar>
                    <w:top w:w="0" w:type="dxa"/>
                    <w:left w:w="0" w:type="dxa"/>
                    <w:bottom w:w="0" w:type="dxa"/>
                    <w:right w:w="0" w:type="dxa"/>
                  </w:tcMar>
                  <w:vAlign w:val="center"/>
                </w:tcPr>
                <w:p w14:paraId="52DD92B6">
                  <w:pPr>
                    <w:widowControl/>
                    <w:jc w:val="center"/>
                    <w:rPr>
                      <w:b/>
                      <w:kern w:val="0"/>
                      <w:szCs w:val="21"/>
                    </w:rPr>
                  </w:pPr>
                </w:p>
              </w:tc>
              <w:tc>
                <w:tcPr>
                  <w:tcW w:w="471" w:type="pct"/>
                  <w:vMerge w:val="continue"/>
                  <w:tcMar>
                    <w:top w:w="0" w:type="dxa"/>
                    <w:left w:w="0" w:type="dxa"/>
                    <w:bottom w:w="0" w:type="dxa"/>
                    <w:right w:w="0" w:type="dxa"/>
                  </w:tcMar>
                  <w:vAlign w:val="center"/>
                </w:tcPr>
                <w:p w14:paraId="19521F05">
                  <w:pPr>
                    <w:widowControl/>
                    <w:jc w:val="center"/>
                    <w:rPr>
                      <w:b/>
                      <w:kern w:val="0"/>
                      <w:szCs w:val="21"/>
                    </w:rPr>
                  </w:pPr>
                </w:p>
              </w:tc>
              <w:tc>
                <w:tcPr>
                  <w:tcW w:w="573" w:type="pct"/>
                  <w:vMerge w:val="continue"/>
                  <w:tcMar>
                    <w:top w:w="0" w:type="dxa"/>
                    <w:left w:w="0" w:type="dxa"/>
                    <w:bottom w:w="0" w:type="dxa"/>
                    <w:right w:w="0" w:type="dxa"/>
                  </w:tcMar>
                  <w:vAlign w:val="center"/>
                </w:tcPr>
                <w:p w14:paraId="7E7CC08E">
                  <w:pPr>
                    <w:widowControl/>
                    <w:jc w:val="center"/>
                    <w:rPr>
                      <w:b/>
                      <w:kern w:val="0"/>
                      <w:szCs w:val="21"/>
                    </w:rPr>
                  </w:pPr>
                </w:p>
              </w:tc>
              <w:tc>
                <w:tcPr>
                  <w:tcW w:w="506" w:type="pct"/>
                  <w:tcMar>
                    <w:top w:w="0" w:type="dxa"/>
                    <w:left w:w="0" w:type="dxa"/>
                    <w:bottom w:w="0" w:type="dxa"/>
                    <w:right w:w="0" w:type="dxa"/>
                  </w:tcMar>
                  <w:vAlign w:val="center"/>
                </w:tcPr>
                <w:p w14:paraId="12F3FB34">
                  <w:pPr>
                    <w:widowControl/>
                    <w:jc w:val="center"/>
                    <w:rPr>
                      <w:b/>
                      <w:kern w:val="0"/>
                      <w:szCs w:val="21"/>
                    </w:rPr>
                  </w:pPr>
                  <w:r>
                    <w:rPr>
                      <w:b/>
                      <w:kern w:val="0"/>
                      <w:szCs w:val="21"/>
                    </w:rPr>
                    <w:t>浓度（mg/L）</w:t>
                  </w:r>
                </w:p>
              </w:tc>
              <w:tc>
                <w:tcPr>
                  <w:tcW w:w="447" w:type="pct"/>
                  <w:tcMar>
                    <w:top w:w="0" w:type="dxa"/>
                    <w:left w:w="0" w:type="dxa"/>
                    <w:bottom w:w="0" w:type="dxa"/>
                    <w:right w:w="0" w:type="dxa"/>
                  </w:tcMar>
                  <w:vAlign w:val="center"/>
                </w:tcPr>
                <w:p w14:paraId="34F8B7DB">
                  <w:pPr>
                    <w:widowControl/>
                    <w:jc w:val="center"/>
                    <w:rPr>
                      <w:b/>
                      <w:kern w:val="0"/>
                      <w:szCs w:val="21"/>
                    </w:rPr>
                  </w:pPr>
                  <w:r>
                    <w:rPr>
                      <w:b/>
                      <w:kern w:val="0"/>
                      <w:szCs w:val="21"/>
                    </w:rPr>
                    <w:t>排放量（t/a）</w:t>
                  </w:r>
                </w:p>
              </w:tc>
              <w:tc>
                <w:tcPr>
                  <w:tcW w:w="319" w:type="pct"/>
                  <w:vMerge w:val="continue"/>
                  <w:tcMar>
                    <w:top w:w="0" w:type="dxa"/>
                    <w:left w:w="0" w:type="dxa"/>
                    <w:bottom w:w="0" w:type="dxa"/>
                    <w:right w:w="0" w:type="dxa"/>
                  </w:tcMar>
                  <w:vAlign w:val="center"/>
                </w:tcPr>
                <w:p w14:paraId="44B22EB7">
                  <w:pPr>
                    <w:widowControl/>
                    <w:jc w:val="center"/>
                    <w:rPr>
                      <w:b/>
                      <w:kern w:val="0"/>
                      <w:szCs w:val="21"/>
                    </w:rPr>
                  </w:pPr>
                </w:p>
              </w:tc>
            </w:tr>
            <w:tr w14:paraId="63C7C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restart"/>
                  <w:tcMar>
                    <w:top w:w="0" w:type="dxa"/>
                    <w:left w:w="0" w:type="dxa"/>
                    <w:bottom w:w="0" w:type="dxa"/>
                    <w:right w:w="0" w:type="dxa"/>
                  </w:tcMar>
                  <w:vAlign w:val="center"/>
                </w:tcPr>
                <w:p w14:paraId="40AFEAD3">
                  <w:pPr>
                    <w:widowControl/>
                    <w:jc w:val="center"/>
                    <w:rPr>
                      <w:kern w:val="0"/>
                      <w:szCs w:val="21"/>
                    </w:rPr>
                  </w:pPr>
                  <w:r>
                    <w:rPr>
                      <w:kern w:val="0"/>
                      <w:szCs w:val="21"/>
                    </w:rPr>
                    <w:t>生活污水</w:t>
                  </w:r>
                </w:p>
              </w:tc>
              <w:tc>
                <w:tcPr>
                  <w:tcW w:w="455" w:type="pct"/>
                  <w:vMerge w:val="restart"/>
                  <w:tcMar>
                    <w:top w:w="0" w:type="dxa"/>
                    <w:left w:w="0" w:type="dxa"/>
                    <w:bottom w:w="0" w:type="dxa"/>
                    <w:right w:w="0" w:type="dxa"/>
                  </w:tcMar>
                  <w:vAlign w:val="center"/>
                </w:tcPr>
                <w:p w14:paraId="37D0721A">
                  <w:pPr>
                    <w:widowControl/>
                    <w:jc w:val="center"/>
                    <w:textAlignment w:val="center"/>
                    <w:rPr>
                      <w:kern w:val="0"/>
                      <w:szCs w:val="21"/>
                    </w:rPr>
                  </w:pPr>
                  <w:r>
                    <w:rPr>
                      <w:kern w:val="0"/>
                      <w:szCs w:val="21"/>
                      <w:lang w:bidi="ar"/>
                    </w:rPr>
                    <w:t>2040</w:t>
                  </w:r>
                </w:p>
              </w:tc>
              <w:tc>
                <w:tcPr>
                  <w:tcW w:w="564" w:type="pct"/>
                  <w:tcMar>
                    <w:top w:w="0" w:type="dxa"/>
                    <w:left w:w="0" w:type="dxa"/>
                    <w:bottom w:w="0" w:type="dxa"/>
                    <w:right w:w="0" w:type="dxa"/>
                  </w:tcMar>
                  <w:vAlign w:val="center"/>
                </w:tcPr>
                <w:p w14:paraId="52B62AEF">
                  <w:pPr>
                    <w:widowControl/>
                    <w:jc w:val="center"/>
                    <w:textAlignment w:val="center"/>
                    <w:rPr>
                      <w:szCs w:val="21"/>
                    </w:rPr>
                  </w:pPr>
                  <w:r>
                    <w:rPr>
                      <w:kern w:val="0"/>
                      <w:szCs w:val="21"/>
                      <w:lang w:bidi="ar"/>
                    </w:rPr>
                    <w:t>COD</w:t>
                  </w:r>
                </w:p>
              </w:tc>
              <w:tc>
                <w:tcPr>
                  <w:tcW w:w="902" w:type="dxa"/>
                  <w:tcMar>
                    <w:top w:w="0" w:type="dxa"/>
                    <w:left w:w="0" w:type="dxa"/>
                    <w:bottom w:w="0" w:type="dxa"/>
                    <w:right w:w="0" w:type="dxa"/>
                  </w:tcMar>
                  <w:vAlign w:val="center"/>
                </w:tcPr>
                <w:p w14:paraId="3199E459">
                  <w:pPr>
                    <w:widowControl/>
                    <w:jc w:val="center"/>
                    <w:textAlignment w:val="center"/>
                    <w:rPr>
                      <w:kern w:val="0"/>
                      <w:szCs w:val="21"/>
                      <w:lang w:bidi="ar"/>
                    </w:rPr>
                  </w:pPr>
                  <w:r>
                    <w:rPr>
                      <w:color w:val="000000"/>
                      <w:kern w:val="0"/>
                      <w:szCs w:val="21"/>
                      <w:lang w:bidi="ar"/>
                    </w:rPr>
                    <w:t>400</w:t>
                  </w:r>
                </w:p>
              </w:tc>
              <w:tc>
                <w:tcPr>
                  <w:tcW w:w="855" w:type="dxa"/>
                  <w:tcMar>
                    <w:top w:w="0" w:type="dxa"/>
                    <w:left w:w="0" w:type="dxa"/>
                    <w:bottom w:w="0" w:type="dxa"/>
                    <w:right w:w="0" w:type="dxa"/>
                  </w:tcMar>
                  <w:vAlign w:val="center"/>
                </w:tcPr>
                <w:p w14:paraId="77D9F5C8">
                  <w:pPr>
                    <w:widowControl/>
                    <w:jc w:val="center"/>
                    <w:textAlignment w:val="center"/>
                    <w:rPr>
                      <w:kern w:val="0"/>
                      <w:szCs w:val="21"/>
                      <w:lang w:bidi="ar"/>
                    </w:rPr>
                  </w:pPr>
                  <w:r>
                    <w:rPr>
                      <w:color w:val="000000"/>
                      <w:kern w:val="0"/>
                      <w:szCs w:val="21"/>
                      <w:lang w:bidi="ar"/>
                    </w:rPr>
                    <w:t>0.816</w:t>
                  </w:r>
                </w:p>
              </w:tc>
              <w:tc>
                <w:tcPr>
                  <w:tcW w:w="380" w:type="pct"/>
                  <w:vMerge w:val="restart"/>
                  <w:tcMar>
                    <w:top w:w="0" w:type="dxa"/>
                    <w:left w:w="0" w:type="dxa"/>
                    <w:bottom w:w="0" w:type="dxa"/>
                    <w:right w:w="0" w:type="dxa"/>
                  </w:tcMar>
                  <w:vAlign w:val="center"/>
                </w:tcPr>
                <w:p w14:paraId="7FB6F67C">
                  <w:pPr>
                    <w:jc w:val="center"/>
                    <w:rPr>
                      <w:szCs w:val="21"/>
                    </w:rPr>
                  </w:pPr>
                  <w:r>
                    <w:rPr>
                      <w:szCs w:val="21"/>
                    </w:rPr>
                    <w:t>—</w:t>
                  </w:r>
                </w:p>
              </w:tc>
              <w:tc>
                <w:tcPr>
                  <w:tcW w:w="471" w:type="pct"/>
                  <w:vMerge w:val="restart"/>
                  <w:tcMar>
                    <w:top w:w="0" w:type="dxa"/>
                    <w:left w:w="0" w:type="dxa"/>
                    <w:bottom w:w="0" w:type="dxa"/>
                    <w:right w:w="0" w:type="dxa"/>
                  </w:tcMar>
                  <w:vAlign w:val="center"/>
                </w:tcPr>
                <w:p w14:paraId="291AE491">
                  <w:pPr>
                    <w:widowControl/>
                    <w:jc w:val="center"/>
                    <w:textAlignment w:val="center"/>
                    <w:rPr>
                      <w:kern w:val="0"/>
                      <w:szCs w:val="21"/>
                      <w:lang w:bidi="ar"/>
                    </w:rPr>
                  </w:pPr>
                  <w:r>
                    <w:rPr>
                      <w:kern w:val="0"/>
                      <w:szCs w:val="21"/>
                      <w:lang w:bidi="ar"/>
                    </w:rPr>
                    <w:t>2040</w:t>
                  </w:r>
                </w:p>
              </w:tc>
              <w:tc>
                <w:tcPr>
                  <w:tcW w:w="573" w:type="pct"/>
                  <w:tcMar>
                    <w:top w:w="0" w:type="dxa"/>
                    <w:left w:w="0" w:type="dxa"/>
                    <w:bottom w:w="0" w:type="dxa"/>
                    <w:right w:w="0" w:type="dxa"/>
                  </w:tcMar>
                  <w:vAlign w:val="center"/>
                </w:tcPr>
                <w:p w14:paraId="07BF4959">
                  <w:pPr>
                    <w:widowControl/>
                    <w:jc w:val="center"/>
                    <w:textAlignment w:val="center"/>
                    <w:rPr>
                      <w:szCs w:val="21"/>
                    </w:rPr>
                  </w:pPr>
                  <w:r>
                    <w:rPr>
                      <w:kern w:val="0"/>
                      <w:szCs w:val="21"/>
                      <w:lang w:bidi="ar"/>
                    </w:rPr>
                    <w:t>COD</w:t>
                  </w:r>
                </w:p>
              </w:tc>
              <w:tc>
                <w:tcPr>
                  <w:tcW w:w="900" w:type="dxa"/>
                  <w:tcMar>
                    <w:top w:w="0" w:type="dxa"/>
                    <w:left w:w="0" w:type="dxa"/>
                    <w:bottom w:w="0" w:type="dxa"/>
                    <w:right w:w="0" w:type="dxa"/>
                  </w:tcMar>
                  <w:vAlign w:val="center"/>
                </w:tcPr>
                <w:p w14:paraId="506D976D">
                  <w:pPr>
                    <w:widowControl/>
                    <w:jc w:val="center"/>
                    <w:textAlignment w:val="center"/>
                    <w:rPr>
                      <w:kern w:val="0"/>
                      <w:szCs w:val="21"/>
                      <w:lang w:bidi="ar"/>
                    </w:rPr>
                  </w:pPr>
                  <w:r>
                    <w:rPr>
                      <w:color w:val="000000"/>
                      <w:kern w:val="0"/>
                      <w:szCs w:val="21"/>
                      <w:lang w:bidi="ar"/>
                    </w:rPr>
                    <w:t>400</w:t>
                  </w:r>
                </w:p>
              </w:tc>
              <w:tc>
                <w:tcPr>
                  <w:tcW w:w="795" w:type="dxa"/>
                  <w:tcMar>
                    <w:top w:w="0" w:type="dxa"/>
                    <w:left w:w="0" w:type="dxa"/>
                    <w:bottom w:w="0" w:type="dxa"/>
                    <w:right w:w="0" w:type="dxa"/>
                  </w:tcMar>
                  <w:vAlign w:val="center"/>
                </w:tcPr>
                <w:p w14:paraId="1756FE00">
                  <w:pPr>
                    <w:widowControl/>
                    <w:jc w:val="center"/>
                    <w:textAlignment w:val="center"/>
                    <w:rPr>
                      <w:kern w:val="0"/>
                      <w:szCs w:val="21"/>
                      <w:lang w:bidi="ar"/>
                    </w:rPr>
                  </w:pPr>
                  <w:r>
                    <w:rPr>
                      <w:color w:val="000000"/>
                      <w:kern w:val="0"/>
                      <w:szCs w:val="21"/>
                      <w:lang w:bidi="ar"/>
                    </w:rPr>
                    <w:t>0.816</w:t>
                  </w:r>
                </w:p>
              </w:tc>
              <w:tc>
                <w:tcPr>
                  <w:tcW w:w="319" w:type="pct"/>
                  <w:vMerge w:val="restart"/>
                  <w:tcMar>
                    <w:top w:w="0" w:type="dxa"/>
                    <w:left w:w="0" w:type="dxa"/>
                    <w:bottom w:w="0" w:type="dxa"/>
                    <w:right w:w="0" w:type="dxa"/>
                  </w:tcMar>
                  <w:vAlign w:val="center"/>
                </w:tcPr>
                <w:p w14:paraId="7F5B11D3">
                  <w:pPr>
                    <w:jc w:val="center"/>
                    <w:rPr>
                      <w:szCs w:val="21"/>
                    </w:rPr>
                  </w:pPr>
                  <w:r>
                    <w:rPr>
                      <w:szCs w:val="21"/>
                    </w:rPr>
                    <w:t>接管至</w:t>
                  </w:r>
                  <w:r>
                    <w:rPr>
                      <w:rFonts w:hint="eastAsia"/>
                      <w:szCs w:val="21"/>
                    </w:rPr>
                    <w:t>金坛区溪城污水处理有限公司</w:t>
                  </w:r>
                </w:p>
              </w:tc>
            </w:tr>
            <w:tr w14:paraId="3AE89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Mar>
                    <w:top w:w="0" w:type="dxa"/>
                    <w:left w:w="0" w:type="dxa"/>
                    <w:bottom w:w="0" w:type="dxa"/>
                    <w:right w:w="0" w:type="dxa"/>
                  </w:tcMar>
                  <w:vAlign w:val="center"/>
                </w:tcPr>
                <w:p w14:paraId="01DBEE35">
                  <w:pPr>
                    <w:widowControl/>
                    <w:jc w:val="center"/>
                    <w:rPr>
                      <w:kern w:val="0"/>
                      <w:szCs w:val="21"/>
                    </w:rPr>
                  </w:pPr>
                </w:p>
              </w:tc>
              <w:tc>
                <w:tcPr>
                  <w:tcW w:w="455" w:type="pct"/>
                  <w:vMerge w:val="continue"/>
                  <w:tcMar>
                    <w:top w:w="0" w:type="dxa"/>
                    <w:left w:w="0" w:type="dxa"/>
                    <w:bottom w:w="0" w:type="dxa"/>
                    <w:right w:w="0" w:type="dxa"/>
                  </w:tcMar>
                  <w:vAlign w:val="center"/>
                </w:tcPr>
                <w:p w14:paraId="6D4E1CC0">
                  <w:pPr>
                    <w:widowControl/>
                    <w:jc w:val="center"/>
                    <w:rPr>
                      <w:kern w:val="0"/>
                      <w:szCs w:val="21"/>
                    </w:rPr>
                  </w:pPr>
                </w:p>
              </w:tc>
              <w:tc>
                <w:tcPr>
                  <w:tcW w:w="564" w:type="pct"/>
                  <w:tcMar>
                    <w:top w:w="0" w:type="dxa"/>
                    <w:left w:w="0" w:type="dxa"/>
                    <w:bottom w:w="0" w:type="dxa"/>
                    <w:right w:w="0" w:type="dxa"/>
                  </w:tcMar>
                  <w:vAlign w:val="center"/>
                </w:tcPr>
                <w:p w14:paraId="68B1E61D">
                  <w:pPr>
                    <w:widowControl/>
                    <w:jc w:val="center"/>
                    <w:textAlignment w:val="center"/>
                    <w:rPr>
                      <w:szCs w:val="21"/>
                    </w:rPr>
                  </w:pPr>
                  <w:r>
                    <w:rPr>
                      <w:kern w:val="0"/>
                      <w:szCs w:val="21"/>
                      <w:lang w:bidi="ar"/>
                    </w:rPr>
                    <w:t>SS</w:t>
                  </w:r>
                </w:p>
              </w:tc>
              <w:tc>
                <w:tcPr>
                  <w:tcW w:w="902" w:type="dxa"/>
                  <w:tcMar>
                    <w:top w:w="0" w:type="dxa"/>
                    <w:left w:w="0" w:type="dxa"/>
                    <w:bottom w:w="0" w:type="dxa"/>
                    <w:right w:w="0" w:type="dxa"/>
                  </w:tcMar>
                  <w:vAlign w:val="center"/>
                </w:tcPr>
                <w:p w14:paraId="0BD5DAC1">
                  <w:pPr>
                    <w:widowControl/>
                    <w:jc w:val="center"/>
                    <w:textAlignment w:val="center"/>
                    <w:rPr>
                      <w:kern w:val="0"/>
                      <w:szCs w:val="21"/>
                      <w:lang w:bidi="ar"/>
                    </w:rPr>
                  </w:pPr>
                  <w:r>
                    <w:rPr>
                      <w:color w:val="000000"/>
                      <w:kern w:val="0"/>
                      <w:szCs w:val="21"/>
                      <w:lang w:bidi="ar"/>
                    </w:rPr>
                    <w:t>300</w:t>
                  </w:r>
                </w:p>
              </w:tc>
              <w:tc>
                <w:tcPr>
                  <w:tcW w:w="855" w:type="dxa"/>
                  <w:tcMar>
                    <w:top w:w="0" w:type="dxa"/>
                    <w:left w:w="0" w:type="dxa"/>
                    <w:bottom w:w="0" w:type="dxa"/>
                    <w:right w:w="0" w:type="dxa"/>
                  </w:tcMar>
                  <w:vAlign w:val="center"/>
                </w:tcPr>
                <w:p w14:paraId="2635C707">
                  <w:pPr>
                    <w:widowControl/>
                    <w:jc w:val="center"/>
                    <w:textAlignment w:val="center"/>
                    <w:rPr>
                      <w:kern w:val="0"/>
                      <w:szCs w:val="21"/>
                      <w:lang w:bidi="ar"/>
                    </w:rPr>
                  </w:pPr>
                  <w:r>
                    <w:rPr>
                      <w:color w:val="000000"/>
                      <w:kern w:val="0"/>
                      <w:szCs w:val="21"/>
                      <w:lang w:bidi="ar"/>
                    </w:rPr>
                    <w:t>0.612</w:t>
                  </w:r>
                </w:p>
              </w:tc>
              <w:tc>
                <w:tcPr>
                  <w:tcW w:w="380" w:type="pct"/>
                  <w:vMerge w:val="continue"/>
                  <w:tcMar>
                    <w:top w:w="0" w:type="dxa"/>
                    <w:left w:w="0" w:type="dxa"/>
                    <w:bottom w:w="0" w:type="dxa"/>
                    <w:right w:w="0" w:type="dxa"/>
                  </w:tcMar>
                  <w:vAlign w:val="center"/>
                </w:tcPr>
                <w:p w14:paraId="782111C2">
                  <w:pPr>
                    <w:jc w:val="center"/>
                    <w:rPr>
                      <w:szCs w:val="21"/>
                    </w:rPr>
                  </w:pPr>
                </w:p>
              </w:tc>
              <w:tc>
                <w:tcPr>
                  <w:tcW w:w="471" w:type="pct"/>
                  <w:vMerge w:val="continue"/>
                  <w:tcMar>
                    <w:top w:w="0" w:type="dxa"/>
                    <w:left w:w="0" w:type="dxa"/>
                    <w:bottom w:w="0" w:type="dxa"/>
                    <w:right w:w="0" w:type="dxa"/>
                  </w:tcMar>
                  <w:vAlign w:val="center"/>
                </w:tcPr>
                <w:p w14:paraId="27B344DA">
                  <w:pPr>
                    <w:widowControl/>
                    <w:jc w:val="center"/>
                    <w:textAlignment w:val="center"/>
                    <w:rPr>
                      <w:kern w:val="0"/>
                      <w:szCs w:val="21"/>
                      <w:lang w:bidi="ar"/>
                    </w:rPr>
                  </w:pPr>
                </w:p>
              </w:tc>
              <w:tc>
                <w:tcPr>
                  <w:tcW w:w="573" w:type="pct"/>
                  <w:tcMar>
                    <w:top w:w="0" w:type="dxa"/>
                    <w:left w:w="0" w:type="dxa"/>
                    <w:bottom w:w="0" w:type="dxa"/>
                    <w:right w:w="0" w:type="dxa"/>
                  </w:tcMar>
                  <w:vAlign w:val="center"/>
                </w:tcPr>
                <w:p w14:paraId="23651EF6">
                  <w:pPr>
                    <w:widowControl/>
                    <w:jc w:val="center"/>
                    <w:textAlignment w:val="center"/>
                    <w:rPr>
                      <w:szCs w:val="21"/>
                    </w:rPr>
                  </w:pPr>
                  <w:r>
                    <w:rPr>
                      <w:kern w:val="0"/>
                      <w:szCs w:val="21"/>
                      <w:lang w:bidi="ar"/>
                    </w:rPr>
                    <w:t>SS</w:t>
                  </w:r>
                </w:p>
              </w:tc>
              <w:tc>
                <w:tcPr>
                  <w:tcW w:w="900" w:type="dxa"/>
                  <w:tcMar>
                    <w:top w:w="0" w:type="dxa"/>
                    <w:left w:w="0" w:type="dxa"/>
                    <w:bottom w:w="0" w:type="dxa"/>
                    <w:right w:w="0" w:type="dxa"/>
                  </w:tcMar>
                  <w:vAlign w:val="center"/>
                </w:tcPr>
                <w:p w14:paraId="79618CF2">
                  <w:pPr>
                    <w:widowControl/>
                    <w:jc w:val="center"/>
                    <w:textAlignment w:val="center"/>
                    <w:rPr>
                      <w:kern w:val="0"/>
                      <w:szCs w:val="21"/>
                      <w:lang w:bidi="ar"/>
                    </w:rPr>
                  </w:pPr>
                  <w:r>
                    <w:rPr>
                      <w:color w:val="000000"/>
                      <w:kern w:val="0"/>
                      <w:szCs w:val="21"/>
                      <w:lang w:bidi="ar"/>
                    </w:rPr>
                    <w:t>300</w:t>
                  </w:r>
                </w:p>
              </w:tc>
              <w:tc>
                <w:tcPr>
                  <w:tcW w:w="795" w:type="dxa"/>
                  <w:tcMar>
                    <w:top w:w="0" w:type="dxa"/>
                    <w:left w:w="0" w:type="dxa"/>
                    <w:bottom w:w="0" w:type="dxa"/>
                    <w:right w:w="0" w:type="dxa"/>
                  </w:tcMar>
                  <w:vAlign w:val="center"/>
                </w:tcPr>
                <w:p w14:paraId="2E6907FE">
                  <w:pPr>
                    <w:widowControl/>
                    <w:jc w:val="center"/>
                    <w:textAlignment w:val="center"/>
                    <w:rPr>
                      <w:kern w:val="0"/>
                      <w:szCs w:val="21"/>
                      <w:lang w:bidi="ar"/>
                    </w:rPr>
                  </w:pPr>
                  <w:r>
                    <w:rPr>
                      <w:color w:val="000000"/>
                      <w:kern w:val="0"/>
                      <w:szCs w:val="21"/>
                      <w:lang w:bidi="ar"/>
                    </w:rPr>
                    <w:t>0.612</w:t>
                  </w:r>
                </w:p>
              </w:tc>
              <w:tc>
                <w:tcPr>
                  <w:tcW w:w="319" w:type="pct"/>
                  <w:vMerge w:val="continue"/>
                  <w:tcMar>
                    <w:top w:w="0" w:type="dxa"/>
                    <w:left w:w="0" w:type="dxa"/>
                    <w:bottom w:w="0" w:type="dxa"/>
                    <w:right w:w="0" w:type="dxa"/>
                  </w:tcMar>
                  <w:vAlign w:val="center"/>
                </w:tcPr>
                <w:p w14:paraId="0E645A4B">
                  <w:pPr>
                    <w:jc w:val="center"/>
                    <w:rPr>
                      <w:szCs w:val="21"/>
                    </w:rPr>
                  </w:pPr>
                </w:p>
              </w:tc>
            </w:tr>
            <w:tr w14:paraId="35A8A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Mar>
                    <w:top w:w="0" w:type="dxa"/>
                    <w:left w:w="0" w:type="dxa"/>
                    <w:bottom w:w="0" w:type="dxa"/>
                    <w:right w:w="0" w:type="dxa"/>
                  </w:tcMar>
                  <w:vAlign w:val="center"/>
                </w:tcPr>
                <w:p w14:paraId="0855D4CA">
                  <w:pPr>
                    <w:widowControl/>
                    <w:jc w:val="center"/>
                    <w:rPr>
                      <w:kern w:val="0"/>
                      <w:szCs w:val="21"/>
                    </w:rPr>
                  </w:pPr>
                </w:p>
              </w:tc>
              <w:tc>
                <w:tcPr>
                  <w:tcW w:w="455" w:type="pct"/>
                  <w:vMerge w:val="continue"/>
                  <w:tcMar>
                    <w:top w:w="0" w:type="dxa"/>
                    <w:left w:w="0" w:type="dxa"/>
                    <w:bottom w:w="0" w:type="dxa"/>
                    <w:right w:w="0" w:type="dxa"/>
                  </w:tcMar>
                  <w:vAlign w:val="center"/>
                </w:tcPr>
                <w:p w14:paraId="5FD10493">
                  <w:pPr>
                    <w:widowControl/>
                    <w:jc w:val="center"/>
                    <w:rPr>
                      <w:kern w:val="0"/>
                      <w:szCs w:val="21"/>
                    </w:rPr>
                  </w:pPr>
                </w:p>
              </w:tc>
              <w:tc>
                <w:tcPr>
                  <w:tcW w:w="564" w:type="pct"/>
                  <w:tcMar>
                    <w:top w:w="0" w:type="dxa"/>
                    <w:left w:w="0" w:type="dxa"/>
                    <w:bottom w:w="0" w:type="dxa"/>
                    <w:right w:w="0" w:type="dxa"/>
                  </w:tcMar>
                  <w:vAlign w:val="center"/>
                </w:tcPr>
                <w:p w14:paraId="70A96845">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902" w:type="dxa"/>
                  <w:tcMar>
                    <w:top w:w="0" w:type="dxa"/>
                    <w:left w:w="0" w:type="dxa"/>
                    <w:bottom w:w="0" w:type="dxa"/>
                    <w:right w:w="0" w:type="dxa"/>
                  </w:tcMar>
                  <w:vAlign w:val="center"/>
                </w:tcPr>
                <w:p w14:paraId="2E121C59">
                  <w:pPr>
                    <w:widowControl/>
                    <w:jc w:val="center"/>
                    <w:textAlignment w:val="center"/>
                    <w:rPr>
                      <w:kern w:val="0"/>
                      <w:szCs w:val="21"/>
                      <w:lang w:bidi="ar"/>
                    </w:rPr>
                  </w:pPr>
                  <w:r>
                    <w:rPr>
                      <w:color w:val="000000"/>
                      <w:kern w:val="0"/>
                      <w:szCs w:val="21"/>
                      <w:lang w:bidi="ar"/>
                    </w:rPr>
                    <w:t>40</w:t>
                  </w:r>
                </w:p>
              </w:tc>
              <w:tc>
                <w:tcPr>
                  <w:tcW w:w="855" w:type="dxa"/>
                  <w:tcMar>
                    <w:top w:w="0" w:type="dxa"/>
                    <w:left w:w="0" w:type="dxa"/>
                    <w:bottom w:w="0" w:type="dxa"/>
                    <w:right w:w="0" w:type="dxa"/>
                  </w:tcMar>
                  <w:vAlign w:val="center"/>
                </w:tcPr>
                <w:p w14:paraId="07D650C9">
                  <w:pPr>
                    <w:widowControl/>
                    <w:jc w:val="center"/>
                    <w:textAlignment w:val="center"/>
                    <w:rPr>
                      <w:kern w:val="0"/>
                      <w:szCs w:val="21"/>
                      <w:lang w:bidi="ar"/>
                    </w:rPr>
                  </w:pPr>
                  <w:r>
                    <w:rPr>
                      <w:color w:val="000000"/>
                      <w:kern w:val="0"/>
                      <w:szCs w:val="21"/>
                      <w:lang w:bidi="ar"/>
                    </w:rPr>
                    <w:t>0.0816</w:t>
                  </w:r>
                </w:p>
              </w:tc>
              <w:tc>
                <w:tcPr>
                  <w:tcW w:w="380" w:type="pct"/>
                  <w:vMerge w:val="continue"/>
                  <w:tcMar>
                    <w:top w:w="0" w:type="dxa"/>
                    <w:left w:w="0" w:type="dxa"/>
                    <w:bottom w:w="0" w:type="dxa"/>
                    <w:right w:w="0" w:type="dxa"/>
                  </w:tcMar>
                  <w:vAlign w:val="center"/>
                </w:tcPr>
                <w:p w14:paraId="43E5E950">
                  <w:pPr>
                    <w:jc w:val="center"/>
                    <w:rPr>
                      <w:szCs w:val="21"/>
                    </w:rPr>
                  </w:pPr>
                </w:p>
              </w:tc>
              <w:tc>
                <w:tcPr>
                  <w:tcW w:w="471" w:type="pct"/>
                  <w:vMerge w:val="continue"/>
                  <w:tcMar>
                    <w:top w:w="0" w:type="dxa"/>
                    <w:left w:w="0" w:type="dxa"/>
                    <w:bottom w:w="0" w:type="dxa"/>
                    <w:right w:w="0" w:type="dxa"/>
                  </w:tcMar>
                  <w:vAlign w:val="center"/>
                </w:tcPr>
                <w:p w14:paraId="6634880A">
                  <w:pPr>
                    <w:widowControl/>
                    <w:jc w:val="center"/>
                    <w:textAlignment w:val="center"/>
                    <w:rPr>
                      <w:kern w:val="0"/>
                      <w:szCs w:val="21"/>
                      <w:lang w:bidi="ar"/>
                    </w:rPr>
                  </w:pPr>
                </w:p>
              </w:tc>
              <w:tc>
                <w:tcPr>
                  <w:tcW w:w="573" w:type="pct"/>
                  <w:tcMar>
                    <w:top w:w="0" w:type="dxa"/>
                    <w:left w:w="0" w:type="dxa"/>
                    <w:bottom w:w="0" w:type="dxa"/>
                    <w:right w:w="0" w:type="dxa"/>
                  </w:tcMar>
                  <w:vAlign w:val="center"/>
                </w:tcPr>
                <w:p w14:paraId="0853C9A5">
                  <w:pPr>
                    <w:widowControl/>
                    <w:jc w:val="center"/>
                    <w:textAlignment w:val="center"/>
                    <w:rPr>
                      <w:szCs w:val="21"/>
                    </w:rPr>
                  </w:pPr>
                  <w:r>
                    <w:rPr>
                      <w:kern w:val="0"/>
                      <w:szCs w:val="21"/>
                      <w:lang w:bidi="ar"/>
                    </w:rPr>
                    <w:t>NH</w:t>
                  </w:r>
                  <w:r>
                    <w:rPr>
                      <w:kern w:val="0"/>
                      <w:szCs w:val="21"/>
                      <w:vertAlign w:val="subscript"/>
                      <w:lang w:bidi="ar"/>
                    </w:rPr>
                    <w:t>3</w:t>
                  </w:r>
                  <w:r>
                    <w:rPr>
                      <w:kern w:val="0"/>
                      <w:szCs w:val="21"/>
                      <w:lang w:bidi="ar"/>
                    </w:rPr>
                    <w:t>-N</w:t>
                  </w:r>
                </w:p>
              </w:tc>
              <w:tc>
                <w:tcPr>
                  <w:tcW w:w="900" w:type="dxa"/>
                  <w:tcMar>
                    <w:top w:w="0" w:type="dxa"/>
                    <w:left w:w="0" w:type="dxa"/>
                    <w:bottom w:w="0" w:type="dxa"/>
                    <w:right w:w="0" w:type="dxa"/>
                  </w:tcMar>
                  <w:vAlign w:val="center"/>
                </w:tcPr>
                <w:p w14:paraId="116B6289">
                  <w:pPr>
                    <w:widowControl/>
                    <w:jc w:val="center"/>
                    <w:textAlignment w:val="center"/>
                    <w:rPr>
                      <w:kern w:val="0"/>
                      <w:szCs w:val="21"/>
                      <w:lang w:bidi="ar"/>
                    </w:rPr>
                  </w:pPr>
                  <w:r>
                    <w:rPr>
                      <w:color w:val="000000"/>
                      <w:kern w:val="0"/>
                      <w:szCs w:val="21"/>
                      <w:lang w:bidi="ar"/>
                    </w:rPr>
                    <w:t>40</w:t>
                  </w:r>
                </w:p>
              </w:tc>
              <w:tc>
                <w:tcPr>
                  <w:tcW w:w="795" w:type="dxa"/>
                  <w:tcMar>
                    <w:top w:w="0" w:type="dxa"/>
                    <w:left w:w="0" w:type="dxa"/>
                    <w:bottom w:w="0" w:type="dxa"/>
                    <w:right w:w="0" w:type="dxa"/>
                  </w:tcMar>
                  <w:vAlign w:val="center"/>
                </w:tcPr>
                <w:p w14:paraId="5FAFDFF5">
                  <w:pPr>
                    <w:widowControl/>
                    <w:jc w:val="center"/>
                    <w:textAlignment w:val="center"/>
                    <w:rPr>
                      <w:kern w:val="0"/>
                      <w:szCs w:val="21"/>
                      <w:lang w:bidi="ar"/>
                    </w:rPr>
                  </w:pPr>
                  <w:r>
                    <w:rPr>
                      <w:color w:val="000000"/>
                      <w:kern w:val="0"/>
                      <w:szCs w:val="21"/>
                      <w:lang w:bidi="ar"/>
                    </w:rPr>
                    <w:t>0.0816</w:t>
                  </w:r>
                </w:p>
              </w:tc>
              <w:tc>
                <w:tcPr>
                  <w:tcW w:w="319" w:type="pct"/>
                  <w:vMerge w:val="continue"/>
                  <w:tcMar>
                    <w:top w:w="0" w:type="dxa"/>
                    <w:left w:w="0" w:type="dxa"/>
                    <w:bottom w:w="0" w:type="dxa"/>
                    <w:right w:w="0" w:type="dxa"/>
                  </w:tcMar>
                  <w:vAlign w:val="center"/>
                </w:tcPr>
                <w:p w14:paraId="792FB110">
                  <w:pPr>
                    <w:jc w:val="center"/>
                    <w:rPr>
                      <w:szCs w:val="21"/>
                    </w:rPr>
                  </w:pPr>
                </w:p>
              </w:tc>
            </w:tr>
            <w:tr w14:paraId="5D7FA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Mar>
                    <w:top w:w="0" w:type="dxa"/>
                    <w:left w:w="0" w:type="dxa"/>
                    <w:bottom w:w="0" w:type="dxa"/>
                    <w:right w:w="0" w:type="dxa"/>
                  </w:tcMar>
                  <w:vAlign w:val="center"/>
                </w:tcPr>
                <w:p w14:paraId="21C36AD4">
                  <w:pPr>
                    <w:widowControl/>
                    <w:jc w:val="center"/>
                    <w:rPr>
                      <w:kern w:val="0"/>
                      <w:szCs w:val="21"/>
                    </w:rPr>
                  </w:pPr>
                </w:p>
              </w:tc>
              <w:tc>
                <w:tcPr>
                  <w:tcW w:w="455" w:type="pct"/>
                  <w:vMerge w:val="continue"/>
                  <w:tcMar>
                    <w:top w:w="0" w:type="dxa"/>
                    <w:left w:w="0" w:type="dxa"/>
                    <w:bottom w:w="0" w:type="dxa"/>
                    <w:right w:w="0" w:type="dxa"/>
                  </w:tcMar>
                  <w:vAlign w:val="center"/>
                </w:tcPr>
                <w:p w14:paraId="60E60DE5">
                  <w:pPr>
                    <w:widowControl/>
                    <w:jc w:val="center"/>
                    <w:rPr>
                      <w:kern w:val="0"/>
                      <w:szCs w:val="21"/>
                    </w:rPr>
                  </w:pPr>
                </w:p>
              </w:tc>
              <w:tc>
                <w:tcPr>
                  <w:tcW w:w="564" w:type="pct"/>
                  <w:tcMar>
                    <w:top w:w="0" w:type="dxa"/>
                    <w:left w:w="0" w:type="dxa"/>
                    <w:bottom w:w="0" w:type="dxa"/>
                    <w:right w:w="0" w:type="dxa"/>
                  </w:tcMar>
                  <w:vAlign w:val="center"/>
                </w:tcPr>
                <w:p w14:paraId="74B003F2">
                  <w:pPr>
                    <w:widowControl/>
                    <w:jc w:val="center"/>
                    <w:textAlignment w:val="center"/>
                    <w:rPr>
                      <w:szCs w:val="21"/>
                    </w:rPr>
                  </w:pPr>
                  <w:r>
                    <w:rPr>
                      <w:kern w:val="0"/>
                      <w:szCs w:val="21"/>
                      <w:lang w:bidi="ar"/>
                    </w:rPr>
                    <w:t>TP</w:t>
                  </w:r>
                </w:p>
              </w:tc>
              <w:tc>
                <w:tcPr>
                  <w:tcW w:w="902" w:type="dxa"/>
                  <w:tcMar>
                    <w:top w:w="0" w:type="dxa"/>
                    <w:left w:w="0" w:type="dxa"/>
                    <w:bottom w:w="0" w:type="dxa"/>
                    <w:right w:w="0" w:type="dxa"/>
                  </w:tcMar>
                  <w:vAlign w:val="center"/>
                </w:tcPr>
                <w:p w14:paraId="1F94617D">
                  <w:pPr>
                    <w:widowControl/>
                    <w:jc w:val="center"/>
                    <w:textAlignment w:val="center"/>
                    <w:rPr>
                      <w:kern w:val="0"/>
                      <w:szCs w:val="21"/>
                      <w:lang w:bidi="ar"/>
                    </w:rPr>
                  </w:pPr>
                  <w:r>
                    <w:rPr>
                      <w:color w:val="000000"/>
                      <w:kern w:val="0"/>
                      <w:szCs w:val="21"/>
                      <w:lang w:bidi="ar"/>
                    </w:rPr>
                    <w:t>5</w:t>
                  </w:r>
                </w:p>
              </w:tc>
              <w:tc>
                <w:tcPr>
                  <w:tcW w:w="855" w:type="dxa"/>
                  <w:tcMar>
                    <w:top w:w="0" w:type="dxa"/>
                    <w:left w:w="0" w:type="dxa"/>
                    <w:bottom w:w="0" w:type="dxa"/>
                    <w:right w:w="0" w:type="dxa"/>
                  </w:tcMar>
                  <w:vAlign w:val="center"/>
                </w:tcPr>
                <w:p w14:paraId="1A6CB495">
                  <w:pPr>
                    <w:widowControl/>
                    <w:jc w:val="center"/>
                    <w:textAlignment w:val="center"/>
                    <w:rPr>
                      <w:kern w:val="0"/>
                      <w:szCs w:val="21"/>
                      <w:lang w:bidi="ar"/>
                    </w:rPr>
                  </w:pPr>
                  <w:r>
                    <w:rPr>
                      <w:color w:val="000000"/>
                      <w:kern w:val="0"/>
                      <w:szCs w:val="21"/>
                      <w:lang w:bidi="ar"/>
                    </w:rPr>
                    <w:t>0.0102</w:t>
                  </w:r>
                </w:p>
              </w:tc>
              <w:tc>
                <w:tcPr>
                  <w:tcW w:w="380" w:type="pct"/>
                  <w:vMerge w:val="continue"/>
                  <w:tcMar>
                    <w:top w:w="0" w:type="dxa"/>
                    <w:left w:w="0" w:type="dxa"/>
                    <w:bottom w:w="0" w:type="dxa"/>
                    <w:right w:w="0" w:type="dxa"/>
                  </w:tcMar>
                  <w:vAlign w:val="center"/>
                </w:tcPr>
                <w:p w14:paraId="57586622">
                  <w:pPr>
                    <w:jc w:val="center"/>
                    <w:rPr>
                      <w:szCs w:val="21"/>
                    </w:rPr>
                  </w:pPr>
                </w:p>
              </w:tc>
              <w:tc>
                <w:tcPr>
                  <w:tcW w:w="471" w:type="pct"/>
                  <w:vMerge w:val="continue"/>
                  <w:tcMar>
                    <w:top w:w="0" w:type="dxa"/>
                    <w:left w:w="0" w:type="dxa"/>
                    <w:bottom w:w="0" w:type="dxa"/>
                    <w:right w:w="0" w:type="dxa"/>
                  </w:tcMar>
                  <w:vAlign w:val="center"/>
                </w:tcPr>
                <w:p w14:paraId="7553146B">
                  <w:pPr>
                    <w:widowControl/>
                    <w:jc w:val="center"/>
                    <w:textAlignment w:val="center"/>
                    <w:rPr>
                      <w:kern w:val="0"/>
                      <w:szCs w:val="21"/>
                      <w:lang w:bidi="ar"/>
                    </w:rPr>
                  </w:pPr>
                </w:p>
              </w:tc>
              <w:tc>
                <w:tcPr>
                  <w:tcW w:w="573" w:type="pct"/>
                  <w:tcMar>
                    <w:top w:w="0" w:type="dxa"/>
                    <w:left w:w="0" w:type="dxa"/>
                    <w:bottom w:w="0" w:type="dxa"/>
                    <w:right w:w="0" w:type="dxa"/>
                  </w:tcMar>
                  <w:vAlign w:val="center"/>
                </w:tcPr>
                <w:p w14:paraId="0F43468F">
                  <w:pPr>
                    <w:widowControl/>
                    <w:jc w:val="center"/>
                    <w:textAlignment w:val="center"/>
                    <w:rPr>
                      <w:szCs w:val="21"/>
                    </w:rPr>
                  </w:pPr>
                  <w:r>
                    <w:rPr>
                      <w:kern w:val="0"/>
                      <w:szCs w:val="21"/>
                      <w:lang w:bidi="ar"/>
                    </w:rPr>
                    <w:t>TP</w:t>
                  </w:r>
                </w:p>
              </w:tc>
              <w:tc>
                <w:tcPr>
                  <w:tcW w:w="900" w:type="dxa"/>
                  <w:tcMar>
                    <w:top w:w="0" w:type="dxa"/>
                    <w:left w:w="0" w:type="dxa"/>
                    <w:bottom w:w="0" w:type="dxa"/>
                    <w:right w:w="0" w:type="dxa"/>
                  </w:tcMar>
                  <w:vAlign w:val="center"/>
                </w:tcPr>
                <w:p w14:paraId="22F68ED4">
                  <w:pPr>
                    <w:widowControl/>
                    <w:jc w:val="center"/>
                    <w:textAlignment w:val="center"/>
                    <w:rPr>
                      <w:kern w:val="0"/>
                      <w:szCs w:val="21"/>
                      <w:lang w:bidi="ar"/>
                    </w:rPr>
                  </w:pPr>
                  <w:r>
                    <w:rPr>
                      <w:color w:val="000000"/>
                      <w:kern w:val="0"/>
                      <w:szCs w:val="21"/>
                      <w:lang w:bidi="ar"/>
                    </w:rPr>
                    <w:t>5</w:t>
                  </w:r>
                </w:p>
              </w:tc>
              <w:tc>
                <w:tcPr>
                  <w:tcW w:w="795" w:type="dxa"/>
                  <w:tcMar>
                    <w:top w:w="0" w:type="dxa"/>
                    <w:left w:w="0" w:type="dxa"/>
                    <w:bottom w:w="0" w:type="dxa"/>
                    <w:right w:w="0" w:type="dxa"/>
                  </w:tcMar>
                  <w:vAlign w:val="center"/>
                </w:tcPr>
                <w:p w14:paraId="67D21B4D">
                  <w:pPr>
                    <w:widowControl/>
                    <w:jc w:val="center"/>
                    <w:textAlignment w:val="center"/>
                    <w:rPr>
                      <w:kern w:val="0"/>
                      <w:szCs w:val="21"/>
                      <w:lang w:bidi="ar"/>
                    </w:rPr>
                  </w:pPr>
                  <w:r>
                    <w:rPr>
                      <w:color w:val="000000"/>
                      <w:kern w:val="0"/>
                      <w:szCs w:val="21"/>
                      <w:lang w:bidi="ar"/>
                    </w:rPr>
                    <w:t>0.0102</w:t>
                  </w:r>
                </w:p>
              </w:tc>
              <w:tc>
                <w:tcPr>
                  <w:tcW w:w="319" w:type="pct"/>
                  <w:vMerge w:val="continue"/>
                  <w:tcMar>
                    <w:top w:w="0" w:type="dxa"/>
                    <w:left w:w="0" w:type="dxa"/>
                    <w:bottom w:w="0" w:type="dxa"/>
                    <w:right w:w="0" w:type="dxa"/>
                  </w:tcMar>
                  <w:vAlign w:val="center"/>
                </w:tcPr>
                <w:p w14:paraId="026E5356">
                  <w:pPr>
                    <w:jc w:val="center"/>
                    <w:rPr>
                      <w:szCs w:val="21"/>
                    </w:rPr>
                  </w:pPr>
                </w:p>
              </w:tc>
            </w:tr>
            <w:tr w14:paraId="441E2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vAlign w:val="center"/>
                </w:tcPr>
                <w:p w14:paraId="066D86BE">
                  <w:pPr>
                    <w:widowControl/>
                    <w:jc w:val="center"/>
                    <w:rPr>
                      <w:kern w:val="0"/>
                      <w:szCs w:val="21"/>
                    </w:rPr>
                  </w:pPr>
                </w:p>
              </w:tc>
              <w:tc>
                <w:tcPr>
                  <w:tcW w:w="455" w:type="pct"/>
                  <w:vMerge w:val="continue"/>
                  <w:vAlign w:val="center"/>
                </w:tcPr>
                <w:p w14:paraId="32D6C8AB">
                  <w:pPr>
                    <w:widowControl/>
                    <w:jc w:val="center"/>
                    <w:rPr>
                      <w:kern w:val="0"/>
                      <w:szCs w:val="21"/>
                    </w:rPr>
                  </w:pPr>
                </w:p>
              </w:tc>
              <w:tc>
                <w:tcPr>
                  <w:tcW w:w="564" w:type="pct"/>
                  <w:vAlign w:val="center"/>
                </w:tcPr>
                <w:p w14:paraId="74DD10F3">
                  <w:pPr>
                    <w:widowControl/>
                    <w:jc w:val="center"/>
                    <w:textAlignment w:val="center"/>
                    <w:rPr>
                      <w:szCs w:val="21"/>
                    </w:rPr>
                  </w:pPr>
                  <w:r>
                    <w:rPr>
                      <w:kern w:val="0"/>
                      <w:szCs w:val="21"/>
                      <w:lang w:bidi="ar"/>
                    </w:rPr>
                    <w:t>TN</w:t>
                  </w:r>
                </w:p>
              </w:tc>
              <w:tc>
                <w:tcPr>
                  <w:tcW w:w="902" w:type="dxa"/>
                  <w:vAlign w:val="center"/>
                </w:tcPr>
                <w:p w14:paraId="5FE02965">
                  <w:pPr>
                    <w:widowControl/>
                    <w:jc w:val="center"/>
                    <w:textAlignment w:val="center"/>
                    <w:rPr>
                      <w:kern w:val="0"/>
                      <w:szCs w:val="21"/>
                      <w:lang w:bidi="ar"/>
                    </w:rPr>
                  </w:pPr>
                  <w:r>
                    <w:rPr>
                      <w:color w:val="000000"/>
                      <w:kern w:val="0"/>
                      <w:szCs w:val="21"/>
                      <w:lang w:bidi="ar"/>
                    </w:rPr>
                    <w:t>50</w:t>
                  </w:r>
                </w:p>
              </w:tc>
              <w:tc>
                <w:tcPr>
                  <w:tcW w:w="855" w:type="dxa"/>
                  <w:vAlign w:val="center"/>
                </w:tcPr>
                <w:p w14:paraId="35A0EFEB">
                  <w:pPr>
                    <w:widowControl/>
                    <w:jc w:val="center"/>
                    <w:textAlignment w:val="center"/>
                    <w:rPr>
                      <w:kern w:val="0"/>
                      <w:szCs w:val="21"/>
                      <w:lang w:bidi="ar"/>
                    </w:rPr>
                  </w:pPr>
                  <w:r>
                    <w:rPr>
                      <w:color w:val="000000"/>
                      <w:kern w:val="0"/>
                      <w:szCs w:val="21"/>
                      <w:lang w:bidi="ar"/>
                    </w:rPr>
                    <w:t>0.102</w:t>
                  </w:r>
                </w:p>
              </w:tc>
              <w:tc>
                <w:tcPr>
                  <w:tcW w:w="380" w:type="pct"/>
                  <w:vMerge w:val="continue"/>
                  <w:vAlign w:val="center"/>
                </w:tcPr>
                <w:p w14:paraId="7A20D73F">
                  <w:pPr>
                    <w:jc w:val="center"/>
                    <w:rPr>
                      <w:szCs w:val="21"/>
                    </w:rPr>
                  </w:pPr>
                </w:p>
              </w:tc>
              <w:tc>
                <w:tcPr>
                  <w:tcW w:w="471" w:type="pct"/>
                  <w:vMerge w:val="continue"/>
                  <w:vAlign w:val="center"/>
                </w:tcPr>
                <w:p w14:paraId="58EE73A9">
                  <w:pPr>
                    <w:widowControl/>
                    <w:jc w:val="center"/>
                    <w:textAlignment w:val="center"/>
                    <w:rPr>
                      <w:kern w:val="0"/>
                      <w:szCs w:val="21"/>
                      <w:lang w:bidi="ar"/>
                    </w:rPr>
                  </w:pPr>
                </w:p>
              </w:tc>
              <w:tc>
                <w:tcPr>
                  <w:tcW w:w="573" w:type="pct"/>
                  <w:vAlign w:val="center"/>
                </w:tcPr>
                <w:p w14:paraId="4ED80A43">
                  <w:pPr>
                    <w:widowControl/>
                    <w:jc w:val="center"/>
                    <w:textAlignment w:val="center"/>
                    <w:rPr>
                      <w:szCs w:val="21"/>
                    </w:rPr>
                  </w:pPr>
                  <w:r>
                    <w:rPr>
                      <w:kern w:val="0"/>
                      <w:szCs w:val="21"/>
                      <w:lang w:bidi="ar"/>
                    </w:rPr>
                    <w:t>TN</w:t>
                  </w:r>
                </w:p>
              </w:tc>
              <w:tc>
                <w:tcPr>
                  <w:tcW w:w="900" w:type="dxa"/>
                  <w:vAlign w:val="center"/>
                </w:tcPr>
                <w:p w14:paraId="510E8D72">
                  <w:pPr>
                    <w:widowControl/>
                    <w:jc w:val="center"/>
                    <w:textAlignment w:val="center"/>
                    <w:rPr>
                      <w:kern w:val="0"/>
                      <w:szCs w:val="21"/>
                      <w:lang w:bidi="ar"/>
                    </w:rPr>
                  </w:pPr>
                  <w:r>
                    <w:rPr>
                      <w:color w:val="000000"/>
                      <w:kern w:val="0"/>
                      <w:szCs w:val="21"/>
                      <w:lang w:bidi="ar"/>
                    </w:rPr>
                    <w:t>50</w:t>
                  </w:r>
                </w:p>
              </w:tc>
              <w:tc>
                <w:tcPr>
                  <w:tcW w:w="795" w:type="dxa"/>
                  <w:vAlign w:val="center"/>
                </w:tcPr>
                <w:p w14:paraId="365537D7">
                  <w:pPr>
                    <w:widowControl/>
                    <w:jc w:val="center"/>
                    <w:textAlignment w:val="center"/>
                    <w:rPr>
                      <w:kern w:val="0"/>
                      <w:szCs w:val="21"/>
                      <w:lang w:bidi="ar"/>
                    </w:rPr>
                  </w:pPr>
                  <w:r>
                    <w:rPr>
                      <w:color w:val="000000"/>
                      <w:kern w:val="0"/>
                      <w:szCs w:val="21"/>
                      <w:lang w:bidi="ar"/>
                    </w:rPr>
                    <w:t>0.102</w:t>
                  </w:r>
                </w:p>
              </w:tc>
              <w:tc>
                <w:tcPr>
                  <w:tcW w:w="319" w:type="pct"/>
                  <w:vMerge w:val="continue"/>
                  <w:vAlign w:val="center"/>
                </w:tcPr>
                <w:p w14:paraId="7E4BFC62">
                  <w:pPr>
                    <w:jc w:val="center"/>
                    <w:rPr>
                      <w:szCs w:val="21"/>
                    </w:rPr>
                  </w:pPr>
                </w:p>
              </w:tc>
            </w:tr>
          </w:tbl>
          <w:p w14:paraId="54DDF71E">
            <w:pPr>
              <w:spacing w:line="480" w:lineRule="exact"/>
              <w:jc w:val="center"/>
              <w:rPr>
                <w:b/>
                <w:sz w:val="24"/>
              </w:rPr>
            </w:pPr>
            <w:r>
              <w:rPr>
                <w:b/>
                <w:sz w:val="24"/>
              </w:rPr>
              <w:t>表4-2  项目废水排口及污水处理厂排口情况表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05"/>
              <w:gridCol w:w="1105"/>
              <w:gridCol w:w="1114"/>
              <w:gridCol w:w="1124"/>
              <w:gridCol w:w="1104"/>
              <w:gridCol w:w="1104"/>
              <w:gridCol w:w="1113"/>
              <w:gridCol w:w="1122"/>
            </w:tblGrid>
            <w:tr w14:paraId="64C63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00" w:type="pct"/>
                  <w:gridSpan w:val="4"/>
                  <w:vAlign w:val="center"/>
                </w:tcPr>
                <w:p w14:paraId="625E2F62">
                  <w:pPr>
                    <w:ind w:left="33" w:right="-80" w:hanging="113"/>
                    <w:jc w:val="center"/>
                    <w:rPr>
                      <w:rStyle w:val="130"/>
                      <w:rFonts w:ascii="Times New Roman" w:hAnsi="Times New Roman"/>
                      <w:b/>
                      <w:bCs/>
                      <w:szCs w:val="21"/>
                    </w:rPr>
                  </w:pPr>
                  <w:r>
                    <w:rPr>
                      <w:rStyle w:val="130"/>
                      <w:rFonts w:ascii="Times New Roman" w:hAnsi="Times New Roman"/>
                      <w:b/>
                      <w:bCs/>
                      <w:szCs w:val="21"/>
                    </w:rPr>
                    <w:t>本项目排口</w:t>
                  </w:r>
                </w:p>
              </w:tc>
              <w:tc>
                <w:tcPr>
                  <w:tcW w:w="2499" w:type="pct"/>
                  <w:gridSpan w:val="4"/>
                  <w:vAlign w:val="center"/>
                </w:tcPr>
                <w:p w14:paraId="524CBB9C">
                  <w:pPr>
                    <w:ind w:left="33" w:right="-80" w:hanging="113"/>
                    <w:jc w:val="center"/>
                    <w:rPr>
                      <w:rStyle w:val="130"/>
                      <w:rFonts w:ascii="Times New Roman" w:hAnsi="Times New Roman"/>
                      <w:b/>
                      <w:bCs/>
                      <w:szCs w:val="21"/>
                    </w:rPr>
                  </w:pPr>
                  <w:r>
                    <w:rPr>
                      <w:b/>
                      <w:bCs/>
                      <w:szCs w:val="21"/>
                    </w:rPr>
                    <w:t>污水处理厂</w:t>
                  </w:r>
                  <w:r>
                    <w:rPr>
                      <w:rStyle w:val="130"/>
                      <w:rFonts w:ascii="Times New Roman" w:hAnsi="Times New Roman"/>
                      <w:b/>
                      <w:bCs/>
                      <w:szCs w:val="21"/>
                    </w:rPr>
                    <w:t>排口</w:t>
                  </w:r>
                </w:p>
              </w:tc>
            </w:tr>
            <w:tr w14:paraId="44777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vMerge w:val="restart"/>
                  <w:vAlign w:val="center"/>
                </w:tcPr>
                <w:p w14:paraId="2335E11D">
                  <w:pPr>
                    <w:ind w:left="33" w:right="-80" w:hanging="113"/>
                    <w:jc w:val="center"/>
                    <w:rPr>
                      <w:rStyle w:val="130"/>
                      <w:rFonts w:ascii="Times New Roman" w:hAnsi="Times New Roman"/>
                      <w:b/>
                      <w:bCs/>
                      <w:szCs w:val="21"/>
                    </w:rPr>
                  </w:pPr>
                  <w:r>
                    <w:rPr>
                      <w:rStyle w:val="130"/>
                      <w:rFonts w:ascii="Times New Roman" w:hAnsi="Times New Roman"/>
                      <w:b/>
                      <w:bCs/>
                      <w:szCs w:val="21"/>
                    </w:rPr>
                    <w:t>污染因子</w:t>
                  </w:r>
                </w:p>
              </w:tc>
              <w:tc>
                <w:tcPr>
                  <w:tcW w:w="1247" w:type="pct"/>
                  <w:gridSpan w:val="2"/>
                  <w:vAlign w:val="center"/>
                </w:tcPr>
                <w:p w14:paraId="6509E628">
                  <w:pPr>
                    <w:ind w:left="33" w:right="-80" w:hanging="113"/>
                    <w:jc w:val="center"/>
                    <w:rPr>
                      <w:rStyle w:val="130"/>
                      <w:rFonts w:ascii="Times New Roman" w:hAnsi="Times New Roman"/>
                      <w:b/>
                      <w:bCs/>
                      <w:szCs w:val="21"/>
                    </w:rPr>
                  </w:pPr>
                  <w:r>
                    <w:rPr>
                      <w:rStyle w:val="130"/>
                      <w:rFonts w:ascii="Times New Roman" w:hAnsi="Times New Roman"/>
                      <w:b/>
                      <w:bCs/>
                      <w:szCs w:val="21"/>
                    </w:rPr>
                    <w:t>污染物排放量</w:t>
                  </w:r>
                </w:p>
              </w:tc>
              <w:tc>
                <w:tcPr>
                  <w:tcW w:w="630" w:type="pct"/>
                  <w:vMerge w:val="restart"/>
                  <w:vAlign w:val="center"/>
                </w:tcPr>
                <w:p w14:paraId="47CF7774">
                  <w:pPr>
                    <w:ind w:left="33" w:right="-80" w:hanging="113"/>
                    <w:jc w:val="center"/>
                    <w:rPr>
                      <w:rStyle w:val="130"/>
                      <w:rFonts w:ascii="Times New Roman" w:hAnsi="Times New Roman"/>
                      <w:b/>
                      <w:bCs/>
                      <w:szCs w:val="21"/>
                    </w:rPr>
                  </w:pPr>
                  <w:r>
                    <w:rPr>
                      <w:rStyle w:val="130"/>
                      <w:rFonts w:ascii="Times New Roman" w:hAnsi="Times New Roman"/>
                      <w:b/>
                      <w:bCs/>
                      <w:szCs w:val="21"/>
                    </w:rPr>
                    <w:t>接管浓度</w:t>
                  </w:r>
                </w:p>
                <w:p w14:paraId="7D267EB2">
                  <w:pPr>
                    <w:ind w:left="33" w:right="-80" w:hanging="113"/>
                    <w:jc w:val="center"/>
                    <w:rPr>
                      <w:rStyle w:val="130"/>
                      <w:rFonts w:ascii="Times New Roman" w:hAnsi="Times New Roman"/>
                      <w:b/>
                      <w:bCs/>
                      <w:szCs w:val="21"/>
                    </w:rPr>
                  </w:pPr>
                  <w:r>
                    <w:rPr>
                      <w:rStyle w:val="130"/>
                      <w:rFonts w:ascii="Times New Roman" w:hAnsi="Times New Roman"/>
                      <w:b/>
                      <w:bCs/>
                      <w:szCs w:val="21"/>
                    </w:rPr>
                    <w:t>限值mg/L</w:t>
                  </w:r>
                </w:p>
              </w:tc>
              <w:tc>
                <w:tcPr>
                  <w:tcW w:w="621" w:type="pct"/>
                  <w:vMerge w:val="restart"/>
                  <w:vAlign w:val="center"/>
                </w:tcPr>
                <w:p w14:paraId="48D75F89">
                  <w:pPr>
                    <w:ind w:left="33" w:right="-80" w:hanging="113"/>
                    <w:jc w:val="center"/>
                    <w:rPr>
                      <w:rStyle w:val="130"/>
                      <w:rFonts w:ascii="Times New Roman" w:hAnsi="Times New Roman"/>
                      <w:b/>
                      <w:bCs/>
                      <w:szCs w:val="21"/>
                    </w:rPr>
                  </w:pPr>
                  <w:r>
                    <w:rPr>
                      <w:rStyle w:val="130"/>
                      <w:rFonts w:ascii="Times New Roman" w:hAnsi="Times New Roman"/>
                      <w:b/>
                      <w:bCs/>
                      <w:szCs w:val="21"/>
                    </w:rPr>
                    <w:t>污染因子</w:t>
                  </w:r>
                </w:p>
              </w:tc>
              <w:tc>
                <w:tcPr>
                  <w:tcW w:w="1247" w:type="pct"/>
                  <w:gridSpan w:val="2"/>
                  <w:vAlign w:val="center"/>
                </w:tcPr>
                <w:p w14:paraId="0978E1C4">
                  <w:pPr>
                    <w:ind w:left="33" w:right="-80" w:hanging="113"/>
                    <w:jc w:val="center"/>
                    <w:rPr>
                      <w:rStyle w:val="130"/>
                      <w:rFonts w:ascii="Times New Roman" w:hAnsi="Times New Roman"/>
                      <w:b/>
                      <w:bCs/>
                      <w:szCs w:val="21"/>
                    </w:rPr>
                  </w:pPr>
                  <w:r>
                    <w:rPr>
                      <w:rStyle w:val="130"/>
                      <w:rFonts w:ascii="Times New Roman" w:hAnsi="Times New Roman"/>
                      <w:b/>
                      <w:bCs/>
                      <w:szCs w:val="21"/>
                    </w:rPr>
                    <w:t>污染物排放量</w:t>
                  </w:r>
                </w:p>
              </w:tc>
              <w:tc>
                <w:tcPr>
                  <w:tcW w:w="629" w:type="pct"/>
                  <w:vMerge w:val="restart"/>
                  <w:vAlign w:val="center"/>
                </w:tcPr>
                <w:p w14:paraId="7D79CB41">
                  <w:pPr>
                    <w:ind w:left="33" w:right="-80" w:hanging="113"/>
                    <w:jc w:val="center"/>
                    <w:rPr>
                      <w:rStyle w:val="130"/>
                      <w:rFonts w:ascii="Times New Roman" w:hAnsi="Times New Roman"/>
                      <w:szCs w:val="21"/>
                    </w:rPr>
                  </w:pPr>
                  <w:r>
                    <w:rPr>
                      <w:rStyle w:val="130"/>
                      <w:rFonts w:ascii="Times New Roman" w:hAnsi="Times New Roman"/>
                      <w:b/>
                      <w:bCs/>
                      <w:szCs w:val="21"/>
                    </w:rPr>
                    <w:t>排放浓度限值mg/L</w:t>
                  </w:r>
                </w:p>
              </w:tc>
            </w:tr>
            <w:tr w14:paraId="3495E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vMerge w:val="continue"/>
                  <w:vAlign w:val="center"/>
                </w:tcPr>
                <w:p w14:paraId="3763AB05">
                  <w:pPr>
                    <w:ind w:left="33" w:right="-80" w:hanging="113"/>
                    <w:jc w:val="center"/>
                    <w:rPr>
                      <w:rStyle w:val="130"/>
                      <w:rFonts w:ascii="Times New Roman" w:hAnsi="Times New Roman"/>
                      <w:b/>
                      <w:bCs/>
                      <w:szCs w:val="21"/>
                    </w:rPr>
                  </w:pPr>
                </w:p>
              </w:tc>
              <w:tc>
                <w:tcPr>
                  <w:tcW w:w="621" w:type="pct"/>
                  <w:vAlign w:val="center"/>
                </w:tcPr>
                <w:p w14:paraId="05A49DE9">
                  <w:pPr>
                    <w:ind w:left="33" w:right="-80" w:hanging="113"/>
                    <w:jc w:val="center"/>
                    <w:rPr>
                      <w:rStyle w:val="130"/>
                      <w:rFonts w:ascii="Times New Roman" w:hAnsi="Times New Roman"/>
                      <w:b/>
                      <w:bCs/>
                      <w:szCs w:val="21"/>
                    </w:rPr>
                  </w:pPr>
                  <w:r>
                    <w:rPr>
                      <w:rStyle w:val="130"/>
                      <w:rFonts w:ascii="Times New Roman" w:hAnsi="Times New Roman"/>
                      <w:b/>
                      <w:bCs/>
                      <w:szCs w:val="21"/>
                    </w:rPr>
                    <w:t>浓度mg/L</w:t>
                  </w:r>
                </w:p>
              </w:tc>
              <w:tc>
                <w:tcPr>
                  <w:tcW w:w="625" w:type="pct"/>
                  <w:vAlign w:val="center"/>
                </w:tcPr>
                <w:p w14:paraId="174AA4E0">
                  <w:pPr>
                    <w:ind w:left="33" w:right="-80" w:hanging="113"/>
                    <w:jc w:val="center"/>
                    <w:rPr>
                      <w:rStyle w:val="130"/>
                      <w:rFonts w:ascii="Times New Roman" w:hAnsi="Times New Roman"/>
                      <w:b/>
                      <w:bCs/>
                      <w:szCs w:val="21"/>
                    </w:rPr>
                  </w:pPr>
                  <w:r>
                    <w:rPr>
                      <w:rStyle w:val="130"/>
                      <w:rFonts w:ascii="Times New Roman" w:hAnsi="Times New Roman"/>
                      <w:b/>
                      <w:bCs/>
                      <w:szCs w:val="21"/>
                    </w:rPr>
                    <w:t>排放量t/a</w:t>
                  </w:r>
                </w:p>
              </w:tc>
              <w:tc>
                <w:tcPr>
                  <w:tcW w:w="630" w:type="pct"/>
                  <w:vMerge w:val="continue"/>
                  <w:vAlign w:val="center"/>
                </w:tcPr>
                <w:p w14:paraId="25A3E5D1">
                  <w:pPr>
                    <w:ind w:left="33" w:right="-80" w:hanging="113"/>
                    <w:jc w:val="center"/>
                    <w:rPr>
                      <w:rStyle w:val="130"/>
                      <w:rFonts w:ascii="Times New Roman" w:hAnsi="Times New Roman"/>
                      <w:b/>
                      <w:bCs/>
                      <w:szCs w:val="21"/>
                    </w:rPr>
                  </w:pPr>
                </w:p>
              </w:tc>
              <w:tc>
                <w:tcPr>
                  <w:tcW w:w="621" w:type="pct"/>
                  <w:vMerge w:val="continue"/>
                  <w:vAlign w:val="center"/>
                </w:tcPr>
                <w:p w14:paraId="1BB43E7F">
                  <w:pPr>
                    <w:ind w:left="33" w:right="-80" w:hanging="113"/>
                    <w:jc w:val="center"/>
                    <w:rPr>
                      <w:rStyle w:val="130"/>
                      <w:rFonts w:ascii="Times New Roman" w:hAnsi="Times New Roman"/>
                      <w:b/>
                      <w:bCs/>
                      <w:szCs w:val="21"/>
                    </w:rPr>
                  </w:pPr>
                </w:p>
              </w:tc>
              <w:tc>
                <w:tcPr>
                  <w:tcW w:w="621" w:type="pct"/>
                  <w:vAlign w:val="center"/>
                </w:tcPr>
                <w:p w14:paraId="6CCE511F">
                  <w:pPr>
                    <w:ind w:left="33" w:right="-80" w:hanging="113"/>
                    <w:jc w:val="center"/>
                    <w:rPr>
                      <w:rStyle w:val="130"/>
                      <w:rFonts w:ascii="Times New Roman" w:hAnsi="Times New Roman"/>
                      <w:b/>
                      <w:bCs/>
                      <w:szCs w:val="21"/>
                    </w:rPr>
                  </w:pPr>
                  <w:r>
                    <w:rPr>
                      <w:rStyle w:val="130"/>
                      <w:rFonts w:ascii="Times New Roman" w:hAnsi="Times New Roman"/>
                      <w:b/>
                      <w:bCs/>
                      <w:szCs w:val="21"/>
                    </w:rPr>
                    <w:t>浓度mg/L</w:t>
                  </w:r>
                </w:p>
              </w:tc>
              <w:tc>
                <w:tcPr>
                  <w:tcW w:w="625" w:type="pct"/>
                  <w:vAlign w:val="center"/>
                </w:tcPr>
                <w:p w14:paraId="420AFAF0">
                  <w:pPr>
                    <w:ind w:left="33" w:right="-80" w:hanging="113"/>
                    <w:jc w:val="center"/>
                    <w:rPr>
                      <w:rStyle w:val="130"/>
                      <w:rFonts w:ascii="Times New Roman" w:hAnsi="Times New Roman"/>
                      <w:b/>
                      <w:bCs/>
                      <w:szCs w:val="21"/>
                    </w:rPr>
                  </w:pPr>
                  <w:r>
                    <w:rPr>
                      <w:rStyle w:val="130"/>
                      <w:rFonts w:ascii="Times New Roman" w:hAnsi="Times New Roman"/>
                      <w:b/>
                      <w:bCs/>
                      <w:szCs w:val="21"/>
                    </w:rPr>
                    <w:t>排放量t/a</w:t>
                  </w:r>
                </w:p>
              </w:tc>
              <w:tc>
                <w:tcPr>
                  <w:tcW w:w="629" w:type="pct"/>
                  <w:vMerge w:val="continue"/>
                  <w:vAlign w:val="center"/>
                </w:tcPr>
                <w:p w14:paraId="3A499996">
                  <w:pPr>
                    <w:ind w:left="33" w:right="-80" w:hanging="113"/>
                    <w:jc w:val="center"/>
                    <w:rPr>
                      <w:rStyle w:val="130"/>
                      <w:rFonts w:ascii="Times New Roman" w:hAnsi="Times New Roman"/>
                      <w:szCs w:val="21"/>
                    </w:rPr>
                  </w:pPr>
                </w:p>
              </w:tc>
            </w:tr>
            <w:tr w14:paraId="4DDFC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vAlign w:val="center"/>
                </w:tcPr>
                <w:p w14:paraId="75929A25">
                  <w:pPr>
                    <w:ind w:left="33" w:right="-80" w:hanging="113"/>
                    <w:jc w:val="center"/>
                    <w:rPr>
                      <w:rStyle w:val="130"/>
                      <w:rFonts w:ascii="Times New Roman" w:hAnsi="Times New Roman"/>
                      <w:szCs w:val="21"/>
                    </w:rPr>
                  </w:pPr>
                  <w:r>
                    <w:rPr>
                      <w:rStyle w:val="130"/>
                      <w:rFonts w:ascii="Times New Roman" w:hAnsi="Times New Roman"/>
                      <w:szCs w:val="21"/>
                    </w:rPr>
                    <w:t>水量</w:t>
                  </w:r>
                </w:p>
              </w:tc>
              <w:tc>
                <w:tcPr>
                  <w:tcW w:w="1247" w:type="pct"/>
                  <w:gridSpan w:val="2"/>
                  <w:vAlign w:val="center"/>
                </w:tcPr>
                <w:p w14:paraId="14306931">
                  <w:pPr>
                    <w:ind w:left="33" w:right="-80" w:hanging="113"/>
                    <w:jc w:val="center"/>
                    <w:rPr>
                      <w:rStyle w:val="130"/>
                      <w:rFonts w:ascii="Times New Roman" w:hAnsi="Times New Roman"/>
                      <w:szCs w:val="21"/>
                    </w:rPr>
                  </w:pPr>
                  <w:r>
                    <w:rPr>
                      <w:rFonts w:hint="eastAsia"/>
                      <w:szCs w:val="21"/>
                    </w:rPr>
                    <w:t>2040</w:t>
                  </w:r>
                  <w:r>
                    <w:rPr>
                      <w:rStyle w:val="130"/>
                      <w:rFonts w:ascii="Times New Roman" w:hAnsi="Times New Roman"/>
                      <w:szCs w:val="21"/>
                    </w:rPr>
                    <w:t>m</w:t>
                  </w:r>
                  <w:r>
                    <w:rPr>
                      <w:rStyle w:val="130"/>
                      <w:rFonts w:ascii="Times New Roman" w:hAnsi="Times New Roman"/>
                      <w:szCs w:val="21"/>
                      <w:vertAlign w:val="superscript"/>
                    </w:rPr>
                    <w:t>3</w:t>
                  </w:r>
                  <w:r>
                    <w:rPr>
                      <w:rStyle w:val="130"/>
                      <w:rFonts w:ascii="Times New Roman" w:hAnsi="Times New Roman"/>
                      <w:szCs w:val="21"/>
                    </w:rPr>
                    <w:t>/a</w:t>
                  </w:r>
                </w:p>
              </w:tc>
              <w:tc>
                <w:tcPr>
                  <w:tcW w:w="630" w:type="pct"/>
                  <w:vAlign w:val="center"/>
                </w:tcPr>
                <w:p w14:paraId="20403812">
                  <w:pPr>
                    <w:ind w:left="33" w:right="-80" w:hanging="113"/>
                    <w:jc w:val="center"/>
                    <w:rPr>
                      <w:rStyle w:val="130"/>
                      <w:rFonts w:ascii="Times New Roman" w:hAnsi="Times New Roman"/>
                      <w:szCs w:val="21"/>
                    </w:rPr>
                  </w:pPr>
                  <w:r>
                    <w:rPr>
                      <w:rStyle w:val="130"/>
                      <w:rFonts w:ascii="Times New Roman" w:hAnsi="Times New Roman"/>
                      <w:szCs w:val="21"/>
                    </w:rPr>
                    <w:t>—</w:t>
                  </w:r>
                </w:p>
              </w:tc>
              <w:tc>
                <w:tcPr>
                  <w:tcW w:w="621" w:type="pct"/>
                  <w:vAlign w:val="center"/>
                </w:tcPr>
                <w:p w14:paraId="5AB3D803">
                  <w:pPr>
                    <w:ind w:left="33" w:right="-80" w:hanging="113"/>
                    <w:jc w:val="center"/>
                    <w:rPr>
                      <w:rStyle w:val="130"/>
                      <w:rFonts w:ascii="Times New Roman" w:hAnsi="Times New Roman"/>
                      <w:szCs w:val="21"/>
                    </w:rPr>
                  </w:pPr>
                  <w:r>
                    <w:rPr>
                      <w:rStyle w:val="130"/>
                      <w:rFonts w:ascii="Times New Roman" w:hAnsi="Times New Roman"/>
                      <w:szCs w:val="21"/>
                    </w:rPr>
                    <w:t>水量</w:t>
                  </w:r>
                </w:p>
              </w:tc>
              <w:tc>
                <w:tcPr>
                  <w:tcW w:w="1247" w:type="pct"/>
                  <w:gridSpan w:val="2"/>
                  <w:vAlign w:val="center"/>
                </w:tcPr>
                <w:p w14:paraId="4072E440">
                  <w:pPr>
                    <w:ind w:left="33" w:right="-80" w:hanging="113"/>
                    <w:jc w:val="center"/>
                    <w:rPr>
                      <w:rStyle w:val="130"/>
                      <w:rFonts w:ascii="Times New Roman" w:hAnsi="Times New Roman"/>
                      <w:szCs w:val="21"/>
                    </w:rPr>
                  </w:pPr>
                  <w:r>
                    <w:rPr>
                      <w:rFonts w:hint="eastAsia"/>
                      <w:szCs w:val="21"/>
                    </w:rPr>
                    <w:t>2040</w:t>
                  </w:r>
                  <w:r>
                    <w:rPr>
                      <w:rStyle w:val="130"/>
                      <w:rFonts w:ascii="Times New Roman" w:hAnsi="Times New Roman"/>
                      <w:szCs w:val="21"/>
                    </w:rPr>
                    <w:t>m</w:t>
                  </w:r>
                  <w:r>
                    <w:rPr>
                      <w:rStyle w:val="130"/>
                      <w:rFonts w:ascii="Times New Roman" w:hAnsi="Times New Roman"/>
                      <w:szCs w:val="21"/>
                      <w:vertAlign w:val="superscript"/>
                    </w:rPr>
                    <w:t>3</w:t>
                  </w:r>
                  <w:r>
                    <w:rPr>
                      <w:rStyle w:val="130"/>
                      <w:rFonts w:ascii="Times New Roman" w:hAnsi="Times New Roman"/>
                      <w:szCs w:val="21"/>
                    </w:rPr>
                    <w:t>/a</w:t>
                  </w:r>
                </w:p>
              </w:tc>
              <w:tc>
                <w:tcPr>
                  <w:tcW w:w="629" w:type="pct"/>
                  <w:vAlign w:val="center"/>
                </w:tcPr>
                <w:p w14:paraId="12AB3A14">
                  <w:pPr>
                    <w:ind w:left="33" w:right="-80" w:hanging="113"/>
                    <w:jc w:val="center"/>
                    <w:rPr>
                      <w:rStyle w:val="130"/>
                      <w:rFonts w:ascii="Times New Roman" w:hAnsi="Times New Roman"/>
                      <w:szCs w:val="21"/>
                    </w:rPr>
                  </w:pPr>
                  <w:r>
                    <w:rPr>
                      <w:rStyle w:val="130"/>
                      <w:rFonts w:ascii="Times New Roman" w:hAnsi="Times New Roman"/>
                      <w:szCs w:val="21"/>
                    </w:rPr>
                    <w:t>—</w:t>
                  </w:r>
                </w:p>
              </w:tc>
            </w:tr>
            <w:tr w14:paraId="0BA35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vAlign w:val="center"/>
                </w:tcPr>
                <w:p w14:paraId="1D09F902">
                  <w:pPr>
                    <w:jc w:val="center"/>
                    <w:rPr>
                      <w:kern w:val="0"/>
                      <w:szCs w:val="21"/>
                    </w:rPr>
                  </w:pPr>
                  <w:bookmarkStart w:id="1" w:name="_Hlk372120664"/>
                  <w:bookmarkStart w:id="2" w:name="OLE_LINK6" w:colFirst="4" w:colLast="5"/>
                  <w:r>
                    <w:rPr>
                      <w:szCs w:val="21"/>
                    </w:rPr>
                    <w:t>COD</w:t>
                  </w:r>
                </w:p>
              </w:tc>
              <w:tc>
                <w:tcPr>
                  <w:tcW w:w="1106" w:type="dxa"/>
                  <w:vAlign w:val="center"/>
                </w:tcPr>
                <w:p w14:paraId="22A27F3F">
                  <w:pPr>
                    <w:widowControl/>
                    <w:jc w:val="center"/>
                    <w:textAlignment w:val="center"/>
                    <w:rPr>
                      <w:kern w:val="0"/>
                      <w:szCs w:val="21"/>
                      <w:lang w:bidi="ar"/>
                    </w:rPr>
                  </w:pPr>
                  <w:r>
                    <w:rPr>
                      <w:color w:val="000000"/>
                      <w:kern w:val="0"/>
                      <w:szCs w:val="21"/>
                      <w:lang w:bidi="ar"/>
                    </w:rPr>
                    <w:t>400</w:t>
                  </w:r>
                </w:p>
              </w:tc>
              <w:tc>
                <w:tcPr>
                  <w:tcW w:w="1113" w:type="dxa"/>
                  <w:vAlign w:val="center"/>
                </w:tcPr>
                <w:p w14:paraId="4EF84C3B">
                  <w:pPr>
                    <w:widowControl/>
                    <w:jc w:val="center"/>
                    <w:textAlignment w:val="center"/>
                    <w:rPr>
                      <w:kern w:val="0"/>
                      <w:szCs w:val="21"/>
                      <w:lang w:bidi="ar"/>
                    </w:rPr>
                  </w:pPr>
                  <w:r>
                    <w:rPr>
                      <w:color w:val="000000"/>
                      <w:kern w:val="0"/>
                      <w:szCs w:val="21"/>
                      <w:lang w:bidi="ar"/>
                    </w:rPr>
                    <w:t>0.816</w:t>
                  </w:r>
                </w:p>
              </w:tc>
              <w:tc>
                <w:tcPr>
                  <w:tcW w:w="630" w:type="pct"/>
                  <w:vAlign w:val="center"/>
                </w:tcPr>
                <w:p w14:paraId="2691640D">
                  <w:pPr>
                    <w:jc w:val="center"/>
                    <w:rPr>
                      <w:szCs w:val="21"/>
                    </w:rPr>
                  </w:pPr>
                  <w:r>
                    <w:rPr>
                      <w:rFonts w:hint="eastAsia"/>
                      <w:szCs w:val="21"/>
                    </w:rPr>
                    <w:t>500</w:t>
                  </w:r>
                </w:p>
              </w:tc>
              <w:tc>
                <w:tcPr>
                  <w:tcW w:w="621" w:type="pct"/>
                  <w:vAlign w:val="center"/>
                </w:tcPr>
                <w:p w14:paraId="32B820CA">
                  <w:pPr>
                    <w:jc w:val="center"/>
                  </w:pPr>
                  <w:r>
                    <w:t>COD</w:t>
                  </w:r>
                </w:p>
              </w:tc>
              <w:tc>
                <w:tcPr>
                  <w:tcW w:w="621" w:type="pct"/>
                  <w:vAlign w:val="center"/>
                </w:tcPr>
                <w:p w14:paraId="5CCEA598">
                  <w:pPr>
                    <w:ind w:left="33" w:right="-80" w:hanging="113"/>
                    <w:jc w:val="center"/>
                  </w:pPr>
                  <w:r>
                    <w:rPr>
                      <w:rFonts w:hint="eastAsia"/>
                    </w:rPr>
                    <w:t>50</w:t>
                  </w:r>
                </w:p>
              </w:tc>
              <w:tc>
                <w:tcPr>
                  <w:tcW w:w="1113" w:type="dxa"/>
                  <w:vAlign w:val="center"/>
                </w:tcPr>
                <w:p w14:paraId="7EB3AB9B">
                  <w:pPr>
                    <w:ind w:left="33" w:right="-80" w:hanging="113"/>
                    <w:jc w:val="center"/>
                  </w:pPr>
                  <w:r>
                    <w:t>0.102</w:t>
                  </w:r>
                </w:p>
              </w:tc>
              <w:tc>
                <w:tcPr>
                  <w:tcW w:w="629" w:type="pct"/>
                  <w:vAlign w:val="center"/>
                </w:tcPr>
                <w:p w14:paraId="4DCB4F05">
                  <w:pPr>
                    <w:ind w:left="33" w:right="-80" w:hanging="113"/>
                    <w:jc w:val="center"/>
                  </w:pPr>
                  <w:r>
                    <w:rPr>
                      <w:rFonts w:hint="eastAsia"/>
                    </w:rPr>
                    <w:t>50</w:t>
                  </w:r>
                </w:p>
              </w:tc>
            </w:tr>
            <w:tr w14:paraId="49917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vAlign w:val="center"/>
                </w:tcPr>
                <w:p w14:paraId="14D182E9">
                  <w:pPr>
                    <w:jc w:val="center"/>
                    <w:rPr>
                      <w:kern w:val="0"/>
                      <w:szCs w:val="21"/>
                    </w:rPr>
                  </w:pPr>
                  <w:r>
                    <w:rPr>
                      <w:szCs w:val="21"/>
                    </w:rPr>
                    <w:t>SS</w:t>
                  </w:r>
                </w:p>
              </w:tc>
              <w:tc>
                <w:tcPr>
                  <w:tcW w:w="1106" w:type="dxa"/>
                  <w:vAlign w:val="center"/>
                </w:tcPr>
                <w:p w14:paraId="4497E0AA">
                  <w:pPr>
                    <w:widowControl/>
                    <w:jc w:val="center"/>
                    <w:textAlignment w:val="center"/>
                    <w:rPr>
                      <w:kern w:val="0"/>
                      <w:szCs w:val="21"/>
                      <w:lang w:bidi="ar"/>
                    </w:rPr>
                  </w:pPr>
                  <w:r>
                    <w:rPr>
                      <w:color w:val="000000"/>
                      <w:kern w:val="0"/>
                      <w:szCs w:val="21"/>
                      <w:lang w:bidi="ar"/>
                    </w:rPr>
                    <w:t>300</w:t>
                  </w:r>
                </w:p>
              </w:tc>
              <w:tc>
                <w:tcPr>
                  <w:tcW w:w="1113" w:type="dxa"/>
                  <w:vAlign w:val="center"/>
                </w:tcPr>
                <w:p w14:paraId="1192A032">
                  <w:pPr>
                    <w:widowControl/>
                    <w:jc w:val="center"/>
                    <w:textAlignment w:val="center"/>
                    <w:rPr>
                      <w:kern w:val="0"/>
                      <w:szCs w:val="21"/>
                      <w:lang w:bidi="ar"/>
                    </w:rPr>
                  </w:pPr>
                  <w:r>
                    <w:rPr>
                      <w:color w:val="000000"/>
                      <w:kern w:val="0"/>
                      <w:szCs w:val="21"/>
                      <w:lang w:bidi="ar"/>
                    </w:rPr>
                    <w:t>0.612</w:t>
                  </w:r>
                </w:p>
              </w:tc>
              <w:tc>
                <w:tcPr>
                  <w:tcW w:w="630" w:type="pct"/>
                  <w:vAlign w:val="center"/>
                </w:tcPr>
                <w:p w14:paraId="411847C0">
                  <w:pPr>
                    <w:jc w:val="center"/>
                    <w:rPr>
                      <w:szCs w:val="21"/>
                    </w:rPr>
                  </w:pPr>
                  <w:r>
                    <w:rPr>
                      <w:rFonts w:hint="eastAsia"/>
                      <w:szCs w:val="21"/>
                    </w:rPr>
                    <w:t>400</w:t>
                  </w:r>
                </w:p>
              </w:tc>
              <w:tc>
                <w:tcPr>
                  <w:tcW w:w="621" w:type="pct"/>
                  <w:vAlign w:val="center"/>
                </w:tcPr>
                <w:p w14:paraId="5B856352">
                  <w:pPr>
                    <w:widowControl/>
                    <w:adjustRightInd w:val="0"/>
                    <w:snapToGrid w:val="0"/>
                    <w:jc w:val="center"/>
                  </w:pPr>
                  <w:r>
                    <w:t>SS</w:t>
                  </w:r>
                </w:p>
              </w:tc>
              <w:tc>
                <w:tcPr>
                  <w:tcW w:w="621" w:type="pct"/>
                  <w:vAlign w:val="center"/>
                </w:tcPr>
                <w:p w14:paraId="27402113">
                  <w:pPr>
                    <w:ind w:left="33" w:right="-80" w:hanging="113"/>
                    <w:jc w:val="center"/>
                  </w:pPr>
                  <w:r>
                    <w:rPr>
                      <w:rFonts w:hint="eastAsia"/>
                    </w:rPr>
                    <w:t>10</w:t>
                  </w:r>
                </w:p>
              </w:tc>
              <w:tc>
                <w:tcPr>
                  <w:tcW w:w="1113" w:type="dxa"/>
                  <w:vAlign w:val="center"/>
                </w:tcPr>
                <w:p w14:paraId="62419909">
                  <w:pPr>
                    <w:ind w:left="33" w:right="-80" w:hanging="113"/>
                    <w:jc w:val="center"/>
                  </w:pPr>
                  <w:r>
                    <w:t>0.0204</w:t>
                  </w:r>
                </w:p>
              </w:tc>
              <w:tc>
                <w:tcPr>
                  <w:tcW w:w="629" w:type="pct"/>
                  <w:vAlign w:val="center"/>
                </w:tcPr>
                <w:p w14:paraId="0998E4E2">
                  <w:pPr>
                    <w:ind w:left="33" w:right="-80" w:hanging="113"/>
                    <w:jc w:val="center"/>
                  </w:pPr>
                  <w:r>
                    <w:rPr>
                      <w:rFonts w:hint="eastAsia"/>
                    </w:rPr>
                    <w:t>10</w:t>
                  </w:r>
                </w:p>
              </w:tc>
            </w:tr>
            <w:tr w14:paraId="73E57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vAlign w:val="center"/>
                </w:tcPr>
                <w:p w14:paraId="6D092CDF">
                  <w:pPr>
                    <w:jc w:val="center"/>
                    <w:rPr>
                      <w:kern w:val="0"/>
                      <w:szCs w:val="21"/>
                    </w:rPr>
                  </w:pPr>
                  <w:r>
                    <w:rPr>
                      <w:szCs w:val="21"/>
                    </w:rPr>
                    <w:t>NH</w:t>
                  </w:r>
                  <w:r>
                    <w:rPr>
                      <w:szCs w:val="21"/>
                      <w:vertAlign w:val="subscript"/>
                    </w:rPr>
                    <w:t>3</w:t>
                  </w:r>
                  <w:r>
                    <w:rPr>
                      <w:szCs w:val="21"/>
                    </w:rPr>
                    <w:t>-N</w:t>
                  </w:r>
                </w:p>
              </w:tc>
              <w:tc>
                <w:tcPr>
                  <w:tcW w:w="1106" w:type="dxa"/>
                  <w:vAlign w:val="center"/>
                </w:tcPr>
                <w:p w14:paraId="140B5203">
                  <w:pPr>
                    <w:widowControl/>
                    <w:jc w:val="center"/>
                    <w:textAlignment w:val="center"/>
                    <w:rPr>
                      <w:kern w:val="0"/>
                      <w:szCs w:val="21"/>
                      <w:lang w:bidi="ar"/>
                    </w:rPr>
                  </w:pPr>
                  <w:r>
                    <w:rPr>
                      <w:color w:val="000000"/>
                      <w:kern w:val="0"/>
                      <w:szCs w:val="21"/>
                      <w:lang w:bidi="ar"/>
                    </w:rPr>
                    <w:t>40</w:t>
                  </w:r>
                </w:p>
              </w:tc>
              <w:tc>
                <w:tcPr>
                  <w:tcW w:w="1113" w:type="dxa"/>
                  <w:vAlign w:val="center"/>
                </w:tcPr>
                <w:p w14:paraId="1155FF41">
                  <w:pPr>
                    <w:widowControl/>
                    <w:jc w:val="center"/>
                    <w:textAlignment w:val="center"/>
                    <w:rPr>
                      <w:kern w:val="0"/>
                      <w:szCs w:val="21"/>
                      <w:lang w:bidi="ar"/>
                    </w:rPr>
                  </w:pPr>
                  <w:r>
                    <w:rPr>
                      <w:color w:val="000000"/>
                      <w:kern w:val="0"/>
                      <w:szCs w:val="21"/>
                      <w:lang w:bidi="ar"/>
                    </w:rPr>
                    <w:t>0.0816</w:t>
                  </w:r>
                </w:p>
              </w:tc>
              <w:tc>
                <w:tcPr>
                  <w:tcW w:w="630" w:type="pct"/>
                  <w:vAlign w:val="center"/>
                </w:tcPr>
                <w:p w14:paraId="2B2E2300">
                  <w:pPr>
                    <w:jc w:val="center"/>
                    <w:rPr>
                      <w:szCs w:val="21"/>
                    </w:rPr>
                  </w:pPr>
                  <w:r>
                    <w:rPr>
                      <w:rFonts w:hint="eastAsia"/>
                      <w:szCs w:val="21"/>
                    </w:rPr>
                    <w:t>45</w:t>
                  </w:r>
                </w:p>
              </w:tc>
              <w:tc>
                <w:tcPr>
                  <w:tcW w:w="621" w:type="pct"/>
                  <w:vAlign w:val="center"/>
                </w:tcPr>
                <w:p w14:paraId="24018E4B">
                  <w:pPr>
                    <w:widowControl/>
                    <w:adjustRightInd w:val="0"/>
                    <w:snapToGrid w:val="0"/>
                    <w:jc w:val="center"/>
                  </w:pPr>
                  <w:r>
                    <w:t>NH</w:t>
                  </w:r>
                  <w:r>
                    <w:rPr>
                      <w:vertAlign w:val="subscript"/>
                    </w:rPr>
                    <w:t>3</w:t>
                  </w:r>
                  <w:r>
                    <w:t>-N</w:t>
                  </w:r>
                </w:p>
              </w:tc>
              <w:tc>
                <w:tcPr>
                  <w:tcW w:w="621" w:type="pct"/>
                  <w:vAlign w:val="center"/>
                </w:tcPr>
                <w:p w14:paraId="6ABC9E2C">
                  <w:pPr>
                    <w:ind w:left="33" w:right="-80" w:hanging="113"/>
                    <w:jc w:val="center"/>
                  </w:pPr>
                  <w:r>
                    <w:rPr>
                      <w:rFonts w:hint="eastAsia"/>
                    </w:rPr>
                    <w:t>4</w:t>
                  </w:r>
                </w:p>
              </w:tc>
              <w:tc>
                <w:tcPr>
                  <w:tcW w:w="1113" w:type="dxa"/>
                  <w:vAlign w:val="center"/>
                </w:tcPr>
                <w:p w14:paraId="610CF066">
                  <w:pPr>
                    <w:ind w:left="33" w:right="-80" w:hanging="113"/>
                    <w:jc w:val="center"/>
                  </w:pPr>
                  <w:r>
                    <w:t>0.008</w:t>
                  </w:r>
                  <w:r>
                    <w:rPr>
                      <w:rFonts w:hint="eastAsia"/>
                    </w:rPr>
                    <w:t>2</w:t>
                  </w:r>
                </w:p>
              </w:tc>
              <w:tc>
                <w:tcPr>
                  <w:tcW w:w="629" w:type="pct"/>
                  <w:vAlign w:val="center"/>
                </w:tcPr>
                <w:p w14:paraId="486F60E8">
                  <w:pPr>
                    <w:ind w:left="33" w:right="-80" w:hanging="113"/>
                    <w:jc w:val="center"/>
                  </w:pPr>
                  <w:r>
                    <w:rPr>
                      <w:rFonts w:hint="eastAsia"/>
                    </w:rPr>
                    <w:t>4</w:t>
                  </w:r>
                </w:p>
              </w:tc>
            </w:tr>
            <w:tr w14:paraId="4B75A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vAlign w:val="center"/>
                </w:tcPr>
                <w:p w14:paraId="44BA0D3B">
                  <w:pPr>
                    <w:jc w:val="center"/>
                    <w:rPr>
                      <w:kern w:val="0"/>
                      <w:szCs w:val="21"/>
                    </w:rPr>
                  </w:pPr>
                  <w:r>
                    <w:rPr>
                      <w:szCs w:val="21"/>
                    </w:rPr>
                    <w:t>TP</w:t>
                  </w:r>
                </w:p>
              </w:tc>
              <w:tc>
                <w:tcPr>
                  <w:tcW w:w="1106" w:type="dxa"/>
                  <w:vAlign w:val="center"/>
                </w:tcPr>
                <w:p w14:paraId="309A57FE">
                  <w:pPr>
                    <w:widowControl/>
                    <w:jc w:val="center"/>
                    <w:textAlignment w:val="center"/>
                    <w:rPr>
                      <w:kern w:val="0"/>
                      <w:szCs w:val="21"/>
                      <w:lang w:bidi="ar"/>
                    </w:rPr>
                  </w:pPr>
                  <w:r>
                    <w:rPr>
                      <w:color w:val="000000"/>
                      <w:kern w:val="0"/>
                      <w:szCs w:val="21"/>
                      <w:lang w:bidi="ar"/>
                    </w:rPr>
                    <w:t>5</w:t>
                  </w:r>
                </w:p>
              </w:tc>
              <w:tc>
                <w:tcPr>
                  <w:tcW w:w="1113" w:type="dxa"/>
                  <w:vAlign w:val="center"/>
                </w:tcPr>
                <w:p w14:paraId="2C2E70A9">
                  <w:pPr>
                    <w:widowControl/>
                    <w:jc w:val="center"/>
                    <w:textAlignment w:val="center"/>
                    <w:rPr>
                      <w:kern w:val="0"/>
                      <w:szCs w:val="21"/>
                      <w:lang w:bidi="ar"/>
                    </w:rPr>
                  </w:pPr>
                  <w:r>
                    <w:rPr>
                      <w:color w:val="000000"/>
                      <w:kern w:val="0"/>
                      <w:szCs w:val="21"/>
                      <w:lang w:bidi="ar"/>
                    </w:rPr>
                    <w:t>0.0102</w:t>
                  </w:r>
                </w:p>
              </w:tc>
              <w:tc>
                <w:tcPr>
                  <w:tcW w:w="630" w:type="pct"/>
                  <w:vAlign w:val="center"/>
                </w:tcPr>
                <w:p w14:paraId="0CA4BE84">
                  <w:pPr>
                    <w:jc w:val="center"/>
                    <w:rPr>
                      <w:szCs w:val="21"/>
                    </w:rPr>
                  </w:pPr>
                  <w:r>
                    <w:rPr>
                      <w:rFonts w:hint="eastAsia"/>
                      <w:szCs w:val="21"/>
                    </w:rPr>
                    <w:t>8</w:t>
                  </w:r>
                </w:p>
              </w:tc>
              <w:tc>
                <w:tcPr>
                  <w:tcW w:w="621" w:type="pct"/>
                  <w:vAlign w:val="center"/>
                </w:tcPr>
                <w:p w14:paraId="272D8D7F">
                  <w:pPr>
                    <w:widowControl/>
                    <w:adjustRightInd w:val="0"/>
                    <w:snapToGrid w:val="0"/>
                    <w:jc w:val="center"/>
                  </w:pPr>
                  <w:r>
                    <w:t>TP</w:t>
                  </w:r>
                </w:p>
              </w:tc>
              <w:tc>
                <w:tcPr>
                  <w:tcW w:w="621" w:type="pct"/>
                  <w:vAlign w:val="center"/>
                </w:tcPr>
                <w:p w14:paraId="1999F5D0">
                  <w:pPr>
                    <w:ind w:left="33" w:right="-80" w:hanging="113"/>
                    <w:jc w:val="center"/>
                  </w:pPr>
                  <w:r>
                    <w:rPr>
                      <w:rFonts w:hint="eastAsia"/>
                    </w:rPr>
                    <w:t>0.5</w:t>
                  </w:r>
                </w:p>
              </w:tc>
              <w:tc>
                <w:tcPr>
                  <w:tcW w:w="1113" w:type="dxa"/>
                  <w:vAlign w:val="center"/>
                </w:tcPr>
                <w:p w14:paraId="4277FAA3">
                  <w:pPr>
                    <w:ind w:left="33" w:right="-80" w:hanging="113"/>
                    <w:jc w:val="center"/>
                  </w:pPr>
                  <w:r>
                    <w:t>0.001</w:t>
                  </w:r>
                </w:p>
              </w:tc>
              <w:tc>
                <w:tcPr>
                  <w:tcW w:w="629" w:type="pct"/>
                  <w:vAlign w:val="center"/>
                </w:tcPr>
                <w:p w14:paraId="0FD72366">
                  <w:pPr>
                    <w:ind w:left="33" w:right="-80" w:hanging="113"/>
                    <w:jc w:val="center"/>
                  </w:pPr>
                  <w:r>
                    <w:rPr>
                      <w:rFonts w:hint="eastAsia"/>
                    </w:rPr>
                    <w:t>0.5</w:t>
                  </w:r>
                </w:p>
              </w:tc>
            </w:tr>
            <w:tr w14:paraId="02CC5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1" w:type="pct"/>
                  <w:vAlign w:val="center"/>
                </w:tcPr>
                <w:p w14:paraId="7C9DA3C6">
                  <w:pPr>
                    <w:jc w:val="center"/>
                    <w:rPr>
                      <w:kern w:val="0"/>
                      <w:szCs w:val="21"/>
                    </w:rPr>
                  </w:pPr>
                  <w:r>
                    <w:rPr>
                      <w:szCs w:val="21"/>
                    </w:rPr>
                    <w:t>TN</w:t>
                  </w:r>
                </w:p>
              </w:tc>
              <w:tc>
                <w:tcPr>
                  <w:tcW w:w="1106" w:type="dxa"/>
                  <w:vAlign w:val="center"/>
                </w:tcPr>
                <w:p w14:paraId="46A0E4DB">
                  <w:pPr>
                    <w:widowControl/>
                    <w:jc w:val="center"/>
                    <w:textAlignment w:val="center"/>
                    <w:rPr>
                      <w:kern w:val="0"/>
                      <w:szCs w:val="21"/>
                      <w:lang w:bidi="ar"/>
                    </w:rPr>
                  </w:pPr>
                  <w:r>
                    <w:rPr>
                      <w:color w:val="000000"/>
                      <w:kern w:val="0"/>
                      <w:szCs w:val="21"/>
                      <w:lang w:bidi="ar"/>
                    </w:rPr>
                    <w:t>50</w:t>
                  </w:r>
                </w:p>
              </w:tc>
              <w:tc>
                <w:tcPr>
                  <w:tcW w:w="1113" w:type="dxa"/>
                  <w:vAlign w:val="center"/>
                </w:tcPr>
                <w:p w14:paraId="25787E33">
                  <w:pPr>
                    <w:widowControl/>
                    <w:jc w:val="center"/>
                    <w:textAlignment w:val="center"/>
                    <w:rPr>
                      <w:kern w:val="0"/>
                      <w:szCs w:val="21"/>
                      <w:lang w:bidi="ar"/>
                    </w:rPr>
                  </w:pPr>
                  <w:r>
                    <w:rPr>
                      <w:color w:val="000000"/>
                      <w:kern w:val="0"/>
                      <w:szCs w:val="21"/>
                      <w:lang w:bidi="ar"/>
                    </w:rPr>
                    <w:t>0.102</w:t>
                  </w:r>
                </w:p>
              </w:tc>
              <w:tc>
                <w:tcPr>
                  <w:tcW w:w="630" w:type="pct"/>
                  <w:vAlign w:val="center"/>
                </w:tcPr>
                <w:p w14:paraId="1A8E3FCC">
                  <w:pPr>
                    <w:jc w:val="center"/>
                    <w:rPr>
                      <w:szCs w:val="21"/>
                    </w:rPr>
                  </w:pPr>
                  <w:r>
                    <w:rPr>
                      <w:rFonts w:hint="eastAsia"/>
                      <w:szCs w:val="21"/>
                    </w:rPr>
                    <w:t>70</w:t>
                  </w:r>
                </w:p>
              </w:tc>
              <w:tc>
                <w:tcPr>
                  <w:tcW w:w="621" w:type="pct"/>
                  <w:vAlign w:val="center"/>
                </w:tcPr>
                <w:p w14:paraId="5E3243B5">
                  <w:pPr>
                    <w:widowControl/>
                    <w:adjustRightInd w:val="0"/>
                    <w:snapToGrid w:val="0"/>
                    <w:jc w:val="center"/>
                  </w:pPr>
                  <w:r>
                    <w:t>TN</w:t>
                  </w:r>
                </w:p>
              </w:tc>
              <w:tc>
                <w:tcPr>
                  <w:tcW w:w="621" w:type="pct"/>
                  <w:vAlign w:val="center"/>
                </w:tcPr>
                <w:p w14:paraId="495C6559">
                  <w:pPr>
                    <w:ind w:left="33" w:right="-80" w:hanging="113"/>
                    <w:jc w:val="center"/>
                  </w:pPr>
                  <w:r>
                    <w:rPr>
                      <w:rFonts w:hint="eastAsia"/>
                    </w:rPr>
                    <w:t>12</w:t>
                  </w:r>
                </w:p>
              </w:tc>
              <w:tc>
                <w:tcPr>
                  <w:tcW w:w="1113" w:type="dxa"/>
                  <w:vAlign w:val="center"/>
                </w:tcPr>
                <w:p w14:paraId="78A8E510">
                  <w:pPr>
                    <w:ind w:left="33" w:right="-80" w:hanging="113"/>
                    <w:jc w:val="center"/>
                  </w:pPr>
                  <w:r>
                    <w:t>0.024</w:t>
                  </w:r>
                  <w:r>
                    <w:rPr>
                      <w:rFonts w:hint="eastAsia"/>
                    </w:rPr>
                    <w:t>5</w:t>
                  </w:r>
                </w:p>
              </w:tc>
              <w:tc>
                <w:tcPr>
                  <w:tcW w:w="629" w:type="pct"/>
                  <w:vAlign w:val="center"/>
                </w:tcPr>
                <w:p w14:paraId="02689FEF">
                  <w:pPr>
                    <w:ind w:left="33" w:right="-80" w:hanging="113"/>
                    <w:jc w:val="center"/>
                  </w:pPr>
                  <w:r>
                    <w:rPr>
                      <w:rFonts w:hint="eastAsia"/>
                    </w:rPr>
                    <w:t>12</w:t>
                  </w:r>
                </w:p>
              </w:tc>
            </w:tr>
            <w:bookmarkEnd w:id="1"/>
            <w:bookmarkEnd w:id="2"/>
          </w:tbl>
          <w:p w14:paraId="742E0BBF">
            <w:pPr>
              <w:adjustRightInd w:val="0"/>
              <w:snapToGrid w:val="0"/>
              <w:spacing w:line="480" w:lineRule="exact"/>
              <w:ind w:firstLine="482" w:firstLineChars="200"/>
              <w:rPr>
                <w:b/>
                <w:sz w:val="24"/>
              </w:rPr>
            </w:pPr>
            <w:r>
              <w:rPr>
                <w:b/>
                <w:sz w:val="24"/>
              </w:rPr>
              <w:t>2、地表水环境影响分析</w:t>
            </w:r>
          </w:p>
          <w:p w14:paraId="25858197">
            <w:pPr>
              <w:adjustRightInd w:val="0"/>
              <w:snapToGrid w:val="0"/>
              <w:spacing w:line="480" w:lineRule="exact"/>
              <w:ind w:firstLine="484" w:firstLineChars="202"/>
              <w:rPr>
                <w:sz w:val="24"/>
              </w:rPr>
            </w:pPr>
            <w:r>
              <w:rPr>
                <w:kern w:val="0"/>
                <w:sz w:val="24"/>
              </w:rPr>
              <w:t>全厂废水类别、污染物及污染治理设施情况见下表</w:t>
            </w:r>
            <w:r>
              <w:rPr>
                <w:sz w:val="24"/>
              </w:rPr>
              <w:t>。</w:t>
            </w:r>
          </w:p>
          <w:p w14:paraId="0DC93CB9">
            <w:pPr>
              <w:adjustRightInd w:val="0"/>
              <w:snapToGrid w:val="0"/>
              <w:spacing w:line="480" w:lineRule="exact"/>
              <w:jc w:val="center"/>
              <w:rPr>
                <w:b/>
                <w:sz w:val="24"/>
              </w:rPr>
            </w:pPr>
            <w:r>
              <w:rPr>
                <w:b/>
                <w:sz w:val="24"/>
              </w:rPr>
              <w:t>表4-3  废水类别、污染物及污染治理设施信息表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82"/>
              <w:gridCol w:w="566"/>
              <w:gridCol w:w="785"/>
              <w:gridCol w:w="620"/>
              <w:gridCol w:w="793"/>
              <w:gridCol w:w="836"/>
              <w:gridCol w:w="813"/>
              <w:gridCol w:w="804"/>
              <w:gridCol w:w="752"/>
              <w:gridCol w:w="852"/>
              <w:gridCol w:w="1688"/>
            </w:tblGrid>
            <w:tr w14:paraId="688D41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 w:type="pct"/>
                  <w:vMerge w:val="restart"/>
                  <w:tcMar>
                    <w:top w:w="0" w:type="dxa"/>
                    <w:left w:w="17" w:type="dxa"/>
                    <w:bottom w:w="0" w:type="dxa"/>
                    <w:right w:w="17" w:type="dxa"/>
                  </w:tcMar>
                  <w:vAlign w:val="center"/>
                </w:tcPr>
                <w:p w14:paraId="7C2B47E4">
                  <w:pPr>
                    <w:spacing w:line="240" w:lineRule="atLeast"/>
                    <w:jc w:val="center"/>
                    <w:rPr>
                      <w:b/>
                      <w:bCs/>
                      <w:szCs w:val="21"/>
                    </w:rPr>
                  </w:pPr>
                  <w:r>
                    <w:rPr>
                      <w:b/>
                      <w:bCs/>
                      <w:szCs w:val="21"/>
                    </w:rPr>
                    <w:t>序号</w:t>
                  </w:r>
                </w:p>
              </w:tc>
              <w:tc>
                <w:tcPr>
                  <w:tcW w:w="318" w:type="pct"/>
                  <w:vMerge w:val="restart"/>
                  <w:tcMar>
                    <w:top w:w="0" w:type="dxa"/>
                    <w:left w:w="17" w:type="dxa"/>
                    <w:bottom w:w="0" w:type="dxa"/>
                    <w:right w:w="17" w:type="dxa"/>
                  </w:tcMar>
                  <w:vAlign w:val="center"/>
                </w:tcPr>
                <w:p w14:paraId="2371E8FF">
                  <w:pPr>
                    <w:spacing w:line="240" w:lineRule="atLeast"/>
                    <w:jc w:val="center"/>
                    <w:rPr>
                      <w:b/>
                      <w:bCs/>
                      <w:szCs w:val="21"/>
                    </w:rPr>
                  </w:pPr>
                  <w:r>
                    <w:rPr>
                      <w:b/>
                      <w:bCs/>
                      <w:szCs w:val="21"/>
                    </w:rPr>
                    <w:t>废水</w:t>
                  </w:r>
                </w:p>
                <w:p w14:paraId="64043927">
                  <w:pPr>
                    <w:spacing w:line="240" w:lineRule="atLeast"/>
                    <w:jc w:val="center"/>
                    <w:rPr>
                      <w:b/>
                      <w:bCs/>
                      <w:szCs w:val="21"/>
                    </w:rPr>
                  </w:pPr>
                  <w:r>
                    <w:rPr>
                      <w:b/>
                      <w:bCs/>
                      <w:szCs w:val="21"/>
                    </w:rPr>
                    <w:t>类别</w:t>
                  </w:r>
                </w:p>
              </w:tc>
              <w:tc>
                <w:tcPr>
                  <w:tcW w:w="441" w:type="pct"/>
                  <w:vMerge w:val="restart"/>
                  <w:tcMar>
                    <w:top w:w="0" w:type="dxa"/>
                    <w:left w:w="17" w:type="dxa"/>
                    <w:bottom w:w="0" w:type="dxa"/>
                    <w:right w:w="17" w:type="dxa"/>
                  </w:tcMar>
                  <w:vAlign w:val="center"/>
                </w:tcPr>
                <w:p w14:paraId="1111880E">
                  <w:pPr>
                    <w:spacing w:line="240" w:lineRule="atLeast"/>
                    <w:jc w:val="center"/>
                    <w:rPr>
                      <w:b/>
                      <w:bCs/>
                      <w:szCs w:val="21"/>
                    </w:rPr>
                  </w:pPr>
                  <w:r>
                    <w:rPr>
                      <w:b/>
                      <w:bCs/>
                      <w:szCs w:val="21"/>
                    </w:rPr>
                    <w:t>污染物种类</w:t>
                  </w:r>
                </w:p>
              </w:tc>
              <w:tc>
                <w:tcPr>
                  <w:tcW w:w="348" w:type="pct"/>
                  <w:vMerge w:val="restart"/>
                  <w:tcMar>
                    <w:top w:w="0" w:type="dxa"/>
                    <w:left w:w="17" w:type="dxa"/>
                    <w:bottom w:w="0" w:type="dxa"/>
                    <w:right w:w="17" w:type="dxa"/>
                  </w:tcMar>
                  <w:vAlign w:val="center"/>
                </w:tcPr>
                <w:p w14:paraId="689D305D">
                  <w:pPr>
                    <w:spacing w:line="240" w:lineRule="atLeast"/>
                    <w:jc w:val="center"/>
                    <w:rPr>
                      <w:b/>
                      <w:bCs/>
                      <w:szCs w:val="21"/>
                    </w:rPr>
                  </w:pPr>
                  <w:r>
                    <w:rPr>
                      <w:b/>
                      <w:bCs/>
                      <w:szCs w:val="21"/>
                    </w:rPr>
                    <w:t>排放去向</w:t>
                  </w:r>
                </w:p>
              </w:tc>
              <w:tc>
                <w:tcPr>
                  <w:tcW w:w="446" w:type="pct"/>
                  <w:vMerge w:val="restart"/>
                  <w:tcMar>
                    <w:top w:w="0" w:type="dxa"/>
                    <w:left w:w="17" w:type="dxa"/>
                    <w:bottom w:w="0" w:type="dxa"/>
                    <w:right w:w="17" w:type="dxa"/>
                  </w:tcMar>
                  <w:vAlign w:val="center"/>
                </w:tcPr>
                <w:p w14:paraId="71555139">
                  <w:pPr>
                    <w:spacing w:line="240" w:lineRule="atLeast"/>
                    <w:jc w:val="center"/>
                    <w:rPr>
                      <w:b/>
                      <w:bCs/>
                      <w:szCs w:val="21"/>
                    </w:rPr>
                  </w:pPr>
                  <w:r>
                    <w:rPr>
                      <w:b/>
                      <w:bCs/>
                      <w:szCs w:val="21"/>
                    </w:rPr>
                    <w:t>排放</w:t>
                  </w:r>
                </w:p>
                <w:p w14:paraId="7119F80E">
                  <w:pPr>
                    <w:spacing w:line="240" w:lineRule="atLeast"/>
                    <w:jc w:val="center"/>
                    <w:rPr>
                      <w:b/>
                      <w:bCs/>
                      <w:szCs w:val="21"/>
                    </w:rPr>
                  </w:pPr>
                  <w:r>
                    <w:rPr>
                      <w:b/>
                      <w:bCs/>
                      <w:szCs w:val="21"/>
                    </w:rPr>
                    <w:t>规律</w:t>
                  </w:r>
                </w:p>
              </w:tc>
              <w:tc>
                <w:tcPr>
                  <w:tcW w:w="1379" w:type="pct"/>
                  <w:gridSpan w:val="3"/>
                  <w:tcMar>
                    <w:top w:w="0" w:type="dxa"/>
                    <w:left w:w="17" w:type="dxa"/>
                    <w:bottom w:w="0" w:type="dxa"/>
                    <w:right w:w="17" w:type="dxa"/>
                  </w:tcMar>
                  <w:vAlign w:val="center"/>
                </w:tcPr>
                <w:p w14:paraId="0C4E3723">
                  <w:pPr>
                    <w:spacing w:line="240" w:lineRule="atLeast"/>
                    <w:jc w:val="center"/>
                    <w:rPr>
                      <w:b/>
                      <w:bCs/>
                      <w:szCs w:val="21"/>
                    </w:rPr>
                  </w:pPr>
                  <w:r>
                    <w:rPr>
                      <w:b/>
                      <w:bCs/>
                      <w:szCs w:val="21"/>
                    </w:rPr>
                    <w:t>污染治理设施</w:t>
                  </w:r>
                </w:p>
              </w:tc>
              <w:tc>
                <w:tcPr>
                  <w:tcW w:w="423" w:type="pct"/>
                  <w:vMerge w:val="restart"/>
                  <w:tcMar>
                    <w:top w:w="0" w:type="dxa"/>
                    <w:left w:w="17" w:type="dxa"/>
                    <w:bottom w:w="0" w:type="dxa"/>
                    <w:right w:w="17" w:type="dxa"/>
                  </w:tcMar>
                  <w:vAlign w:val="center"/>
                </w:tcPr>
                <w:p w14:paraId="2FA5EB8B">
                  <w:pPr>
                    <w:spacing w:line="240" w:lineRule="atLeast"/>
                    <w:jc w:val="center"/>
                    <w:rPr>
                      <w:b/>
                      <w:bCs/>
                      <w:szCs w:val="21"/>
                    </w:rPr>
                  </w:pPr>
                  <w:r>
                    <w:rPr>
                      <w:b/>
                      <w:bCs/>
                      <w:szCs w:val="21"/>
                    </w:rPr>
                    <w:t>排放口编号</w:t>
                  </w:r>
                </w:p>
              </w:tc>
              <w:tc>
                <w:tcPr>
                  <w:tcW w:w="479" w:type="pct"/>
                  <w:vMerge w:val="restart"/>
                  <w:tcMar>
                    <w:top w:w="0" w:type="dxa"/>
                    <w:left w:w="17" w:type="dxa"/>
                    <w:bottom w:w="0" w:type="dxa"/>
                    <w:right w:w="17" w:type="dxa"/>
                  </w:tcMar>
                  <w:vAlign w:val="center"/>
                </w:tcPr>
                <w:p w14:paraId="0B4A0552">
                  <w:pPr>
                    <w:spacing w:line="240" w:lineRule="atLeast"/>
                    <w:jc w:val="center"/>
                    <w:rPr>
                      <w:b/>
                      <w:bCs/>
                      <w:szCs w:val="21"/>
                    </w:rPr>
                  </w:pPr>
                  <w:r>
                    <w:rPr>
                      <w:b/>
                      <w:bCs/>
                      <w:szCs w:val="21"/>
                    </w:rPr>
                    <w:t>排放口设施是否符合要求</w:t>
                  </w:r>
                </w:p>
              </w:tc>
              <w:tc>
                <w:tcPr>
                  <w:tcW w:w="948" w:type="pct"/>
                  <w:vMerge w:val="restart"/>
                  <w:tcMar>
                    <w:top w:w="0" w:type="dxa"/>
                    <w:left w:w="17" w:type="dxa"/>
                    <w:bottom w:w="0" w:type="dxa"/>
                    <w:right w:w="17" w:type="dxa"/>
                  </w:tcMar>
                  <w:vAlign w:val="center"/>
                </w:tcPr>
                <w:p w14:paraId="31BADBC1">
                  <w:pPr>
                    <w:spacing w:line="240" w:lineRule="atLeast"/>
                    <w:jc w:val="center"/>
                    <w:rPr>
                      <w:b/>
                      <w:bCs/>
                      <w:szCs w:val="21"/>
                    </w:rPr>
                  </w:pPr>
                  <w:r>
                    <w:rPr>
                      <w:b/>
                      <w:bCs/>
                      <w:szCs w:val="21"/>
                    </w:rPr>
                    <w:t>排放口类型</w:t>
                  </w:r>
                </w:p>
              </w:tc>
            </w:tr>
            <w:tr w14:paraId="0B4518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 w:type="pct"/>
                  <w:vMerge w:val="continue"/>
                  <w:tcMar>
                    <w:top w:w="0" w:type="dxa"/>
                    <w:left w:w="17" w:type="dxa"/>
                    <w:bottom w:w="0" w:type="dxa"/>
                    <w:right w:w="17" w:type="dxa"/>
                  </w:tcMar>
                  <w:vAlign w:val="center"/>
                </w:tcPr>
                <w:p w14:paraId="0E072896">
                  <w:pPr>
                    <w:spacing w:line="240" w:lineRule="atLeast"/>
                    <w:jc w:val="center"/>
                    <w:rPr>
                      <w:b/>
                      <w:bCs/>
                      <w:szCs w:val="21"/>
                    </w:rPr>
                  </w:pPr>
                </w:p>
              </w:tc>
              <w:tc>
                <w:tcPr>
                  <w:tcW w:w="318" w:type="pct"/>
                  <w:vMerge w:val="continue"/>
                  <w:tcMar>
                    <w:top w:w="0" w:type="dxa"/>
                    <w:left w:w="17" w:type="dxa"/>
                    <w:bottom w:w="0" w:type="dxa"/>
                    <w:right w:w="17" w:type="dxa"/>
                  </w:tcMar>
                  <w:vAlign w:val="center"/>
                </w:tcPr>
                <w:p w14:paraId="43ACC76D">
                  <w:pPr>
                    <w:spacing w:line="240" w:lineRule="atLeast"/>
                    <w:jc w:val="center"/>
                    <w:rPr>
                      <w:b/>
                      <w:bCs/>
                      <w:szCs w:val="21"/>
                    </w:rPr>
                  </w:pPr>
                </w:p>
              </w:tc>
              <w:tc>
                <w:tcPr>
                  <w:tcW w:w="441" w:type="pct"/>
                  <w:vMerge w:val="continue"/>
                  <w:tcMar>
                    <w:top w:w="0" w:type="dxa"/>
                    <w:left w:w="17" w:type="dxa"/>
                    <w:bottom w:w="0" w:type="dxa"/>
                    <w:right w:w="17" w:type="dxa"/>
                  </w:tcMar>
                  <w:vAlign w:val="center"/>
                </w:tcPr>
                <w:p w14:paraId="566B7EA2">
                  <w:pPr>
                    <w:spacing w:line="240" w:lineRule="atLeast"/>
                    <w:jc w:val="center"/>
                    <w:rPr>
                      <w:b/>
                      <w:bCs/>
                      <w:szCs w:val="21"/>
                    </w:rPr>
                  </w:pPr>
                </w:p>
              </w:tc>
              <w:tc>
                <w:tcPr>
                  <w:tcW w:w="348" w:type="pct"/>
                  <w:vMerge w:val="continue"/>
                  <w:tcMar>
                    <w:top w:w="0" w:type="dxa"/>
                    <w:left w:w="17" w:type="dxa"/>
                    <w:bottom w:w="0" w:type="dxa"/>
                    <w:right w:w="17" w:type="dxa"/>
                  </w:tcMar>
                  <w:vAlign w:val="center"/>
                </w:tcPr>
                <w:p w14:paraId="74E5E51D">
                  <w:pPr>
                    <w:spacing w:line="240" w:lineRule="atLeast"/>
                    <w:jc w:val="center"/>
                    <w:rPr>
                      <w:b/>
                      <w:bCs/>
                      <w:szCs w:val="21"/>
                    </w:rPr>
                  </w:pPr>
                </w:p>
              </w:tc>
              <w:tc>
                <w:tcPr>
                  <w:tcW w:w="446" w:type="pct"/>
                  <w:vMerge w:val="continue"/>
                  <w:tcMar>
                    <w:top w:w="0" w:type="dxa"/>
                    <w:left w:w="17" w:type="dxa"/>
                    <w:bottom w:w="0" w:type="dxa"/>
                    <w:right w:w="17" w:type="dxa"/>
                  </w:tcMar>
                  <w:vAlign w:val="center"/>
                </w:tcPr>
                <w:p w14:paraId="329388B1">
                  <w:pPr>
                    <w:spacing w:line="240" w:lineRule="atLeast"/>
                    <w:jc w:val="center"/>
                    <w:rPr>
                      <w:b/>
                      <w:bCs/>
                      <w:szCs w:val="21"/>
                    </w:rPr>
                  </w:pPr>
                </w:p>
              </w:tc>
              <w:tc>
                <w:tcPr>
                  <w:tcW w:w="470" w:type="pct"/>
                  <w:tcMar>
                    <w:top w:w="0" w:type="dxa"/>
                    <w:left w:w="17" w:type="dxa"/>
                    <w:bottom w:w="0" w:type="dxa"/>
                    <w:right w:w="17" w:type="dxa"/>
                  </w:tcMar>
                  <w:vAlign w:val="center"/>
                </w:tcPr>
                <w:p w14:paraId="60EFAB37">
                  <w:pPr>
                    <w:spacing w:line="240" w:lineRule="atLeast"/>
                    <w:jc w:val="center"/>
                    <w:rPr>
                      <w:b/>
                      <w:bCs/>
                      <w:szCs w:val="21"/>
                    </w:rPr>
                  </w:pPr>
                  <w:r>
                    <w:rPr>
                      <w:b/>
                      <w:bCs/>
                      <w:szCs w:val="21"/>
                    </w:rPr>
                    <w:t>污染治理设施编号</w:t>
                  </w:r>
                </w:p>
              </w:tc>
              <w:tc>
                <w:tcPr>
                  <w:tcW w:w="457" w:type="pct"/>
                  <w:tcMar>
                    <w:top w:w="0" w:type="dxa"/>
                    <w:left w:w="17" w:type="dxa"/>
                    <w:bottom w:w="0" w:type="dxa"/>
                    <w:right w:w="17" w:type="dxa"/>
                  </w:tcMar>
                  <w:vAlign w:val="center"/>
                </w:tcPr>
                <w:p w14:paraId="658850AB">
                  <w:pPr>
                    <w:spacing w:line="240" w:lineRule="atLeast"/>
                    <w:jc w:val="center"/>
                    <w:rPr>
                      <w:b/>
                      <w:bCs/>
                      <w:szCs w:val="21"/>
                    </w:rPr>
                  </w:pPr>
                  <w:r>
                    <w:rPr>
                      <w:b/>
                      <w:bCs/>
                      <w:szCs w:val="21"/>
                    </w:rPr>
                    <w:t>污染治理设施名称</w:t>
                  </w:r>
                </w:p>
              </w:tc>
              <w:tc>
                <w:tcPr>
                  <w:tcW w:w="451" w:type="pct"/>
                  <w:tcMar>
                    <w:top w:w="0" w:type="dxa"/>
                    <w:left w:w="17" w:type="dxa"/>
                    <w:bottom w:w="0" w:type="dxa"/>
                    <w:right w:w="17" w:type="dxa"/>
                  </w:tcMar>
                  <w:vAlign w:val="center"/>
                </w:tcPr>
                <w:p w14:paraId="398B9B58">
                  <w:pPr>
                    <w:spacing w:line="240" w:lineRule="atLeast"/>
                    <w:jc w:val="center"/>
                    <w:rPr>
                      <w:b/>
                      <w:bCs/>
                      <w:szCs w:val="21"/>
                    </w:rPr>
                  </w:pPr>
                  <w:r>
                    <w:rPr>
                      <w:b/>
                      <w:bCs/>
                      <w:szCs w:val="21"/>
                    </w:rPr>
                    <w:t>污染治理设施工艺</w:t>
                  </w:r>
                </w:p>
              </w:tc>
              <w:tc>
                <w:tcPr>
                  <w:tcW w:w="423" w:type="pct"/>
                  <w:vMerge w:val="continue"/>
                  <w:tcMar>
                    <w:top w:w="0" w:type="dxa"/>
                    <w:left w:w="17" w:type="dxa"/>
                    <w:bottom w:w="0" w:type="dxa"/>
                    <w:right w:w="17" w:type="dxa"/>
                  </w:tcMar>
                  <w:vAlign w:val="center"/>
                </w:tcPr>
                <w:p w14:paraId="3BD35609">
                  <w:pPr>
                    <w:spacing w:line="240" w:lineRule="atLeast"/>
                    <w:jc w:val="center"/>
                    <w:rPr>
                      <w:szCs w:val="21"/>
                    </w:rPr>
                  </w:pPr>
                </w:p>
              </w:tc>
              <w:tc>
                <w:tcPr>
                  <w:tcW w:w="479" w:type="pct"/>
                  <w:vMerge w:val="continue"/>
                  <w:tcMar>
                    <w:top w:w="0" w:type="dxa"/>
                    <w:left w:w="17" w:type="dxa"/>
                    <w:bottom w:w="0" w:type="dxa"/>
                    <w:right w:w="17" w:type="dxa"/>
                  </w:tcMar>
                  <w:vAlign w:val="center"/>
                </w:tcPr>
                <w:p w14:paraId="359873A8">
                  <w:pPr>
                    <w:spacing w:line="240" w:lineRule="atLeast"/>
                    <w:jc w:val="center"/>
                    <w:rPr>
                      <w:szCs w:val="21"/>
                    </w:rPr>
                  </w:pPr>
                </w:p>
              </w:tc>
              <w:tc>
                <w:tcPr>
                  <w:tcW w:w="948" w:type="pct"/>
                  <w:vMerge w:val="continue"/>
                  <w:tcMar>
                    <w:top w:w="0" w:type="dxa"/>
                    <w:left w:w="17" w:type="dxa"/>
                    <w:bottom w:w="0" w:type="dxa"/>
                    <w:right w:w="17" w:type="dxa"/>
                  </w:tcMar>
                  <w:vAlign w:val="center"/>
                </w:tcPr>
                <w:p w14:paraId="3499CC73">
                  <w:pPr>
                    <w:spacing w:line="240" w:lineRule="atLeast"/>
                    <w:jc w:val="center"/>
                    <w:rPr>
                      <w:szCs w:val="21"/>
                    </w:rPr>
                  </w:pPr>
                </w:p>
              </w:tc>
            </w:tr>
            <w:tr w14:paraId="09BC0A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4" w:type="pct"/>
                  <w:tcMar>
                    <w:top w:w="0" w:type="dxa"/>
                    <w:left w:w="17" w:type="dxa"/>
                    <w:bottom w:w="0" w:type="dxa"/>
                    <w:right w:w="17" w:type="dxa"/>
                  </w:tcMar>
                  <w:vAlign w:val="center"/>
                </w:tcPr>
                <w:p w14:paraId="74BBF80A">
                  <w:pPr>
                    <w:spacing w:line="240" w:lineRule="atLeast"/>
                    <w:jc w:val="center"/>
                    <w:rPr>
                      <w:szCs w:val="21"/>
                    </w:rPr>
                  </w:pPr>
                  <w:r>
                    <w:rPr>
                      <w:szCs w:val="21"/>
                    </w:rPr>
                    <w:t>1</w:t>
                  </w:r>
                </w:p>
              </w:tc>
              <w:tc>
                <w:tcPr>
                  <w:tcW w:w="318" w:type="pct"/>
                  <w:tcMar>
                    <w:top w:w="0" w:type="dxa"/>
                    <w:left w:w="17" w:type="dxa"/>
                    <w:bottom w:w="0" w:type="dxa"/>
                    <w:right w:w="17" w:type="dxa"/>
                  </w:tcMar>
                  <w:vAlign w:val="center"/>
                </w:tcPr>
                <w:p w14:paraId="6A27851A">
                  <w:pPr>
                    <w:spacing w:line="240" w:lineRule="atLeast"/>
                    <w:jc w:val="center"/>
                    <w:rPr>
                      <w:rFonts w:hint="default" w:eastAsia="宋体"/>
                      <w:szCs w:val="21"/>
                      <w:lang w:val="en-US" w:eastAsia="zh-CN"/>
                    </w:rPr>
                  </w:pPr>
                  <w:r>
                    <w:rPr>
                      <w:rFonts w:hint="eastAsia"/>
                      <w:szCs w:val="21"/>
                      <w:lang w:val="en-US" w:eastAsia="zh-CN"/>
                    </w:rPr>
                    <w:t>生活污水</w:t>
                  </w:r>
                </w:p>
              </w:tc>
              <w:tc>
                <w:tcPr>
                  <w:tcW w:w="441" w:type="pct"/>
                  <w:tcMar>
                    <w:top w:w="0" w:type="dxa"/>
                    <w:left w:w="17" w:type="dxa"/>
                    <w:bottom w:w="0" w:type="dxa"/>
                    <w:right w:w="17" w:type="dxa"/>
                  </w:tcMar>
                  <w:vAlign w:val="center"/>
                </w:tcPr>
                <w:p w14:paraId="092A1ED3">
                  <w:pPr>
                    <w:spacing w:line="240" w:lineRule="atLeast"/>
                    <w:jc w:val="center"/>
                    <w:rPr>
                      <w:szCs w:val="21"/>
                    </w:rPr>
                  </w:pPr>
                  <w:r>
                    <w:rPr>
                      <w:szCs w:val="21"/>
                    </w:rPr>
                    <w:t>pH、COD、SS、NH</w:t>
                  </w:r>
                  <w:r>
                    <w:rPr>
                      <w:szCs w:val="21"/>
                      <w:vertAlign w:val="subscript"/>
                    </w:rPr>
                    <w:t>3</w:t>
                  </w:r>
                  <w:r>
                    <w:rPr>
                      <w:szCs w:val="21"/>
                    </w:rPr>
                    <w:t>-N、TP、TN</w:t>
                  </w:r>
                </w:p>
              </w:tc>
              <w:tc>
                <w:tcPr>
                  <w:tcW w:w="348" w:type="pct"/>
                  <w:tcMar>
                    <w:top w:w="0" w:type="dxa"/>
                    <w:left w:w="17" w:type="dxa"/>
                    <w:bottom w:w="0" w:type="dxa"/>
                    <w:right w:w="17" w:type="dxa"/>
                  </w:tcMar>
                  <w:vAlign w:val="center"/>
                </w:tcPr>
                <w:p w14:paraId="2FED391A">
                  <w:pPr>
                    <w:spacing w:line="240" w:lineRule="atLeast"/>
                    <w:jc w:val="center"/>
                    <w:rPr>
                      <w:szCs w:val="21"/>
                    </w:rPr>
                  </w:pPr>
                  <w:r>
                    <w:rPr>
                      <w:rFonts w:hint="eastAsia"/>
                      <w:szCs w:val="21"/>
                    </w:rPr>
                    <w:t>金坛区溪城污水处理有限公司</w:t>
                  </w:r>
                </w:p>
              </w:tc>
              <w:tc>
                <w:tcPr>
                  <w:tcW w:w="446" w:type="pct"/>
                  <w:tcMar>
                    <w:top w:w="0" w:type="dxa"/>
                    <w:left w:w="17" w:type="dxa"/>
                    <w:bottom w:w="0" w:type="dxa"/>
                    <w:right w:w="17" w:type="dxa"/>
                  </w:tcMar>
                  <w:vAlign w:val="center"/>
                </w:tcPr>
                <w:p w14:paraId="3AB479FB">
                  <w:pPr>
                    <w:spacing w:line="240" w:lineRule="atLeast"/>
                    <w:jc w:val="center"/>
                    <w:rPr>
                      <w:szCs w:val="21"/>
                    </w:rPr>
                  </w:pPr>
                  <w:r>
                    <w:rPr>
                      <w:szCs w:val="21"/>
                    </w:rPr>
                    <w:t>间断排放、流量不稳定，但有周期性规律</w:t>
                  </w:r>
                </w:p>
              </w:tc>
              <w:tc>
                <w:tcPr>
                  <w:tcW w:w="470" w:type="pct"/>
                  <w:tcMar>
                    <w:top w:w="0" w:type="dxa"/>
                    <w:left w:w="17" w:type="dxa"/>
                    <w:bottom w:w="0" w:type="dxa"/>
                    <w:right w:w="17" w:type="dxa"/>
                  </w:tcMar>
                  <w:vAlign w:val="center"/>
                </w:tcPr>
                <w:p w14:paraId="38B85C5D">
                  <w:pPr>
                    <w:spacing w:line="240" w:lineRule="atLeast"/>
                    <w:jc w:val="center"/>
                    <w:rPr>
                      <w:szCs w:val="21"/>
                    </w:rPr>
                  </w:pPr>
                  <w:r>
                    <w:rPr>
                      <w:snapToGrid w:val="0"/>
                      <w:kern w:val="18"/>
                      <w:szCs w:val="21"/>
                    </w:rPr>
                    <w:t>/</w:t>
                  </w:r>
                </w:p>
              </w:tc>
              <w:tc>
                <w:tcPr>
                  <w:tcW w:w="457" w:type="pct"/>
                  <w:tcMar>
                    <w:top w:w="0" w:type="dxa"/>
                    <w:left w:w="17" w:type="dxa"/>
                    <w:bottom w:w="0" w:type="dxa"/>
                    <w:right w:w="17" w:type="dxa"/>
                  </w:tcMar>
                  <w:vAlign w:val="center"/>
                </w:tcPr>
                <w:p w14:paraId="13BC2EE2">
                  <w:pPr>
                    <w:spacing w:line="240" w:lineRule="atLeast"/>
                    <w:jc w:val="center"/>
                    <w:rPr>
                      <w:szCs w:val="21"/>
                    </w:rPr>
                  </w:pPr>
                  <w:r>
                    <w:rPr>
                      <w:snapToGrid w:val="0"/>
                      <w:kern w:val="18"/>
                      <w:szCs w:val="21"/>
                    </w:rPr>
                    <w:t>/</w:t>
                  </w:r>
                </w:p>
              </w:tc>
              <w:tc>
                <w:tcPr>
                  <w:tcW w:w="451" w:type="pct"/>
                  <w:tcMar>
                    <w:top w:w="0" w:type="dxa"/>
                    <w:left w:w="17" w:type="dxa"/>
                    <w:bottom w:w="0" w:type="dxa"/>
                    <w:right w:w="17" w:type="dxa"/>
                  </w:tcMar>
                  <w:vAlign w:val="center"/>
                </w:tcPr>
                <w:p w14:paraId="355F5870">
                  <w:pPr>
                    <w:spacing w:line="240" w:lineRule="atLeast"/>
                    <w:jc w:val="center"/>
                    <w:rPr>
                      <w:szCs w:val="21"/>
                    </w:rPr>
                  </w:pPr>
                  <w:r>
                    <w:rPr>
                      <w:snapToGrid w:val="0"/>
                      <w:kern w:val="18"/>
                      <w:szCs w:val="21"/>
                    </w:rPr>
                    <w:t>/</w:t>
                  </w:r>
                </w:p>
              </w:tc>
              <w:tc>
                <w:tcPr>
                  <w:tcW w:w="423" w:type="pct"/>
                  <w:tcMar>
                    <w:top w:w="0" w:type="dxa"/>
                    <w:left w:w="17" w:type="dxa"/>
                    <w:bottom w:w="0" w:type="dxa"/>
                    <w:right w:w="17" w:type="dxa"/>
                  </w:tcMar>
                  <w:vAlign w:val="center"/>
                </w:tcPr>
                <w:p w14:paraId="25D08D57">
                  <w:pPr>
                    <w:spacing w:line="240" w:lineRule="atLeast"/>
                    <w:jc w:val="center"/>
                    <w:rPr>
                      <w:szCs w:val="21"/>
                    </w:rPr>
                  </w:pPr>
                  <w:r>
                    <w:rPr>
                      <w:szCs w:val="21"/>
                    </w:rPr>
                    <w:t>WS001</w:t>
                  </w:r>
                </w:p>
              </w:tc>
              <w:tc>
                <w:tcPr>
                  <w:tcW w:w="479" w:type="pct"/>
                  <w:tcMar>
                    <w:top w:w="0" w:type="dxa"/>
                    <w:left w:w="17" w:type="dxa"/>
                    <w:bottom w:w="0" w:type="dxa"/>
                    <w:right w:w="17" w:type="dxa"/>
                  </w:tcMar>
                  <w:vAlign w:val="center"/>
                </w:tcPr>
                <w:p w14:paraId="4CCB157A">
                  <w:pPr>
                    <w:spacing w:line="240" w:lineRule="atLeast"/>
                    <w:jc w:val="center"/>
                    <w:rPr>
                      <w:szCs w:val="21"/>
                    </w:rPr>
                  </w:pPr>
                  <w:r>
                    <w:rPr>
                      <w:szCs w:val="21"/>
                    </w:rPr>
                    <w:t>是</w:t>
                  </w:r>
                </w:p>
              </w:tc>
              <w:tc>
                <w:tcPr>
                  <w:tcW w:w="948" w:type="pct"/>
                  <w:tcMar>
                    <w:top w:w="0" w:type="dxa"/>
                    <w:left w:w="17" w:type="dxa"/>
                    <w:bottom w:w="0" w:type="dxa"/>
                    <w:right w:w="17" w:type="dxa"/>
                  </w:tcMar>
                  <w:vAlign w:val="center"/>
                </w:tcPr>
                <w:p w14:paraId="2603BF1D">
                  <w:pPr>
                    <w:spacing w:line="240" w:lineRule="atLeast"/>
                    <w:rPr>
                      <w:szCs w:val="21"/>
                    </w:rPr>
                  </w:pPr>
                  <w:r>
                    <w:rPr>
                      <w:szCs w:val="21"/>
                    </w:rPr>
                    <w:t>☑企业总排</w:t>
                  </w:r>
                </w:p>
                <w:p w14:paraId="78C7948C">
                  <w:pPr>
                    <w:spacing w:line="240" w:lineRule="atLeast"/>
                    <w:rPr>
                      <w:szCs w:val="21"/>
                    </w:rPr>
                  </w:pPr>
                  <w:r>
                    <w:rPr>
                      <w:rFonts w:hint="eastAsia"/>
                      <w:szCs w:val="21"/>
                    </w:rPr>
                    <w:t>□</w:t>
                  </w:r>
                  <w:r>
                    <w:rPr>
                      <w:szCs w:val="21"/>
                    </w:rPr>
                    <w:t>雨水排放</w:t>
                  </w:r>
                </w:p>
                <w:p w14:paraId="1B9AB6F9">
                  <w:pPr>
                    <w:spacing w:line="240" w:lineRule="atLeast"/>
                    <w:rPr>
                      <w:szCs w:val="21"/>
                    </w:rPr>
                  </w:pPr>
                  <w:r>
                    <w:rPr>
                      <w:rFonts w:hint="eastAsia"/>
                      <w:szCs w:val="21"/>
                    </w:rPr>
                    <w:t>□</w:t>
                  </w:r>
                  <w:r>
                    <w:rPr>
                      <w:szCs w:val="21"/>
                    </w:rPr>
                    <w:t>清净下水排放</w:t>
                  </w:r>
                </w:p>
                <w:p w14:paraId="196A2887">
                  <w:pPr>
                    <w:spacing w:line="240" w:lineRule="atLeast"/>
                    <w:rPr>
                      <w:szCs w:val="21"/>
                    </w:rPr>
                  </w:pPr>
                  <w:r>
                    <w:rPr>
                      <w:rFonts w:hint="eastAsia"/>
                      <w:szCs w:val="21"/>
                    </w:rPr>
                    <w:t>□</w:t>
                  </w:r>
                  <w:r>
                    <w:rPr>
                      <w:szCs w:val="21"/>
                    </w:rPr>
                    <w:t>温排水排放</w:t>
                  </w:r>
                </w:p>
                <w:p w14:paraId="18A1941E">
                  <w:pPr>
                    <w:spacing w:line="240" w:lineRule="atLeast"/>
                    <w:rPr>
                      <w:szCs w:val="21"/>
                    </w:rPr>
                  </w:pPr>
                  <w:r>
                    <w:rPr>
                      <w:rFonts w:hint="eastAsia"/>
                      <w:szCs w:val="21"/>
                    </w:rPr>
                    <w:t>□</w:t>
                  </w:r>
                  <w:r>
                    <w:rPr>
                      <w:szCs w:val="21"/>
                    </w:rPr>
                    <w:t>车间或车间处理设施排放</w:t>
                  </w:r>
                </w:p>
              </w:tc>
            </w:tr>
          </w:tbl>
          <w:p w14:paraId="6E4C6E72">
            <w:pPr>
              <w:adjustRightInd w:val="0"/>
              <w:snapToGrid w:val="0"/>
              <w:spacing w:line="480" w:lineRule="exact"/>
              <w:ind w:firstLine="484" w:firstLineChars="202"/>
              <w:rPr>
                <w:rFonts w:hint="default" w:ascii="Times New Roman" w:hAnsi="Times New Roman" w:eastAsia="宋体" w:cs="Times New Roman"/>
                <w:kern w:val="0"/>
                <w:sz w:val="24"/>
              </w:rPr>
            </w:pPr>
            <w:r>
              <w:rPr>
                <w:rFonts w:hint="default" w:ascii="Times New Roman" w:hAnsi="Times New Roman" w:eastAsia="宋体" w:cs="Times New Roman"/>
                <w:kern w:val="0"/>
                <w:sz w:val="24"/>
              </w:rPr>
              <w:t>生活污水排放口基本信息见下表。</w:t>
            </w:r>
          </w:p>
          <w:p w14:paraId="784B344A">
            <w:pPr>
              <w:adjustRightInd w:val="0"/>
              <w:snapToGrid w:val="0"/>
              <w:spacing w:line="480" w:lineRule="exact"/>
              <w:jc w:val="center"/>
              <w:rPr>
                <w:b/>
                <w:sz w:val="24"/>
              </w:rPr>
            </w:pPr>
            <w:r>
              <w:rPr>
                <w:b/>
                <w:sz w:val="24"/>
              </w:rPr>
              <w:t>表4-4  废水间接排放口基本情况表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0"/>
              <w:gridCol w:w="724"/>
              <w:gridCol w:w="1188"/>
              <w:gridCol w:w="1034"/>
              <w:gridCol w:w="822"/>
              <w:gridCol w:w="628"/>
              <w:gridCol w:w="983"/>
              <w:gridCol w:w="579"/>
              <w:gridCol w:w="611"/>
              <w:gridCol w:w="903"/>
              <w:gridCol w:w="1034"/>
            </w:tblGrid>
            <w:tr w14:paraId="2760F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Merge w:val="restart"/>
                  <w:noWrap/>
                  <w:tcMar>
                    <w:left w:w="0" w:type="dxa"/>
                    <w:right w:w="0" w:type="dxa"/>
                  </w:tcMar>
                  <w:vAlign w:val="center"/>
                </w:tcPr>
                <w:p w14:paraId="7821E308">
                  <w:pPr>
                    <w:spacing w:line="240" w:lineRule="atLeast"/>
                    <w:jc w:val="center"/>
                    <w:rPr>
                      <w:b/>
                      <w:bCs/>
                      <w:szCs w:val="21"/>
                    </w:rPr>
                  </w:pPr>
                  <w:r>
                    <w:rPr>
                      <w:b/>
                      <w:bCs/>
                      <w:szCs w:val="21"/>
                    </w:rPr>
                    <w:t>序号</w:t>
                  </w:r>
                </w:p>
              </w:tc>
              <w:tc>
                <w:tcPr>
                  <w:tcW w:w="407" w:type="pct"/>
                  <w:vMerge w:val="restart"/>
                  <w:noWrap/>
                  <w:tcMar>
                    <w:left w:w="0" w:type="dxa"/>
                    <w:right w:w="0" w:type="dxa"/>
                  </w:tcMar>
                  <w:vAlign w:val="center"/>
                </w:tcPr>
                <w:p w14:paraId="470F9654">
                  <w:pPr>
                    <w:spacing w:line="240" w:lineRule="atLeast"/>
                    <w:jc w:val="center"/>
                    <w:rPr>
                      <w:b/>
                      <w:bCs/>
                      <w:szCs w:val="21"/>
                    </w:rPr>
                  </w:pPr>
                  <w:r>
                    <w:rPr>
                      <w:b/>
                      <w:bCs/>
                      <w:szCs w:val="21"/>
                    </w:rPr>
                    <w:t>排放口编号</w:t>
                  </w:r>
                </w:p>
              </w:tc>
              <w:tc>
                <w:tcPr>
                  <w:tcW w:w="1249" w:type="pct"/>
                  <w:gridSpan w:val="2"/>
                  <w:noWrap/>
                  <w:tcMar>
                    <w:left w:w="0" w:type="dxa"/>
                    <w:right w:w="0" w:type="dxa"/>
                  </w:tcMar>
                  <w:vAlign w:val="center"/>
                </w:tcPr>
                <w:p w14:paraId="3C06E810">
                  <w:pPr>
                    <w:spacing w:line="240" w:lineRule="atLeast"/>
                    <w:jc w:val="center"/>
                    <w:rPr>
                      <w:b/>
                      <w:bCs/>
                      <w:szCs w:val="21"/>
                    </w:rPr>
                  </w:pPr>
                  <w:r>
                    <w:rPr>
                      <w:b/>
                      <w:bCs/>
                      <w:szCs w:val="21"/>
                    </w:rPr>
                    <w:t>排放口地理坐标</w:t>
                  </w:r>
                </w:p>
              </w:tc>
              <w:tc>
                <w:tcPr>
                  <w:tcW w:w="462" w:type="pct"/>
                  <w:vMerge w:val="restart"/>
                  <w:noWrap/>
                  <w:tcMar>
                    <w:left w:w="0" w:type="dxa"/>
                    <w:right w:w="0" w:type="dxa"/>
                  </w:tcMar>
                  <w:vAlign w:val="center"/>
                </w:tcPr>
                <w:p w14:paraId="70017597">
                  <w:pPr>
                    <w:spacing w:line="240" w:lineRule="atLeast"/>
                    <w:jc w:val="center"/>
                    <w:rPr>
                      <w:b/>
                      <w:bCs/>
                      <w:szCs w:val="21"/>
                    </w:rPr>
                  </w:pPr>
                  <w:r>
                    <w:rPr>
                      <w:b/>
                      <w:bCs/>
                      <w:szCs w:val="21"/>
                    </w:rPr>
                    <w:t>废水排放量（万t/a）</w:t>
                  </w:r>
                </w:p>
              </w:tc>
              <w:tc>
                <w:tcPr>
                  <w:tcW w:w="353" w:type="pct"/>
                  <w:vMerge w:val="restart"/>
                  <w:noWrap/>
                  <w:tcMar>
                    <w:left w:w="0" w:type="dxa"/>
                    <w:right w:w="0" w:type="dxa"/>
                  </w:tcMar>
                  <w:vAlign w:val="center"/>
                </w:tcPr>
                <w:p w14:paraId="03092283">
                  <w:pPr>
                    <w:spacing w:line="240" w:lineRule="atLeast"/>
                    <w:jc w:val="center"/>
                    <w:rPr>
                      <w:b/>
                      <w:bCs/>
                      <w:szCs w:val="21"/>
                    </w:rPr>
                  </w:pPr>
                  <w:r>
                    <w:rPr>
                      <w:b/>
                      <w:bCs/>
                      <w:szCs w:val="21"/>
                    </w:rPr>
                    <w:t>排放去向</w:t>
                  </w:r>
                </w:p>
              </w:tc>
              <w:tc>
                <w:tcPr>
                  <w:tcW w:w="553" w:type="pct"/>
                  <w:vMerge w:val="restart"/>
                  <w:noWrap/>
                  <w:tcMar>
                    <w:left w:w="0" w:type="dxa"/>
                    <w:right w:w="0" w:type="dxa"/>
                  </w:tcMar>
                  <w:vAlign w:val="center"/>
                </w:tcPr>
                <w:p w14:paraId="107DAA6C">
                  <w:pPr>
                    <w:spacing w:line="240" w:lineRule="atLeast"/>
                    <w:jc w:val="center"/>
                    <w:rPr>
                      <w:b/>
                      <w:bCs/>
                      <w:szCs w:val="21"/>
                    </w:rPr>
                  </w:pPr>
                  <w:r>
                    <w:rPr>
                      <w:b/>
                      <w:bCs/>
                      <w:szCs w:val="21"/>
                    </w:rPr>
                    <w:t>排放规律</w:t>
                  </w:r>
                </w:p>
              </w:tc>
              <w:tc>
                <w:tcPr>
                  <w:tcW w:w="326" w:type="pct"/>
                  <w:vMerge w:val="restart"/>
                  <w:noWrap/>
                  <w:tcMar>
                    <w:left w:w="0" w:type="dxa"/>
                    <w:right w:w="0" w:type="dxa"/>
                  </w:tcMar>
                  <w:vAlign w:val="center"/>
                </w:tcPr>
                <w:p w14:paraId="3FFFB8DE">
                  <w:pPr>
                    <w:spacing w:line="240" w:lineRule="atLeast"/>
                    <w:jc w:val="center"/>
                    <w:rPr>
                      <w:b/>
                      <w:bCs/>
                      <w:szCs w:val="21"/>
                    </w:rPr>
                  </w:pPr>
                  <w:r>
                    <w:rPr>
                      <w:b/>
                      <w:bCs/>
                      <w:szCs w:val="21"/>
                    </w:rPr>
                    <w:t>间歇排放时段</w:t>
                  </w:r>
                </w:p>
              </w:tc>
              <w:tc>
                <w:tcPr>
                  <w:tcW w:w="1434" w:type="pct"/>
                  <w:gridSpan w:val="3"/>
                  <w:noWrap/>
                  <w:tcMar>
                    <w:left w:w="0" w:type="dxa"/>
                    <w:right w:w="0" w:type="dxa"/>
                  </w:tcMar>
                  <w:vAlign w:val="center"/>
                </w:tcPr>
                <w:p w14:paraId="50640001">
                  <w:pPr>
                    <w:spacing w:line="240" w:lineRule="atLeast"/>
                    <w:jc w:val="center"/>
                    <w:rPr>
                      <w:b/>
                      <w:bCs/>
                      <w:szCs w:val="21"/>
                    </w:rPr>
                  </w:pPr>
                  <w:r>
                    <w:rPr>
                      <w:b/>
                      <w:bCs/>
                      <w:szCs w:val="21"/>
                    </w:rPr>
                    <w:t>受纳污水处理厂信息</w:t>
                  </w:r>
                </w:p>
              </w:tc>
            </w:tr>
            <w:tr w14:paraId="70B68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Merge w:val="continue"/>
                  <w:noWrap/>
                  <w:tcMar>
                    <w:left w:w="0" w:type="dxa"/>
                    <w:right w:w="0" w:type="dxa"/>
                  </w:tcMar>
                  <w:vAlign w:val="center"/>
                </w:tcPr>
                <w:p w14:paraId="4E7CE622">
                  <w:pPr>
                    <w:spacing w:line="240" w:lineRule="atLeast"/>
                    <w:jc w:val="center"/>
                    <w:rPr>
                      <w:b/>
                      <w:bCs/>
                      <w:szCs w:val="21"/>
                    </w:rPr>
                  </w:pPr>
                </w:p>
              </w:tc>
              <w:tc>
                <w:tcPr>
                  <w:tcW w:w="407" w:type="pct"/>
                  <w:vMerge w:val="continue"/>
                  <w:noWrap/>
                  <w:tcMar>
                    <w:left w:w="0" w:type="dxa"/>
                    <w:right w:w="0" w:type="dxa"/>
                  </w:tcMar>
                  <w:vAlign w:val="center"/>
                </w:tcPr>
                <w:p w14:paraId="28957DCB">
                  <w:pPr>
                    <w:spacing w:line="240" w:lineRule="atLeast"/>
                    <w:jc w:val="center"/>
                    <w:rPr>
                      <w:b/>
                      <w:bCs/>
                      <w:szCs w:val="21"/>
                    </w:rPr>
                  </w:pPr>
                </w:p>
              </w:tc>
              <w:tc>
                <w:tcPr>
                  <w:tcW w:w="668" w:type="pct"/>
                  <w:noWrap/>
                  <w:tcMar>
                    <w:left w:w="0" w:type="dxa"/>
                    <w:right w:w="0" w:type="dxa"/>
                  </w:tcMar>
                  <w:vAlign w:val="center"/>
                </w:tcPr>
                <w:p w14:paraId="0A07AD9D">
                  <w:pPr>
                    <w:spacing w:line="240" w:lineRule="atLeast"/>
                    <w:jc w:val="center"/>
                    <w:rPr>
                      <w:b/>
                      <w:bCs/>
                      <w:szCs w:val="21"/>
                    </w:rPr>
                  </w:pPr>
                  <w:r>
                    <w:rPr>
                      <w:b/>
                      <w:bCs/>
                      <w:szCs w:val="21"/>
                    </w:rPr>
                    <w:t>经度</w:t>
                  </w:r>
                </w:p>
              </w:tc>
              <w:tc>
                <w:tcPr>
                  <w:tcW w:w="580" w:type="pct"/>
                  <w:noWrap/>
                  <w:tcMar>
                    <w:left w:w="0" w:type="dxa"/>
                    <w:right w:w="0" w:type="dxa"/>
                  </w:tcMar>
                  <w:vAlign w:val="center"/>
                </w:tcPr>
                <w:p w14:paraId="639C23D8">
                  <w:pPr>
                    <w:spacing w:line="240" w:lineRule="atLeast"/>
                    <w:jc w:val="center"/>
                    <w:rPr>
                      <w:b/>
                      <w:bCs/>
                      <w:szCs w:val="21"/>
                    </w:rPr>
                  </w:pPr>
                  <w:r>
                    <w:rPr>
                      <w:b/>
                      <w:bCs/>
                      <w:szCs w:val="21"/>
                    </w:rPr>
                    <w:t>纬度</w:t>
                  </w:r>
                </w:p>
              </w:tc>
              <w:tc>
                <w:tcPr>
                  <w:tcW w:w="462" w:type="pct"/>
                  <w:vMerge w:val="continue"/>
                  <w:noWrap/>
                  <w:tcMar>
                    <w:left w:w="0" w:type="dxa"/>
                    <w:right w:w="0" w:type="dxa"/>
                  </w:tcMar>
                  <w:vAlign w:val="center"/>
                </w:tcPr>
                <w:p w14:paraId="7817FE11">
                  <w:pPr>
                    <w:spacing w:line="240" w:lineRule="atLeast"/>
                    <w:jc w:val="center"/>
                    <w:rPr>
                      <w:b/>
                      <w:bCs/>
                      <w:szCs w:val="21"/>
                    </w:rPr>
                  </w:pPr>
                </w:p>
              </w:tc>
              <w:tc>
                <w:tcPr>
                  <w:tcW w:w="353" w:type="pct"/>
                  <w:vMerge w:val="continue"/>
                  <w:noWrap/>
                  <w:tcMar>
                    <w:left w:w="0" w:type="dxa"/>
                    <w:right w:w="0" w:type="dxa"/>
                  </w:tcMar>
                  <w:vAlign w:val="center"/>
                </w:tcPr>
                <w:p w14:paraId="4B7AC1E5">
                  <w:pPr>
                    <w:spacing w:line="240" w:lineRule="atLeast"/>
                    <w:jc w:val="center"/>
                    <w:rPr>
                      <w:b/>
                      <w:bCs/>
                      <w:szCs w:val="21"/>
                    </w:rPr>
                  </w:pPr>
                </w:p>
              </w:tc>
              <w:tc>
                <w:tcPr>
                  <w:tcW w:w="553" w:type="pct"/>
                  <w:vMerge w:val="continue"/>
                  <w:noWrap/>
                  <w:tcMar>
                    <w:left w:w="0" w:type="dxa"/>
                    <w:right w:w="0" w:type="dxa"/>
                  </w:tcMar>
                  <w:vAlign w:val="center"/>
                </w:tcPr>
                <w:p w14:paraId="3F6D4170">
                  <w:pPr>
                    <w:spacing w:line="240" w:lineRule="atLeast"/>
                    <w:jc w:val="center"/>
                    <w:rPr>
                      <w:b/>
                      <w:bCs/>
                      <w:szCs w:val="21"/>
                    </w:rPr>
                  </w:pPr>
                </w:p>
              </w:tc>
              <w:tc>
                <w:tcPr>
                  <w:tcW w:w="326" w:type="pct"/>
                  <w:vMerge w:val="continue"/>
                  <w:noWrap/>
                  <w:tcMar>
                    <w:left w:w="0" w:type="dxa"/>
                    <w:right w:w="0" w:type="dxa"/>
                  </w:tcMar>
                  <w:vAlign w:val="center"/>
                </w:tcPr>
                <w:p w14:paraId="5D7437F5">
                  <w:pPr>
                    <w:spacing w:line="240" w:lineRule="atLeast"/>
                    <w:jc w:val="center"/>
                    <w:rPr>
                      <w:b/>
                      <w:bCs/>
                      <w:szCs w:val="21"/>
                    </w:rPr>
                  </w:pPr>
                </w:p>
              </w:tc>
              <w:tc>
                <w:tcPr>
                  <w:tcW w:w="344" w:type="pct"/>
                  <w:noWrap/>
                  <w:tcMar>
                    <w:left w:w="0" w:type="dxa"/>
                    <w:right w:w="0" w:type="dxa"/>
                  </w:tcMar>
                  <w:vAlign w:val="center"/>
                </w:tcPr>
                <w:p w14:paraId="4E939CC7">
                  <w:pPr>
                    <w:spacing w:line="240" w:lineRule="atLeast"/>
                    <w:jc w:val="center"/>
                    <w:rPr>
                      <w:b/>
                      <w:bCs/>
                      <w:szCs w:val="21"/>
                    </w:rPr>
                  </w:pPr>
                  <w:r>
                    <w:rPr>
                      <w:b/>
                      <w:bCs/>
                      <w:szCs w:val="21"/>
                    </w:rPr>
                    <w:t>名称</w:t>
                  </w:r>
                </w:p>
              </w:tc>
              <w:tc>
                <w:tcPr>
                  <w:tcW w:w="508" w:type="pct"/>
                  <w:noWrap/>
                  <w:tcMar>
                    <w:left w:w="0" w:type="dxa"/>
                    <w:right w:w="0" w:type="dxa"/>
                  </w:tcMar>
                  <w:vAlign w:val="center"/>
                </w:tcPr>
                <w:p w14:paraId="0FF251EB">
                  <w:pPr>
                    <w:spacing w:line="240" w:lineRule="atLeast"/>
                    <w:jc w:val="center"/>
                    <w:rPr>
                      <w:b/>
                      <w:bCs/>
                      <w:szCs w:val="21"/>
                    </w:rPr>
                  </w:pPr>
                  <w:r>
                    <w:rPr>
                      <w:b/>
                      <w:bCs/>
                      <w:szCs w:val="21"/>
                    </w:rPr>
                    <w:t>污染物种类</w:t>
                  </w:r>
                </w:p>
              </w:tc>
              <w:tc>
                <w:tcPr>
                  <w:tcW w:w="581" w:type="pct"/>
                  <w:noWrap/>
                  <w:tcMar>
                    <w:left w:w="0" w:type="dxa"/>
                    <w:right w:w="0" w:type="dxa"/>
                  </w:tcMar>
                  <w:vAlign w:val="center"/>
                </w:tcPr>
                <w:p w14:paraId="5E3D4CC2">
                  <w:pPr>
                    <w:spacing w:line="240" w:lineRule="atLeast"/>
                    <w:jc w:val="center"/>
                    <w:rPr>
                      <w:b/>
                      <w:bCs/>
                      <w:szCs w:val="21"/>
                    </w:rPr>
                  </w:pPr>
                  <w:r>
                    <w:rPr>
                      <w:b/>
                      <w:bCs/>
                      <w:szCs w:val="21"/>
                    </w:rPr>
                    <w:t>国家或地方污染物排放标准浓度限值（mg/L）</w:t>
                  </w:r>
                </w:p>
              </w:tc>
            </w:tr>
            <w:tr w14:paraId="36198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noWrap/>
                  <w:tcMar>
                    <w:left w:w="0" w:type="dxa"/>
                    <w:right w:w="0" w:type="dxa"/>
                  </w:tcMar>
                  <w:vAlign w:val="center"/>
                </w:tcPr>
                <w:p w14:paraId="250B8370">
                  <w:pPr>
                    <w:spacing w:line="240" w:lineRule="atLeast"/>
                    <w:jc w:val="center"/>
                    <w:rPr>
                      <w:szCs w:val="21"/>
                    </w:rPr>
                  </w:pPr>
                  <w:r>
                    <w:rPr>
                      <w:szCs w:val="21"/>
                    </w:rPr>
                    <w:t>1</w:t>
                  </w:r>
                </w:p>
              </w:tc>
              <w:tc>
                <w:tcPr>
                  <w:tcW w:w="407" w:type="pct"/>
                  <w:vMerge w:val="restart"/>
                  <w:noWrap/>
                  <w:tcMar>
                    <w:left w:w="0" w:type="dxa"/>
                    <w:right w:w="0" w:type="dxa"/>
                  </w:tcMar>
                  <w:vAlign w:val="center"/>
                </w:tcPr>
                <w:p w14:paraId="45BE1CE7">
                  <w:pPr>
                    <w:spacing w:line="240" w:lineRule="atLeast"/>
                    <w:jc w:val="center"/>
                    <w:rPr>
                      <w:szCs w:val="21"/>
                    </w:rPr>
                  </w:pPr>
                  <w:r>
                    <w:rPr>
                      <w:szCs w:val="21"/>
                    </w:rPr>
                    <w:t>WS001</w:t>
                  </w:r>
                </w:p>
              </w:tc>
              <w:tc>
                <w:tcPr>
                  <w:tcW w:w="668" w:type="pct"/>
                  <w:vMerge w:val="restart"/>
                  <w:noWrap/>
                  <w:tcMar>
                    <w:left w:w="0" w:type="dxa"/>
                    <w:right w:w="0" w:type="dxa"/>
                  </w:tcMar>
                  <w:vAlign w:val="center"/>
                </w:tcPr>
                <w:p w14:paraId="2967B31E">
                  <w:pPr>
                    <w:spacing w:line="240" w:lineRule="atLeast"/>
                    <w:jc w:val="center"/>
                    <w:rPr>
                      <w:szCs w:val="21"/>
                    </w:rPr>
                  </w:pPr>
                  <w:r>
                    <w:rPr>
                      <w:rFonts w:hint="eastAsia"/>
                    </w:rPr>
                    <w:t>119.432680</w:t>
                  </w:r>
                </w:p>
              </w:tc>
              <w:tc>
                <w:tcPr>
                  <w:tcW w:w="580" w:type="pct"/>
                  <w:vMerge w:val="restart"/>
                  <w:noWrap/>
                  <w:tcMar>
                    <w:left w:w="0" w:type="dxa"/>
                    <w:right w:w="0" w:type="dxa"/>
                  </w:tcMar>
                  <w:vAlign w:val="center"/>
                </w:tcPr>
                <w:p w14:paraId="0A4F60A4">
                  <w:pPr>
                    <w:spacing w:line="240" w:lineRule="atLeast"/>
                    <w:jc w:val="center"/>
                    <w:rPr>
                      <w:szCs w:val="21"/>
                    </w:rPr>
                  </w:pPr>
                  <w:r>
                    <w:rPr>
                      <w:rFonts w:hint="eastAsia"/>
                    </w:rPr>
                    <w:t>31.738776</w:t>
                  </w:r>
                </w:p>
              </w:tc>
              <w:tc>
                <w:tcPr>
                  <w:tcW w:w="462" w:type="pct"/>
                  <w:vMerge w:val="restart"/>
                  <w:noWrap/>
                  <w:tcMar>
                    <w:left w:w="0" w:type="dxa"/>
                    <w:right w:w="0" w:type="dxa"/>
                  </w:tcMar>
                  <w:vAlign w:val="center"/>
                </w:tcPr>
                <w:p w14:paraId="223B25C8">
                  <w:pPr>
                    <w:widowControl/>
                    <w:jc w:val="center"/>
                    <w:rPr>
                      <w:kern w:val="0"/>
                      <w:szCs w:val="21"/>
                      <w:vertAlign w:val="subscript"/>
                    </w:rPr>
                  </w:pPr>
                  <w:r>
                    <w:rPr>
                      <w:kern w:val="0"/>
                      <w:szCs w:val="21"/>
                    </w:rPr>
                    <w:t>0.</w:t>
                  </w:r>
                  <w:r>
                    <w:rPr>
                      <w:rFonts w:hint="eastAsia"/>
                      <w:kern w:val="0"/>
                      <w:szCs w:val="21"/>
                    </w:rPr>
                    <w:t>204</w:t>
                  </w:r>
                </w:p>
              </w:tc>
              <w:tc>
                <w:tcPr>
                  <w:tcW w:w="353" w:type="pct"/>
                  <w:vMerge w:val="restart"/>
                  <w:noWrap/>
                  <w:tcMar>
                    <w:left w:w="0" w:type="dxa"/>
                    <w:right w:w="0" w:type="dxa"/>
                  </w:tcMar>
                  <w:vAlign w:val="center"/>
                </w:tcPr>
                <w:p w14:paraId="522537F5">
                  <w:pPr>
                    <w:spacing w:line="240" w:lineRule="atLeast"/>
                    <w:jc w:val="center"/>
                    <w:rPr>
                      <w:szCs w:val="21"/>
                    </w:rPr>
                  </w:pPr>
                  <w:r>
                    <w:rPr>
                      <w:rFonts w:hint="eastAsia"/>
                      <w:szCs w:val="21"/>
                    </w:rPr>
                    <w:t>金坛区溪城污水处理有限公司</w:t>
                  </w:r>
                </w:p>
              </w:tc>
              <w:tc>
                <w:tcPr>
                  <w:tcW w:w="553" w:type="pct"/>
                  <w:vMerge w:val="restart"/>
                  <w:noWrap/>
                  <w:tcMar>
                    <w:left w:w="0" w:type="dxa"/>
                    <w:right w:w="0" w:type="dxa"/>
                  </w:tcMar>
                  <w:vAlign w:val="center"/>
                </w:tcPr>
                <w:p w14:paraId="78E084B9">
                  <w:pPr>
                    <w:spacing w:line="240" w:lineRule="atLeast"/>
                    <w:jc w:val="center"/>
                    <w:rPr>
                      <w:szCs w:val="21"/>
                    </w:rPr>
                  </w:pPr>
                  <w:r>
                    <w:rPr>
                      <w:szCs w:val="21"/>
                    </w:rPr>
                    <w:t>间断排放，排放期间流量不稳定</w:t>
                  </w:r>
                </w:p>
              </w:tc>
              <w:tc>
                <w:tcPr>
                  <w:tcW w:w="326" w:type="pct"/>
                  <w:vMerge w:val="restart"/>
                  <w:noWrap/>
                  <w:tcMar>
                    <w:left w:w="0" w:type="dxa"/>
                    <w:right w:w="0" w:type="dxa"/>
                  </w:tcMar>
                  <w:vAlign w:val="center"/>
                </w:tcPr>
                <w:p w14:paraId="58509B6D">
                  <w:pPr>
                    <w:pStyle w:val="25"/>
                    <w:spacing w:after="0"/>
                    <w:ind w:firstLine="0" w:firstLineChars="0"/>
                    <w:jc w:val="center"/>
                    <w:rPr>
                      <w:szCs w:val="21"/>
                    </w:rPr>
                  </w:pPr>
                  <w:r>
                    <w:rPr>
                      <w:szCs w:val="21"/>
                    </w:rPr>
                    <w:t>/</w:t>
                  </w:r>
                </w:p>
              </w:tc>
              <w:tc>
                <w:tcPr>
                  <w:tcW w:w="344" w:type="pct"/>
                  <w:vMerge w:val="restart"/>
                  <w:noWrap/>
                  <w:tcMar>
                    <w:left w:w="0" w:type="dxa"/>
                    <w:right w:w="0" w:type="dxa"/>
                  </w:tcMar>
                  <w:vAlign w:val="center"/>
                </w:tcPr>
                <w:p w14:paraId="276785EE">
                  <w:pPr>
                    <w:spacing w:line="240" w:lineRule="atLeast"/>
                    <w:jc w:val="center"/>
                    <w:rPr>
                      <w:szCs w:val="21"/>
                    </w:rPr>
                  </w:pPr>
                  <w:r>
                    <w:rPr>
                      <w:rFonts w:hint="eastAsia"/>
                      <w:szCs w:val="21"/>
                    </w:rPr>
                    <w:t>金坛区溪城污水处理有限公司</w:t>
                  </w:r>
                </w:p>
              </w:tc>
              <w:tc>
                <w:tcPr>
                  <w:tcW w:w="508" w:type="pct"/>
                  <w:noWrap/>
                  <w:tcMar>
                    <w:left w:w="0" w:type="dxa"/>
                    <w:right w:w="0" w:type="dxa"/>
                  </w:tcMar>
                  <w:vAlign w:val="center"/>
                </w:tcPr>
                <w:p w14:paraId="4989D36D">
                  <w:pPr>
                    <w:spacing w:line="240" w:lineRule="atLeast"/>
                    <w:jc w:val="center"/>
                    <w:rPr>
                      <w:szCs w:val="21"/>
                    </w:rPr>
                  </w:pPr>
                  <w:r>
                    <w:rPr>
                      <w:rFonts w:hint="eastAsia"/>
                      <w:szCs w:val="21"/>
                    </w:rPr>
                    <w:t>pH</w:t>
                  </w:r>
                </w:p>
              </w:tc>
              <w:tc>
                <w:tcPr>
                  <w:tcW w:w="1033" w:type="dxa"/>
                  <w:noWrap/>
                  <w:tcMar>
                    <w:left w:w="0" w:type="dxa"/>
                    <w:right w:w="0" w:type="dxa"/>
                  </w:tcMar>
                  <w:vAlign w:val="center"/>
                </w:tcPr>
                <w:p w14:paraId="4780DFE1">
                  <w:pPr>
                    <w:jc w:val="center"/>
                  </w:pPr>
                  <w:r>
                    <w:rPr>
                      <w:rFonts w:hint="eastAsia"/>
                      <w:kern w:val="0"/>
                      <w:szCs w:val="21"/>
                    </w:rPr>
                    <w:t>6~9</w:t>
                  </w:r>
                </w:p>
              </w:tc>
            </w:tr>
            <w:tr w14:paraId="1F320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noWrap/>
                  <w:tcMar>
                    <w:left w:w="0" w:type="dxa"/>
                    <w:right w:w="0" w:type="dxa"/>
                  </w:tcMar>
                  <w:vAlign w:val="center"/>
                </w:tcPr>
                <w:p w14:paraId="0C85B90A">
                  <w:pPr>
                    <w:spacing w:line="240" w:lineRule="atLeast"/>
                    <w:jc w:val="center"/>
                    <w:rPr>
                      <w:szCs w:val="21"/>
                    </w:rPr>
                  </w:pPr>
                  <w:r>
                    <w:rPr>
                      <w:szCs w:val="21"/>
                    </w:rPr>
                    <w:t>2</w:t>
                  </w:r>
                </w:p>
              </w:tc>
              <w:tc>
                <w:tcPr>
                  <w:tcW w:w="407" w:type="pct"/>
                  <w:vMerge w:val="continue"/>
                  <w:noWrap/>
                  <w:tcMar>
                    <w:left w:w="0" w:type="dxa"/>
                    <w:right w:w="0" w:type="dxa"/>
                  </w:tcMar>
                  <w:vAlign w:val="center"/>
                </w:tcPr>
                <w:p w14:paraId="01186557">
                  <w:pPr>
                    <w:spacing w:line="240" w:lineRule="atLeast"/>
                    <w:jc w:val="center"/>
                    <w:rPr>
                      <w:szCs w:val="21"/>
                    </w:rPr>
                  </w:pPr>
                </w:p>
              </w:tc>
              <w:tc>
                <w:tcPr>
                  <w:tcW w:w="668" w:type="pct"/>
                  <w:vMerge w:val="continue"/>
                  <w:noWrap/>
                  <w:tcMar>
                    <w:left w:w="0" w:type="dxa"/>
                    <w:right w:w="0" w:type="dxa"/>
                  </w:tcMar>
                  <w:vAlign w:val="center"/>
                </w:tcPr>
                <w:p w14:paraId="1FF470A2">
                  <w:pPr>
                    <w:spacing w:line="240" w:lineRule="atLeast"/>
                    <w:jc w:val="center"/>
                    <w:rPr>
                      <w:szCs w:val="21"/>
                    </w:rPr>
                  </w:pPr>
                </w:p>
              </w:tc>
              <w:tc>
                <w:tcPr>
                  <w:tcW w:w="580" w:type="pct"/>
                  <w:vMerge w:val="continue"/>
                  <w:noWrap/>
                  <w:tcMar>
                    <w:left w:w="0" w:type="dxa"/>
                    <w:right w:w="0" w:type="dxa"/>
                  </w:tcMar>
                  <w:vAlign w:val="center"/>
                </w:tcPr>
                <w:p w14:paraId="7F91A8E7">
                  <w:pPr>
                    <w:spacing w:line="240" w:lineRule="atLeast"/>
                    <w:jc w:val="center"/>
                    <w:rPr>
                      <w:szCs w:val="21"/>
                    </w:rPr>
                  </w:pPr>
                </w:p>
              </w:tc>
              <w:tc>
                <w:tcPr>
                  <w:tcW w:w="462" w:type="pct"/>
                  <w:vMerge w:val="continue"/>
                  <w:noWrap/>
                  <w:tcMar>
                    <w:left w:w="0" w:type="dxa"/>
                    <w:right w:w="0" w:type="dxa"/>
                  </w:tcMar>
                  <w:vAlign w:val="center"/>
                </w:tcPr>
                <w:p w14:paraId="12099826">
                  <w:pPr>
                    <w:spacing w:line="240" w:lineRule="atLeast"/>
                    <w:jc w:val="center"/>
                    <w:rPr>
                      <w:szCs w:val="21"/>
                    </w:rPr>
                  </w:pPr>
                </w:p>
              </w:tc>
              <w:tc>
                <w:tcPr>
                  <w:tcW w:w="353" w:type="pct"/>
                  <w:vMerge w:val="continue"/>
                  <w:noWrap/>
                  <w:tcMar>
                    <w:left w:w="0" w:type="dxa"/>
                    <w:right w:w="0" w:type="dxa"/>
                  </w:tcMar>
                  <w:vAlign w:val="center"/>
                </w:tcPr>
                <w:p w14:paraId="151EAD2B">
                  <w:pPr>
                    <w:pStyle w:val="25"/>
                    <w:spacing w:after="0"/>
                    <w:ind w:firstLine="0" w:firstLineChars="0"/>
                    <w:jc w:val="center"/>
                    <w:rPr>
                      <w:szCs w:val="21"/>
                    </w:rPr>
                  </w:pPr>
                </w:p>
              </w:tc>
              <w:tc>
                <w:tcPr>
                  <w:tcW w:w="553" w:type="pct"/>
                  <w:vMerge w:val="continue"/>
                  <w:noWrap/>
                  <w:tcMar>
                    <w:left w:w="0" w:type="dxa"/>
                    <w:right w:w="0" w:type="dxa"/>
                  </w:tcMar>
                  <w:vAlign w:val="center"/>
                </w:tcPr>
                <w:p w14:paraId="54E60969">
                  <w:pPr>
                    <w:pStyle w:val="25"/>
                    <w:spacing w:after="0"/>
                    <w:ind w:firstLine="0" w:firstLineChars="0"/>
                    <w:jc w:val="center"/>
                    <w:rPr>
                      <w:szCs w:val="21"/>
                    </w:rPr>
                  </w:pPr>
                </w:p>
              </w:tc>
              <w:tc>
                <w:tcPr>
                  <w:tcW w:w="326" w:type="pct"/>
                  <w:vMerge w:val="continue"/>
                  <w:noWrap/>
                  <w:tcMar>
                    <w:left w:w="0" w:type="dxa"/>
                    <w:right w:w="0" w:type="dxa"/>
                  </w:tcMar>
                  <w:vAlign w:val="center"/>
                </w:tcPr>
                <w:p w14:paraId="1803E33A">
                  <w:pPr>
                    <w:pStyle w:val="25"/>
                    <w:spacing w:after="0"/>
                    <w:ind w:firstLine="0" w:firstLineChars="0"/>
                    <w:jc w:val="center"/>
                    <w:rPr>
                      <w:szCs w:val="21"/>
                    </w:rPr>
                  </w:pPr>
                </w:p>
              </w:tc>
              <w:tc>
                <w:tcPr>
                  <w:tcW w:w="344" w:type="pct"/>
                  <w:vMerge w:val="continue"/>
                  <w:noWrap/>
                  <w:tcMar>
                    <w:left w:w="0" w:type="dxa"/>
                    <w:right w:w="0" w:type="dxa"/>
                  </w:tcMar>
                  <w:vAlign w:val="center"/>
                </w:tcPr>
                <w:p w14:paraId="6830F8FE">
                  <w:pPr>
                    <w:pStyle w:val="25"/>
                    <w:spacing w:after="0"/>
                    <w:ind w:firstLine="0" w:firstLineChars="0"/>
                    <w:jc w:val="center"/>
                    <w:rPr>
                      <w:szCs w:val="21"/>
                    </w:rPr>
                  </w:pPr>
                </w:p>
              </w:tc>
              <w:tc>
                <w:tcPr>
                  <w:tcW w:w="508" w:type="pct"/>
                  <w:noWrap/>
                  <w:tcMar>
                    <w:left w:w="0" w:type="dxa"/>
                    <w:right w:w="0" w:type="dxa"/>
                  </w:tcMar>
                  <w:vAlign w:val="center"/>
                </w:tcPr>
                <w:p w14:paraId="39CD08B5">
                  <w:pPr>
                    <w:spacing w:line="240" w:lineRule="atLeast"/>
                    <w:jc w:val="center"/>
                    <w:rPr>
                      <w:szCs w:val="21"/>
                    </w:rPr>
                  </w:pPr>
                  <w:r>
                    <w:rPr>
                      <w:szCs w:val="21"/>
                    </w:rPr>
                    <w:t>COD</w:t>
                  </w:r>
                </w:p>
              </w:tc>
              <w:tc>
                <w:tcPr>
                  <w:tcW w:w="1033" w:type="dxa"/>
                  <w:noWrap/>
                  <w:tcMar>
                    <w:left w:w="0" w:type="dxa"/>
                    <w:right w:w="0" w:type="dxa"/>
                  </w:tcMar>
                  <w:vAlign w:val="center"/>
                </w:tcPr>
                <w:p w14:paraId="09D3D8D4">
                  <w:pPr>
                    <w:snapToGrid w:val="0"/>
                    <w:jc w:val="center"/>
                  </w:pPr>
                  <w:r>
                    <w:rPr>
                      <w:rFonts w:hint="eastAsia"/>
                      <w:szCs w:val="21"/>
                    </w:rPr>
                    <w:t>500</w:t>
                  </w:r>
                </w:p>
              </w:tc>
            </w:tr>
            <w:tr w14:paraId="50F7F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noWrap/>
                  <w:tcMar>
                    <w:left w:w="0" w:type="dxa"/>
                    <w:right w:w="0" w:type="dxa"/>
                  </w:tcMar>
                  <w:vAlign w:val="center"/>
                </w:tcPr>
                <w:p w14:paraId="5CF78002">
                  <w:pPr>
                    <w:spacing w:line="240" w:lineRule="atLeast"/>
                    <w:jc w:val="center"/>
                    <w:rPr>
                      <w:szCs w:val="21"/>
                    </w:rPr>
                  </w:pPr>
                  <w:r>
                    <w:rPr>
                      <w:szCs w:val="21"/>
                    </w:rPr>
                    <w:t>3</w:t>
                  </w:r>
                </w:p>
              </w:tc>
              <w:tc>
                <w:tcPr>
                  <w:tcW w:w="407" w:type="pct"/>
                  <w:vMerge w:val="continue"/>
                  <w:noWrap/>
                  <w:tcMar>
                    <w:left w:w="0" w:type="dxa"/>
                    <w:right w:w="0" w:type="dxa"/>
                  </w:tcMar>
                  <w:vAlign w:val="center"/>
                </w:tcPr>
                <w:p w14:paraId="1DF6BBD9">
                  <w:pPr>
                    <w:spacing w:line="240" w:lineRule="atLeast"/>
                    <w:jc w:val="center"/>
                    <w:rPr>
                      <w:szCs w:val="21"/>
                    </w:rPr>
                  </w:pPr>
                </w:p>
              </w:tc>
              <w:tc>
                <w:tcPr>
                  <w:tcW w:w="668" w:type="pct"/>
                  <w:vMerge w:val="continue"/>
                  <w:noWrap/>
                  <w:tcMar>
                    <w:left w:w="0" w:type="dxa"/>
                    <w:right w:w="0" w:type="dxa"/>
                  </w:tcMar>
                  <w:vAlign w:val="center"/>
                </w:tcPr>
                <w:p w14:paraId="1D91359F">
                  <w:pPr>
                    <w:spacing w:line="240" w:lineRule="atLeast"/>
                    <w:jc w:val="center"/>
                    <w:rPr>
                      <w:szCs w:val="21"/>
                    </w:rPr>
                  </w:pPr>
                </w:p>
              </w:tc>
              <w:tc>
                <w:tcPr>
                  <w:tcW w:w="580" w:type="pct"/>
                  <w:vMerge w:val="continue"/>
                  <w:noWrap/>
                  <w:tcMar>
                    <w:left w:w="0" w:type="dxa"/>
                    <w:right w:w="0" w:type="dxa"/>
                  </w:tcMar>
                  <w:vAlign w:val="center"/>
                </w:tcPr>
                <w:p w14:paraId="66C2DAAB">
                  <w:pPr>
                    <w:spacing w:line="240" w:lineRule="atLeast"/>
                    <w:jc w:val="center"/>
                    <w:rPr>
                      <w:szCs w:val="21"/>
                    </w:rPr>
                  </w:pPr>
                </w:p>
              </w:tc>
              <w:tc>
                <w:tcPr>
                  <w:tcW w:w="462" w:type="pct"/>
                  <w:vMerge w:val="continue"/>
                  <w:noWrap/>
                  <w:tcMar>
                    <w:left w:w="0" w:type="dxa"/>
                    <w:right w:w="0" w:type="dxa"/>
                  </w:tcMar>
                  <w:vAlign w:val="center"/>
                </w:tcPr>
                <w:p w14:paraId="5C4BBE04">
                  <w:pPr>
                    <w:spacing w:line="240" w:lineRule="atLeast"/>
                    <w:jc w:val="center"/>
                    <w:rPr>
                      <w:szCs w:val="21"/>
                    </w:rPr>
                  </w:pPr>
                </w:p>
              </w:tc>
              <w:tc>
                <w:tcPr>
                  <w:tcW w:w="353" w:type="pct"/>
                  <w:vMerge w:val="continue"/>
                  <w:noWrap/>
                  <w:tcMar>
                    <w:left w:w="0" w:type="dxa"/>
                    <w:right w:w="0" w:type="dxa"/>
                  </w:tcMar>
                  <w:vAlign w:val="center"/>
                </w:tcPr>
                <w:p w14:paraId="60C58EDF">
                  <w:pPr>
                    <w:pStyle w:val="25"/>
                    <w:spacing w:after="0"/>
                    <w:ind w:firstLine="0" w:firstLineChars="0"/>
                    <w:jc w:val="center"/>
                    <w:rPr>
                      <w:szCs w:val="21"/>
                    </w:rPr>
                  </w:pPr>
                </w:p>
              </w:tc>
              <w:tc>
                <w:tcPr>
                  <w:tcW w:w="553" w:type="pct"/>
                  <w:vMerge w:val="continue"/>
                  <w:noWrap/>
                  <w:tcMar>
                    <w:left w:w="0" w:type="dxa"/>
                    <w:right w:w="0" w:type="dxa"/>
                  </w:tcMar>
                  <w:vAlign w:val="center"/>
                </w:tcPr>
                <w:p w14:paraId="1606DEAD">
                  <w:pPr>
                    <w:pStyle w:val="25"/>
                    <w:spacing w:after="0"/>
                    <w:ind w:firstLine="0" w:firstLineChars="0"/>
                    <w:jc w:val="center"/>
                    <w:rPr>
                      <w:szCs w:val="21"/>
                    </w:rPr>
                  </w:pPr>
                </w:p>
              </w:tc>
              <w:tc>
                <w:tcPr>
                  <w:tcW w:w="326" w:type="pct"/>
                  <w:vMerge w:val="continue"/>
                  <w:noWrap/>
                  <w:tcMar>
                    <w:left w:w="0" w:type="dxa"/>
                    <w:right w:w="0" w:type="dxa"/>
                  </w:tcMar>
                  <w:vAlign w:val="center"/>
                </w:tcPr>
                <w:p w14:paraId="20994846">
                  <w:pPr>
                    <w:pStyle w:val="25"/>
                    <w:spacing w:after="0"/>
                    <w:ind w:firstLine="0" w:firstLineChars="0"/>
                    <w:jc w:val="center"/>
                    <w:rPr>
                      <w:szCs w:val="21"/>
                    </w:rPr>
                  </w:pPr>
                </w:p>
              </w:tc>
              <w:tc>
                <w:tcPr>
                  <w:tcW w:w="344" w:type="pct"/>
                  <w:vMerge w:val="continue"/>
                  <w:noWrap/>
                  <w:tcMar>
                    <w:left w:w="0" w:type="dxa"/>
                    <w:right w:w="0" w:type="dxa"/>
                  </w:tcMar>
                  <w:vAlign w:val="center"/>
                </w:tcPr>
                <w:p w14:paraId="33766C76">
                  <w:pPr>
                    <w:pStyle w:val="25"/>
                    <w:spacing w:after="0"/>
                    <w:ind w:firstLine="0" w:firstLineChars="0"/>
                    <w:jc w:val="center"/>
                    <w:rPr>
                      <w:szCs w:val="21"/>
                    </w:rPr>
                  </w:pPr>
                </w:p>
              </w:tc>
              <w:tc>
                <w:tcPr>
                  <w:tcW w:w="508" w:type="pct"/>
                  <w:noWrap/>
                  <w:tcMar>
                    <w:left w:w="0" w:type="dxa"/>
                    <w:right w:w="0" w:type="dxa"/>
                  </w:tcMar>
                  <w:vAlign w:val="center"/>
                </w:tcPr>
                <w:p w14:paraId="612BCC33">
                  <w:pPr>
                    <w:spacing w:line="240" w:lineRule="atLeast"/>
                    <w:jc w:val="center"/>
                    <w:rPr>
                      <w:szCs w:val="21"/>
                    </w:rPr>
                  </w:pPr>
                  <w:r>
                    <w:rPr>
                      <w:szCs w:val="21"/>
                    </w:rPr>
                    <w:t>SS</w:t>
                  </w:r>
                </w:p>
              </w:tc>
              <w:tc>
                <w:tcPr>
                  <w:tcW w:w="1033" w:type="dxa"/>
                  <w:noWrap/>
                  <w:tcMar>
                    <w:left w:w="0" w:type="dxa"/>
                    <w:right w:w="0" w:type="dxa"/>
                  </w:tcMar>
                  <w:vAlign w:val="center"/>
                </w:tcPr>
                <w:p w14:paraId="6845987E">
                  <w:pPr>
                    <w:adjustRightInd w:val="0"/>
                    <w:snapToGrid w:val="0"/>
                    <w:jc w:val="center"/>
                  </w:pPr>
                  <w:r>
                    <w:rPr>
                      <w:rFonts w:hint="eastAsia"/>
                      <w:szCs w:val="21"/>
                    </w:rPr>
                    <w:t>400</w:t>
                  </w:r>
                </w:p>
              </w:tc>
            </w:tr>
            <w:tr w14:paraId="65B3D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noWrap/>
                  <w:tcMar>
                    <w:left w:w="0" w:type="dxa"/>
                    <w:right w:w="0" w:type="dxa"/>
                  </w:tcMar>
                  <w:vAlign w:val="center"/>
                </w:tcPr>
                <w:p w14:paraId="54B3CF69">
                  <w:pPr>
                    <w:spacing w:line="240" w:lineRule="atLeast"/>
                    <w:jc w:val="center"/>
                    <w:rPr>
                      <w:szCs w:val="21"/>
                    </w:rPr>
                  </w:pPr>
                  <w:r>
                    <w:rPr>
                      <w:szCs w:val="21"/>
                    </w:rPr>
                    <w:t>4</w:t>
                  </w:r>
                </w:p>
              </w:tc>
              <w:tc>
                <w:tcPr>
                  <w:tcW w:w="407" w:type="pct"/>
                  <w:vMerge w:val="continue"/>
                  <w:noWrap/>
                  <w:tcMar>
                    <w:left w:w="0" w:type="dxa"/>
                    <w:right w:w="0" w:type="dxa"/>
                  </w:tcMar>
                  <w:vAlign w:val="center"/>
                </w:tcPr>
                <w:p w14:paraId="1128DA5F">
                  <w:pPr>
                    <w:spacing w:line="240" w:lineRule="atLeast"/>
                    <w:jc w:val="center"/>
                    <w:rPr>
                      <w:szCs w:val="21"/>
                    </w:rPr>
                  </w:pPr>
                </w:p>
              </w:tc>
              <w:tc>
                <w:tcPr>
                  <w:tcW w:w="668" w:type="pct"/>
                  <w:vMerge w:val="continue"/>
                  <w:noWrap/>
                  <w:tcMar>
                    <w:left w:w="0" w:type="dxa"/>
                    <w:right w:w="0" w:type="dxa"/>
                  </w:tcMar>
                  <w:vAlign w:val="center"/>
                </w:tcPr>
                <w:p w14:paraId="674E1F37">
                  <w:pPr>
                    <w:spacing w:line="240" w:lineRule="atLeast"/>
                    <w:jc w:val="center"/>
                    <w:rPr>
                      <w:szCs w:val="21"/>
                    </w:rPr>
                  </w:pPr>
                </w:p>
              </w:tc>
              <w:tc>
                <w:tcPr>
                  <w:tcW w:w="580" w:type="pct"/>
                  <w:vMerge w:val="continue"/>
                  <w:noWrap/>
                  <w:tcMar>
                    <w:left w:w="0" w:type="dxa"/>
                    <w:right w:w="0" w:type="dxa"/>
                  </w:tcMar>
                  <w:vAlign w:val="center"/>
                </w:tcPr>
                <w:p w14:paraId="3B105D5E">
                  <w:pPr>
                    <w:spacing w:line="240" w:lineRule="atLeast"/>
                    <w:jc w:val="center"/>
                    <w:rPr>
                      <w:szCs w:val="21"/>
                    </w:rPr>
                  </w:pPr>
                </w:p>
              </w:tc>
              <w:tc>
                <w:tcPr>
                  <w:tcW w:w="462" w:type="pct"/>
                  <w:vMerge w:val="continue"/>
                  <w:noWrap/>
                  <w:tcMar>
                    <w:left w:w="0" w:type="dxa"/>
                    <w:right w:w="0" w:type="dxa"/>
                  </w:tcMar>
                  <w:vAlign w:val="center"/>
                </w:tcPr>
                <w:p w14:paraId="7DDAB78F">
                  <w:pPr>
                    <w:spacing w:line="240" w:lineRule="atLeast"/>
                    <w:jc w:val="center"/>
                    <w:rPr>
                      <w:szCs w:val="21"/>
                    </w:rPr>
                  </w:pPr>
                </w:p>
              </w:tc>
              <w:tc>
                <w:tcPr>
                  <w:tcW w:w="353" w:type="pct"/>
                  <w:vMerge w:val="continue"/>
                  <w:noWrap/>
                  <w:tcMar>
                    <w:left w:w="0" w:type="dxa"/>
                    <w:right w:w="0" w:type="dxa"/>
                  </w:tcMar>
                  <w:vAlign w:val="center"/>
                </w:tcPr>
                <w:p w14:paraId="4AC0F60A">
                  <w:pPr>
                    <w:pStyle w:val="25"/>
                    <w:spacing w:after="0"/>
                    <w:ind w:firstLine="0" w:firstLineChars="0"/>
                    <w:jc w:val="center"/>
                    <w:rPr>
                      <w:szCs w:val="21"/>
                    </w:rPr>
                  </w:pPr>
                </w:p>
              </w:tc>
              <w:tc>
                <w:tcPr>
                  <w:tcW w:w="553" w:type="pct"/>
                  <w:vMerge w:val="continue"/>
                  <w:noWrap/>
                  <w:tcMar>
                    <w:left w:w="0" w:type="dxa"/>
                    <w:right w:w="0" w:type="dxa"/>
                  </w:tcMar>
                  <w:vAlign w:val="center"/>
                </w:tcPr>
                <w:p w14:paraId="67ABB8AB">
                  <w:pPr>
                    <w:pStyle w:val="25"/>
                    <w:spacing w:after="0"/>
                    <w:ind w:firstLine="0" w:firstLineChars="0"/>
                    <w:jc w:val="center"/>
                    <w:rPr>
                      <w:szCs w:val="21"/>
                    </w:rPr>
                  </w:pPr>
                </w:p>
              </w:tc>
              <w:tc>
                <w:tcPr>
                  <w:tcW w:w="326" w:type="pct"/>
                  <w:vMerge w:val="continue"/>
                  <w:noWrap/>
                  <w:tcMar>
                    <w:left w:w="0" w:type="dxa"/>
                    <w:right w:w="0" w:type="dxa"/>
                  </w:tcMar>
                  <w:vAlign w:val="center"/>
                </w:tcPr>
                <w:p w14:paraId="41D86C8F">
                  <w:pPr>
                    <w:pStyle w:val="25"/>
                    <w:spacing w:after="0"/>
                    <w:ind w:firstLine="0" w:firstLineChars="0"/>
                    <w:jc w:val="center"/>
                    <w:rPr>
                      <w:szCs w:val="21"/>
                    </w:rPr>
                  </w:pPr>
                </w:p>
              </w:tc>
              <w:tc>
                <w:tcPr>
                  <w:tcW w:w="344" w:type="pct"/>
                  <w:vMerge w:val="continue"/>
                  <w:noWrap/>
                  <w:tcMar>
                    <w:left w:w="0" w:type="dxa"/>
                    <w:right w:w="0" w:type="dxa"/>
                  </w:tcMar>
                  <w:vAlign w:val="center"/>
                </w:tcPr>
                <w:p w14:paraId="26C98E21">
                  <w:pPr>
                    <w:pStyle w:val="25"/>
                    <w:spacing w:after="0"/>
                    <w:ind w:firstLine="0" w:firstLineChars="0"/>
                    <w:jc w:val="center"/>
                    <w:rPr>
                      <w:szCs w:val="21"/>
                    </w:rPr>
                  </w:pPr>
                </w:p>
              </w:tc>
              <w:tc>
                <w:tcPr>
                  <w:tcW w:w="508" w:type="pct"/>
                  <w:noWrap/>
                  <w:tcMar>
                    <w:left w:w="0" w:type="dxa"/>
                    <w:right w:w="0" w:type="dxa"/>
                  </w:tcMar>
                  <w:vAlign w:val="center"/>
                </w:tcPr>
                <w:p w14:paraId="1D5E5C36">
                  <w:pPr>
                    <w:spacing w:line="240" w:lineRule="atLeast"/>
                    <w:jc w:val="center"/>
                    <w:rPr>
                      <w:szCs w:val="21"/>
                    </w:rPr>
                  </w:pPr>
                  <w:r>
                    <w:rPr>
                      <w:szCs w:val="21"/>
                    </w:rPr>
                    <w:t>NH</w:t>
                  </w:r>
                  <w:r>
                    <w:rPr>
                      <w:szCs w:val="21"/>
                      <w:vertAlign w:val="subscript"/>
                    </w:rPr>
                    <w:t>3</w:t>
                  </w:r>
                  <w:r>
                    <w:rPr>
                      <w:szCs w:val="21"/>
                    </w:rPr>
                    <w:t>-N</w:t>
                  </w:r>
                </w:p>
              </w:tc>
              <w:tc>
                <w:tcPr>
                  <w:tcW w:w="1033" w:type="dxa"/>
                  <w:noWrap/>
                  <w:tcMar>
                    <w:left w:w="0" w:type="dxa"/>
                    <w:right w:w="0" w:type="dxa"/>
                  </w:tcMar>
                  <w:vAlign w:val="center"/>
                </w:tcPr>
                <w:p w14:paraId="48043D63">
                  <w:pPr>
                    <w:adjustRightInd w:val="0"/>
                    <w:snapToGrid w:val="0"/>
                    <w:jc w:val="center"/>
                  </w:pPr>
                  <w:r>
                    <w:rPr>
                      <w:rFonts w:hint="eastAsia"/>
                      <w:szCs w:val="21"/>
                    </w:rPr>
                    <w:t>45</w:t>
                  </w:r>
                </w:p>
              </w:tc>
            </w:tr>
            <w:tr w14:paraId="119C9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noWrap/>
                  <w:tcMar>
                    <w:left w:w="0" w:type="dxa"/>
                    <w:right w:w="0" w:type="dxa"/>
                  </w:tcMar>
                  <w:vAlign w:val="center"/>
                </w:tcPr>
                <w:p w14:paraId="3FD34589">
                  <w:pPr>
                    <w:spacing w:line="240" w:lineRule="atLeast"/>
                    <w:jc w:val="center"/>
                    <w:rPr>
                      <w:szCs w:val="21"/>
                    </w:rPr>
                  </w:pPr>
                  <w:r>
                    <w:rPr>
                      <w:szCs w:val="21"/>
                    </w:rPr>
                    <w:t>5</w:t>
                  </w:r>
                </w:p>
              </w:tc>
              <w:tc>
                <w:tcPr>
                  <w:tcW w:w="407" w:type="pct"/>
                  <w:vMerge w:val="continue"/>
                  <w:noWrap/>
                  <w:tcMar>
                    <w:left w:w="0" w:type="dxa"/>
                    <w:right w:w="0" w:type="dxa"/>
                  </w:tcMar>
                  <w:vAlign w:val="center"/>
                </w:tcPr>
                <w:p w14:paraId="271F601A">
                  <w:pPr>
                    <w:spacing w:line="240" w:lineRule="atLeast"/>
                    <w:jc w:val="center"/>
                    <w:rPr>
                      <w:szCs w:val="21"/>
                    </w:rPr>
                  </w:pPr>
                </w:p>
              </w:tc>
              <w:tc>
                <w:tcPr>
                  <w:tcW w:w="668" w:type="pct"/>
                  <w:vMerge w:val="continue"/>
                  <w:noWrap/>
                  <w:tcMar>
                    <w:left w:w="0" w:type="dxa"/>
                    <w:right w:w="0" w:type="dxa"/>
                  </w:tcMar>
                  <w:vAlign w:val="center"/>
                </w:tcPr>
                <w:p w14:paraId="79B69C49">
                  <w:pPr>
                    <w:spacing w:line="240" w:lineRule="atLeast"/>
                    <w:jc w:val="center"/>
                    <w:rPr>
                      <w:szCs w:val="21"/>
                    </w:rPr>
                  </w:pPr>
                </w:p>
              </w:tc>
              <w:tc>
                <w:tcPr>
                  <w:tcW w:w="580" w:type="pct"/>
                  <w:vMerge w:val="continue"/>
                  <w:noWrap/>
                  <w:tcMar>
                    <w:left w:w="0" w:type="dxa"/>
                    <w:right w:w="0" w:type="dxa"/>
                  </w:tcMar>
                  <w:vAlign w:val="center"/>
                </w:tcPr>
                <w:p w14:paraId="6D968A5D">
                  <w:pPr>
                    <w:spacing w:line="240" w:lineRule="atLeast"/>
                    <w:jc w:val="center"/>
                    <w:rPr>
                      <w:szCs w:val="21"/>
                    </w:rPr>
                  </w:pPr>
                </w:p>
              </w:tc>
              <w:tc>
                <w:tcPr>
                  <w:tcW w:w="462" w:type="pct"/>
                  <w:vMerge w:val="continue"/>
                  <w:noWrap/>
                  <w:tcMar>
                    <w:left w:w="0" w:type="dxa"/>
                    <w:right w:w="0" w:type="dxa"/>
                  </w:tcMar>
                  <w:vAlign w:val="center"/>
                </w:tcPr>
                <w:p w14:paraId="4346F6B7">
                  <w:pPr>
                    <w:spacing w:line="240" w:lineRule="atLeast"/>
                    <w:jc w:val="center"/>
                    <w:rPr>
                      <w:szCs w:val="21"/>
                    </w:rPr>
                  </w:pPr>
                </w:p>
              </w:tc>
              <w:tc>
                <w:tcPr>
                  <w:tcW w:w="353" w:type="pct"/>
                  <w:vMerge w:val="continue"/>
                  <w:noWrap/>
                  <w:tcMar>
                    <w:left w:w="0" w:type="dxa"/>
                    <w:right w:w="0" w:type="dxa"/>
                  </w:tcMar>
                  <w:vAlign w:val="center"/>
                </w:tcPr>
                <w:p w14:paraId="147397BC">
                  <w:pPr>
                    <w:pStyle w:val="25"/>
                    <w:spacing w:after="0"/>
                    <w:ind w:firstLine="0" w:firstLineChars="0"/>
                    <w:jc w:val="center"/>
                    <w:rPr>
                      <w:szCs w:val="21"/>
                    </w:rPr>
                  </w:pPr>
                </w:p>
              </w:tc>
              <w:tc>
                <w:tcPr>
                  <w:tcW w:w="553" w:type="pct"/>
                  <w:vMerge w:val="continue"/>
                  <w:noWrap/>
                  <w:tcMar>
                    <w:left w:w="0" w:type="dxa"/>
                    <w:right w:w="0" w:type="dxa"/>
                  </w:tcMar>
                  <w:vAlign w:val="center"/>
                </w:tcPr>
                <w:p w14:paraId="3190C530">
                  <w:pPr>
                    <w:pStyle w:val="25"/>
                    <w:spacing w:after="0"/>
                    <w:ind w:firstLine="0" w:firstLineChars="0"/>
                    <w:jc w:val="center"/>
                    <w:rPr>
                      <w:szCs w:val="21"/>
                    </w:rPr>
                  </w:pPr>
                </w:p>
              </w:tc>
              <w:tc>
                <w:tcPr>
                  <w:tcW w:w="326" w:type="pct"/>
                  <w:vMerge w:val="continue"/>
                  <w:noWrap/>
                  <w:tcMar>
                    <w:left w:w="0" w:type="dxa"/>
                    <w:right w:w="0" w:type="dxa"/>
                  </w:tcMar>
                  <w:vAlign w:val="center"/>
                </w:tcPr>
                <w:p w14:paraId="19E99DA1">
                  <w:pPr>
                    <w:pStyle w:val="25"/>
                    <w:spacing w:after="0"/>
                    <w:ind w:firstLine="0" w:firstLineChars="0"/>
                    <w:jc w:val="center"/>
                    <w:rPr>
                      <w:szCs w:val="21"/>
                    </w:rPr>
                  </w:pPr>
                </w:p>
              </w:tc>
              <w:tc>
                <w:tcPr>
                  <w:tcW w:w="344" w:type="pct"/>
                  <w:vMerge w:val="continue"/>
                  <w:noWrap/>
                  <w:tcMar>
                    <w:left w:w="0" w:type="dxa"/>
                    <w:right w:w="0" w:type="dxa"/>
                  </w:tcMar>
                  <w:vAlign w:val="center"/>
                </w:tcPr>
                <w:p w14:paraId="3250DF23">
                  <w:pPr>
                    <w:pStyle w:val="25"/>
                    <w:spacing w:after="0"/>
                    <w:ind w:firstLine="0" w:firstLineChars="0"/>
                    <w:jc w:val="center"/>
                    <w:rPr>
                      <w:szCs w:val="21"/>
                    </w:rPr>
                  </w:pPr>
                </w:p>
              </w:tc>
              <w:tc>
                <w:tcPr>
                  <w:tcW w:w="508" w:type="pct"/>
                  <w:noWrap/>
                  <w:tcMar>
                    <w:left w:w="0" w:type="dxa"/>
                    <w:right w:w="0" w:type="dxa"/>
                  </w:tcMar>
                  <w:vAlign w:val="center"/>
                </w:tcPr>
                <w:p w14:paraId="638D1DA6">
                  <w:pPr>
                    <w:spacing w:line="240" w:lineRule="atLeast"/>
                    <w:jc w:val="center"/>
                    <w:rPr>
                      <w:szCs w:val="21"/>
                    </w:rPr>
                  </w:pPr>
                  <w:r>
                    <w:rPr>
                      <w:szCs w:val="21"/>
                    </w:rPr>
                    <w:t>TN</w:t>
                  </w:r>
                </w:p>
              </w:tc>
              <w:tc>
                <w:tcPr>
                  <w:tcW w:w="1033" w:type="dxa"/>
                  <w:noWrap/>
                  <w:tcMar>
                    <w:left w:w="0" w:type="dxa"/>
                    <w:right w:w="0" w:type="dxa"/>
                  </w:tcMar>
                  <w:vAlign w:val="center"/>
                </w:tcPr>
                <w:p w14:paraId="37B764A3">
                  <w:pPr>
                    <w:adjustRightInd w:val="0"/>
                    <w:snapToGrid w:val="0"/>
                    <w:jc w:val="center"/>
                  </w:pPr>
                  <w:r>
                    <w:rPr>
                      <w:rFonts w:hint="eastAsia"/>
                      <w:szCs w:val="21"/>
                    </w:rPr>
                    <w:t>70</w:t>
                  </w:r>
                </w:p>
              </w:tc>
            </w:tr>
            <w:tr w14:paraId="41B76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noWrap/>
                  <w:tcMar>
                    <w:left w:w="0" w:type="dxa"/>
                    <w:right w:w="0" w:type="dxa"/>
                  </w:tcMar>
                  <w:vAlign w:val="center"/>
                </w:tcPr>
                <w:p w14:paraId="3FD87B0D">
                  <w:pPr>
                    <w:spacing w:line="240" w:lineRule="atLeast"/>
                    <w:jc w:val="center"/>
                    <w:rPr>
                      <w:szCs w:val="21"/>
                    </w:rPr>
                  </w:pPr>
                  <w:r>
                    <w:rPr>
                      <w:rFonts w:hint="eastAsia"/>
                      <w:szCs w:val="21"/>
                    </w:rPr>
                    <w:t>6</w:t>
                  </w:r>
                </w:p>
              </w:tc>
              <w:tc>
                <w:tcPr>
                  <w:tcW w:w="407" w:type="pct"/>
                  <w:vMerge w:val="continue"/>
                  <w:noWrap/>
                  <w:tcMar>
                    <w:left w:w="0" w:type="dxa"/>
                    <w:right w:w="0" w:type="dxa"/>
                  </w:tcMar>
                  <w:vAlign w:val="center"/>
                </w:tcPr>
                <w:p w14:paraId="6EF57DF5">
                  <w:pPr>
                    <w:spacing w:line="240" w:lineRule="atLeast"/>
                    <w:jc w:val="center"/>
                    <w:rPr>
                      <w:szCs w:val="21"/>
                    </w:rPr>
                  </w:pPr>
                </w:p>
              </w:tc>
              <w:tc>
                <w:tcPr>
                  <w:tcW w:w="668" w:type="pct"/>
                  <w:vMerge w:val="continue"/>
                  <w:noWrap/>
                  <w:tcMar>
                    <w:left w:w="0" w:type="dxa"/>
                    <w:right w:w="0" w:type="dxa"/>
                  </w:tcMar>
                  <w:vAlign w:val="center"/>
                </w:tcPr>
                <w:p w14:paraId="5AEE10D8">
                  <w:pPr>
                    <w:spacing w:line="240" w:lineRule="atLeast"/>
                    <w:jc w:val="center"/>
                    <w:rPr>
                      <w:szCs w:val="21"/>
                    </w:rPr>
                  </w:pPr>
                </w:p>
              </w:tc>
              <w:tc>
                <w:tcPr>
                  <w:tcW w:w="580" w:type="pct"/>
                  <w:vMerge w:val="continue"/>
                  <w:noWrap/>
                  <w:tcMar>
                    <w:left w:w="0" w:type="dxa"/>
                    <w:right w:w="0" w:type="dxa"/>
                  </w:tcMar>
                  <w:vAlign w:val="center"/>
                </w:tcPr>
                <w:p w14:paraId="7A091D96">
                  <w:pPr>
                    <w:spacing w:line="240" w:lineRule="atLeast"/>
                    <w:jc w:val="center"/>
                    <w:rPr>
                      <w:szCs w:val="21"/>
                    </w:rPr>
                  </w:pPr>
                </w:p>
              </w:tc>
              <w:tc>
                <w:tcPr>
                  <w:tcW w:w="462" w:type="pct"/>
                  <w:vMerge w:val="continue"/>
                  <w:noWrap/>
                  <w:tcMar>
                    <w:left w:w="0" w:type="dxa"/>
                    <w:right w:w="0" w:type="dxa"/>
                  </w:tcMar>
                  <w:vAlign w:val="center"/>
                </w:tcPr>
                <w:p w14:paraId="4AC0EBA4">
                  <w:pPr>
                    <w:spacing w:line="240" w:lineRule="atLeast"/>
                    <w:jc w:val="center"/>
                    <w:rPr>
                      <w:szCs w:val="21"/>
                    </w:rPr>
                  </w:pPr>
                </w:p>
              </w:tc>
              <w:tc>
                <w:tcPr>
                  <w:tcW w:w="353" w:type="pct"/>
                  <w:vMerge w:val="continue"/>
                  <w:noWrap/>
                  <w:tcMar>
                    <w:left w:w="0" w:type="dxa"/>
                    <w:right w:w="0" w:type="dxa"/>
                  </w:tcMar>
                  <w:vAlign w:val="center"/>
                </w:tcPr>
                <w:p w14:paraId="661CDEFF">
                  <w:pPr>
                    <w:pStyle w:val="25"/>
                    <w:spacing w:after="0"/>
                    <w:ind w:firstLine="0" w:firstLineChars="0"/>
                    <w:jc w:val="center"/>
                    <w:rPr>
                      <w:szCs w:val="21"/>
                    </w:rPr>
                  </w:pPr>
                </w:p>
              </w:tc>
              <w:tc>
                <w:tcPr>
                  <w:tcW w:w="553" w:type="pct"/>
                  <w:vMerge w:val="continue"/>
                  <w:noWrap/>
                  <w:tcMar>
                    <w:left w:w="0" w:type="dxa"/>
                    <w:right w:w="0" w:type="dxa"/>
                  </w:tcMar>
                  <w:vAlign w:val="center"/>
                </w:tcPr>
                <w:p w14:paraId="7CA3D677">
                  <w:pPr>
                    <w:pStyle w:val="25"/>
                    <w:spacing w:after="0"/>
                    <w:ind w:firstLine="0" w:firstLineChars="0"/>
                    <w:jc w:val="center"/>
                    <w:rPr>
                      <w:szCs w:val="21"/>
                    </w:rPr>
                  </w:pPr>
                </w:p>
              </w:tc>
              <w:tc>
                <w:tcPr>
                  <w:tcW w:w="326" w:type="pct"/>
                  <w:vMerge w:val="continue"/>
                  <w:noWrap/>
                  <w:tcMar>
                    <w:left w:w="0" w:type="dxa"/>
                    <w:right w:w="0" w:type="dxa"/>
                  </w:tcMar>
                  <w:vAlign w:val="center"/>
                </w:tcPr>
                <w:p w14:paraId="3467A0C5">
                  <w:pPr>
                    <w:pStyle w:val="25"/>
                    <w:spacing w:after="0"/>
                    <w:ind w:firstLine="0" w:firstLineChars="0"/>
                    <w:jc w:val="center"/>
                    <w:rPr>
                      <w:szCs w:val="21"/>
                    </w:rPr>
                  </w:pPr>
                </w:p>
              </w:tc>
              <w:tc>
                <w:tcPr>
                  <w:tcW w:w="344" w:type="pct"/>
                  <w:vMerge w:val="continue"/>
                  <w:noWrap/>
                  <w:tcMar>
                    <w:left w:w="0" w:type="dxa"/>
                    <w:right w:w="0" w:type="dxa"/>
                  </w:tcMar>
                  <w:vAlign w:val="center"/>
                </w:tcPr>
                <w:p w14:paraId="068F840E">
                  <w:pPr>
                    <w:pStyle w:val="25"/>
                    <w:spacing w:after="0"/>
                    <w:ind w:firstLine="0" w:firstLineChars="0"/>
                    <w:jc w:val="center"/>
                    <w:rPr>
                      <w:szCs w:val="21"/>
                    </w:rPr>
                  </w:pPr>
                </w:p>
              </w:tc>
              <w:tc>
                <w:tcPr>
                  <w:tcW w:w="508" w:type="pct"/>
                  <w:noWrap/>
                  <w:tcMar>
                    <w:left w:w="0" w:type="dxa"/>
                    <w:right w:w="0" w:type="dxa"/>
                  </w:tcMar>
                  <w:vAlign w:val="center"/>
                </w:tcPr>
                <w:p w14:paraId="4AC9C26F">
                  <w:pPr>
                    <w:spacing w:line="240" w:lineRule="atLeast"/>
                    <w:jc w:val="center"/>
                    <w:rPr>
                      <w:szCs w:val="21"/>
                    </w:rPr>
                  </w:pPr>
                  <w:r>
                    <w:rPr>
                      <w:szCs w:val="21"/>
                    </w:rPr>
                    <w:t>TP</w:t>
                  </w:r>
                </w:p>
              </w:tc>
              <w:tc>
                <w:tcPr>
                  <w:tcW w:w="1033" w:type="dxa"/>
                  <w:noWrap/>
                  <w:tcMar>
                    <w:left w:w="0" w:type="dxa"/>
                    <w:right w:w="0" w:type="dxa"/>
                  </w:tcMar>
                  <w:vAlign w:val="center"/>
                </w:tcPr>
                <w:p w14:paraId="393502C0">
                  <w:pPr>
                    <w:adjustRightInd w:val="0"/>
                    <w:snapToGrid w:val="0"/>
                    <w:jc w:val="center"/>
                  </w:pPr>
                  <w:r>
                    <w:rPr>
                      <w:rFonts w:hint="eastAsia"/>
                      <w:szCs w:val="21"/>
                    </w:rPr>
                    <w:t>8</w:t>
                  </w:r>
                </w:p>
              </w:tc>
            </w:tr>
          </w:tbl>
          <w:p w14:paraId="33B2537C">
            <w:pPr>
              <w:ind w:firstLine="422" w:firstLineChars="200"/>
              <w:rPr>
                <w:rFonts w:hint="eastAsia" w:ascii="Times New Roman" w:hAnsi="Times New Roman" w:eastAsia="宋体" w:cs="Times New Roman"/>
                <w:b w:val="0"/>
                <w:bCs w:val="0"/>
                <w:szCs w:val="21"/>
              </w:rPr>
            </w:pPr>
            <w:r>
              <w:rPr>
                <w:rFonts w:hint="eastAsia" w:ascii="Times New Roman" w:hAnsi="Times New Roman" w:eastAsia="宋体" w:cs="Times New Roman"/>
                <w:b/>
                <w:bCs/>
                <w:szCs w:val="21"/>
              </w:rPr>
              <w:t>注：</w:t>
            </w:r>
            <w:r>
              <w:rPr>
                <w:rFonts w:hint="eastAsia" w:ascii="Times New Roman" w:hAnsi="Times New Roman" w:eastAsia="宋体" w:cs="Times New Roman"/>
                <w:b w:val="0"/>
                <w:bCs w:val="0"/>
                <w:szCs w:val="21"/>
                <w:lang w:val="en-US" w:eastAsia="zh-CN"/>
              </w:rPr>
              <w:t>①</w:t>
            </w:r>
            <w:r>
              <w:rPr>
                <w:rFonts w:hint="eastAsia" w:ascii="Times New Roman" w:hAnsi="Times New Roman" w:eastAsia="宋体" w:cs="Times New Roman"/>
                <w:b w:val="0"/>
                <w:bCs w:val="0"/>
                <w:szCs w:val="21"/>
              </w:rPr>
              <w:t>pH无量纲。</w:t>
            </w:r>
          </w:p>
          <w:p w14:paraId="432039E2">
            <w:pPr>
              <w:ind w:firstLine="420" w:firstLineChars="200"/>
              <w:rPr>
                <w:rFonts w:hint="default" w:ascii="Times New Roman" w:hAnsi="Times New Roman" w:eastAsia="宋体" w:cs="Times New Roman"/>
                <w:b w:val="0"/>
                <w:bCs w:val="0"/>
                <w:szCs w:val="21"/>
                <w:lang w:val="en-US" w:eastAsia="zh-CN"/>
              </w:rPr>
            </w:pPr>
            <w:r>
              <w:rPr>
                <w:rFonts w:hint="eastAsia" w:ascii="Times New Roman" w:hAnsi="Times New Roman" w:eastAsia="宋体" w:cs="Times New Roman"/>
                <w:b w:val="0"/>
                <w:bCs w:val="0"/>
                <w:szCs w:val="21"/>
                <w:lang w:val="en-US" w:eastAsia="zh-CN"/>
              </w:rPr>
              <w:t xml:space="preserve">    ②本项目WS001排放口依托租赁厂区已有污水管网，并在接入前设置一个采样口，一旦总排污口发生污染事故，通过水质监测数据的达标情况即可明确责任主体。</w:t>
            </w:r>
          </w:p>
          <w:p w14:paraId="5B397C7C">
            <w:pPr>
              <w:spacing w:line="480" w:lineRule="exact"/>
              <w:ind w:firstLine="480" w:firstLineChars="200"/>
              <w:rPr>
                <w:sz w:val="24"/>
              </w:rPr>
            </w:pPr>
            <w:r>
              <w:rPr>
                <w:sz w:val="24"/>
              </w:rPr>
              <w:t>全厂废水污染物排放执行标准见表4-5。</w:t>
            </w:r>
          </w:p>
          <w:p w14:paraId="476982FA">
            <w:pPr>
              <w:spacing w:line="480" w:lineRule="exact"/>
              <w:jc w:val="center"/>
              <w:rPr>
                <w:b/>
                <w:sz w:val="24"/>
              </w:rPr>
            </w:pPr>
            <w:r>
              <w:rPr>
                <w:b/>
                <w:sz w:val="24"/>
              </w:rPr>
              <w:t>表4-5  废水污染物排放执行标准表</w:t>
            </w:r>
          </w:p>
          <w:tbl>
            <w:tblPr>
              <w:tblStyle w:val="27"/>
              <w:tblW w:w="5000" w:type="pct"/>
              <w:jc w:val="center"/>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40"/>
              <w:gridCol w:w="1088"/>
              <w:gridCol w:w="1076"/>
              <w:gridCol w:w="4163"/>
              <w:gridCol w:w="2024"/>
            </w:tblGrid>
            <w:tr w14:paraId="01AB68F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Merge w:val="restart"/>
                  <w:tcBorders>
                    <w:top w:val="single" w:color="auto" w:sz="12" w:space="0"/>
                  </w:tcBorders>
                  <w:vAlign w:val="center"/>
                </w:tcPr>
                <w:p w14:paraId="35D29A2C">
                  <w:pPr>
                    <w:pStyle w:val="25"/>
                    <w:spacing w:before="0" w:after="0"/>
                    <w:ind w:right="0" w:firstLine="0" w:firstLineChars="0"/>
                    <w:jc w:val="center"/>
                    <w:rPr>
                      <w:b/>
                      <w:bCs/>
                      <w:szCs w:val="21"/>
                    </w:rPr>
                  </w:pPr>
                  <w:r>
                    <w:rPr>
                      <w:b/>
                      <w:bCs/>
                      <w:szCs w:val="21"/>
                    </w:rPr>
                    <w:t>序号</w:t>
                  </w:r>
                </w:p>
              </w:tc>
              <w:tc>
                <w:tcPr>
                  <w:tcW w:w="612" w:type="pct"/>
                  <w:vMerge w:val="restart"/>
                  <w:tcBorders>
                    <w:top w:val="single" w:color="auto" w:sz="12" w:space="0"/>
                  </w:tcBorders>
                  <w:vAlign w:val="center"/>
                </w:tcPr>
                <w:p w14:paraId="6B714C4B">
                  <w:pPr>
                    <w:pStyle w:val="25"/>
                    <w:spacing w:before="0" w:after="0"/>
                    <w:ind w:right="0" w:firstLine="0" w:firstLineChars="0"/>
                    <w:jc w:val="center"/>
                    <w:rPr>
                      <w:b/>
                      <w:bCs/>
                      <w:szCs w:val="21"/>
                    </w:rPr>
                  </w:pPr>
                  <w:r>
                    <w:rPr>
                      <w:b/>
                      <w:bCs/>
                      <w:szCs w:val="21"/>
                    </w:rPr>
                    <w:t>排放口</w:t>
                  </w:r>
                </w:p>
                <w:p w14:paraId="7488CFEE">
                  <w:pPr>
                    <w:pStyle w:val="25"/>
                    <w:spacing w:before="0" w:after="0"/>
                    <w:ind w:right="0" w:firstLine="0" w:firstLineChars="0"/>
                    <w:jc w:val="center"/>
                    <w:rPr>
                      <w:b/>
                      <w:bCs/>
                      <w:szCs w:val="21"/>
                    </w:rPr>
                  </w:pPr>
                  <w:r>
                    <w:rPr>
                      <w:b/>
                      <w:bCs/>
                      <w:szCs w:val="21"/>
                    </w:rPr>
                    <w:t>编号</w:t>
                  </w:r>
                </w:p>
              </w:tc>
              <w:tc>
                <w:tcPr>
                  <w:tcW w:w="605" w:type="pct"/>
                  <w:vMerge w:val="restart"/>
                  <w:tcBorders>
                    <w:top w:val="single" w:color="auto" w:sz="12" w:space="0"/>
                  </w:tcBorders>
                  <w:vAlign w:val="center"/>
                </w:tcPr>
                <w:p w14:paraId="3F9DD2E0">
                  <w:pPr>
                    <w:pStyle w:val="25"/>
                    <w:spacing w:before="0" w:after="0"/>
                    <w:ind w:right="0" w:firstLine="0" w:firstLineChars="0"/>
                    <w:jc w:val="center"/>
                    <w:rPr>
                      <w:b/>
                      <w:bCs/>
                      <w:szCs w:val="21"/>
                    </w:rPr>
                  </w:pPr>
                  <w:r>
                    <w:rPr>
                      <w:b/>
                      <w:bCs/>
                      <w:szCs w:val="21"/>
                    </w:rPr>
                    <w:t>污染物种类</w:t>
                  </w:r>
                </w:p>
              </w:tc>
              <w:tc>
                <w:tcPr>
                  <w:tcW w:w="3479" w:type="pct"/>
                  <w:gridSpan w:val="2"/>
                  <w:tcBorders>
                    <w:top w:val="single" w:color="auto" w:sz="12" w:space="0"/>
                  </w:tcBorders>
                  <w:vAlign w:val="center"/>
                </w:tcPr>
                <w:p w14:paraId="24AFA721">
                  <w:pPr>
                    <w:pStyle w:val="25"/>
                    <w:spacing w:before="0" w:after="0"/>
                    <w:ind w:right="0" w:firstLine="0" w:firstLineChars="0"/>
                    <w:jc w:val="center"/>
                    <w:rPr>
                      <w:b/>
                      <w:bCs/>
                      <w:szCs w:val="21"/>
                    </w:rPr>
                  </w:pPr>
                  <w:r>
                    <w:rPr>
                      <w:rFonts w:hint="eastAsia"/>
                      <w:b/>
                      <w:bCs/>
                      <w:szCs w:val="21"/>
                    </w:rPr>
                    <w:t>国家</w:t>
                  </w:r>
                  <w:r>
                    <w:rPr>
                      <w:b/>
                      <w:bCs/>
                      <w:szCs w:val="21"/>
                    </w:rPr>
                    <w:t>或地方污染物排放标准及其他按规定商定的排放协议</w:t>
                  </w:r>
                </w:p>
              </w:tc>
            </w:tr>
            <w:tr w14:paraId="54C7349F">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Merge w:val="continue"/>
                  <w:vAlign w:val="center"/>
                </w:tcPr>
                <w:p w14:paraId="27E6AC9D">
                  <w:pPr>
                    <w:pStyle w:val="25"/>
                    <w:spacing w:before="0" w:after="0"/>
                    <w:ind w:right="0" w:firstLine="0" w:firstLineChars="0"/>
                    <w:jc w:val="center"/>
                    <w:rPr>
                      <w:b/>
                      <w:bCs/>
                      <w:szCs w:val="21"/>
                    </w:rPr>
                  </w:pPr>
                </w:p>
              </w:tc>
              <w:tc>
                <w:tcPr>
                  <w:tcW w:w="612" w:type="pct"/>
                  <w:vMerge w:val="continue"/>
                  <w:vAlign w:val="center"/>
                </w:tcPr>
                <w:p w14:paraId="5778D78E">
                  <w:pPr>
                    <w:pStyle w:val="25"/>
                    <w:spacing w:before="0" w:after="0"/>
                    <w:ind w:right="0" w:firstLine="0" w:firstLineChars="0"/>
                    <w:jc w:val="center"/>
                    <w:rPr>
                      <w:b/>
                      <w:bCs/>
                      <w:szCs w:val="21"/>
                    </w:rPr>
                  </w:pPr>
                </w:p>
              </w:tc>
              <w:tc>
                <w:tcPr>
                  <w:tcW w:w="605" w:type="pct"/>
                  <w:vMerge w:val="continue"/>
                  <w:vAlign w:val="center"/>
                </w:tcPr>
                <w:p w14:paraId="51F24F3B">
                  <w:pPr>
                    <w:pStyle w:val="25"/>
                    <w:spacing w:before="0" w:after="0"/>
                    <w:ind w:right="0" w:firstLine="0" w:firstLineChars="0"/>
                    <w:jc w:val="center"/>
                    <w:rPr>
                      <w:b/>
                      <w:bCs/>
                      <w:szCs w:val="21"/>
                    </w:rPr>
                  </w:pPr>
                </w:p>
              </w:tc>
              <w:tc>
                <w:tcPr>
                  <w:tcW w:w="2341" w:type="pct"/>
                  <w:vAlign w:val="center"/>
                </w:tcPr>
                <w:p w14:paraId="57D672CF">
                  <w:pPr>
                    <w:pStyle w:val="25"/>
                    <w:spacing w:before="0" w:after="0"/>
                    <w:ind w:right="0" w:firstLine="0" w:firstLineChars="0"/>
                    <w:jc w:val="center"/>
                    <w:rPr>
                      <w:b/>
                      <w:bCs/>
                      <w:szCs w:val="21"/>
                    </w:rPr>
                  </w:pPr>
                  <w:r>
                    <w:rPr>
                      <w:b/>
                      <w:bCs/>
                      <w:szCs w:val="21"/>
                    </w:rPr>
                    <w:t>名称</w:t>
                  </w:r>
                </w:p>
              </w:tc>
              <w:tc>
                <w:tcPr>
                  <w:tcW w:w="1138" w:type="pct"/>
                  <w:vAlign w:val="center"/>
                </w:tcPr>
                <w:p w14:paraId="58FF4A03">
                  <w:pPr>
                    <w:pStyle w:val="25"/>
                    <w:spacing w:before="0" w:after="0"/>
                    <w:ind w:right="0" w:firstLine="0" w:firstLineChars="0"/>
                    <w:jc w:val="center"/>
                    <w:rPr>
                      <w:b/>
                      <w:bCs/>
                      <w:szCs w:val="21"/>
                    </w:rPr>
                  </w:pPr>
                  <w:r>
                    <w:rPr>
                      <w:b/>
                      <w:bCs/>
                      <w:szCs w:val="21"/>
                    </w:rPr>
                    <w:t>浓度限值</w:t>
                  </w:r>
                  <w:r>
                    <w:rPr>
                      <w:rFonts w:hint="eastAsia"/>
                      <w:b/>
                      <w:bCs/>
                      <w:szCs w:val="21"/>
                    </w:rPr>
                    <w:t>（</w:t>
                  </w:r>
                  <w:r>
                    <w:rPr>
                      <w:b/>
                      <w:bCs/>
                      <w:szCs w:val="21"/>
                    </w:rPr>
                    <w:t>mg/L）</w:t>
                  </w:r>
                </w:p>
              </w:tc>
            </w:tr>
            <w:tr w14:paraId="6083596D">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Align w:val="center"/>
                </w:tcPr>
                <w:p w14:paraId="793AA84D">
                  <w:pPr>
                    <w:pStyle w:val="25"/>
                    <w:spacing w:before="0" w:after="0"/>
                    <w:ind w:right="0" w:firstLine="0" w:firstLineChars="0"/>
                    <w:jc w:val="center"/>
                    <w:rPr>
                      <w:szCs w:val="21"/>
                    </w:rPr>
                  </w:pPr>
                  <w:r>
                    <w:rPr>
                      <w:szCs w:val="21"/>
                    </w:rPr>
                    <w:t>1</w:t>
                  </w:r>
                </w:p>
              </w:tc>
              <w:tc>
                <w:tcPr>
                  <w:tcW w:w="612" w:type="pct"/>
                  <w:vMerge w:val="restart"/>
                  <w:vAlign w:val="center"/>
                </w:tcPr>
                <w:p w14:paraId="5A578B6E">
                  <w:pPr>
                    <w:pStyle w:val="25"/>
                    <w:spacing w:before="0" w:after="0"/>
                    <w:ind w:right="0" w:firstLine="0" w:firstLineChars="0"/>
                    <w:jc w:val="center"/>
                    <w:rPr>
                      <w:szCs w:val="21"/>
                    </w:rPr>
                  </w:pPr>
                  <w:r>
                    <w:rPr>
                      <w:szCs w:val="21"/>
                    </w:rPr>
                    <w:t>WS001</w:t>
                  </w:r>
                </w:p>
              </w:tc>
              <w:tc>
                <w:tcPr>
                  <w:tcW w:w="605" w:type="pct"/>
                  <w:vAlign w:val="center"/>
                </w:tcPr>
                <w:p w14:paraId="6B8CE5BB">
                  <w:pPr>
                    <w:pStyle w:val="25"/>
                    <w:spacing w:before="0" w:after="0"/>
                    <w:ind w:right="0" w:firstLine="0" w:firstLineChars="0"/>
                    <w:jc w:val="center"/>
                    <w:rPr>
                      <w:szCs w:val="21"/>
                    </w:rPr>
                  </w:pPr>
                  <w:r>
                    <w:rPr>
                      <w:szCs w:val="21"/>
                    </w:rPr>
                    <w:t>COD</w:t>
                  </w:r>
                </w:p>
              </w:tc>
              <w:tc>
                <w:tcPr>
                  <w:tcW w:w="2341" w:type="pct"/>
                  <w:vMerge w:val="restart"/>
                  <w:vAlign w:val="center"/>
                </w:tcPr>
                <w:p w14:paraId="175630EB">
                  <w:pPr>
                    <w:pStyle w:val="68"/>
                    <w:jc w:val="center"/>
                    <w:rPr>
                      <w:rFonts w:cs="Times New Roman"/>
                      <w:szCs w:val="21"/>
                    </w:rPr>
                  </w:pPr>
                  <w:r>
                    <w:rPr>
                      <w:rFonts w:cs="Times New Roman"/>
                      <w:szCs w:val="21"/>
                    </w:rPr>
                    <w:t>《太湖地区城镇污水处理厂及重点工业行业主要水污染物排放限值》</w:t>
                  </w:r>
                  <w:r>
                    <w:rPr>
                      <w:rFonts w:hint="eastAsia" w:cs="Times New Roman"/>
                      <w:szCs w:val="21"/>
                    </w:rPr>
                    <w:t>（</w:t>
                  </w:r>
                  <w:r>
                    <w:rPr>
                      <w:rFonts w:cs="Times New Roman"/>
                      <w:szCs w:val="21"/>
                    </w:rPr>
                    <w:t>DB32/1072-2018</w:t>
                  </w:r>
                  <w:r>
                    <w:rPr>
                      <w:rFonts w:hint="eastAsia" w:cs="Times New Roman"/>
                      <w:szCs w:val="21"/>
                    </w:rPr>
                    <w:t>）（目前执行标准）</w:t>
                  </w:r>
                </w:p>
              </w:tc>
              <w:tc>
                <w:tcPr>
                  <w:tcW w:w="1138" w:type="pct"/>
                  <w:vAlign w:val="center"/>
                </w:tcPr>
                <w:p w14:paraId="609F761E">
                  <w:pPr>
                    <w:pStyle w:val="68"/>
                    <w:jc w:val="center"/>
                    <w:rPr>
                      <w:rFonts w:cs="Times New Roman"/>
                      <w:snapToGrid w:val="0"/>
                      <w:szCs w:val="21"/>
                    </w:rPr>
                  </w:pPr>
                  <w:r>
                    <w:rPr>
                      <w:rFonts w:cs="Times New Roman"/>
                      <w:szCs w:val="21"/>
                    </w:rPr>
                    <w:t>50</w:t>
                  </w:r>
                </w:p>
              </w:tc>
            </w:tr>
            <w:tr w14:paraId="4A1BE21B">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Align w:val="center"/>
                </w:tcPr>
                <w:p w14:paraId="2A0AA675">
                  <w:pPr>
                    <w:pStyle w:val="25"/>
                    <w:spacing w:before="0" w:after="0"/>
                    <w:ind w:right="0" w:firstLine="0" w:firstLineChars="0"/>
                    <w:jc w:val="center"/>
                    <w:rPr>
                      <w:szCs w:val="21"/>
                    </w:rPr>
                  </w:pPr>
                  <w:r>
                    <w:rPr>
                      <w:szCs w:val="21"/>
                    </w:rPr>
                    <w:t>2</w:t>
                  </w:r>
                </w:p>
              </w:tc>
              <w:tc>
                <w:tcPr>
                  <w:tcW w:w="612" w:type="pct"/>
                  <w:vMerge w:val="continue"/>
                  <w:vAlign w:val="center"/>
                </w:tcPr>
                <w:p w14:paraId="75A093A4">
                  <w:pPr>
                    <w:pStyle w:val="25"/>
                    <w:spacing w:before="0" w:after="0"/>
                    <w:ind w:right="0" w:firstLine="0" w:firstLineChars="0"/>
                    <w:jc w:val="center"/>
                    <w:rPr>
                      <w:szCs w:val="21"/>
                    </w:rPr>
                  </w:pPr>
                </w:p>
              </w:tc>
              <w:tc>
                <w:tcPr>
                  <w:tcW w:w="605" w:type="pct"/>
                  <w:vAlign w:val="center"/>
                </w:tcPr>
                <w:p w14:paraId="2C4D032D">
                  <w:pPr>
                    <w:pStyle w:val="25"/>
                    <w:spacing w:before="0" w:after="0"/>
                    <w:ind w:right="0" w:firstLine="0" w:firstLineChars="0"/>
                    <w:jc w:val="center"/>
                    <w:rPr>
                      <w:szCs w:val="21"/>
                    </w:rPr>
                  </w:pPr>
                  <w:r>
                    <w:rPr>
                      <w:szCs w:val="21"/>
                    </w:rPr>
                    <w:t>NH</w:t>
                  </w:r>
                  <w:r>
                    <w:rPr>
                      <w:szCs w:val="21"/>
                      <w:vertAlign w:val="subscript"/>
                    </w:rPr>
                    <w:t>3</w:t>
                  </w:r>
                  <w:r>
                    <w:rPr>
                      <w:szCs w:val="21"/>
                    </w:rPr>
                    <w:t>-N</w:t>
                  </w:r>
                </w:p>
              </w:tc>
              <w:tc>
                <w:tcPr>
                  <w:tcW w:w="2341" w:type="pct"/>
                  <w:vMerge w:val="continue"/>
                  <w:vAlign w:val="center"/>
                </w:tcPr>
                <w:p w14:paraId="217F8DEC">
                  <w:pPr>
                    <w:pStyle w:val="25"/>
                    <w:spacing w:before="0" w:after="0"/>
                    <w:ind w:right="0" w:firstLine="0" w:firstLineChars="0"/>
                    <w:jc w:val="center"/>
                    <w:rPr>
                      <w:szCs w:val="21"/>
                    </w:rPr>
                  </w:pPr>
                </w:p>
              </w:tc>
              <w:tc>
                <w:tcPr>
                  <w:tcW w:w="1138" w:type="pct"/>
                  <w:vAlign w:val="center"/>
                </w:tcPr>
                <w:p w14:paraId="35744F88">
                  <w:pPr>
                    <w:pStyle w:val="68"/>
                    <w:jc w:val="center"/>
                    <w:rPr>
                      <w:rFonts w:cs="Times New Roman"/>
                      <w:snapToGrid w:val="0"/>
                      <w:szCs w:val="21"/>
                      <w:vertAlign w:val="superscript"/>
                    </w:rPr>
                  </w:pPr>
                  <w:r>
                    <w:rPr>
                      <w:rFonts w:cs="Times New Roman"/>
                      <w:szCs w:val="21"/>
                    </w:rPr>
                    <w:t>4</w:t>
                  </w:r>
                  <w:r>
                    <w:rPr>
                      <w:rFonts w:hint="eastAsia" w:cs="Times New Roman"/>
                      <w:szCs w:val="21"/>
                    </w:rPr>
                    <w:t>(</w:t>
                  </w:r>
                  <w:r>
                    <w:rPr>
                      <w:rFonts w:cs="Times New Roman"/>
                      <w:szCs w:val="21"/>
                    </w:rPr>
                    <w:t>6</w:t>
                  </w:r>
                  <w:r>
                    <w:rPr>
                      <w:rFonts w:hint="eastAsia" w:cs="Times New Roman"/>
                      <w:szCs w:val="21"/>
                    </w:rPr>
                    <w:t>)*</w:t>
                  </w:r>
                </w:p>
              </w:tc>
            </w:tr>
            <w:tr w14:paraId="31B9E361">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Align w:val="center"/>
                </w:tcPr>
                <w:p w14:paraId="2ABE0D83">
                  <w:pPr>
                    <w:pStyle w:val="25"/>
                    <w:spacing w:before="0" w:after="0"/>
                    <w:ind w:right="0" w:firstLine="0" w:firstLineChars="0"/>
                    <w:jc w:val="center"/>
                    <w:rPr>
                      <w:szCs w:val="21"/>
                    </w:rPr>
                  </w:pPr>
                  <w:r>
                    <w:rPr>
                      <w:szCs w:val="21"/>
                    </w:rPr>
                    <w:t>3</w:t>
                  </w:r>
                </w:p>
              </w:tc>
              <w:tc>
                <w:tcPr>
                  <w:tcW w:w="612" w:type="pct"/>
                  <w:vMerge w:val="continue"/>
                  <w:vAlign w:val="center"/>
                </w:tcPr>
                <w:p w14:paraId="58191D0D">
                  <w:pPr>
                    <w:pStyle w:val="25"/>
                    <w:spacing w:before="0" w:after="0"/>
                    <w:ind w:right="0" w:firstLine="0" w:firstLineChars="0"/>
                    <w:jc w:val="center"/>
                    <w:rPr>
                      <w:szCs w:val="21"/>
                    </w:rPr>
                  </w:pPr>
                </w:p>
              </w:tc>
              <w:tc>
                <w:tcPr>
                  <w:tcW w:w="605" w:type="pct"/>
                  <w:vAlign w:val="center"/>
                </w:tcPr>
                <w:p w14:paraId="567C59FB">
                  <w:pPr>
                    <w:pStyle w:val="25"/>
                    <w:spacing w:before="0" w:after="0"/>
                    <w:ind w:right="0" w:firstLine="0" w:firstLineChars="0"/>
                    <w:jc w:val="center"/>
                    <w:rPr>
                      <w:szCs w:val="21"/>
                    </w:rPr>
                  </w:pPr>
                  <w:r>
                    <w:rPr>
                      <w:szCs w:val="21"/>
                    </w:rPr>
                    <w:t>TP</w:t>
                  </w:r>
                </w:p>
              </w:tc>
              <w:tc>
                <w:tcPr>
                  <w:tcW w:w="2341" w:type="pct"/>
                  <w:vMerge w:val="continue"/>
                  <w:vAlign w:val="center"/>
                </w:tcPr>
                <w:p w14:paraId="7B94DF5A">
                  <w:pPr>
                    <w:pStyle w:val="25"/>
                    <w:spacing w:before="0" w:after="0"/>
                    <w:ind w:right="0" w:firstLine="0" w:firstLineChars="0"/>
                    <w:jc w:val="center"/>
                    <w:rPr>
                      <w:szCs w:val="21"/>
                    </w:rPr>
                  </w:pPr>
                </w:p>
              </w:tc>
              <w:tc>
                <w:tcPr>
                  <w:tcW w:w="1138" w:type="pct"/>
                  <w:vAlign w:val="center"/>
                </w:tcPr>
                <w:p w14:paraId="1949727D">
                  <w:pPr>
                    <w:pStyle w:val="68"/>
                    <w:jc w:val="center"/>
                    <w:rPr>
                      <w:rFonts w:cs="Times New Roman"/>
                      <w:snapToGrid w:val="0"/>
                      <w:szCs w:val="21"/>
                    </w:rPr>
                  </w:pPr>
                  <w:r>
                    <w:rPr>
                      <w:rFonts w:cs="Times New Roman"/>
                      <w:szCs w:val="21"/>
                    </w:rPr>
                    <w:t>0.5</w:t>
                  </w:r>
                </w:p>
              </w:tc>
            </w:tr>
            <w:tr w14:paraId="6879BC2F">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Align w:val="center"/>
                </w:tcPr>
                <w:p w14:paraId="4354BC08">
                  <w:pPr>
                    <w:pStyle w:val="25"/>
                    <w:spacing w:before="0" w:after="0"/>
                    <w:ind w:right="0" w:firstLine="0" w:firstLineChars="0"/>
                    <w:jc w:val="center"/>
                    <w:rPr>
                      <w:szCs w:val="21"/>
                    </w:rPr>
                  </w:pPr>
                  <w:r>
                    <w:rPr>
                      <w:szCs w:val="21"/>
                    </w:rPr>
                    <w:t>4</w:t>
                  </w:r>
                </w:p>
              </w:tc>
              <w:tc>
                <w:tcPr>
                  <w:tcW w:w="612" w:type="pct"/>
                  <w:vMerge w:val="continue"/>
                  <w:vAlign w:val="center"/>
                </w:tcPr>
                <w:p w14:paraId="24BE56CD">
                  <w:pPr>
                    <w:pStyle w:val="25"/>
                    <w:spacing w:before="0" w:after="0"/>
                    <w:ind w:right="0" w:firstLine="0" w:firstLineChars="0"/>
                    <w:jc w:val="center"/>
                    <w:rPr>
                      <w:szCs w:val="21"/>
                    </w:rPr>
                  </w:pPr>
                </w:p>
              </w:tc>
              <w:tc>
                <w:tcPr>
                  <w:tcW w:w="605" w:type="pct"/>
                  <w:vAlign w:val="center"/>
                </w:tcPr>
                <w:p w14:paraId="3514AC6C">
                  <w:pPr>
                    <w:pStyle w:val="25"/>
                    <w:spacing w:before="0" w:after="0"/>
                    <w:ind w:right="0" w:firstLine="0" w:firstLineChars="0"/>
                    <w:jc w:val="center"/>
                    <w:rPr>
                      <w:szCs w:val="21"/>
                    </w:rPr>
                  </w:pPr>
                  <w:r>
                    <w:rPr>
                      <w:szCs w:val="21"/>
                    </w:rPr>
                    <w:t>TN</w:t>
                  </w:r>
                </w:p>
              </w:tc>
              <w:tc>
                <w:tcPr>
                  <w:tcW w:w="2341" w:type="pct"/>
                  <w:vMerge w:val="continue"/>
                  <w:vAlign w:val="center"/>
                </w:tcPr>
                <w:p w14:paraId="75277CAE">
                  <w:pPr>
                    <w:pStyle w:val="25"/>
                    <w:spacing w:before="0" w:after="0"/>
                    <w:ind w:right="0" w:firstLine="0" w:firstLineChars="0"/>
                    <w:jc w:val="center"/>
                    <w:rPr>
                      <w:szCs w:val="21"/>
                    </w:rPr>
                  </w:pPr>
                </w:p>
              </w:tc>
              <w:tc>
                <w:tcPr>
                  <w:tcW w:w="1138" w:type="pct"/>
                  <w:vAlign w:val="center"/>
                </w:tcPr>
                <w:p w14:paraId="06E70A10">
                  <w:pPr>
                    <w:pStyle w:val="68"/>
                    <w:jc w:val="center"/>
                    <w:rPr>
                      <w:rFonts w:cs="Times New Roman"/>
                      <w:snapToGrid w:val="0"/>
                      <w:szCs w:val="21"/>
                    </w:rPr>
                  </w:pPr>
                  <w:r>
                    <w:rPr>
                      <w:rFonts w:cs="Times New Roman"/>
                      <w:szCs w:val="21"/>
                    </w:rPr>
                    <w:t>12</w:t>
                  </w:r>
                  <w:r>
                    <w:rPr>
                      <w:rFonts w:hint="eastAsia" w:cs="Times New Roman"/>
                      <w:szCs w:val="21"/>
                    </w:rPr>
                    <w:t>(</w:t>
                  </w:r>
                  <w:r>
                    <w:rPr>
                      <w:rFonts w:cs="Times New Roman"/>
                      <w:szCs w:val="21"/>
                    </w:rPr>
                    <w:t>15</w:t>
                  </w:r>
                  <w:r>
                    <w:rPr>
                      <w:rFonts w:hint="eastAsia" w:cs="Times New Roman"/>
                      <w:szCs w:val="21"/>
                    </w:rPr>
                    <w:t>)*</w:t>
                  </w:r>
                </w:p>
              </w:tc>
            </w:tr>
            <w:tr w14:paraId="52505432">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Align w:val="center"/>
                </w:tcPr>
                <w:p w14:paraId="21355601">
                  <w:pPr>
                    <w:pStyle w:val="25"/>
                    <w:spacing w:before="0" w:after="0"/>
                    <w:ind w:right="0" w:firstLine="0" w:firstLineChars="0"/>
                    <w:jc w:val="center"/>
                    <w:rPr>
                      <w:szCs w:val="21"/>
                    </w:rPr>
                  </w:pPr>
                  <w:r>
                    <w:rPr>
                      <w:rFonts w:hint="eastAsia"/>
                      <w:szCs w:val="21"/>
                    </w:rPr>
                    <w:t>5</w:t>
                  </w:r>
                </w:p>
              </w:tc>
              <w:tc>
                <w:tcPr>
                  <w:tcW w:w="612" w:type="pct"/>
                  <w:vMerge w:val="continue"/>
                  <w:vAlign w:val="center"/>
                </w:tcPr>
                <w:p w14:paraId="163132AB">
                  <w:pPr>
                    <w:pStyle w:val="25"/>
                    <w:spacing w:before="0" w:after="0"/>
                    <w:ind w:right="0" w:firstLine="0" w:firstLineChars="0"/>
                    <w:jc w:val="center"/>
                    <w:rPr>
                      <w:szCs w:val="21"/>
                    </w:rPr>
                  </w:pPr>
                </w:p>
              </w:tc>
              <w:tc>
                <w:tcPr>
                  <w:tcW w:w="605" w:type="pct"/>
                  <w:vAlign w:val="center"/>
                </w:tcPr>
                <w:p w14:paraId="7871767A">
                  <w:pPr>
                    <w:pStyle w:val="25"/>
                    <w:spacing w:before="0" w:after="0"/>
                    <w:ind w:right="0" w:firstLine="0" w:firstLineChars="0"/>
                    <w:jc w:val="center"/>
                    <w:rPr>
                      <w:szCs w:val="21"/>
                    </w:rPr>
                  </w:pPr>
                  <w:r>
                    <w:rPr>
                      <w:szCs w:val="21"/>
                    </w:rPr>
                    <w:t>pH</w:t>
                  </w:r>
                </w:p>
              </w:tc>
              <w:tc>
                <w:tcPr>
                  <w:tcW w:w="2341" w:type="pct"/>
                  <w:vMerge w:val="restart"/>
                  <w:vAlign w:val="center"/>
                </w:tcPr>
                <w:p w14:paraId="33DB148A">
                  <w:pPr>
                    <w:pStyle w:val="25"/>
                    <w:spacing w:before="0" w:after="0"/>
                    <w:ind w:right="0" w:firstLine="0" w:firstLineChars="0"/>
                    <w:jc w:val="center"/>
                    <w:rPr>
                      <w:szCs w:val="21"/>
                    </w:rPr>
                  </w:pPr>
                  <w:r>
                    <w:rPr>
                      <w:szCs w:val="21"/>
                    </w:rPr>
                    <w:t>《城镇污水处理厂污染物排放标准》（GB18918-2002）</w:t>
                  </w:r>
                  <w:r>
                    <w:rPr>
                      <w:rFonts w:hint="eastAsia"/>
                      <w:szCs w:val="21"/>
                    </w:rPr>
                    <w:t>（目前执行标准）</w:t>
                  </w:r>
                </w:p>
              </w:tc>
              <w:tc>
                <w:tcPr>
                  <w:tcW w:w="1138" w:type="pct"/>
                  <w:vAlign w:val="center"/>
                </w:tcPr>
                <w:p w14:paraId="76AFD376">
                  <w:pPr>
                    <w:pStyle w:val="68"/>
                    <w:jc w:val="center"/>
                    <w:rPr>
                      <w:rFonts w:cs="Times New Roman"/>
                      <w:szCs w:val="21"/>
                    </w:rPr>
                  </w:pPr>
                  <w:r>
                    <w:rPr>
                      <w:rFonts w:cs="Times New Roman"/>
                      <w:szCs w:val="21"/>
                    </w:rPr>
                    <w:t>6</w:t>
                  </w:r>
                  <w:r>
                    <w:rPr>
                      <w:rFonts w:hint="eastAsia" w:cs="Times New Roman"/>
                      <w:szCs w:val="21"/>
                    </w:rPr>
                    <w:t>~</w:t>
                  </w:r>
                  <w:r>
                    <w:rPr>
                      <w:rFonts w:cs="Times New Roman"/>
                      <w:szCs w:val="21"/>
                    </w:rPr>
                    <w:t>9</w:t>
                  </w:r>
                  <w:r>
                    <w:rPr>
                      <w:rFonts w:hint="eastAsia"/>
                      <w:szCs w:val="21"/>
                    </w:rPr>
                    <w:t>（</w:t>
                  </w:r>
                  <w:r>
                    <w:rPr>
                      <w:rFonts w:hint="eastAsia" w:cs="Times New Roman"/>
                      <w:szCs w:val="21"/>
                    </w:rPr>
                    <w:t>无量纲</w:t>
                  </w:r>
                  <w:r>
                    <w:rPr>
                      <w:rFonts w:hint="eastAsia"/>
                      <w:szCs w:val="21"/>
                    </w:rPr>
                    <w:t>）</w:t>
                  </w:r>
                </w:p>
              </w:tc>
            </w:tr>
            <w:tr w14:paraId="1D52725D">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Align w:val="center"/>
                </w:tcPr>
                <w:p w14:paraId="6EBAE597">
                  <w:pPr>
                    <w:pStyle w:val="25"/>
                    <w:spacing w:before="0" w:after="0"/>
                    <w:ind w:right="0" w:firstLine="0" w:firstLineChars="0"/>
                    <w:jc w:val="center"/>
                    <w:rPr>
                      <w:szCs w:val="21"/>
                    </w:rPr>
                  </w:pPr>
                  <w:r>
                    <w:rPr>
                      <w:rFonts w:hint="eastAsia"/>
                      <w:szCs w:val="21"/>
                    </w:rPr>
                    <w:t>6</w:t>
                  </w:r>
                </w:p>
              </w:tc>
              <w:tc>
                <w:tcPr>
                  <w:tcW w:w="612" w:type="pct"/>
                  <w:vMerge w:val="continue"/>
                  <w:vAlign w:val="center"/>
                </w:tcPr>
                <w:p w14:paraId="1306D37C">
                  <w:pPr>
                    <w:pStyle w:val="25"/>
                    <w:spacing w:before="0" w:after="0"/>
                    <w:ind w:right="0" w:firstLine="0" w:firstLineChars="0"/>
                    <w:jc w:val="center"/>
                    <w:rPr>
                      <w:szCs w:val="21"/>
                    </w:rPr>
                  </w:pPr>
                </w:p>
              </w:tc>
              <w:tc>
                <w:tcPr>
                  <w:tcW w:w="605" w:type="pct"/>
                  <w:vAlign w:val="center"/>
                </w:tcPr>
                <w:p w14:paraId="07EBF8D1">
                  <w:pPr>
                    <w:pStyle w:val="25"/>
                    <w:spacing w:before="0" w:after="0"/>
                    <w:ind w:right="0" w:firstLine="0" w:firstLineChars="0"/>
                    <w:jc w:val="center"/>
                    <w:rPr>
                      <w:szCs w:val="21"/>
                    </w:rPr>
                  </w:pPr>
                  <w:r>
                    <w:rPr>
                      <w:szCs w:val="21"/>
                    </w:rPr>
                    <w:t>SS</w:t>
                  </w:r>
                </w:p>
              </w:tc>
              <w:tc>
                <w:tcPr>
                  <w:tcW w:w="2341" w:type="pct"/>
                  <w:vMerge w:val="continue"/>
                  <w:vAlign w:val="center"/>
                </w:tcPr>
                <w:p w14:paraId="02B52952">
                  <w:pPr>
                    <w:pStyle w:val="25"/>
                    <w:spacing w:before="0" w:after="0"/>
                    <w:ind w:right="0" w:firstLine="0" w:firstLineChars="0"/>
                    <w:jc w:val="center"/>
                    <w:rPr>
                      <w:szCs w:val="21"/>
                    </w:rPr>
                  </w:pPr>
                </w:p>
              </w:tc>
              <w:tc>
                <w:tcPr>
                  <w:tcW w:w="1138" w:type="pct"/>
                  <w:vAlign w:val="center"/>
                </w:tcPr>
                <w:p w14:paraId="7AFED586">
                  <w:pPr>
                    <w:pStyle w:val="68"/>
                    <w:jc w:val="center"/>
                    <w:rPr>
                      <w:rFonts w:cs="Times New Roman"/>
                      <w:szCs w:val="21"/>
                    </w:rPr>
                  </w:pPr>
                  <w:r>
                    <w:rPr>
                      <w:rFonts w:cs="Times New Roman"/>
                      <w:szCs w:val="21"/>
                    </w:rPr>
                    <w:t>10</w:t>
                  </w:r>
                </w:p>
              </w:tc>
            </w:tr>
            <w:tr w14:paraId="316CB5DF">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Align w:val="center"/>
                </w:tcPr>
                <w:p w14:paraId="7EFA2DED">
                  <w:pPr>
                    <w:pStyle w:val="25"/>
                    <w:spacing w:before="0" w:after="0"/>
                    <w:ind w:right="0" w:firstLine="0" w:firstLineChars="0"/>
                    <w:jc w:val="center"/>
                    <w:rPr>
                      <w:szCs w:val="21"/>
                    </w:rPr>
                  </w:pPr>
                  <w:r>
                    <w:rPr>
                      <w:szCs w:val="21"/>
                    </w:rPr>
                    <w:t>1</w:t>
                  </w:r>
                </w:p>
              </w:tc>
              <w:tc>
                <w:tcPr>
                  <w:tcW w:w="612" w:type="pct"/>
                  <w:vMerge w:val="restart"/>
                  <w:vAlign w:val="center"/>
                </w:tcPr>
                <w:p w14:paraId="5EC0DCA0">
                  <w:pPr>
                    <w:pStyle w:val="25"/>
                    <w:spacing w:before="0" w:after="0"/>
                    <w:ind w:right="0" w:firstLine="0" w:firstLineChars="0"/>
                    <w:jc w:val="center"/>
                    <w:rPr>
                      <w:szCs w:val="21"/>
                    </w:rPr>
                  </w:pPr>
                  <w:r>
                    <w:rPr>
                      <w:szCs w:val="21"/>
                    </w:rPr>
                    <w:t>WS001</w:t>
                  </w:r>
                </w:p>
              </w:tc>
              <w:tc>
                <w:tcPr>
                  <w:tcW w:w="605" w:type="pct"/>
                  <w:vAlign w:val="center"/>
                </w:tcPr>
                <w:p w14:paraId="27DCC5F6">
                  <w:pPr>
                    <w:jc w:val="center"/>
                    <w:rPr>
                      <w:szCs w:val="21"/>
                    </w:rPr>
                  </w:pPr>
                  <w:r>
                    <w:rPr>
                      <w:szCs w:val="21"/>
                    </w:rPr>
                    <w:t>COD</w:t>
                  </w:r>
                </w:p>
              </w:tc>
              <w:tc>
                <w:tcPr>
                  <w:tcW w:w="2341" w:type="pct"/>
                  <w:vMerge w:val="restart"/>
                  <w:vAlign w:val="center"/>
                </w:tcPr>
                <w:p w14:paraId="5BA32E0E">
                  <w:pPr>
                    <w:pStyle w:val="25"/>
                    <w:spacing w:before="0" w:after="0"/>
                    <w:ind w:right="0" w:firstLine="0" w:firstLineChars="0"/>
                    <w:jc w:val="center"/>
                    <w:rPr>
                      <w:szCs w:val="21"/>
                    </w:rPr>
                  </w:pPr>
                  <w:r>
                    <w:rPr>
                      <w:rFonts w:hint="eastAsia"/>
                      <w:szCs w:val="21"/>
                    </w:rPr>
                    <w:t>《城镇污水处理厂污染物排放标准》（DB32/4440-2022）</w:t>
                  </w:r>
                </w:p>
                <w:p w14:paraId="1E2AB810">
                  <w:pPr>
                    <w:pStyle w:val="25"/>
                    <w:spacing w:before="0" w:after="0"/>
                    <w:ind w:right="0" w:firstLine="0" w:firstLineChars="0"/>
                    <w:jc w:val="center"/>
                    <w:rPr>
                      <w:szCs w:val="21"/>
                    </w:rPr>
                  </w:pPr>
                  <w:r>
                    <w:rPr>
                      <w:rFonts w:hint="eastAsia"/>
                      <w:szCs w:val="21"/>
                    </w:rPr>
                    <w:t>（2026年3月29日起执行）</w:t>
                  </w:r>
                </w:p>
              </w:tc>
              <w:tc>
                <w:tcPr>
                  <w:tcW w:w="1138" w:type="pct"/>
                  <w:vAlign w:val="center"/>
                </w:tcPr>
                <w:p w14:paraId="67E403A5">
                  <w:pPr>
                    <w:jc w:val="center"/>
                    <w:rPr>
                      <w:szCs w:val="21"/>
                    </w:rPr>
                  </w:pPr>
                  <w:r>
                    <w:rPr>
                      <w:rFonts w:hint="eastAsia"/>
                      <w:szCs w:val="21"/>
                    </w:rPr>
                    <w:t>50</w:t>
                  </w:r>
                </w:p>
              </w:tc>
            </w:tr>
            <w:tr w14:paraId="0C194CA4">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Align w:val="center"/>
                </w:tcPr>
                <w:p w14:paraId="3289F930">
                  <w:pPr>
                    <w:pStyle w:val="25"/>
                    <w:spacing w:before="0" w:after="0"/>
                    <w:ind w:right="0" w:firstLine="0" w:firstLineChars="0"/>
                    <w:jc w:val="center"/>
                    <w:rPr>
                      <w:szCs w:val="21"/>
                    </w:rPr>
                  </w:pPr>
                  <w:r>
                    <w:rPr>
                      <w:szCs w:val="21"/>
                    </w:rPr>
                    <w:t>2</w:t>
                  </w:r>
                </w:p>
              </w:tc>
              <w:tc>
                <w:tcPr>
                  <w:tcW w:w="612" w:type="pct"/>
                  <w:vMerge w:val="continue"/>
                  <w:vAlign w:val="center"/>
                </w:tcPr>
                <w:p w14:paraId="722983B8">
                  <w:pPr>
                    <w:pStyle w:val="25"/>
                    <w:spacing w:before="0" w:after="0"/>
                    <w:ind w:right="0" w:firstLine="0" w:firstLineChars="0"/>
                    <w:jc w:val="center"/>
                    <w:rPr>
                      <w:szCs w:val="21"/>
                    </w:rPr>
                  </w:pPr>
                </w:p>
              </w:tc>
              <w:tc>
                <w:tcPr>
                  <w:tcW w:w="605" w:type="pct"/>
                  <w:vAlign w:val="center"/>
                </w:tcPr>
                <w:p w14:paraId="3DAF2F84">
                  <w:pPr>
                    <w:jc w:val="center"/>
                    <w:rPr>
                      <w:szCs w:val="21"/>
                    </w:rPr>
                  </w:pPr>
                  <w:r>
                    <w:rPr>
                      <w:szCs w:val="21"/>
                    </w:rPr>
                    <w:t>氨氮</w:t>
                  </w:r>
                </w:p>
              </w:tc>
              <w:tc>
                <w:tcPr>
                  <w:tcW w:w="2341" w:type="pct"/>
                  <w:vMerge w:val="continue"/>
                  <w:vAlign w:val="center"/>
                </w:tcPr>
                <w:p w14:paraId="04BEB698">
                  <w:pPr>
                    <w:pStyle w:val="25"/>
                    <w:spacing w:before="0" w:after="0"/>
                    <w:ind w:right="0" w:firstLine="0" w:firstLineChars="0"/>
                    <w:jc w:val="center"/>
                    <w:rPr>
                      <w:szCs w:val="21"/>
                    </w:rPr>
                  </w:pPr>
                </w:p>
              </w:tc>
              <w:tc>
                <w:tcPr>
                  <w:tcW w:w="1138" w:type="pct"/>
                  <w:vAlign w:val="center"/>
                </w:tcPr>
                <w:p w14:paraId="236F9E51">
                  <w:pPr>
                    <w:jc w:val="center"/>
                    <w:rPr>
                      <w:szCs w:val="21"/>
                    </w:rPr>
                  </w:pPr>
                  <w:r>
                    <w:rPr>
                      <w:szCs w:val="21"/>
                    </w:rPr>
                    <w:t>4</w:t>
                  </w:r>
                  <w:r>
                    <w:rPr>
                      <w:rFonts w:hint="eastAsia"/>
                      <w:szCs w:val="21"/>
                    </w:rPr>
                    <w:t>(</w:t>
                  </w:r>
                  <w:r>
                    <w:rPr>
                      <w:szCs w:val="21"/>
                    </w:rPr>
                    <w:t>6</w:t>
                  </w:r>
                  <w:r>
                    <w:rPr>
                      <w:rFonts w:hint="eastAsia"/>
                      <w:szCs w:val="21"/>
                    </w:rPr>
                    <w:t>)**</w:t>
                  </w:r>
                </w:p>
              </w:tc>
            </w:tr>
            <w:tr w14:paraId="0ACE4B3E">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Align w:val="center"/>
                </w:tcPr>
                <w:p w14:paraId="419DE06E">
                  <w:pPr>
                    <w:pStyle w:val="25"/>
                    <w:spacing w:before="0" w:after="0"/>
                    <w:ind w:right="0" w:firstLine="0" w:firstLineChars="0"/>
                    <w:jc w:val="center"/>
                    <w:rPr>
                      <w:szCs w:val="21"/>
                    </w:rPr>
                  </w:pPr>
                  <w:r>
                    <w:rPr>
                      <w:szCs w:val="21"/>
                    </w:rPr>
                    <w:t>3</w:t>
                  </w:r>
                </w:p>
              </w:tc>
              <w:tc>
                <w:tcPr>
                  <w:tcW w:w="612" w:type="pct"/>
                  <w:vMerge w:val="continue"/>
                  <w:vAlign w:val="center"/>
                </w:tcPr>
                <w:p w14:paraId="60B7C648">
                  <w:pPr>
                    <w:pStyle w:val="25"/>
                    <w:spacing w:before="0" w:after="0"/>
                    <w:ind w:right="0" w:firstLine="0" w:firstLineChars="0"/>
                    <w:jc w:val="center"/>
                    <w:rPr>
                      <w:szCs w:val="21"/>
                    </w:rPr>
                  </w:pPr>
                </w:p>
              </w:tc>
              <w:tc>
                <w:tcPr>
                  <w:tcW w:w="605" w:type="pct"/>
                  <w:vAlign w:val="center"/>
                </w:tcPr>
                <w:p w14:paraId="053EAEB2">
                  <w:pPr>
                    <w:jc w:val="center"/>
                    <w:rPr>
                      <w:szCs w:val="21"/>
                    </w:rPr>
                  </w:pPr>
                  <w:r>
                    <w:rPr>
                      <w:szCs w:val="21"/>
                    </w:rPr>
                    <w:t>总氮</w:t>
                  </w:r>
                </w:p>
              </w:tc>
              <w:tc>
                <w:tcPr>
                  <w:tcW w:w="2341" w:type="pct"/>
                  <w:vMerge w:val="continue"/>
                  <w:vAlign w:val="center"/>
                </w:tcPr>
                <w:p w14:paraId="50C0A3C7">
                  <w:pPr>
                    <w:pStyle w:val="25"/>
                    <w:spacing w:before="0" w:after="0"/>
                    <w:ind w:right="0" w:firstLine="0" w:firstLineChars="0"/>
                    <w:jc w:val="center"/>
                    <w:rPr>
                      <w:szCs w:val="21"/>
                    </w:rPr>
                  </w:pPr>
                </w:p>
              </w:tc>
              <w:tc>
                <w:tcPr>
                  <w:tcW w:w="1138" w:type="pct"/>
                  <w:vAlign w:val="center"/>
                </w:tcPr>
                <w:p w14:paraId="0957DD37">
                  <w:pPr>
                    <w:jc w:val="center"/>
                    <w:rPr>
                      <w:szCs w:val="21"/>
                    </w:rPr>
                  </w:pPr>
                  <w:r>
                    <w:rPr>
                      <w:szCs w:val="21"/>
                    </w:rPr>
                    <w:t>12</w:t>
                  </w:r>
                  <w:r>
                    <w:rPr>
                      <w:rFonts w:hint="eastAsia"/>
                      <w:szCs w:val="21"/>
                    </w:rPr>
                    <w:t>(</w:t>
                  </w:r>
                  <w:r>
                    <w:rPr>
                      <w:szCs w:val="21"/>
                    </w:rPr>
                    <w:t>15</w:t>
                  </w:r>
                  <w:r>
                    <w:rPr>
                      <w:rFonts w:hint="eastAsia"/>
                      <w:szCs w:val="21"/>
                    </w:rPr>
                    <w:t>)**</w:t>
                  </w:r>
                </w:p>
              </w:tc>
            </w:tr>
            <w:tr w14:paraId="1666F046">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Align w:val="center"/>
                </w:tcPr>
                <w:p w14:paraId="27294F35">
                  <w:pPr>
                    <w:pStyle w:val="25"/>
                    <w:spacing w:before="0" w:after="0"/>
                    <w:ind w:right="0" w:firstLine="0" w:firstLineChars="0"/>
                    <w:jc w:val="center"/>
                    <w:rPr>
                      <w:szCs w:val="21"/>
                    </w:rPr>
                  </w:pPr>
                  <w:r>
                    <w:rPr>
                      <w:szCs w:val="21"/>
                    </w:rPr>
                    <w:t>4</w:t>
                  </w:r>
                </w:p>
              </w:tc>
              <w:tc>
                <w:tcPr>
                  <w:tcW w:w="612" w:type="pct"/>
                  <w:vMerge w:val="continue"/>
                  <w:vAlign w:val="center"/>
                </w:tcPr>
                <w:p w14:paraId="76D07B3E">
                  <w:pPr>
                    <w:pStyle w:val="25"/>
                    <w:spacing w:before="0" w:after="0"/>
                    <w:ind w:right="0" w:firstLine="0" w:firstLineChars="0"/>
                    <w:jc w:val="center"/>
                    <w:rPr>
                      <w:szCs w:val="21"/>
                    </w:rPr>
                  </w:pPr>
                </w:p>
              </w:tc>
              <w:tc>
                <w:tcPr>
                  <w:tcW w:w="605" w:type="pct"/>
                  <w:vAlign w:val="center"/>
                </w:tcPr>
                <w:p w14:paraId="3714F54E">
                  <w:pPr>
                    <w:jc w:val="center"/>
                    <w:rPr>
                      <w:szCs w:val="21"/>
                    </w:rPr>
                  </w:pPr>
                  <w:r>
                    <w:rPr>
                      <w:szCs w:val="21"/>
                    </w:rPr>
                    <w:t>总磷</w:t>
                  </w:r>
                </w:p>
              </w:tc>
              <w:tc>
                <w:tcPr>
                  <w:tcW w:w="2341" w:type="pct"/>
                  <w:vMerge w:val="continue"/>
                  <w:vAlign w:val="center"/>
                </w:tcPr>
                <w:p w14:paraId="3A138DE0">
                  <w:pPr>
                    <w:pStyle w:val="25"/>
                    <w:spacing w:before="0" w:after="0"/>
                    <w:ind w:right="0" w:firstLine="0" w:firstLineChars="0"/>
                    <w:jc w:val="center"/>
                    <w:rPr>
                      <w:szCs w:val="21"/>
                    </w:rPr>
                  </w:pPr>
                </w:p>
              </w:tc>
              <w:tc>
                <w:tcPr>
                  <w:tcW w:w="1138" w:type="pct"/>
                  <w:vAlign w:val="center"/>
                </w:tcPr>
                <w:p w14:paraId="1B368A5E">
                  <w:pPr>
                    <w:jc w:val="center"/>
                    <w:rPr>
                      <w:szCs w:val="21"/>
                    </w:rPr>
                  </w:pPr>
                  <w:r>
                    <w:rPr>
                      <w:rFonts w:hint="eastAsia"/>
                      <w:szCs w:val="21"/>
                    </w:rPr>
                    <w:t>0.5</w:t>
                  </w:r>
                </w:p>
              </w:tc>
            </w:tr>
            <w:tr w14:paraId="34789473">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Align w:val="center"/>
                </w:tcPr>
                <w:p w14:paraId="061C62C8">
                  <w:pPr>
                    <w:pStyle w:val="25"/>
                    <w:spacing w:before="0" w:after="0"/>
                    <w:ind w:right="0" w:firstLine="0" w:firstLineChars="0"/>
                    <w:jc w:val="center"/>
                    <w:rPr>
                      <w:szCs w:val="21"/>
                    </w:rPr>
                  </w:pPr>
                  <w:r>
                    <w:rPr>
                      <w:szCs w:val="21"/>
                    </w:rPr>
                    <w:t>5</w:t>
                  </w:r>
                </w:p>
              </w:tc>
              <w:tc>
                <w:tcPr>
                  <w:tcW w:w="612" w:type="pct"/>
                  <w:vMerge w:val="continue"/>
                  <w:vAlign w:val="center"/>
                </w:tcPr>
                <w:p w14:paraId="0A0652B9">
                  <w:pPr>
                    <w:pStyle w:val="25"/>
                    <w:spacing w:before="0" w:after="0"/>
                    <w:ind w:right="0" w:firstLine="0" w:firstLineChars="0"/>
                    <w:jc w:val="center"/>
                    <w:rPr>
                      <w:szCs w:val="21"/>
                    </w:rPr>
                  </w:pPr>
                </w:p>
              </w:tc>
              <w:tc>
                <w:tcPr>
                  <w:tcW w:w="605" w:type="pct"/>
                  <w:vAlign w:val="center"/>
                </w:tcPr>
                <w:p w14:paraId="2FA0424C">
                  <w:pPr>
                    <w:jc w:val="center"/>
                    <w:rPr>
                      <w:szCs w:val="21"/>
                    </w:rPr>
                  </w:pPr>
                  <w:r>
                    <w:rPr>
                      <w:rFonts w:hint="eastAsia"/>
                      <w:szCs w:val="21"/>
                    </w:rPr>
                    <w:t>SS</w:t>
                  </w:r>
                </w:p>
              </w:tc>
              <w:tc>
                <w:tcPr>
                  <w:tcW w:w="2341" w:type="pct"/>
                  <w:vMerge w:val="continue"/>
                  <w:vAlign w:val="center"/>
                </w:tcPr>
                <w:p w14:paraId="321C3534">
                  <w:pPr>
                    <w:pStyle w:val="25"/>
                    <w:spacing w:before="0" w:after="0"/>
                    <w:ind w:right="0" w:firstLine="0" w:firstLineChars="0"/>
                    <w:jc w:val="center"/>
                    <w:rPr>
                      <w:szCs w:val="21"/>
                    </w:rPr>
                  </w:pPr>
                </w:p>
              </w:tc>
              <w:tc>
                <w:tcPr>
                  <w:tcW w:w="1138" w:type="pct"/>
                  <w:vAlign w:val="center"/>
                </w:tcPr>
                <w:p w14:paraId="7F31CC53">
                  <w:pPr>
                    <w:jc w:val="center"/>
                    <w:rPr>
                      <w:szCs w:val="21"/>
                    </w:rPr>
                  </w:pPr>
                  <w:r>
                    <w:rPr>
                      <w:rFonts w:hint="eastAsia"/>
                      <w:szCs w:val="21"/>
                    </w:rPr>
                    <w:t>10</w:t>
                  </w:r>
                </w:p>
              </w:tc>
            </w:tr>
            <w:tr w14:paraId="621100B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03" w:type="pct"/>
                  <w:vAlign w:val="center"/>
                </w:tcPr>
                <w:p w14:paraId="10E3C2D7">
                  <w:pPr>
                    <w:pStyle w:val="25"/>
                    <w:spacing w:before="0" w:after="0"/>
                    <w:ind w:right="0" w:firstLine="0" w:firstLineChars="0"/>
                    <w:jc w:val="center"/>
                    <w:rPr>
                      <w:szCs w:val="21"/>
                    </w:rPr>
                  </w:pPr>
                  <w:r>
                    <w:rPr>
                      <w:rFonts w:hint="eastAsia"/>
                      <w:szCs w:val="21"/>
                    </w:rPr>
                    <w:t>6</w:t>
                  </w:r>
                </w:p>
              </w:tc>
              <w:tc>
                <w:tcPr>
                  <w:tcW w:w="612" w:type="pct"/>
                  <w:vMerge w:val="continue"/>
                  <w:vAlign w:val="center"/>
                </w:tcPr>
                <w:p w14:paraId="0CB67B64">
                  <w:pPr>
                    <w:pStyle w:val="25"/>
                    <w:spacing w:before="0" w:after="0"/>
                    <w:ind w:right="0" w:firstLine="0" w:firstLineChars="0"/>
                    <w:jc w:val="center"/>
                    <w:rPr>
                      <w:szCs w:val="21"/>
                    </w:rPr>
                  </w:pPr>
                </w:p>
              </w:tc>
              <w:tc>
                <w:tcPr>
                  <w:tcW w:w="605" w:type="pct"/>
                  <w:vAlign w:val="center"/>
                </w:tcPr>
                <w:p w14:paraId="4FA8512B">
                  <w:pPr>
                    <w:jc w:val="center"/>
                    <w:rPr>
                      <w:szCs w:val="21"/>
                    </w:rPr>
                  </w:pPr>
                  <w:r>
                    <w:rPr>
                      <w:szCs w:val="21"/>
                    </w:rPr>
                    <w:t>pH</w:t>
                  </w:r>
                </w:p>
              </w:tc>
              <w:tc>
                <w:tcPr>
                  <w:tcW w:w="2341" w:type="pct"/>
                  <w:vMerge w:val="continue"/>
                  <w:vAlign w:val="center"/>
                </w:tcPr>
                <w:p w14:paraId="073EAE0D">
                  <w:pPr>
                    <w:pStyle w:val="25"/>
                    <w:spacing w:before="0" w:after="0"/>
                    <w:ind w:right="0" w:firstLine="0" w:firstLineChars="0"/>
                    <w:jc w:val="center"/>
                    <w:rPr>
                      <w:szCs w:val="21"/>
                    </w:rPr>
                  </w:pPr>
                </w:p>
              </w:tc>
              <w:tc>
                <w:tcPr>
                  <w:tcW w:w="1138" w:type="pct"/>
                  <w:vAlign w:val="center"/>
                </w:tcPr>
                <w:p w14:paraId="0AA7CA85">
                  <w:pPr>
                    <w:jc w:val="center"/>
                    <w:rPr>
                      <w:szCs w:val="21"/>
                    </w:rPr>
                  </w:pPr>
                  <w:r>
                    <w:rPr>
                      <w:szCs w:val="21"/>
                    </w:rPr>
                    <w:t>6</w:t>
                  </w:r>
                  <w:r>
                    <w:rPr>
                      <w:rFonts w:hint="eastAsia"/>
                      <w:szCs w:val="21"/>
                    </w:rPr>
                    <w:t>~</w:t>
                  </w:r>
                  <w:r>
                    <w:rPr>
                      <w:szCs w:val="21"/>
                    </w:rPr>
                    <w:t>9</w:t>
                  </w:r>
                  <w:r>
                    <w:rPr>
                      <w:rFonts w:hint="eastAsia"/>
                      <w:szCs w:val="21"/>
                    </w:rPr>
                    <w:t>（无量纲）</w:t>
                  </w:r>
                </w:p>
              </w:tc>
            </w:tr>
          </w:tbl>
          <w:p w14:paraId="415579B8">
            <w:pPr>
              <w:ind w:firstLine="422" w:firstLineChars="200"/>
              <w:rPr>
                <w:szCs w:val="21"/>
              </w:rPr>
            </w:pPr>
            <w:r>
              <w:rPr>
                <w:b/>
                <w:bCs/>
                <w:szCs w:val="21"/>
              </w:rPr>
              <w:t>注：</w:t>
            </w:r>
            <w:r>
              <w:rPr>
                <w:rFonts w:hint="eastAsia"/>
                <w:szCs w:val="21"/>
              </w:rPr>
              <w:t>①</w:t>
            </w:r>
            <w:r>
              <w:rPr>
                <w:szCs w:val="21"/>
              </w:rPr>
              <w:t>*括号外数值为水温＞12℃时的控制指标，括号内数值为水温≤12℃时的控制指标</w:t>
            </w:r>
            <w:r>
              <w:rPr>
                <w:rFonts w:hint="eastAsia"/>
                <w:szCs w:val="21"/>
              </w:rPr>
              <w:t>；②新标准（即</w:t>
            </w:r>
            <w:r>
              <w:rPr>
                <w:szCs w:val="21"/>
              </w:rPr>
              <w:t>《城镇污水处理厂污染物排放标准》（</w:t>
            </w:r>
            <w:r>
              <w:rPr>
                <w:rFonts w:hint="eastAsia"/>
                <w:szCs w:val="21"/>
              </w:rPr>
              <w:t>D</w:t>
            </w:r>
            <w:r>
              <w:rPr>
                <w:szCs w:val="21"/>
              </w:rPr>
              <w:t>B</w:t>
            </w:r>
            <w:r>
              <w:rPr>
                <w:rFonts w:hint="eastAsia"/>
                <w:szCs w:val="21"/>
              </w:rPr>
              <w:t>32/4440-2022）明确现有污水处理厂排放标准于2026年3月29日起执行，**每年11月1日至次年3月31日执行括号内排放限值。</w:t>
            </w:r>
          </w:p>
          <w:p w14:paraId="072B70BF">
            <w:pPr>
              <w:spacing w:line="480" w:lineRule="exact"/>
              <w:ind w:firstLine="480" w:firstLineChars="200"/>
              <w:rPr>
                <w:b/>
                <w:kern w:val="0"/>
                <w:sz w:val="24"/>
              </w:rPr>
            </w:pPr>
            <w:r>
              <w:rPr>
                <w:sz w:val="24"/>
              </w:rPr>
              <w:t>全厂废水污染物排放信息见表4-6。</w:t>
            </w:r>
          </w:p>
          <w:p w14:paraId="28910E41">
            <w:pPr>
              <w:spacing w:line="480" w:lineRule="exact"/>
              <w:jc w:val="center"/>
              <w:rPr>
                <w:b/>
                <w:kern w:val="0"/>
                <w:sz w:val="24"/>
              </w:rPr>
            </w:pPr>
            <w:r>
              <w:rPr>
                <w:b/>
                <w:kern w:val="0"/>
                <w:sz w:val="24"/>
              </w:rPr>
              <w:t>表4-6  废水污染物排放信息表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297"/>
              <w:gridCol w:w="1431"/>
              <w:gridCol w:w="1937"/>
              <w:gridCol w:w="1759"/>
              <w:gridCol w:w="1835"/>
            </w:tblGrid>
            <w:tr w14:paraId="52864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tcMar>
                    <w:top w:w="0" w:type="dxa"/>
                    <w:left w:w="51" w:type="dxa"/>
                    <w:bottom w:w="0" w:type="dxa"/>
                    <w:right w:w="51" w:type="dxa"/>
                  </w:tcMar>
                  <w:vAlign w:val="center"/>
                </w:tcPr>
                <w:p w14:paraId="5FDC964C">
                  <w:pPr>
                    <w:jc w:val="center"/>
                    <w:rPr>
                      <w:b/>
                      <w:bCs/>
                      <w:szCs w:val="21"/>
                    </w:rPr>
                  </w:pPr>
                  <w:r>
                    <w:rPr>
                      <w:b/>
                      <w:bCs/>
                      <w:szCs w:val="21"/>
                    </w:rPr>
                    <w:t>序号</w:t>
                  </w:r>
                </w:p>
              </w:tc>
              <w:tc>
                <w:tcPr>
                  <w:tcW w:w="729" w:type="pct"/>
                  <w:tcMar>
                    <w:top w:w="0" w:type="dxa"/>
                    <w:left w:w="51" w:type="dxa"/>
                    <w:bottom w:w="0" w:type="dxa"/>
                    <w:right w:w="51" w:type="dxa"/>
                  </w:tcMar>
                  <w:vAlign w:val="center"/>
                </w:tcPr>
                <w:p w14:paraId="2C7ED4C7">
                  <w:pPr>
                    <w:jc w:val="center"/>
                    <w:rPr>
                      <w:b/>
                      <w:bCs/>
                      <w:szCs w:val="21"/>
                    </w:rPr>
                  </w:pPr>
                  <w:r>
                    <w:rPr>
                      <w:b/>
                      <w:bCs/>
                      <w:szCs w:val="21"/>
                    </w:rPr>
                    <w:t>排放口编号</w:t>
                  </w:r>
                </w:p>
              </w:tc>
              <w:tc>
                <w:tcPr>
                  <w:tcW w:w="804" w:type="pct"/>
                  <w:tcMar>
                    <w:top w:w="0" w:type="dxa"/>
                    <w:left w:w="51" w:type="dxa"/>
                    <w:bottom w:w="0" w:type="dxa"/>
                    <w:right w:w="51" w:type="dxa"/>
                  </w:tcMar>
                  <w:vAlign w:val="center"/>
                </w:tcPr>
                <w:p w14:paraId="18B590BD">
                  <w:pPr>
                    <w:jc w:val="center"/>
                    <w:rPr>
                      <w:b/>
                      <w:bCs/>
                      <w:szCs w:val="21"/>
                    </w:rPr>
                  </w:pPr>
                  <w:r>
                    <w:rPr>
                      <w:b/>
                      <w:bCs/>
                      <w:szCs w:val="21"/>
                    </w:rPr>
                    <w:t>污染物种类</w:t>
                  </w:r>
                </w:p>
              </w:tc>
              <w:tc>
                <w:tcPr>
                  <w:tcW w:w="1089" w:type="pct"/>
                  <w:tcMar>
                    <w:top w:w="0" w:type="dxa"/>
                    <w:left w:w="51" w:type="dxa"/>
                    <w:bottom w:w="0" w:type="dxa"/>
                    <w:right w:w="51" w:type="dxa"/>
                  </w:tcMar>
                  <w:vAlign w:val="center"/>
                </w:tcPr>
                <w:p w14:paraId="087E7037">
                  <w:pPr>
                    <w:jc w:val="center"/>
                    <w:rPr>
                      <w:b/>
                      <w:bCs/>
                      <w:szCs w:val="21"/>
                    </w:rPr>
                  </w:pPr>
                  <w:r>
                    <w:rPr>
                      <w:b/>
                      <w:bCs/>
                      <w:szCs w:val="21"/>
                    </w:rPr>
                    <w:t>排放浓度（mg/L）</w:t>
                  </w:r>
                </w:p>
              </w:tc>
              <w:tc>
                <w:tcPr>
                  <w:tcW w:w="989" w:type="pct"/>
                  <w:tcMar>
                    <w:top w:w="0" w:type="dxa"/>
                    <w:left w:w="51" w:type="dxa"/>
                    <w:bottom w:w="0" w:type="dxa"/>
                    <w:right w:w="51" w:type="dxa"/>
                  </w:tcMar>
                  <w:vAlign w:val="center"/>
                </w:tcPr>
                <w:p w14:paraId="75A3A161">
                  <w:pPr>
                    <w:jc w:val="center"/>
                    <w:rPr>
                      <w:b/>
                      <w:bCs/>
                      <w:szCs w:val="21"/>
                    </w:rPr>
                  </w:pPr>
                  <w:r>
                    <w:rPr>
                      <w:b/>
                      <w:bCs/>
                      <w:szCs w:val="21"/>
                    </w:rPr>
                    <w:t>日排放量（kg/d）</w:t>
                  </w:r>
                </w:p>
              </w:tc>
              <w:tc>
                <w:tcPr>
                  <w:tcW w:w="1032" w:type="pct"/>
                  <w:tcMar>
                    <w:top w:w="0" w:type="dxa"/>
                    <w:left w:w="51" w:type="dxa"/>
                    <w:bottom w:w="0" w:type="dxa"/>
                    <w:right w:w="51" w:type="dxa"/>
                  </w:tcMar>
                  <w:vAlign w:val="center"/>
                </w:tcPr>
                <w:p w14:paraId="2172F74F">
                  <w:pPr>
                    <w:jc w:val="center"/>
                    <w:rPr>
                      <w:b/>
                      <w:bCs/>
                      <w:szCs w:val="21"/>
                    </w:rPr>
                  </w:pPr>
                  <w:r>
                    <w:rPr>
                      <w:b/>
                      <w:bCs/>
                      <w:szCs w:val="21"/>
                    </w:rPr>
                    <w:t>年排放量（t/a）</w:t>
                  </w:r>
                </w:p>
              </w:tc>
            </w:tr>
            <w:tr w14:paraId="02DC8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tcMar>
                    <w:top w:w="0" w:type="dxa"/>
                    <w:left w:w="51" w:type="dxa"/>
                    <w:bottom w:w="0" w:type="dxa"/>
                    <w:right w:w="51" w:type="dxa"/>
                  </w:tcMar>
                  <w:vAlign w:val="center"/>
                </w:tcPr>
                <w:p w14:paraId="04A85A8F">
                  <w:pPr>
                    <w:jc w:val="center"/>
                    <w:rPr>
                      <w:szCs w:val="21"/>
                    </w:rPr>
                  </w:pPr>
                  <w:r>
                    <w:rPr>
                      <w:szCs w:val="21"/>
                    </w:rPr>
                    <w:t>1</w:t>
                  </w:r>
                </w:p>
              </w:tc>
              <w:tc>
                <w:tcPr>
                  <w:tcW w:w="729" w:type="pct"/>
                  <w:vMerge w:val="restart"/>
                  <w:tcMar>
                    <w:top w:w="0" w:type="dxa"/>
                    <w:left w:w="51" w:type="dxa"/>
                    <w:bottom w:w="0" w:type="dxa"/>
                    <w:right w:w="51" w:type="dxa"/>
                  </w:tcMar>
                  <w:vAlign w:val="center"/>
                </w:tcPr>
                <w:p w14:paraId="49A6C4BD">
                  <w:pPr>
                    <w:jc w:val="center"/>
                    <w:rPr>
                      <w:szCs w:val="21"/>
                    </w:rPr>
                  </w:pPr>
                  <w:r>
                    <w:rPr>
                      <w:szCs w:val="21"/>
                    </w:rPr>
                    <w:t>WS001</w:t>
                  </w:r>
                </w:p>
              </w:tc>
              <w:tc>
                <w:tcPr>
                  <w:tcW w:w="804" w:type="pct"/>
                  <w:tcMar>
                    <w:top w:w="0" w:type="dxa"/>
                    <w:left w:w="51" w:type="dxa"/>
                    <w:bottom w:w="0" w:type="dxa"/>
                    <w:right w:w="51" w:type="dxa"/>
                  </w:tcMar>
                  <w:vAlign w:val="center"/>
                </w:tcPr>
                <w:p w14:paraId="1DD6679F">
                  <w:pPr>
                    <w:jc w:val="center"/>
                    <w:rPr>
                      <w:kern w:val="0"/>
                      <w:szCs w:val="21"/>
                    </w:rPr>
                  </w:pPr>
                  <w:r>
                    <w:rPr>
                      <w:szCs w:val="21"/>
                    </w:rPr>
                    <w:t>COD</w:t>
                  </w:r>
                </w:p>
              </w:tc>
              <w:tc>
                <w:tcPr>
                  <w:tcW w:w="1937" w:type="dxa"/>
                  <w:tcMar>
                    <w:top w:w="0" w:type="dxa"/>
                    <w:left w:w="51" w:type="dxa"/>
                    <w:bottom w:w="0" w:type="dxa"/>
                    <w:right w:w="51" w:type="dxa"/>
                  </w:tcMar>
                  <w:vAlign w:val="center"/>
                </w:tcPr>
                <w:p w14:paraId="4551F3E3">
                  <w:pPr>
                    <w:widowControl/>
                    <w:jc w:val="center"/>
                    <w:textAlignment w:val="center"/>
                    <w:rPr>
                      <w:kern w:val="0"/>
                      <w:szCs w:val="21"/>
                      <w:lang w:bidi="ar"/>
                    </w:rPr>
                  </w:pPr>
                  <w:r>
                    <w:rPr>
                      <w:color w:val="000000"/>
                      <w:kern w:val="0"/>
                      <w:szCs w:val="21"/>
                      <w:lang w:bidi="ar"/>
                    </w:rPr>
                    <w:t>400</w:t>
                  </w:r>
                </w:p>
              </w:tc>
              <w:tc>
                <w:tcPr>
                  <w:tcW w:w="1759" w:type="dxa"/>
                  <w:tcMar>
                    <w:top w:w="0" w:type="dxa"/>
                    <w:left w:w="51" w:type="dxa"/>
                    <w:bottom w:w="0" w:type="dxa"/>
                    <w:right w:w="51" w:type="dxa"/>
                  </w:tcMar>
                  <w:vAlign w:val="center"/>
                </w:tcPr>
                <w:p w14:paraId="74061CFC">
                  <w:pPr>
                    <w:widowControl/>
                    <w:jc w:val="center"/>
                    <w:textAlignment w:val="center"/>
                    <w:rPr>
                      <w:color w:val="000000"/>
                      <w:kern w:val="0"/>
                      <w:szCs w:val="21"/>
                      <w:lang w:bidi="ar"/>
                    </w:rPr>
                  </w:pPr>
                  <w:r>
                    <w:rPr>
                      <w:rFonts w:hint="eastAsia"/>
                      <w:color w:val="000000"/>
                      <w:kern w:val="0"/>
                      <w:szCs w:val="21"/>
                      <w:lang w:bidi="ar"/>
                    </w:rPr>
                    <w:t>2.72</w:t>
                  </w:r>
                </w:p>
              </w:tc>
              <w:tc>
                <w:tcPr>
                  <w:tcW w:w="1836" w:type="dxa"/>
                  <w:tcMar>
                    <w:top w:w="0" w:type="dxa"/>
                    <w:left w:w="51" w:type="dxa"/>
                    <w:bottom w:w="0" w:type="dxa"/>
                    <w:right w:w="51" w:type="dxa"/>
                  </w:tcMar>
                  <w:vAlign w:val="center"/>
                </w:tcPr>
                <w:p w14:paraId="2992E15D">
                  <w:pPr>
                    <w:widowControl/>
                    <w:jc w:val="center"/>
                    <w:textAlignment w:val="center"/>
                    <w:rPr>
                      <w:szCs w:val="21"/>
                    </w:rPr>
                  </w:pPr>
                  <w:r>
                    <w:rPr>
                      <w:color w:val="000000"/>
                      <w:kern w:val="0"/>
                      <w:szCs w:val="21"/>
                      <w:lang w:bidi="ar"/>
                    </w:rPr>
                    <w:t>0.816</w:t>
                  </w:r>
                </w:p>
              </w:tc>
            </w:tr>
            <w:tr w14:paraId="3EFBA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tcMar>
                    <w:top w:w="0" w:type="dxa"/>
                    <w:left w:w="51" w:type="dxa"/>
                    <w:bottom w:w="0" w:type="dxa"/>
                    <w:right w:w="51" w:type="dxa"/>
                  </w:tcMar>
                  <w:vAlign w:val="center"/>
                </w:tcPr>
                <w:p w14:paraId="60A6FF7C">
                  <w:pPr>
                    <w:jc w:val="center"/>
                    <w:rPr>
                      <w:szCs w:val="21"/>
                    </w:rPr>
                  </w:pPr>
                  <w:r>
                    <w:rPr>
                      <w:szCs w:val="21"/>
                    </w:rPr>
                    <w:t>2</w:t>
                  </w:r>
                </w:p>
              </w:tc>
              <w:tc>
                <w:tcPr>
                  <w:tcW w:w="729" w:type="pct"/>
                  <w:vMerge w:val="continue"/>
                  <w:tcMar>
                    <w:top w:w="0" w:type="dxa"/>
                    <w:left w:w="51" w:type="dxa"/>
                    <w:bottom w:w="0" w:type="dxa"/>
                    <w:right w:w="51" w:type="dxa"/>
                  </w:tcMar>
                  <w:vAlign w:val="center"/>
                </w:tcPr>
                <w:p w14:paraId="01A42D51">
                  <w:pPr>
                    <w:jc w:val="center"/>
                    <w:rPr>
                      <w:szCs w:val="21"/>
                    </w:rPr>
                  </w:pPr>
                </w:p>
              </w:tc>
              <w:tc>
                <w:tcPr>
                  <w:tcW w:w="804" w:type="pct"/>
                  <w:tcMar>
                    <w:top w:w="0" w:type="dxa"/>
                    <w:left w:w="51" w:type="dxa"/>
                    <w:bottom w:w="0" w:type="dxa"/>
                    <w:right w:w="51" w:type="dxa"/>
                  </w:tcMar>
                  <w:vAlign w:val="center"/>
                </w:tcPr>
                <w:p w14:paraId="126B2ACF">
                  <w:pPr>
                    <w:jc w:val="center"/>
                    <w:rPr>
                      <w:kern w:val="0"/>
                      <w:szCs w:val="21"/>
                    </w:rPr>
                  </w:pPr>
                  <w:r>
                    <w:rPr>
                      <w:szCs w:val="21"/>
                    </w:rPr>
                    <w:t>SS</w:t>
                  </w:r>
                </w:p>
              </w:tc>
              <w:tc>
                <w:tcPr>
                  <w:tcW w:w="1937" w:type="dxa"/>
                  <w:tcMar>
                    <w:top w:w="0" w:type="dxa"/>
                    <w:left w:w="51" w:type="dxa"/>
                    <w:bottom w:w="0" w:type="dxa"/>
                    <w:right w:w="51" w:type="dxa"/>
                  </w:tcMar>
                  <w:vAlign w:val="center"/>
                </w:tcPr>
                <w:p w14:paraId="34560B63">
                  <w:pPr>
                    <w:widowControl/>
                    <w:jc w:val="center"/>
                    <w:textAlignment w:val="center"/>
                    <w:rPr>
                      <w:kern w:val="0"/>
                      <w:szCs w:val="21"/>
                      <w:lang w:bidi="ar"/>
                    </w:rPr>
                  </w:pPr>
                  <w:r>
                    <w:rPr>
                      <w:color w:val="000000"/>
                      <w:kern w:val="0"/>
                      <w:szCs w:val="21"/>
                      <w:lang w:bidi="ar"/>
                    </w:rPr>
                    <w:t>300</w:t>
                  </w:r>
                </w:p>
              </w:tc>
              <w:tc>
                <w:tcPr>
                  <w:tcW w:w="1759" w:type="dxa"/>
                  <w:tcMar>
                    <w:top w:w="0" w:type="dxa"/>
                    <w:left w:w="51" w:type="dxa"/>
                    <w:bottom w:w="0" w:type="dxa"/>
                    <w:right w:w="51" w:type="dxa"/>
                  </w:tcMar>
                  <w:vAlign w:val="center"/>
                </w:tcPr>
                <w:p w14:paraId="63FF9F2E">
                  <w:pPr>
                    <w:widowControl/>
                    <w:jc w:val="center"/>
                    <w:textAlignment w:val="center"/>
                    <w:rPr>
                      <w:color w:val="000000"/>
                      <w:kern w:val="0"/>
                      <w:szCs w:val="21"/>
                      <w:lang w:bidi="ar"/>
                    </w:rPr>
                  </w:pPr>
                  <w:r>
                    <w:rPr>
                      <w:rFonts w:hint="eastAsia"/>
                      <w:color w:val="000000"/>
                      <w:kern w:val="0"/>
                      <w:szCs w:val="21"/>
                      <w:lang w:bidi="ar"/>
                    </w:rPr>
                    <w:t>2.04</w:t>
                  </w:r>
                </w:p>
              </w:tc>
              <w:tc>
                <w:tcPr>
                  <w:tcW w:w="1836" w:type="dxa"/>
                  <w:tcMar>
                    <w:top w:w="0" w:type="dxa"/>
                    <w:left w:w="51" w:type="dxa"/>
                    <w:bottom w:w="0" w:type="dxa"/>
                    <w:right w:w="51" w:type="dxa"/>
                  </w:tcMar>
                  <w:vAlign w:val="center"/>
                </w:tcPr>
                <w:p w14:paraId="608A9178">
                  <w:pPr>
                    <w:widowControl/>
                    <w:jc w:val="center"/>
                    <w:textAlignment w:val="center"/>
                    <w:rPr>
                      <w:szCs w:val="21"/>
                    </w:rPr>
                  </w:pPr>
                  <w:r>
                    <w:rPr>
                      <w:color w:val="000000"/>
                      <w:kern w:val="0"/>
                      <w:szCs w:val="21"/>
                      <w:lang w:bidi="ar"/>
                    </w:rPr>
                    <w:t>0.612</w:t>
                  </w:r>
                </w:p>
              </w:tc>
            </w:tr>
            <w:tr w14:paraId="730F1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tcMar>
                    <w:top w:w="0" w:type="dxa"/>
                    <w:left w:w="51" w:type="dxa"/>
                    <w:bottom w:w="0" w:type="dxa"/>
                    <w:right w:w="51" w:type="dxa"/>
                  </w:tcMar>
                  <w:vAlign w:val="center"/>
                </w:tcPr>
                <w:p w14:paraId="56DDD369">
                  <w:pPr>
                    <w:jc w:val="center"/>
                    <w:rPr>
                      <w:szCs w:val="21"/>
                    </w:rPr>
                  </w:pPr>
                  <w:r>
                    <w:rPr>
                      <w:szCs w:val="21"/>
                    </w:rPr>
                    <w:t>3</w:t>
                  </w:r>
                </w:p>
              </w:tc>
              <w:tc>
                <w:tcPr>
                  <w:tcW w:w="729" w:type="pct"/>
                  <w:vMerge w:val="continue"/>
                  <w:tcMar>
                    <w:top w:w="0" w:type="dxa"/>
                    <w:left w:w="51" w:type="dxa"/>
                    <w:bottom w:w="0" w:type="dxa"/>
                    <w:right w:w="51" w:type="dxa"/>
                  </w:tcMar>
                  <w:vAlign w:val="center"/>
                </w:tcPr>
                <w:p w14:paraId="17044980">
                  <w:pPr>
                    <w:jc w:val="center"/>
                    <w:rPr>
                      <w:szCs w:val="21"/>
                    </w:rPr>
                  </w:pPr>
                </w:p>
              </w:tc>
              <w:tc>
                <w:tcPr>
                  <w:tcW w:w="804" w:type="pct"/>
                  <w:tcMar>
                    <w:top w:w="0" w:type="dxa"/>
                    <w:left w:w="51" w:type="dxa"/>
                    <w:bottom w:w="0" w:type="dxa"/>
                    <w:right w:w="51" w:type="dxa"/>
                  </w:tcMar>
                  <w:vAlign w:val="center"/>
                </w:tcPr>
                <w:p w14:paraId="1A846BA0">
                  <w:pPr>
                    <w:jc w:val="center"/>
                    <w:rPr>
                      <w:kern w:val="0"/>
                      <w:szCs w:val="21"/>
                    </w:rPr>
                  </w:pPr>
                  <w:r>
                    <w:rPr>
                      <w:szCs w:val="21"/>
                    </w:rPr>
                    <w:t>NH</w:t>
                  </w:r>
                  <w:r>
                    <w:rPr>
                      <w:szCs w:val="21"/>
                      <w:vertAlign w:val="subscript"/>
                    </w:rPr>
                    <w:t>3</w:t>
                  </w:r>
                  <w:r>
                    <w:rPr>
                      <w:szCs w:val="21"/>
                    </w:rPr>
                    <w:t>-N</w:t>
                  </w:r>
                </w:p>
              </w:tc>
              <w:tc>
                <w:tcPr>
                  <w:tcW w:w="1937" w:type="dxa"/>
                  <w:tcMar>
                    <w:top w:w="0" w:type="dxa"/>
                    <w:left w:w="51" w:type="dxa"/>
                    <w:bottom w:w="0" w:type="dxa"/>
                    <w:right w:w="51" w:type="dxa"/>
                  </w:tcMar>
                  <w:vAlign w:val="center"/>
                </w:tcPr>
                <w:p w14:paraId="65218E79">
                  <w:pPr>
                    <w:widowControl/>
                    <w:jc w:val="center"/>
                    <w:textAlignment w:val="center"/>
                    <w:rPr>
                      <w:kern w:val="0"/>
                      <w:szCs w:val="21"/>
                      <w:lang w:bidi="ar"/>
                    </w:rPr>
                  </w:pPr>
                  <w:r>
                    <w:rPr>
                      <w:color w:val="000000"/>
                      <w:kern w:val="0"/>
                      <w:szCs w:val="21"/>
                      <w:lang w:bidi="ar"/>
                    </w:rPr>
                    <w:t>40</w:t>
                  </w:r>
                </w:p>
              </w:tc>
              <w:tc>
                <w:tcPr>
                  <w:tcW w:w="1759" w:type="dxa"/>
                  <w:tcMar>
                    <w:top w:w="0" w:type="dxa"/>
                    <w:left w:w="51" w:type="dxa"/>
                    <w:bottom w:w="0" w:type="dxa"/>
                    <w:right w:w="51" w:type="dxa"/>
                  </w:tcMar>
                  <w:vAlign w:val="center"/>
                </w:tcPr>
                <w:p w14:paraId="53639E62">
                  <w:pPr>
                    <w:widowControl/>
                    <w:jc w:val="center"/>
                    <w:textAlignment w:val="center"/>
                    <w:rPr>
                      <w:color w:val="000000"/>
                      <w:kern w:val="0"/>
                      <w:szCs w:val="21"/>
                      <w:lang w:bidi="ar"/>
                    </w:rPr>
                  </w:pPr>
                  <w:r>
                    <w:rPr>
                      <w:rFonts w:hint="eastAsia"/>
                      <w:color w:val="000000"/>
                      <w:kern w:val="0"/>
                      <w:szCs w:val="21"/>
                      <w:lang w:bidi="ar"/>
                    </w:rPr>
                    <w:t>0.272</w:t>
                  </w:r>
                </w:p>
              </w:tc>
              <w:tc>
                <w:tcPr>
                  <w:tcW w:w="1836" w:type="dxa"/>
                  <w:tcMar>
                    <w:top w:w="0" w:type="dxa"/>
                    <w:left w:w="51" w:type="dxa"/>
                    <w:bottom w:w="0" w:type="dxa"/>
                    <w:right w:w="51" w:type="dxa"/>
                  </w:tcMar>
                  <w:vAlign w:val="center"/>
                </w:tcPr>
                <w:p w14:paraId="2FBFFB0E">
                  <w:pPr>
                    <w:widowControl/>
                    <w:jc w:val="center"/>
                    <w:textAlignment w:val="center"/>
                    <w:rPr>
                      <w:szCs w:val="21"/>
                    </w:rPr>
                  </w:pPr>
                  <w:r>
                    <w:rPr>
                      <w:color w:val="000000"/>
                      <w:kern w:val="0"/>
                      <w:szCs w:val="21"/>
                      <w:lang w:bidi="ar"/>
                    </w:rPr>
                    <w:t>0.0816</w:t>
                  </w:r>
                </w:p>
              </w:tc>
            </w:tr>
            <w:tr w14:paraId="154FD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tcMar>
                    <w:top w:w="0" w:type="dxa"/>
                    <w:left w:w="51" w:type="dxa"/>
                    <w:bottom w:w="0" w:type="dxa"/>
                    <w:right w:w="51" w:type="dxa"/>
                  </w:tcMar>
                  <w:vAlign w:val="center"/>
                </w:tcPr>
                <w:p w14:paraId="263F16A7">
                  <w:pPr>
                    <w:jc w:val="center"/>
                    <w:rPr>
                      <w:szCs w:val="21"/>
                    </w:rPr>
                  </w:pPr>
                  <w:r>
                    <w:rPr>
                      <w:szCs w:val="21"/>
                    </w:rPr>
                    <w:t>4</w:t>
                  </w:r>
                </w:p>
              </w:tc>
              <w:tc>
                <w:tcPr>
                  <w:tcW w:w="729" w:type="pct"/>
                  <w:vMerge w:val="continue"/>
                  <w:tcMar>
                    <w:top w:w="0" w:type="dxa"/>
                    <w:left w:w="51" w:type="dxa"/>
                    <w:bottom w:w="0" w:type="dxa"/>
                    <w:right w:w="51" w:type="dxa"/>
                  </w:tcMar>
                  <w:vAlign w:val="center"/>
                </w:tcPr>
                <w:p w14:paraId="5D54C03C">
                  <w:pPr>
                    <w:jc w:val="center"/>
                    <w:rPr>
                      <w:szCs w:val="21"/>
                    </w:rPr>
                  </w:pPr>
                </w:p>
              </w:tc>
              <w:tc>
                <w:tcPr>
                  <w:tcW w:w="804" w:type="pct"/>
                  <w:tcMar>
                    <w:top w:w="0" w:type="dxa"/>
                    <w:left w:w="51" w:type="dxa"/>
                    <w:bottom w:w="0" w:type="dxa"/>
                    <w:right w:w="51" w:type="dxa"/>
                  </w:tcMar>
                  <w:vAlign w:val="center"/>
                </w:tcPr>
                <w:p w14:paraId="175FA726">
                  <w:pPr>
                    <w:jc w:val="center"/>
                    <w:rPr>
                      <w:kern w:val="0"/>
                      <w:szCs w:val="21"/>
                    </w:rPr>
                  </w:pPr>
                  <w:r>
                    <w:rPr>
                      <w:szCs w:val="21"/>
                    </w:rPr>
                    <w:t>TP</w:t>
                  </w:r>
                </w:p>
              </w:tc>
              <w:tc>
                <w:tcPr>
                  <w:tcW w:w="1937" w:type="dxa"/>
                  <w:tcMar>
                    <w:top w:w="0" w:type="dxa"/>
                    <w:left w:w="51" w:type="dxa"/>
                    <w:bottom w:w="0" w:type="dxa"/>
                    <w:right w:w="51" w:type="dxa"/>
                  </w:tcMar>
                  <w:vAlign w:val="center"/>
                </w:tcPr>
                <w:p w14:paraId="4B9C1F1E">
                  <w:pPr>
                    <w:widowControl/>
                    <w:jc w:val="center"/>
                    <w:textAlignment w:val="center"/>
                    <w:rPr>
                      <w:kern w:val="0"/>
                      <w:szCs w:val="21"/>
                      <w:lang w:bidi="ar"/>
                    </w:rPr>
                  </w:pPr>
                  <w:r>
                    <w:rPr>
                      <w:color w:val="000000"/>
                      <w:kern w:val="0"/>
                      <w:szCs w:val="21"/>
                      <w:lang w:bidi="ar"/>
                    </w:rPr>
                    <w:t>5</w:t>
                  </w:r>
                </w:p>
              </w:tc>
              <w:tc>
                <w:tcPr>
                  <w:tcW w:w="1759" w:type="dxa"/>
                  <w:tcMar>
                    <w:top w:w="0" w:type="dxa"/>
                    <w:left w:w="51" w:type="dxa"/>
                    <w:bottom w:w="0" w:type="dxa"/>
                    <w:right w:w="51" w:type="dxa"/>
                  </w:tcMar>
                  <w:vAlign w:val="center"/>
                </w:tcPr>
                <w:p w14:paraId="3F629239">
                  <w:pPr>
                    <w:widowControl/>
                    <w:jc w:val="center"/>
                    <w:textAlignment w:val="center"/>
                    <w:rPr>
                      <w:color w:val="000000"/>
                      <w:kern w:val="0"/>
                      <w:szCs w:val="21"/>
                      <w:lang w:bidi="ar"/>
                    </w:rPr>
                  </w:pPr>
                  <w:r>
                    <w:rPr>
                      <w:rFonts w:hint="eastAsia"/>
                      <w:color w:val="000000"/>
                      <w:kern w:val="0"/>
                      <w:szCs w:val="21"/>
                      <w:lang w:bidi="ar"/>
                    </w:rPr>
                    <w:t>0.034</w:t>
                  </w:r>
                </w:p>
              </w:tc>
              <w:tc>
                <w:tcPr>
                  <w:tcW w:w="1836" w:type="dxa"/>
                  <w:tcMar>
                    <w:top w:w="0" w:type="dxa"/>
                    <w:left w:w="51" w:type="dxa"/>
                    <w:bottom w:w="0" w:type="dxa"/>
                    <w:right w:w="51" w:type="dxa"/>
                  </w:tcMar>
                  <w:vAlign w:val="center"/>
                </w:tcPr>
                <w:p w14:paraId="439063C2">
                  <w:pPr>
                    <w:widowControl/>
                    <w:jc w:val="center"/>
                    <w:textAlignment w:val="center"/>
                    <w:rPr>
                      <w:szCs w:val="21"/>
                    </w:rPr>
                  </w:pPr>
                  <w:r>
                    <w:rPr>
                      <w:color w:val="000000"/>
                      <w:kern w:val="0"/>
                      <w:szCs w:val="21"/>
                      <w:lang w:bidi="ar"/>
                    </w:rPr>
                    <w:t>0.0102</w:t>
                  </w:r>
                </w:p>
              </w:tc>
            </w:tr>
            <w:tr w14:paraId="77940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 w:type="pct"/>
                  <w:tcMar>
                    <w:top w:w="0" w:type="dxa"/>
                    <w:left w:w="51" w:type="dxa"/>
                    <w:bottom w:w="0" w:type="dxa"/>
                    <w:right w:w="51" w:type="dxa"/>
                  </w:tcMar>
                  <w:vAlign w:val="center"/>
                </w:tcPr>
                <w:p w14:paraId="32B1248B">
                  <w:pPr>
                    <w:jc w:val="center"/>
                    <w:rPr>
                      <w:szCs w:val="21"/>
                    </w:rPr>
                  </w:pPr>
                  <w:r>
                    <w:rPr>
                      <w:szCs w:val="21"/>
                    </w:rPr>
                    <w:t>5</w:t>
                  </w:r>
                </w:p>
              </w:tc>
              <w:tc>
                <w:tcPr>
                  <w:tcW w:w="729" w:type="pct"/>
                  <w:vMerge w:val="continue"/>
                  <w:tcMar>
                    <w:top w:w="0" w:type="dxa"/>
                    <w:left w:w="51" w:type="dxa"/>
                    <w:bottom w:w="0" w:type="dxa"/>
                    <w:right w:w="51" w:type="dxa"/>
                  </w:tcMar>
                  <w:vAlign w:val="center"/>
                </w:tcPr>
                <w:p w14:paraId="50D3A723">
                  <w:pPr>
                    <w:jc w:val="center"/>
                    <w:rPr>
                      <w:szCs w:val="21"/>
                    </w:rPr>
                  </w:pPr>
                </w:p>
              </w:tc>
              <w:tc>
                <w:tcPr>
                  <w:tcW w:w="804" w:type="pct"/>
                  <w:tcMar>
                    <w:top w:w="0" w:type="dxa"/>
                    <w:left w:w="51" w:type="dxa"/>
                    <w:bottom w:w="0" w:type="dxa"/>
                    <w:right w:w="51" w:type="dxa"/>
                  </w:tcMar>
                  <w:vAlign w:val="center"/>
                </w:tcPr>
                <w:p w14:paraId="62BFBDDC">
                  <w:pPr>
                    <w:jc w:val="center"/>
                    <w:rPr>
                      <w:kern w:val="0"/>
                      <w:szCs w:val="21"/>
                    </w:rPr>
                  </w:pPr>
                  <w:r>
                    <w:rPr>
                      <w:szCs w:val="21"/>
                    </w:rPr>
                    <w:t>TN</w:t>
                  </w:r>
                </w:p>
              </w:tc>
              <w:tc>
                <w:tcPr>
                  <w:tcW w:w="1937" w:type="dxa"/>
                  <w:tcMar>
                    <w:top w:w="0" w:type="dxa"/>
                    <w:left w:w="51" w:type="dxa"/>
                    <w:bottom w:w="0" w:type="dxa"/>
                    <w:right w:w="51" w:type="dxa"/>
                  </w:tcMar>
                  <w:vAlign w:val="center"/>
                </w:tcPr>
                <w:p w14:paraId="70E37A15">
                  <w:pPr>
                    <w:widowControl/>
                    <w:jc w:val="center"/>
                    <w:textAlignment w:val="center"/>
                    <w:rPr>
                      <w:kern w:val="0"/>
                      <w:szCs w:val="21"/>
                      <w:lang w:bidi="ar"/>
                    </w:rPr>
                  </w:pPr>
                  <w:r>
                    <w:rPr>
                      <w:color w:val="000000"/>
                      <w:kern w:val="0"/>
                      <w:szCs w:val="21"/>
                      <w:lang w:bidi="ar"/>
                    </w:rPr>
                    <w:t>50</w:t>
                  </w:r>
                </w:p>
              </w:tc>
              <w:tc>
                <w:tcPr>
                  <w:tcW w:w="1759" w:type="dxa"/>
                  <w:tcMar>
                    <w:top w:w="0" w:type="dxa"/>
                    <w:left w:w="51" w:type="dxa"/>
                    <w:bottom w:w="0" w:type="dxa"/>
                    <w:right w:w="51" w:type="dxa"/>
                  </w:tcMar>
                  <w:vAlign w:val="center"/>
                </w:tcPr>
                <w:p w14:paraId="61CF7DAD">
                  <w:pPr>
                    <w:widowControl/>
                    <w:jc w:val="center"/>
                    <w:textAlignment w:val="center"/>
                    <w:rPr>
                      <w:color w:val="000000"/>
                      <w:kern w:val="0"/>
                      <w:szCs w:val="21"/>
                      <w:lang w:bidi="ar"/>
                    </w:rPr>
                  </w:pPr>
                  <w:r>
                    <w:rPr>
                      <w:rFonts w:hint="eastAsia"/>
                      <w:color w:val="000000"/>
                      <w:kern w:val="0"/>
                      <w:szCs w:val="21"/>
                      <w:lang w:bidi="ar"/>
                    </w:rPr>
                    <w:t>0.34</w:t>
                  </w:r>
                </w:p>
              </w:tc>
              <w:tc>
                <w:tcPr>
                  <w:tcW w:w="1836" w:type="dxa"/>
                  <w:tcMar>
                    <w:top w:w="0" w:type="dxa"/>
                    <w:left w:w="51" w:type="dxa"/>
                    <w:bottom w:w="0" w:type="dxa"/>
                    <w:right w:w="51" w:type="dxa"/>
                  </w:tcMar>
                  <w:vAlign w:val="center"/>
                </w:tcPr>
                <w:p w14:paraId="70152E09">
                  <w:pPr>
                    <w:widowControl/>
                    <w:jc w:val="center"/>
                    <w:textAlignment w:val="center"/>
                    <w:rPr>
                      <w:szCs w:val="21"/>
                    </w:rPr>
                  </w:pPr>
                  <w:r>
                    <w:rPr>
                      <w:color w:val="000000"/>
                      <w:kern w:val="0"/>
                      <w:szCs w:val="21"/>
                      <w:lang w:bidi="ar"/>
                    </w:rPr>
                    <w:t>0.102</w:t>
                  </w:r>
                </w:p>
              </w:tc>
            </w:tr>
            <w:tr w14:paraId="7F1B0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pct"/>
                  <w:gridSpan w:val="2"/>
                  <w:vMerge w:val="restart"/>
                  <w:tcMar>
                    <w:top w:w="0" w:type="dxa"/>
                    <w:left w:w="51" w:type="dxa"/>
                    <w:bottom w:w="0" w:type="dxa"/>
                    <w:right w:w="51" w:type="dxa"/>
                  </w:tcMar>
                  <w:vAlign w:val="center"/>
                </w:tcPr>
                <w:p w14:paraId="04EED478">
                  <w:pPr>
                    <w:jc w:val="center"/>
                    <w:rPr>
                      <w:szCs w:val="21"/>
                    </w:rPr>
                  </w:pPr>
                  <w:r>
                    <w:rPr>
                      <w:szCs w:val="21"/>
                    </w:rPr>
                    <w:t>全厂排放口合计</w:t>
                  </w:r>
                </w:p>
              </w:tc>
              <w:tc>
                <w:tcPr>
                  <w:tcW w:w="2882" w:type="pct"/>
                  <w:gridSpan w:val="3"/>
                  <w:tcMar>
                    <w:top w:w="0" w:type="dxa"/>
                    <w:left w:w="51" w:type="dxa"/>
                    <w:bottom w:w="0" w:type="dxa"/>
                    <w:right w:w="51" w:type="dxa"/>
                  </w:tcMar>
                  <w:vAlign w:val="center"/>
                </w:tcPr>
                <w:p w14:paraId="5959C5A7">
                  <w:pPr>
                    <w:jc w:val="center"/>
                    <w:textAlignment w:val="bottom"/>
                    <w:rPr>
                      <w:kern w:val="0"/>
                      <w:szCs w:val="21"/>
                      <w:lang w:bidi="ar"/>
                    </w:rPr>
                  </w:pPr>
                  <w:r>
                    <w:rPr>
                      <w:kern w:val="0"/>
                      <w:szCs w:val="21"/>
                      <w:lang w:bidi="ar"/>
                    </w:rPr>
                    <w:t>COD</w:t>
                  </w:r>
                </w:p>
              </w:tc>
              <w:tc>
                <w:tcPr>
                  <w:tcW w:w="1836" w:type="dxa"/>
                  <w:tcMar>
                    <w:top w:w="0" w:type="dxa"/>
                    <w:left w:w="51" w:type="dxa"/>
                    <w:bottom w:w="0" w:type="dxa"/>
                    <w:right w:w="51" w:type="dxa"/>
                  </w:tcMar>
                  <w:vAlign w:val="center"/>
                </w:tcPr>
                <w:p w14:paraId="64006B23">
                  <w:pPr>
                    <w:widowControl/>
                    <w:jc w:val="center"/>
                    <w:textAlignment w:val="center"/>
                    <w:rPr>
                      <w:szCs w:val="21"/>
                    </w:rPr>
                  </w:pPr>
                  <w:r>
                    <w:rPr>
                      <w:color w:val="000000"/>
                      <w:kern w:val="0"/>
                      <w:szCs w:val="21"/>
                      <w:lang w:bidi="ar"/>
                    </w:rPr>
                    <w:t>0.816</w:t>
                  </w:r>
                </w:p>
              </w:tc>
            </w:tr>
            <w:tr w14:paraId="63884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pct"/>
                  <w:gridSpan w:val="2"/>
                  <w:vMerge w:val="continue"/>
                  <w:tcMar>
                    <w:top w:w="0" w:type="dxa"/>
                    <w:left w:w="51" w:type="dxa"/>
                    <w:bottom w:w="0" w:type="dxa"/>
                    <w:right w:w="51" w:type="dxa"/>
                  </w:tcMar>
                  <w:vAlign w:val="center"/>
                </w:tcPr>
                <w:p w14:paraId="4A977D3D">
                  <w:pPr>
                    <w:jc w:val="center"/>
                    <w:rPr>
                      <w:szCs w:val="21"/>
                    </w:rPr>
                  </w:pPr>
                </w:p>
              </w:tc>
              <w:tc>
                <w:tcPr>
                  <w:tcW w:w="2882" w:type="pct"/>
                  <w:gridSpan w:val="3"/>
                  <w:tcMar>
                    <w:top w:w="0" w:type="dxa"/>
                    <w:left w:w="51" w:type="dxa"/>
                    <w:bottom w:w="0" w:type="dxa"/>
                    <w:right w:w="51" w:type="dxa"/>
                  </w:tcMar>
                  <w:vAlign w:val="center"/>
                </w:tcPr>
                <w:p w14:paraId="30AC61E8">
                  <w:pPr>
                    <w:jc w:val="center"/>
                    <w:textAlignment w:val="bottom"/>
                    <w:rPr>
                      <w:kern w:val="0"/>
                      <w:szCs w:val="21"/>
                      <w:lang w:bidi="ar"/>
                    </w:rPr>
                  </w:pPr>
                  <w:r>
                    <w:rPr>
                      <w:kern w:val="0"/>
                      <w:szCs w:val="21"/>
                      <w:lang w:bidi="ar"/>
                    </w:rPr>
                    <w:t>SS</w:t>
                  </w:r>
                </w:p>
              </w:tc>
              <w:tc>
                <w:tcPr>
                  <w:tcW w:w="1836" w:type="dxa"/>
                  <w:tcMar>
                    <w:top w:w="0" w:type="dxa"/>
                    <w:left w:w="51" w:type="dxa"/>
                    <w:bottom w:w="0" w:type="dxa"/>
                    <w:right w:w="51" w:type="dxa"/>
                  </w:tcMar>
                  <w:vAlign w:val="center"/>
                </w:tcPr>
                <w:p w14:paraId="6034C577">
                  <w:pPr>
                    <w:widowControl/>
                    <w:jc w:val="center"/>
                    <w:textAlignment w:val="center"/>
                    <w:rPr>
                      <w:szCs w:val="21"/>
                    </w:rPr>
                  </w:pPr>
                  <w:r>
                    <w:rPr>
                      <w:color w:val="000000"/>
                      <w:kern w:val="0"/>
                      <w:szCs w:val="21"/>
                      <w:lang w:bidi="ar"/>
                    </w:rPr>
                    <w:t>0.612</w:t>
                  </w:r>
                </w:p>
              </w:tc>
            </w:tr>
            <w:tr w14:paraId="51D8E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pct"/>
                  <w:gridSpan w:val="2"/>
                  <w:vMerge w:val="continue"/>
                  <w:tcMar>
                    <w:top w:w="0" w:type="dxa"/>
                    <w:left w:w="51" w:type="dxa"/>
                    <w:bottom w:w="0" w:type="dxa"/>
                    <w:right w:w="51" w:type="dxa"/>
                  </w:tcMar>
                  <w:vAlign w:val="center"/>
                </w:tcPr>
                <w:p w14:paraId="7EBDF0CF">
                  <w:pPr>
                    <w:jc w:val="center"/>
                    <w:rPr>
                      <w:szCs w:val="21"/>
                    </w:rPr>
                  </w:pPr>
                </w:p>
              </w:tc>
              <w:tc>
                <w:tcPr>
                  <w:tcW w:w="2882" w:type="pct"/>
                  <w:gridSpan w:val="3"/>
                  <w:tcMar>
                    <w:top w:w="0" w:type="dxa"/>
                    <w:left w:w="51" w:type="dxa"/>
                    <w:bottom w:w="0" w:type="dxa"/>
                    <w:right w:w="51" w:type="dxa"/>
                  </w:tcMar>
                  <w:vAlign w:val="center"/>
                </w:tcPr>
                <w:p w14:paraId="57CC309B">
                  <w:pPr>
                    <w:jc w:val="center"/>
                    <w:textAlignment w:val="bottom"/>
                    <w:rPr>
                      <w:kern w:val="0"/>
                      <w:szCs w:val="21"/>
                      <w:lang w:bidi="ar"/>
                    </w:rPr>
                  </w:pPr>
                  <w:r>
                    <w:rPr>
                      <w:kern w:val="0"/>
                      <w:szCs w:val="21"/>
                      <w:lang w:bidi="ar"/>
                    </w:rPr>
                    <w:t>NH</w:t>
                  </w:r>
                  <w:r>
                    <w:rPr>
                      <w:kern w:val="0"/>
                      <w:szCs w:val="21"/>
                      <w:vertAlign w:val="subscript"/>
                      <w:lang w:bidi="ar"/>
                    </w:rPr>
                    <w:t>3</w:t>
                  </w:r>
                  <w:r>
                    <w:rPr>
                      <w:kern w:val="0"/>
                      <w:szCs w:val="21"/>
                      <w:lang w:bidi="ar"/>
                    </w:rPr>
                    <w:t>-N</w:t>
                  </w:r>
                </w:p>
              </w:tc>
              <w:tc>
                <w:tcPr>
                  <w:tcW w:w="1836" w:type="dxa"/>
                  <w:tcMar>
                    <w:top w:w="0" w:type="dxa"/>
                    <w:left w:w="51" w:type="dxa"/>
                    <w:bottom w:w="0" w:type="dxa"/>
                    <w:right w:w="51" w:type="dxa"/>
                  </w:tcMar>
                  <w:vAlign w:val="center"/>
                </w:tcPr>
                <w:p w14:paraId="4F718A71">
                  <w:pPr>
                    <w:widowControl/>
                    <w:jc w:val="center"/>
                    <w:textAlignment w:val="center"/>
                    <w:rPr>
                      <w:szCs w:val="21"/>
                    </w:rPr>
                  </w:pPr>
                  <w:r>
                    <w:rPr>
                      <w:color w:val="000000"/>
                      <w:kern w:val="0"/>
                      <w:szCs w:val="21"/>
                      <w:lang w:bidi="ar"/>
                    </w:rPr>
                    <w:t>0.0816</w:t>
                  </w:r>
                </w:p>
              </w:tc>
            </w:tr>
            <w:tr w14:paraId="7FE12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pct"/>
                  <w:gridSpan w:val="2"/>
                  <w:vMerge w:val="continue"/>
                  <w:tcMar>
                    <w:top w:w="0" w:type="dxa"/>
                    <w:left w:w="51" w:type="dxa"/>
                    <w:bottom w:w="0" w:type="dxa"/>
                    <w:right w:w="51" w:type="dxa"/>
                  </w:tcMar>
                  <w:vAlign w:val="center"/>
                </w:tcPr>
                <w:p w14:paraId="09FA1B87">
                  <w:pPr>
                    <w:jc w:val="center"/>
                    <w:rPr>
                      <w:szCs w:val="21"/>
                    </w:rPr>
                  </w:pPr>
                </w:p>
              </w:tc>
              <w:tc>
                <w:tcPr>
                  <w:tcW w:w="2882" w:type="pct"/>
                  <w:gridSpan w:val="3"/>
                  <w:tcMar>
                    <w:top w:w="0" w:type="dxa"/>
                    <w:left w:w="51" w:type="dxa"/>
                    <w:bottom w:w="0" w:type="dxa"/>
                    <w:right w:w="51" w:type="dxa"/>
                  </w:tcMar>
                  <w:vAlign w:val="center"/>
                </w:tcPr>
                <w:p w14:paraId="5AFED160">
                  <w:pPr>
                    <w:jc w:val="center"/>
                    <w:textAlignment w:val="bottom"/>
                    <w:rPr>
                      <w:kern w:val="0"/>
                      <w:szCs w:val="21"/>
                      <w:lang w:bidi="ar"/>
                    </w:rPr>
                  </w:pPr>
                  <w:r>
                    <w:rPr>
                      <w:kern w:val="0"/>
                      <w:szCs w:val="21"/>
                      <w:lang w:bidi="ar"/>
                    </w:rPr>
                    <w:t>TP</w:t>
                  </w:r>
                </w:p>
              </w:tc>
              <w:tc>
                <w:tcPr>
                  <w:tcW w:w="1836" w:type="dxa"/>
                  <w:tcMar>
                    <w:top w:w="0" w:type="dxa"/>
                    <w:left w:w="51" w:type="dxa"/>
                    <w:bottom w:w="0" w:type="dxa"/>
                    <w:right w:w="51" w:type="dxa"/>
                  </w:tcMar>
                  <w:vAlign w:val="center"/>
                </w:tcPr>
                <w:p w14:paraId="7CB326B7">
                  <w:pPr>
                    <w:widowControl/>
                    <w:jc w:val="center"/>
                    <w:textAlignment w:val="center"/>
                    <w:rPr>
                      <w:szCs w:val="21"/>
                    </w:rPr>
                  </w:pPr>
                  <w:r>
                    <w:rPr>
                      <w:color w:val="000000"/>
                      <w:kern w:val="0"/>
                      <w:szCs w:val="21"/>
                      <w:lang w:bidi="ar"/>
                    </w:rPr>
                    <w:t>0.0102</w:t>
                  </w:r>
                </w:p>
              </w:tc>
            </w:tr>
            <w:tr w14:paraId="58256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pct"/>
                  <w:gridSpan w:val="2"/>
                  <w:vMerge w:val="continue"/>
                  <w:tcMar>
                    <w:top w:w="0" w:type="dxa"/>
                    <w:left w:w="51" w:type="dxa"/>
                    <w:bottom w:w="0" w:type="dxa"/>
                    <w:right w:w="51" w:type="dxa"/>
                  </w:tcMar>
                  <w:vAlign w:val="center"/>
                </w:tcPr>
                <w:p w14:paraId="7BD4DD14">
                  <w:pPr>
                    <w:jc w:val="center"/>
                    <w:rPr>
                      <w:szCs w:val="21"/>
                    </w:rPr>
                  </w:pPr>
                </w:p>
              </w:tc>
              <w:tc>
                <w:tcPr>
                  <w:tcW w:w="2882" w:type="pct"/>
                  <w:gridSpan w:val="3"/>
                  <w:tcMar>
                    <w:top w:w="0" w:type="dxa"/>
                    <w:left w:w="51" w:type="dxa"/>
                    <w:bottom w:w="0" w:type="dxa"/>
                    <w:right w:w="51" w:type="dxa"/>
                  </w:tcMar>
                  <w:vAlign w:val="center"/>
                </w:tcPr>
                <w:p w14:paraId="30323BE2">
                  <w:pPr>
                    <w:jc w:val="center"/>
                    <w:textAlignment w:val="bottom"/>
                    <w:rPr>
                      <w:kern w:val="0"/>
                      <w:szCs w:val="21"/>
                      <w:lang w:bidi="ar"/>
                    </w:rPr>
                  </w:pPr>
                  <w:r>
                    <w:rPr>
                      <w:kern w:val="0"/>
                      <w:szCs w:val="21"/>
                      <w:lang w:bidi="ar"/>
                    </w:rPr>
                    <w:t>TN</w:t>
                  </w:r>
                </w:p>
              </w:tc>
              <w:tc>
                <w:tcPr>
                  <w:tcW w:w="1836" w:type="dxa"/>
                  <w:tcMar>
                    <w:top w:w="0" w:type="dxa"/>
                    <w:left w:w="51" w:type="dxa"/>
                    <w:bottom w:w="0" w:type="dxa"/>
                    <w:right w:w="51" w:type="dxa"/>
                  </w:tcMar>
                  <w:vAlign w:val="center"/>
                </w:tcPr>
                <w:p w14:paraId="12300B12">
                  <w:pPr>
                    <w:widowControl/>
                    <w:jc w:val="center"/>
                    <w:textAlignment w:val="center"/>
                    <w:rPr>
                      <w:szCs w:val="21"/>
                    </w:rPr>
                  </w:pPr>
                  <w:r>
                    <w:rPr>
                      <w:color w:val="000000"/>
                      <w:kern w:val="0"/>
                      <w:szCs w:val="21"/>
                      <w:lang w:bidi="ar"/>
                    </w:rPr>
                    <w:t>0.102</w:t>
                  </w:r>
                </w:p>
              </w:tc>
            </w:tr>
          </w:tbl>
          <w:p w14:paraId="2EE02DC5">
            <w:pPr>
              <w:autoSpaceDE w:val="0"/>
              <w:autoSpaceDN w:val="0"/>
              <w:adjustRightInd w:val="0"/>
              <w:spacing w:line="480" w:lineRule="exact"/>
              <w:ind w:firstLine="482" w:firstLineChars="200"/>
              <w:rPr>
                <w:b/>
                <w:bCs/>
                <w:sz w:val="24"/>
              </w:rPr>
            </w:pPr>
            <w:r>
              <w:rPr>
                <w:b/>
                <w:bCs/>
                <w:sz w:val="24"/>
              </w:rPr>
              <w:t>3、建设项目</w:t>
            </w:r>
            <w:r>
              <w:rPr>
                <w:rFonts w:hint="eastAsia"/>
                <w:b/>
                <w:bCs/>
                <w:sz w:val="24"/>
              </w:rPr>
              <w:t>污水接管</w:t>
            </w:r>
            <w:r>
              <w:rPr>
                <w:b/>
                <w:bCs/>
                <w:sz w:val="24"/>
              </w:rPr>
              <w:t>可行性分析</w:t>
            </w:r>
          </w:p>
          <w:p w14:paraId="6948BAE0">
            <w:pPr>
              <w:spacing w:line="480" w:lineRule="exact"/>
              <w:ind w:firstLine="480" w:firstLineChars="200"/>
              <w:rPr>
                <w:sz w:val="24"/>
              </w:rPr>
            </w:pPr>
            <w:r>
              <w:rPr>
                <w:sz w:val="24"/>
              </w:rPr>
              <w:t>（1）收集能力可行性分析</w:t>
            </w:r>
          </w:p>
          <w:p w14:paraId="26361B30">
            <w:pPr>
              <w:spacing w:line="480" w:lineRule="exact"/>
              <w:ind w:firstLine="480" w:firstLineChars="200"/>
              <w:rPr>
                <w:sz w:val="24"/>
              </w:rPr>
            </w:pPr>
            <w:r>
              <w:rPr>
                <w:sz w:val="24"/>
              </w:rPr>
              <w:t>经调查，本项目位于</w:t>
            </w:r>
            <w:r>
              <w:rPr>
                <w:rFonts w:hint="eastAsia"/>
                <w:sz w:val="24"/>
              </w:rPr>
              <w:t>金坛区溪城污水处理有限公司</w:t>
            </w:r>
            <w:r>
              <w:rPr>
                <w:sz w:val="24"/>
              </w:rPr>
              <w:t>收水范围内，就市政污水管网的建设来看，本项目生活污水水质具备纳入市政污水管网的条件。</w:t>
            </w:r>
          </w:p>
          <w:p w14:paraId="04BDC4ED">
            <w:pPr>
              <w:spacing w:line="480" w:lineRule="exact"/>
              <w:ind w:firstLine="480" w:firstLineChars="200"/>
              <w:rPr>
                <w:sz w:val="24"/>
              </w:rPr>
            </w:pPr>
            <w:r>
              <w:rPr>
                <w:sz w:val="24"/>
              </w:rPr>
              <w:t>本项目生活污水依托厂区现有污水管网和排污口，</w:t>
            </w:r>
            <w:r>
              <w:rPr>
                <w:kern w:val="0"/>
                <w:sz w:val="24"/>
                <w:lang w:bidi="ar"/>
              </w:rPr>
              <w:t>收集后接入</w:t>
            </w:r>
            <w:r>
              <w:rPr>
                <w:rFonts w:hint="eastAsia"/>
                <w:kern w:val="0"/>
                <w:sz w:val="24"/>
                <w:lang w:bidi="ar"/>
              </w:rPr>
              <w:t>南店路</w:t>
            </w:r>
            <w:r>
              <w:rPr>
                <w:kern w:val="0"/>
                <w:sz w:val="24"/>
                <w:lang w:bidi="ar"/>
              </w:rPr>
              <w:t>市政污水管网</w:t>
            </w:r>
            <w:r>
              <w:rPr>
                <w:rFonts w:hint="eastAsia"/>
                <w:kern w:val="0"/>
                <w:sz w:val="24"/>
                <w:lang w:bidi="ar"/>
              </w:rPr>
              <w:t>进入金坛区溪城污水处理有限公司</w:t>
            </w:r>
            <w:r>
              <w:rPr>
                <w:kern w:val="0"/>
                <w:sz w:val="24"/>
                <w:lang w:bidi="ar"/>
              </w:rPr>
              <w:t>集中处理，达标尾水排入</w:t>
            </w:r>
            <w:r>
              <w:rPr>
                <w:rFonts w:hint="eastAsia"/>
                <w:kern w:val="0"/>
                <w:sz w:val="24"/>
                <w:lang w:bidi="ar"/>
              </w:rPr>
              <w:t>通济河</w:t>
            </w:r>
            <w:r>
              <w:rPr>
                <w:kern w:val="0"/>
                <w:sz w:val="24"/>
                <w:lang w:bidi="ar"/>
              </w:rPr>
              <w:t>。</w:t>
            </w:r>
            <w:r>
              <w:rPr>
                <w:sz w:val="24"/>
              </w:rPr>
              <w:t>排放口已规范化设置。</w:t>
            </w:r>
          </w:p>
          <w:p w14:paraId="7F386C52">
            <w:pPr>
              <w:pStyle w:val="99"/>
              <w:spacing w:line="480" w:lineRule="exact"/>
              <w:ind w:firstLine="480"/>
              <w:rPr>
                <w:rFonts w:ascii="Times New Roman" w:hAnsi="Times New Roman" w:cs="Times New Roman"/>
              </w:rPr>
            </w:pPr>
            <w:r>
              <w:rPr>
                <w:rFonts w:ascii="Times New Roman" w:hAnsi="Times New Roman" w:cs="Times New Roman"/>
              </w:rPr>
              <w:t>（2）处理能力可行性分析</w:t>
            </w:r>
          </w:p>
          <w:p w14:paraId="32A076C8">
            <w:pPr>
              <w:adjustRightInd w:val="0"/>
              <w:snapToGrid w:val="0"/>
              <w:spacing w:line="500" w:lineRule="exact"/>
              <w:ind w:firstLine="480" w:firstLineChars="200"/>
              <w:rPr>
                <w:bCs/>
                <w:sz w:val="24"/>
              </w:rPr>
            </w:pPr>
            <w:r>
              <w:rPr>
                <w:bCs/>
                <w:sz w:val="24"/>
              </w:rPr>
              <w:t>常州市金坛区溪城污水处理有限公司位于金坛区直溪工业区张地墩，主要收纳金坛区直溪镇以及朱林金西工业园生活污水和少量工业废水</w:t>
            </w:r>
            <w:r>
              <w:rPr>
                <w:rFonts w:hint="eastAsia"/>
                <w:bCs/>
                <w:sz w:val="24"/>
              </w:rPr>
              <w:t>，污水处理工艺为</w:t>
            </w:r>
            <w:r>
              <w:rPr>
                <w:bCs/>
                <w:sz w:val="24"/>
              </w:rPr>
              <w:t>A+AAO+AO 工艺</w:t>
            </w:r>
            <w:r>
              <w:rPr>
                <w:rFonts w:hint="eastAsia"/>
                <w:bCs/>
                <w:sz w:val="24"/>
              </w:rPr>
              <w:t>,</w:t>
            </w:r>
            <w:r>
              <w:rPr>
                <w:bCs/>
                <w:sz w:val="24"/>
              </w:rPr>
              <w:t>现总设计处理能力为日处理污水</w:t>
            </w:r>
            <w:r>
              <w:rPr>
                <w:rFonts w:hint="eastAsia"/>
                <w:bCs/>
                <w:sz w:val="24"/>
              </w:rPr>
              <w:t>1</w:t>
            </w:r>
            <w:r>
              <w:rPr>
                <w:bCs/>
                <w:sz w:val="24"/>
              </w:rPr>
              <w:t>万m</w:t>
            </w:r>
            <w:r>
              <w:rPr>
                <w:bCs/>
                <w:sz w:val="24"/>
                <w:vertAlign w:val="superscript"/>
              </w:rPr>
              <w:t>3</w:t>
            </w:r>
            <w:r>
              <w:rPr>
                <w:bCs/>
                <w:sz w:val="24"/>
              </w:rPr>
              <w:t>。</w:t>
            </w:r>
            <w:r>
              <w:rPr>
                <w:rFonts w:hint="eastAsia"/>
                <w:bCs/>
                <w:sz w:val="24"/>
              </w:rPr>
              <w:t>常州金坛区溪城污水处理有限公司</w:t>
            </w:r>
            <w:r>
              <w:rPr>
                <w:bCs/>
                <w:sz w:val="24"/>
              </w:rPr>
              <w:t>自正式投入运行以来，污水处理设备运转良好，现实际日均处理污水量0.</w:t>
            </w:r>
            <w:r>
              <w:rPr>
                <w:rFonts w:hint="eastAsia"/>
                <w:bCs/>
                <w:sz w:val="24"/>
              </w:rPr>
              <w:t>8</w:t>
            </w:r>
            <w:r>
              <w:rPr>
                <w:bCs/>
                <w:sz w:val="24"/>
              </w:rPr>
              <w:t>万m</w:t>
            </w:r>
            <w:r>
              <w:rPr>
                <w:bCs/>
                <w:sz w:val="24"/>
                <w:vertAlign w:val="superscript"/>
              </w:rPr>
              <w:t>3</w:t>
            </w:r>
            <w:r>
              <w:rPr>
                <w:bCs/>
                <w:sz w:val="24"/>
              </w:rPr>
              <w:t>，仍有余量接纳本项目生活污水。</w:t>
            </w:r>
          </w:p>
          <w:p w14:paraId="50F9AD33">
            <w:pPr>
              <w:adjustRightInd w:val="0"/>
              <w:snapToGrid w:val="0"/>
              <w:jc w:val="center"/>
              <w:rPr>
                <w:b/>
                <w:szCs w:val="21"/>
              </w:rPr>
            </w:pPr>
            <w:r>
              <w:drawing>
                <wp:inline distT="0" distB="0" distL="114300" distR="114300">
                  <wp:extent cx="4919345" cy="1825625"/>
                  <wp:effectExtent l="0" t="0" r="14605" b="317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3"/>
                          <a:stretch>
                            <a:fillRect/>
                          </a:stretch>
                        </pic:blipFill>
                        <pic:spPr>
                          <a:xfrm>
                            <a:off x="0" y="0"/>
                            <a:ext cx="4919345" cy="1825625"/>
                          </a:xfrm>
                          <a:prstGeom prst="rect">
                            <a:avLst/>
                          </a:prstGeom>
                          <a:noFill/>
                          <a:ln>
                            <a:noFill/>
                          </a:ln>
                        </pic:spPr>
                      </pic:pic>
                    </a:graphicData>
                  </a:graphic>
                </wp:inline>
              </w:drawing>
            </w:r>
          </w:p>
          <w:p w14:paraId="15764F80">
            <w:pPr>
              <w:adjustRightInd w:val="0"/>
              <w:snapToGrid w:val="0"/>
              <w:spacing w:line="500" w:lineRule="exact"/>
              <w:jc w:val="center"/>
              <w:rPr>
                <w:b/>
                <w:szCs w:val="21"/>
              </w:rPr>
            </w:pPr>
            <w:r>
              <w:rPr>
                <w:rFonts w:hint="eastAsia"/>
                <w:b/>
                <w:szCs w:val="21"/>
              </w:rPr>
              <w:t>图4-1</w:t>
            </w:r>
            <w:r>
              <w:rPr>
                <w:b/>
                <w:szCs w:val="21"/>
              </w:rPr>
              <w:t>常州市金坛区溪城污水处理有限公司</w:t>
            </w:r>
            <w:r>
              <w:rPr>
                <w:rFonts w:hint="eastAsia"/>
                <w:b/>
                <w:szCs w:val="21"/>
              </w:rPr>
              <w:t>污水处理工艺流程图</w:t>
            </w:r>
          </w:p>
          <w:p w14:paraId="76D4B065">
            <w:pPr>
              <w:adjustRightInd w:val="0"/>
              <w:snapToGrid w:val="0"/>
              <w:spacing w:line="500" w:lineRule="exact"/>
              <w:ind w:firstLine="480" w:firstLineChars="200"/>
              <w:rPr>
                <w:bCs/>
                <w:sz w:val="24"/>
                <w:lang w:val="zh-CN"/>
              </w:rPr>
            </w:pPr>
            <w:r>
              <w:rPr>
                <w:bCs/>
                <w:sz w:val="24"/>
              </w:rPr>
              <w:t>本项目生活污水接管量</w:t>
            </w:r>
            <w:r>
              <w:rPr>
                <w:rFonts w:hint="eastAsia"/>
                <w:bCs/>
                <w:sz w:val="24"/>
              </w:rPr>
              <w:t>2040</w:t>
            </w:r>
            <w:r>
              <w:rPr>
                <w:bCs/>
                <w:sz w:val="24"/>
              </w:rPr>
              <w:t>t/a，污水中主要污染物pH、COD、SS、NH3-N、TN、TP浓度均满足《</w:t>
            </w:r>
            <w:r>
              <w:rPr>
                <w:rFonts w:hint="eastAsia"/>
                <w:bCs/>
                <w:sz w:val="24"/>
              </w:rPr>
              <w:t>常州金坛区溪城污水处理有限公司</w:t>
            </w:r>
            <w:r>
              <w:rPr>
                <w:bCs/>
                <w:sz w:val="24"/>
              </w:rPr>
              <w:t>污水接管水质要求》，</w:t>
            </w:r>
            <w:r>
              <w:rPr>
                <w:bCs/>
                <w:sz w:val="24"/>
                <w:lang w:val="zh-CN"/>
              </w:rPr>
              <w:t>从水量和水质上均不会对污水处理厂的正常运行造成冲击，不会对</w:t>
            </w:r>
            <w:r>
              <w:rPr>
                <w:rFonts w:hint="eastAsia"/>
                <w:bCs/>
                <w:sz w:val="24"/>
              </w:rPr>
              <w:t>常州金坛区溪城污水处理有限公司</w:t>
            </w:r>
            <w:r>
              <w:rPr>
                <w:bCs/>
                <w:sz w:val="24"/>
                <w:lang w:val="zh-CN"/>
              </w:rPr>
              <w:t>的正常运行造成不利影响。</w:t>
            </w:r>
          </w:p>
          <w:p w14:paraId="58801D28">
            <w:pPr>
              <w:pStyle w:val="99"/>
              <w:spacing w:line="480" w:lineRule="exact"/>
              <w:ind w:firstLine="480"/>
              <w:rPr>
                <w:rFonts w:ascii="Times New Roman" w:hAnsi="Times New Roman" w:cs="Times New Roman"/>
              </w:rPr>
            </w:pPr>
            <w:r>
              <w:rPr>
                <w:rFonts w:ascii="Times New Roman" w:hAnsi="Times New Roman" w:cs="Times New Roman"/>
              </w:rPr>
              <w:t>（3）废水水质接管可行性分析</w:t>
            </w:r>
          </w:p>
          <w:p w14:paraId="45EB7B25">
            <w:pPr>
              <w:pStyle w:val="99"/>
              <w:spacing w:line="480" w:lineRule="exact"/>
              <w:ind w:firstLine="480"/>
              <w:jc w:val="both"/>
              <w:rPr>
                <w:rFonts w:ascii="Times New Roman" w:hAnsi="Times New Roman" w:cs="Times New Roman"/>
                <w:b/>
                <w:bCs/>
                <w:szCs w:val="24"/>
              </w:rPr>
            </w:pPr>
            <w:r>
              <w:rPr>
                <w:rFonts w:ascii="Times New Roman" w:hAnsi="Times New Roman" w:cs="Times New Roman"/>
                <w:szCs w:val="24"/>
              </w:rPr>
              <w:t>本项生活污水依托厂区污水管网接管进入</w:t>
            </w:r>
            <w:r>
              <w:rPr>
                <w:rFonts w:hint="eastAsia" w:ascii="Times New Roman" w:hAnsi="Times New Roman" w:cs="Times New Roman"/>
                <w:szCs w:val="24"/>
              </w:rPr>
              <w:t>金坛区溪城污水处理有限公司</w:t>
            </w:r>
            <w:r>
              <w:rPr>
                <w:rFonts w:ascii="Times New Roman" w:hAnsi="Times New Roman" w:cs="Times New Roman"/>
                <w:szCs w:val="24"/>
              </w:rPr>
              <w:t>，处理达标后尾水排入</w:t>
            </w:r>
            <w:r>
              <w:rPr>
                <w:rFonts w:hint="eastAsia" w:ascii="Times New Roman" w:hAnsi="Times New Roman" w:cs="Times New Roman"/>
                <w:szCs w:val="24"/>
              </w:rPr>
              <w:t>通济河</w:t>
            </w:r>
            <w:r>
              <w:rPr>
                <w:rFonts w:ascii="Times New Roman" w:hAnsi="Times New Roman" w:cs="Times New Roman"/>
                <w:szCs w:val="24"/>
              </w:rPr>
              <w:t>。</w:t>
            </w:r>
            <w:r>
              <w:rPr>
                <w:rFonts w:ascii="Times New Roman" w:hAnsi="Times New Roman" w:cs="Times New Roman"/>
              </w:rPr>
              <w:t>本项目废水主要污染物为COD、SS、NH</w:t>
            </w:r>
            <w:r>
              <w:rPr>
                <w:rFonts w:ascii="Times New Roman" w:hAnsi="Times New Roman" w:cs="Times New Roman"/>
                <w:vertAlign w:val="subscript"/>
              </w:rPr>
              <w:t>3</w:t>
            </w:r>
            <w:r>
              <w:rPr>
                <w:rFonts w:ascii="Times New Roman" w:hAnsi="Times New Roman" w:cs="Times New Roman"/>
              </w:rPr>
              <w:t>-N、TP</w:t>
            </w:r>
            <w:r>
              <w:rPr>
                <w:rFonts w:hint="eastAsia" w:ascii="Times New Roman" w:hAnsi="Times New Roman" w:cs="Times New Roman"/>
              </w:rPr>
              <w:t>和</w:t>
            </w:r>
            <w:r>
              <w:rPr>
                <w:rFonts w:ascii="Times New Roman" w:hAnsi="Times New Roman" w:cs="Times New Roman"/>
              </w:rPr>
              <w:t>TN，水质简单，可生化性好，从废水排放达标分析结果可知，废水水质满足</w:t>
            </w:r>
            <w:r>
              <w:rPr>
                <w:rFonts w:hint="eastAsia"/>
                <w:szCs w:val="21"/>
              </w:rPr>
              <w:t>金坛区溪城污水处理有限公司</w:t>
            </w:r>
            <w:r>
              <w:rPr>
                <w:szCs w:val="21"/>
              </w:rPr>
              <w:t>接管要求</w:t>
            </w:r>
            <w:r>
              <w:rPr>
                <w:rFonts w:ascii="Times New Roman" w:hAnsi="Times New Roman" w:cs="Times New Roman"/>
              </w:rPr>
              <w:t>。即从处理工艺上接管可行。此外，本项目外排废水中不含生产废水，满足《江苏省太湖水污染防治条例》的有关规定。</w:t>
            </w:r>
          </w:p>
          <w:p w14:paraId="75E01EB1">
            <w:pPr>
              <w:autoSpaceDE w:val="0"/>
              <w:autoSpaceDN w:val="0"/>
              <w:adjustRightInd w:val="0"/>
              <w:spacing w:line="480" w:lineRule="exact"/>
              <w:ind w:firstLine="482" w:firstLineChars="200"/>
              <w:rPr>
                <w:b/>
                <w:bCs/>
                <w:sz w:val="24"/>
              </w:rPr>
            </w:pPr>
            <w:r>
              <w:rPr>
                <w:b/>
                <w:bCs/>
                <w:sz w:val="24"/>
              </w:rPr>
              <w:t>4、废水监测计划</w:t>
            </w:r>
          </w:p>
          <w:p w14:paraId="32066DDA">
            <w:pPr>
              <w:spacing w:line="480" w:lineRule="exact"/>
              <w:ind w:firstLine="480" w:firstLineChars="200"/>
              <w:rPr>
                <w:bCs/>
                <w:sz w:val="24"/>
              </w:rPr>
            </w:pPr>
            <w:r>
              <w:rPr>
                <w:rFonts w:hint="eastAsia"/>
                <w:kern w:val="0"/>
                <w:sz w:val="24"/>
                <w:lang w:bidi="ar"/>
              </w:rPr>
              <w:t>根据</w:t>
            </w:r>
            <w:r>
              <w:rPr>
                <w:rFonts w:hint="eastAsia"/>
                <w:bCs/>
                <w:sz w:val="24"/>
              </w:rPr>
              <w:t>《排污许可证申请与核发技术规范 橡胶和塑料制品工业》（HJ1122-2020），单独排入城镇集中污水处理设施的生活污水不需监测。</w:t>
            </w:r>
          </w:p>
          <w:p w14:paraId="3BB12048">
            <w:pPr>
              <w:adjustRightInd w:val="0"/>
              <w:snapToGrid w:val="0"/>
              <w:spacing w:line="480" w:lineRule="exact"/>
              <w:ind w:firstLine="482" w:firstLineChars="200"/>
              <w:rPr>
                <w:b/>
                <w:sz w:val="24"/>
              </w:rPr>
            </w:pPr>
            <w:r>
              <w:rPr>
                <w:b/>
                <w:sz w:val="24"/>
              </w:rPr>
              <w:t>二、运营期大气环境影响和保护措施</w:t>
            </w:r>
          </w:p>
          <w:p w14:paraId="15304D11">
            <w:pPr>
              <w:spacing w:line="480" w:lineRule="exact"/>
              <w:ind w:firstLine="482" w:firstLineChars="200"/>
              <w:rPr>
                <w:b/>
                <w:bCs/>
                <w:sz w:val="24"/>
              </w:rPr>
            </w:pPr>
            <w:r>
              <w:rPr>
                <w:b/>
                <w:bCs/>
                <w:sz w:val="24"/>
              </w:rPr>
              <w:t>1、废气产生及排放情况</w:t>
            </w:r>
          </w:p>
          <w:p w14:paraId="79092FA8">
            <w:pPr>
              <w:spacing w:line="480" w:lineRule="exact"/>
              <w:ind w:firstLine="480" w:firstLineChars="200"/>
              <w:rPr>
                <w:rFonts w:hint="default" w:eastAsia="宋体"/>
                <w:sz w:val="24"/>
                <w:lang w:val="en-US" w:eastAsia="zh-CN"/>
              </w:rPr>
            </w:pPr>
            <w:r>
              <w:rPr>
                <w:rFonts w:hint="eastAsia"/>
                <w:sz w:val="24"/>
              </w:rPr>
              <w:t>（1）</w:t>
            </w:r>
            <w:r>
              <w:rPr>
                <w:rFonts w:hint="eastAsia"/>
                <w:sz w:val="24"/>
                <w:lang w:val="en-US" w:eastAsia="zh-CN"/>
              </w:rPr>
              <w:t>调配废气G1中的颗粒物</w:t>
            </w:r>
          </w:p>
          <w:p w14:paraId="70763FDB">
            <w:pPr>
              <w:spacing w:line="480" w:lineRule="exact"/>
              <w:ind w:firstLine="480" w:firstLineChars="200"/>
              <w:rPr>
                <w:sz w:val="24"/>
              </w:rPr>
            </w:pPr>
            <w:r>
              <w:rPr>
                <w:rFonts w:hint="eastAsia"/>
                <w:sz w:val="24"/>
              </w:rPr>
              <w:t>本项目调配羟基丁苯胶乳过程中使用的原料碳酸钙为粉状物质，碳酸钙为自动密闭吸料至拌胶机中，过程中将会少量粉尘逸出。参考《排放源统计调查产排污核算方法和系数手册》-“电子电气行业系数手册”，采用产污系数法核算。根据该手册，配料（混合）工段颗粒物产生量为6.118克/千克原料。本项目共使用碳酸钙300吨，则本项目投料工段颗粒物产生量为1.835t/a。投料粉尘通过密闭收集（捕集率9</w:t>
            </w:r>
            <w:r>
              <w:rPr>
                <w:rFonts w:hint="eastAsia"/>
                <w:sz w:val="24"/>
                <w:lang w:val="en-US" w:eastAsia="zh-CN"/>
              </w:rPr>
              <w:t>0</w:t>
            </w:r>
            <w:r>
              <w:rPr>
                <w:rFonts w:hint="eastAsia"/>
                <w:sz w:val="24"/>
              </w:rPr>
              <w:t>%）后经布袋除尘</w:t>
            </w:r>
            <w:r>
              <w:rPr>
                <w:rFonts w:hint="eastAsia"/>
                <w:sz w:val="24"/>
                <w:lang w:eastAsia="zh-CN"/>
              </w:rPr>
              <w:t>（</w:t>
            </w:r>
            <w:r>
              <w:rPr>
                <w:rFonts w:hint="eastAsia"/>
                <w:sz w:val="24"/>
                <w:lang w:val="en-US" w:eastAsia="zh-CN"/>
              </w:rPr>
              <w:t>TA001</w:t>
            </w:r>
            <w:r>
              <w:rPr>
                <w:rFonts w:hint="eastAsia"/>
                <w:sz w:val="24"/>
                <w:lang w:eastAsia="zh-CN"/>
              </w:rPr>
              <w:t>）</w:t>
            </w:r>
            <w:r>
              <w:rPr>
                <w:rFonts w:hint="eastAsia"/>
                <w:sz w:val="24"/>
                <w:lang w:val="en-US" w:eastAsia="zh-CN"/>
              </w:rPr>
              <w:t>处理后通过15m高排气筒排放（DA001）</w:t>
            </w:r>
            <w:r>
              <w:rPr>
                <w:rFonts w:hint="eastAsia"/>
                <w:sz w:val="24"/>
              </w:rPr>
              <w:t>颗粒物去除率以9</w:t>
            </w:r>
            <w:r>
              <w:rPr>
                <w:rFonts w:hint="eastAsia"/>
                <w:sz w:val="24"/>
                <w:lang w:val="en-US" w:eastAsia="zh-CN"/>
              </w:rPr>
              <w:t>5</w:t>
            </w:r>
            <w:r>
              <w:rPr>
                <w:rFonts w:hint="eastAsia"/>
                <w:sz w:val="24"/>
              </w:rPr>
              <w:t>%计，则投料工段颗粒物</w:t>
            </w:r>
            <w:r>
              <w:rPr>
                <w:rFonts w:hint="eastAsia"/>
                <w:sz w:val="24"/>
                <w:lang w:val="en-US" w:eastAsia="zh-CN"/>
              </w:rPr>
              <w:t>有组织排放量约为</w:t>
            </w:r>
            <w:r>
              <w:rPr>
                <w:rFonts w:hint="eastAsia"/>
                <w:sz w:val="24"/>
              </w:rPr>
              <w:t>0.</w:t>
            </w:r>
            <w:r>
              <w:rPr>
                <w:rFonts w:hint="eastAsia"/>
                <w:sz w:val="24"/>
                <w:lang w:val="en-US" w:eastAsia="zh-CN"/>
              </w:rPr>
              <w:t>0825</w:t>
            </w:r>
            <w:r>
              <w:rPr>
                <w:rFonts w:hint="eastAsia"/>
                <w:sz w:val="24"/>
              </w:rPr>
              <w:t>t/a</w:t>
            </w:r>
            <w:r>
              <w:rPr>
                <w:rFonts w:hint="eastAsia"/>
                <w:sz w:val="24"/>
                <w:lang w:val="en-US" w:eastAsia="zh-CN"/>
              </w:rPr>
              <w:t>，</w:t>
            </w:r>
            <w:r>
              <w:rPr>
                <w:rFonts w:hint="eastAsia"/>
                <w:sz w:val="24"/>
              </w:rPr>
              <w:t>无组织排放量</w:t>
            </w:r>
            <w:r>
              <w:rPr>
                <w:rFonts w:hint="eastAsia"/>
                <w:sz w:val="24"/>
                <w:lang w:val="en-US" w:eastAsia="zh-CN"/>
              </w:rPr>
              <w:t>约</w:t>
            </w:r>
            <w:r>
              <w:rPr>
                <w:rFonts w:hint="eastAsia"/>
                <w:sz w:val="24"/>
              </w:rPr>
              <w:t>为0.</w:t>
            </w:r>
            <w:r>
              <w:rPr>
                <w:rFonts w:hint="eastAsia"/>
                <w:sz w:val="24"/>
                <w:lang w:val="en-US" w:eastAsia="zh-CN"/>
              </w:rPr>
              <w:t>1835</w:t>
            </w:r>
            <w:r>
              <w:rPr>
                <w:rFonts w:hint="eastAsia"/>
                <w:sz w:val="24"/>
              </w:rPr>
              <w:t>t/a。</w:t>
            </w:r>
          </w:p>
          <w:p w14:paraId="037CB045">
            <w:pPr>
              <w:spacing w:line="480" w:lineRule="exact"/>
              <w:ind w:firstLine="480" w:firstLineChars="200"/>
              <w:rPr>
                <w:rFonts w:hint="eastAsia" w:eastAsia="宋体"/>
                <w:sz w:val="24"/>
                <w:lang w:eastAsia="zh-CN"/>
              </w:rPr>
            </w:pPr>
            <w:r>
              <w:rPr>
                <w:rFonts w:hint="eastAsia"/>
                <w:sz w:val="24"/>
              </w:rPr>
              <w:t>（2）调配</w:t>
            </w:r>
            <w:r>
              <w:rPr>
                <w:rFonts w:hint="eastAsia"/>
                <w:sz w:val="24"/>
                <w:lang w:val="en-US" w:eastAsia="zh-CN"/>
              </w:rPr>
              <w:t>废气G1</w:t>
            </w:r>
            <w:r>
              <w:rPr>
                <w:rFonts w:hint="eastAsia"/>
                <w:sz w:val="24"/>
                <w:lang w:eastAsia="zh-CN"/>
              </w:rPr>
              <w:t>（</w:t>
            </w:r>
            <w:r>
              <w:rPr>
                <w:rFonts w:hint="eastAsia"/>
                <w:sz w:val="24"/>
                <w:lang w:val="en-US" w:eastAsia="zh-CN"/>
              </w:rPr>
              <w:t>有机废气</w:t>
            </w:r>
            <w:r>
              <w:rPr>
                <w:rFonts w:hint="eastAsia"/>
                <w:sz w:val="24"/>
                <w:lang w:eastAsia="zh-CN"/>
              </w:rPr>
              <w:t>）</w:t>
            </w:r>
            <w:r>
              <w:rPr>
                <w:rFonts w:hint="eastAsia"/>
                <w:sz w:val="24"/>
              </w:rPr>
              <w:t>、背胶废气</w:t>
            </w:r>
            <w:r>
              <w:rPr>
                <w:rFonts w:hint="eastAsia"/>
                <w:sz w:val="24"/>
                <w:lang w:val="en-US" w:eastAsia="zh-CN"/>
              </w:rPr>
              <w:t>G2</w:t>
            </w:r>
            <w:r>
              <w:rPr>
                <w:rFonts w:hint="eastAsia"/>
                <w:sz w:val="24"/>
              </w:rPr>
              <w:t>、烘干废气G</w:t>
            </w:r>
            <w:r>
              <w:rPr>
                <w:rFonts w:hint="eastAsia"/>
                <w:sz w:val="24"/>
                <w:lang w:val="en-US" w:eastAsia="zh-CN"/>
              </w:rPr>
              <w:t>4</w:t>
            </w:r>
          </w:p>
          <w:p w14:paraId="6182F658">
            <w:pPr>
              <w:spacing w:line="480" w:lineRule="exact"/>
              <w:ind w:firstLine="480" w:firstLineChars="200"/>
              <w:rPr>
                <w:rFonts w:hint="eastAsia" w:hAnsi="宋体"/>
                <w:sz w:val="24"/>
              </w:rPr>
            </w:pPr>
            <w:r>
              <w:rPr>
                <w:rFonts w:hint="eastAsia" w:hAnsi="宋体"/>
                <w:sz w:val="24"/>
              </w:rPr>
              <w:t>丁苯乳胶</w:t>
            </w:r>
          </w:p>
          <w:p w14:paraId="78317F68">
            <w:pPr>
              <w:pStyle w:val="2"/>
              <w:spacing w:before="0" w:after="0" w:line="480" w:lineRule="exact"/>
              <w:ind w:right="0" w:firstLine="480" w:firstLineChars="200"/>
              <w:rPr>
                <w:sz w:val="24"/>
                <w:szCs w:val="24"/>
              </w:rPr>
            </w:pPr>
            <w:r>
              <w:rPr>
                <w:rFonts w:hint="eastAsia" w:hAnsi="宋体"/>
                <w:sz w:val="24"/>
                <w:szCs w:val="24"/>
              </w:rPr>
              <w:t>根据企业提供的混合后的丁苯胶的VOC含量检测报告（未检出），其挥发性有机化合物含量为1g/L（以检出限的一半计）；</w:t>
            </w:r>
            <w:r>
              <w:rPr>
                <w:rFonts w:hAnsi="宋体"/>
                <w:sz w:val="24"/>
                <w:szCs w:val="24"/>
              </w:rPr>
              <w:t>年使用</w:t>
            </w:r>
            <w:r>
              <w:rPr>
                <w:rFonts w:hint="eastAsia" w:hAnsi="宋体"/>
                <w:sz w:val="24"/>
                <w:szCs w:val="24"/>
              </w:rPr>
              <w:t>混合后的丁苯胶量</w:t>
            </w:r>
            <w:r>
              <w:rPr>
                <w:rFonts w:hint="eastAsia" w:hAnsi="宋体"/>
                <w:sz w:val="24"/>
                <w:szCs w:val="24"/>
                <w:lang w:eastAsia="zh-CN"/>
              </w:rPr>
              <w:t>（</w:t>
            </w:r>
            <w:r>
              <w:rPr>
                <w:rFonts w:hint="eastAsia" w:hAnsi="宋体"/>
                <w:sz w:val="24"/>
                <w:szCs w:val="24"/>
                <w:lang w:val="en-US" w:eastAsia="zh-CN"/>
              </w:rPr>
              <w:t>丁苯乳胶：碳酸钙：水=1：1.5：2</w:t>
            </w:r>
            <w:r>
              <w:rPr>
                <w:rFonts w:hint="eastAsia" w:hAnsi="宋体"/>
                <w:sz w:val="24"/>
                <w:szCs w:val="24"/>
                <w:lang w:eastAsia="zh-CN"/>
              </w:rPr>
              <w:t>）</w:t>
            </w:r>
            <w:r>
              <w:rPr>
                <w:rFonts w:hint="eastAsia" w:hAnsi="宋体"/>
                <w:sz w:val="24"/>
                <w:szCs w:val="24"/>
              </w:rPr>
              <w:t>约900</w:t>
            </w:r>
            <w:r>
              <w:rPr>
                <w:sz w:val="24"/>
                <w:szCs w:val="24"/>
              </w:rPr>
              <w:t>t</w:t>
            </w:r>
            <w:r>
              <w:rPr>
                <w:rFonts w:hint="eastAsia" w:hAnsi="宋体"/>
                <w:sz w:val="24"/>
                <w:szCs w:val="24"/>
              </w:rPr>
              <w:t>，密度约</w:t>
            </w:r>
            <w:r>
              <w:rPr>
                <w:rFonts w:hint="eastAsia" w:hAnsi="宋体"/>
                <w:sz w:val="24"/>
                <w:szCs w:val="24"/>
                <w:lang w:val="en-US" w:eastAsia="zh-CN"/>
              </w:rPr>
              <w:t>1.27</w:t>
            </w:r>
            <w:r>
              <w:rPr>
                <w:rFonts w:hint="eastAsia" w:hAnsi="宋体"/>
                <w:sz w:val="24"/>
                <w:szCs w:val="24"/>
              </w:rPr>
              <w:t>g/cm</w:t>
            </w:r>
            <w:r>
              <w:rPr>
                <w:rFonts w:hint="eastAsia" w:hAnsi="宋体"/>
                <w:sz w:val="24"/>
                <w:szCs w:val="24"/>
                <w:vertAlign w:val="superscript"/>
              </w:rPr>
              <w:t>3</w:t>
            </w:r>
            <w:r>
              <w:rPr>
                <w:rFonts w:hint="eastAsia" w:hAnsi="宋体"/>
                <w:sz w:val="24"/>
                <w:szCs w:val="24"/>
              </w:rPr>
              <w:t>，约为</w:t>
            </w:r>
            <w:r>
              <w:rPr>
                <w:rFonts w:hint="eastAsia" w:hAnsi="宋体"/>
                <w:sz w:val="24"/>
                <w:szCs w:val="24"/>
                <w:lang w:val="en-US" w:eastAsia="zh-CN"/>
              </w:rPr>
              <w:t>708661</w:t>
            </w:r>
            <w:r>
              <w:rPr>
                <w:rFonts w:hint="eastAsia" w:hAnsi="宋体"/>
                <w:sz w:val="24"/>
                <w:szCs w:val="24"/>
              </w:rPr>
              <w:t>升胶水，则产生挥发性有机物约</w:t>
            </w:r>
            <w:r>
              <w:rPr>
                <w:rFonts w:hint="eastAsia" w:hAnsi="宋体"/>
                <w:sz w:val="24"/>
                <w:szCs w:val="24"/>
                <w:lang w:val="en-US" w:eastAsia="zh-CN"/>
              </w:rPr>
              <w:t>0.709</w:t>
            </w:r>
            <w:r>
              <w:rPr>
                <w:rFonts w:hint="eastAsia" w:hAnsi="宋体"/>
                <w:sz w:val="24"/>
                <w:szCs w:val="24"/>
              </w:rPr>
              <w:t>t/a</w:t>
            </w:r>
            <w:r>
              <w:rPr>
                <w:rFonts w:hint="eastAsia"/>
                <w:sz w:val="24"/>
                <w:szCs w:val="24"/>
              </w:rPr>
              <w:t>。</w:t>
            </w:r>
          </w:p>
          <w:p w14:paraId="1DF1B923">
            <w:pPr>
              <w:pStyle w:val="2"/>
              <w:spacing w:before="0" w:after="0" w:line="480" w:lineRule="exact"/>
              <w:ind w:right="0" w:firstLine="480" w:firstLineChars="200"/>
              <w:rPr>
                <w:rFonts w:hint="eastAsia" w:hAnsi="宋体"/>
                <w:sz w:val="24"/>
              </w:rPr>
            </w:pPr>
            <w:r>
              <w:rPr>
                <w:rFonts w:hint="eastAsia" w:hAnsi="宋体"/>
                <w:sz w:val="24"/>
              </w:rPr>
              <w:t>PU胶</w:t>
            </w:r>
          </w:p>
          <w:p w14:paraId="5D582D09">
            <w:pPr>
              <w:pStyle w:val="2"/>
              <w:spacing w:before="0" w:after="0" w:line="480" w:lineRule="exact"/>
              <w:ind w:right="0" w:firstLine="480" w:firstLineChars="200"/>
              <w:rPr>
                <w:sz w:val="24"/>
                <w:szCs w:val="24"/>
              </w:rPr>
            </w:pPr>
            <w:r>
              <w:rPr>
                <w:rFonts w:hint="eastAsia" w:hAnsi="宋体"/>
                <w:sz w:val="24"/>
                <w:szCs w:val="24"/>
              </w:rPr>
              <w:t>根据企业提供的混合后的PU胶的VOC含量检测报告，其挥发性有机化合物含量为1.1g/L；</w:t>
            </w:r>
            <w:r>
              <w:rPr>
                <w:rFonts w:hAnsi="宋体"/>
                <w:sz w:val="24"/>
                <w:szCs w:val="24"/>
              </w:rPr>
              <w:t>年使用</w:t>
            </w:r>
            <w:r>
              <w:rPr>
                <w:rFonts w:hint="eastAsia" w:hAnsi="宋体"/>
                <w:sz w:val="24"/>
                <w:szCs w:val="24"/>
              </w:rPr>
              <w:t>混合后的PU胶量约32</w:t>
            </w:r>
            <w:r>
              <w:rPr>
                <w:sz w:val="24"/>
                <w:szCs w:val="24"/>
              </w:rPr>
              <w:t>t</w:t>
            </w:r>
            <w:r>
              <w:rPr>
                <w:rFonts w:hint="eastAsia" w:hAnsi="宋体"/>
                <w:sz w:val="24"/>
                <w:szCs w:val="24"/>
              </w:rPr>
              <w:t>，密度约1</w:t>
            </w:r>
            <w:r>
              <w:rPr>
                <w:rFonts w:hint="eastAsia" w:hAnsi="宋体"/>
                <w:sz w:val="24"/>
                <w:szCs w:val="24"/>
                <w:lang w:val="en-US" w:eastAsia="zh-CN"/>
              </w:rPr>
              <w:t>.64</w:t>
            </w:r>
            <w:r>
              <w:rPr>
                <w:rFonts w:hint="eastAsia" w:hAnsi="宋体"/>
                <w:sz w:val="24"/>
                <w:szCs w:val="24"/>
              </w:rPr>
              <w:t>g/cm</w:t>
            </w:r>
            <w:r>
              <w:rPr>
                <w:rFonts w:hint="eastAsia" w:hAnsi="宋体"/>
                <w:sz w:val="24"/>
                <w:szCs w:val="24"/>
                <w:vertAlign w:val="superscript"/>
              </w:rPr>
              <w:t>3</w:t>
            </w:r>
            <w:r>
              <w:rPr>
                <w:rFonts w:hint="eastAsia" w:hAnsi="宋体"/>
                <w:sz w:val="24"/>
                <w:szCs w:val="24"/>
              </w:rPr>
              <w:t>，约为</w:t>
            </w:r>
            <w:r>
              <w:rPr>
                <w:rFonts w:hint="eastAsia" w:hAnsi="宋体"/>
                <w:sz w:val="24"/>
                <w:szCs w:val="24"/>
                <w:lang w:val="en-US" w:eastAsia="zh-CN"/>
              </w:rPr>
              <w:t>19512</w:t>
            </w:r>
            <w:r>
              <w:rPr>
                <w:rFonts w:hint="eastAsia" w:hAnsi="宋体"/>
                <w:sz w:val="24"/>
                <w:szCs w:val="24"/>
              </w:rPr>
              <w:t>升胶水，则产生挥发性有机物约0.0</w:t>
            </w:r>
            <w:r>
              <w:rPr>
                <w:rFonts w:hint="eastAsia" w:hAnsi="宋体"/>
                <w:sz w:val="24"/>
                <w:szCs w:val="24"/>
                <w:lang w:val="en-US" w:eastAsia="zh-CN"/>
              </w:rPr>
              <w:t>21</w:t>
            </w:r>
            <w:r>
              <w:rPr>
                <w:rFonts w:hint="eastAsia" w:hAnsi="宋体"/>
                <w:sz w:val="24"/>
                <w:szCs w:val="24"/>
              </w:rPr>
              <w:t>t/a</w:t>
            </w:r>
            <w:r>
              <w:rPr>
                <w:rFonts w:hint="eastAsia"/>
                <w:sz w:val="24"/>
                <w:szCs w:val="24"/>
              </w:rPr>
              <w:t>。</w:t>
            </w:r>
          </w:p>
          <w:p w14:paraId="1AC48A63">
            <w:pPr>
              <w:pStyle w:val="3"/>
              <w:numPr>
                <w:ilvl w:val="0"/>
                <w:numId w:val="0"/>
              </w:numPr>
              <w:spacing w:line="480" w:lineRule="exact"/>
              <w:ind w:firstLine="480" w:firstLineChars="200"/>
              <w:rPr>
                <w:sz w:val="24"/>
                <w:highlight w:val="none"/>
              </w:rPr>
            </w:pPr>
            <w:r>
              <w:rPr>
                <w:rFonts w:hint="eastAsia"/>
                <w:sz w:val="24"/>
                <w:lang w:val="en-US" w:eastAsia="zh-CN"/>
              </w:rPr>
              <w:t>本项目烘干工段有水汽产生，因此需要除水器进行除湿，同时可达到降温效果。因此</w:t>
            </w:r>
            <w:r>
              <w:rPr>
                <w:rFonts w:hint="eastAsia"/>
                <w:sz w:val="24"/>
              </w:rPr>
              <w:t>本项目调配、背胶、烘干过程中产生的有机废气，共用一套</w:t>
            </w:r>
            <w:r>
              <w:rPr>
                <w:rFonts w:hint="eastAsia"/>
                <w:sz w:val="24"/>
                <w:lang w:val="en-US" w:eastAsia="zh-CN"/>
              </w:rPr>
              <w:t>除水器+</w:t>
            </w:r>
            <w:r>
              <w:rPr>
                <w:rFonts w:hint="eastAsia"/>
                <w:sz w:val="24"/>
              </w:rPr>
              <w:t>二级活性炭吸附装置</w:t>
            </w:r>
            <w:r>
              <w:rPr>
                <w:rFonts w:hint="eastAsia"/>
                <w:sz w:val="24"/>
                <w:szCs w:val="22"/>
              </w:rPr>
              <w:t>（TA00</w:t>
            </w:r>
            <w:r>
              <w:rPr>
                <w:rFonts w:hint="eastAsia"/>
                <w:sz w:val="24"/>
                <w:szCs w:val="22"/>
                <w:lang w:val="en-US" w:eastAsia="zh-CN"/>
              </w:rPr>
              <w:t>2</w:t>
            </w:r>
            <w:r>
              <w:rPr>
                <w:rFonts w:hint="eastAsia"/>
                <w:sz w:val="24"/>
                <w:szCs w:val="22"/>
              </w:rPr>
              <w:t>）</w:t>
            </w:r>
            <w:r>
              <w:rPr>
                <w:rFonts w:hint="eastAsia"/>
                <w:sz w:val="24"/>
              </w:rPr>
              <w:t>进行吸附后通过15m高排气筒排放</w:t>
            </w:r>
            <w:r>
              <w:rPr>
                <w:rFonts w:hint="eastAsia"/>
                <w:sz w:val="24"/>
                <w:szCs w:val="22"/>
              </w:rPr>
              <w:t>（DA00</w:t>
            </w:r>
            <w:r>
              <w:rPr>
                <w:rFonts w:hint="eastAsia"/>
                <w:sz w:val="24"/>
                <w:szCs w:val="22"/>
                <w:lang w:val="en-US" w:eastAsia="zh-CN"/>
              </w:rPr>
              <w:t>1</w:t>
            </w:r>
            <w:r>
              <w:rPr>
                <w:rFonts w:hint="eastAsia"/>
                <w:sz w:val="24"/>
                <w:szCs w:val="22"/>
              </w:rPr>
              <w:t>）</w:t>
            </w:r>
            <w:r>
              <w:rPr>
                <w:rFonts w:hint="eastAsia"/>
                <w:sz w:val="24"/>
              </w:rPr>
              <w:t>，共产生</w:t>
            </w:r>
            <w:r>
              <w:rPr>
                <w:sz w:val="24"/>
              </w:rPr>
              <w:t>非甲烷总烃约</w:t>
            </w:r>
            <w:r>
              <w:rPr>
                <w:rFonts w:hint="eastAsia"/>
                <w:sz w:val="24"/>
                <w:lang w:val="en-US" w:eastAsia="zh-CN"/>
              </w:rPr>
              <w:t>0.73</w:t>
            </w:r>
            <w:r>
              <w:rPr>
                <w:sz w:val="24"/>
              </w:rPr>
              <w:t>t/a。收集率</w:t>
            </w:r>
            <w:r>
              <w:rPr>
                <w:rFonts w:hint="eastAsia"/>
                <w:sz w:val="24"/>
              </w:rPr>
              <w:t>按</w:t>
            </w:r>
            <w:r>
              <w:rPr>
                <w:sz w:val="24"/>
              </w:rPr>
              <w:t>90%</w:t>
            </w:r>
            <w:r>
              <w:rPr>
                <w:rFonts w:hint="eastAsia"/>
                <w:sz w:val="24"/>
              </w:rPr>
              <w:t>计</w:t>
            </w:r>
            <w:r>
              <w:rPr>
                <w:sz w:val="24"/>
              </w:rPr>
              <w:t>，活性炭总去除率约90%。则</w:t>
            </w:r>
            <w:r>
              <w:rPr>
                <w:rFonts w:hint="eastAsia"/>
                <w:sz w:val="24"/>
              </w:rPr>
              <w:t>挥发性有机物</w:t>
            </w:r>
            <w:r>
              <w:rPr>
                <w:sz w:val="24"/>
              </w:rPr>
              <w:t>有组织排放</w:t>
            </w:r>
            <w:r>
              <w:rPr>
                <w:sz w:val="24"/>
                <w:highlight w:val="none"/>
              </w:rPr>
              <w:t>量</w:t>
            </w:r>
            <w:r>
              <w:rPr>
                <w:rFonts w:hint="eastAsia"/>
                <w:sz w:val="24"/>
                <w:highlight w:val="none"/>
                <w:lang w:val="en-US" w:eastAsia="zh-CN"/>
              </w:rPr>
              <w:t>约</w:t>
            </w:r>
            <w:r>
              <w:rPr>
                <w:sz w:val="24"/>
                <w:highlight w:val="none"/>
              </w:rPr>
              <w:t>为0.</w:t>
            </w:r>
            <w:r>
              <w:rPr>
                <w:rFonts w:hint="eastAsia"/>
                <w:sz w:val="24"/>
                <w:highlight w:val="none"/>
                <w:lang w:val="en-US" w:eastAsia="zh-CN"/>
              </w:rPr>
              <w:t>066</w:t>
            </w:r>
            <w:r>
              <w:rPr>
                <w:sz w:val="24"/>
                <w:highlight w:val="none"/>
              </w:rPr>
              <w:t>t/a，无组织排放量为0.</w:t>
            </w:r>
            <w:r>
              <w:rPr>
                <w:rFonts w:hint="eastAsia"/>
                <w:sz w:val="24"/>
                <w:highlight w:val="none"/>
                <w:lang w:val="en-US" w:eastAsia="zh-CN"/>
              </w:rPr>
              <w:t>073</w:t>
            </w:r>
            <w:r>
              <w:rPr>
                <w:sz w:val="24"/>
                <w:highlight w:val="none"/>
              </w:rPr>
              <w:t>t/a。</w:t>
            </w:r>
          </w:p>
          <w:p w14:paraId="1C2D0E82">
            <w:pPr>
              <w:pStyle w:val="3"/>
              <w:numPr>
                <w:ilvl w:val="0"/>
                <w:numId w:val="0"/>
              </w:numPr>
              <w:spacing w:line="480" w:lineRule="exact"/>
              <w:ind w:firstLine="482" w:firstLineChars="200"/>
              <w:rPr>
                <w:rFonts w:hint="eastAsia"/>
                <w:b/>
                <w:bCs/>
                <w:sz w:val="24"/>
                <w:highlight w:val="none"/>
                <w:lang w:val="en-US" w:eastAsia="zh-CN"/>
              </w:rPr>
            </w:pPr>
            <w:r>
              <w:rPr>
                <w:rFonts w:hint="eastAsia"/>
                <w:b/>
                <w:bCs/>
                <w:sz w:val="24"/>
                <w:highlight w:val="none"/>
                <w:lang w:val="en-US" w:eastAsia="zh-CN"/>
              </w:rPr>
              <w:t>根据《工业涂装工序大气污染物排放标准》（DB32/4439-2022）表1中备注“企业使用的原料、生产工艺过程、生产的产品、副产品，结合附录A和有关环境管理要求等，筛选确定计入TVOC的物质，尚不具备分析方法的待国家污染物监测技术规定发布后实施”。本次以最大源强评价，即所有的有机废气均计入TVOC。则TVOC产生量为0.73t/a，有组织产生量为0.657t/a。</w:t>
            </w:r>
          </w:p>
          <w:p w14:paraId="3CA1B944">
            <w:pPr>
              <w:pStyle w:val="3"/>
              <w:numPr>
                <w:ilvl w:val="0"/>
                <w:numId w:val="0"/>
              </w:numPr>
              <w:spacing w:line="480" w:lineRule="exact"/>
              <w:ind w:firstLine="482" w:firstLineChars="200"/>
              <w:rPr>
                <w:rFonts w:hint="eastAsia"/>
                <w:b/>
                <w:bCs/>
                <w:sz w:val="24"/>
                <w:highlight w:val="none"/>
                <w:lang w:val="en-US" w:eastAsia="zh-CN"/>
              </w:rPr>
            </w:pPr>
            <w:r>
              <w:rPr>
                <w:rFonts w:hint="eastAsia"/>
                <w:b/>
                <w:bCs/>
                <w:sz w:val="24"/>
                <w:highlight w:val="none"/>
                <w:lang w:val="en-US" w:eastAsia="zh-CN"/>
              </w:rPr>
              <w:t>非甲烷总烃（以C计）的总量计算过程：</w:t>
            </w:r>
          </w:p>
          <w:p w14:paraId="5FCA38F7">
            <w:pPr>
              <w:pStyle w:val="3"/>
              <w:numPr>
                <w:ilvl w:val="0"/>
                <w:numId w:val="0"/>
              </w:numPr>
              <w:spacing w:line="480" w:lineRule="exact"/>
              <w:ind w:firstLine="482" w:firstLineChars="200"/>
              <w:rPr>
                <w:rFonts w:hint="eastAsia"/>
                <w:b/>
                <w:bCs/>
                <w:sz w:val="24"/>
                <w:highlight w:val="none"/>
                <w:lang w:val="en-US" w:eastAsia="zh-CN"/>
              </w:rPr>
            </w:pPr>
            <w:r>
              <w:rPr>
                <w:rFonts w:hint="eastAsia"/>
                <w:b/>
                <w:bCs/>
                <w:sz w:val="24"/>
                <w:highlight w:val="none"/>
                <w:lang w:val="en-US" w:eastAsia="zh-CN"/>
              </w:rPr>
              <w:t>‌非甲烷总烃浓度（mgC/m³） = 检测浓度（ppm） × 碳原子数 ×C的气体摩尔质量（g/mol） ÷ 22.4（标准摩尔体积）</w:t>
            </w:r>
          </w:p>
          <w:p w14:paraId="30954E3E">
            <w:pPr>
              <w:pStyle w:val="3"/>
              <w:numPr>
                <w:ilvl w:val="0"/>
                <w:numId w:val="0"/>
              </w:numPr>
              <w:spacing w:line="480" w:lineRule="exact"/>
              <w:ind w:firstLine="482" w:firstLineChars="200"/>
              <w:rPr>
                <w:rFonts w:hint="eastAsia"/>
                <w:b/>
                <w:bCs/>
                <w:sz w:val="24"/>
                <w:highlight w:val="none"/>
                <w:lang w:val="en-US" w:eastAsia="zh-CN"/>
              </w:rPr>
            </w:pPr>
            <w:r>
              <w:rPr>
                <w:rFonts w:hint="eastAsia"/>
                <w:b/>
                <w:bCs/>
                <w:sz w:val="24"/>
                <w:highlight w:val="none"/>
                <w:lang w:val="en-US" w:eastAsia="zh-CN"/>
              </w:rPr>
              <w:t>式中： 检测浓度（ppm）=有机气体浓度（mg/m</w:t>
            </w:r>
            <w:r>
              <w:rPr>
                <w:rFonts w:hint="eastAsia"/>
                <w:b/>
                <w:bCs/>
                <w:sz w:val="24"/>
                <w:highlight w:val="none"/>
                <w:vertAlign w:val="superscript"/>
                <w:lang w:val="en-US" w:eastAsia="zh-CN"/>
              </w:rPr>
              <w:t>3</w:t>
            </w:r>
            <w:r>
              <w:rPr>
                <w:rFonts w:hint="eastAsia"/>
                <w:b/>
                <w:bCs/>
                <w:sz w:val="24"/>
                <w:highlight w:val="none"/>
                <w:lang w:val="en-US" w:eastAsia="zh-CN"/>
              </w:rPr>
              <w:t>）×22.4（标准摩尔体积） ÷有机气体摩尔质量（g/mol）</w:t>
            </w:r>
          </w:p>
          <w:p w14:paraId="137797CB">
            <w:pPr>
              <w:pStyle w:val="3"/>
              <w:numPr>
                <w:ilvl w:val="0"/>
                <w:numId w:val="0"/>
              </w:numPr>
              <w:spacing w:line="480" w:lineRule="exact"/>
              <w:ind w:firstLine="482" w:firstLineChars="200"/>
              <w:rPr>
                <w:rFonts w:hint="default"/>
                <w:b/>
                <w:bCs/>
                <w:sz w:val="24"/>
                <w:highlight w:val="none"/>
                <w:vertAlign w:val="baseline"/>
                <w:lang w:val="en-US" w:eastAsia="zh-CN"/>
              </w:rPr>
            </w:pPr>
            <w:r>
              <w:rPr>
                <w:rFonts w:hint="eastAsia"/>
                <w:b/>
                <w:bCs/>
                <w:sz w:val="24"/>
                <w:highlight w:val="none"/>
                <w:lang w:val="en-US" w:eastAsia="zh-CN"/>
              </w:rPr>
              <w:t>则经简化后：‌非甲烷总烃有组织产生浓度（mgC/m³）=有机气体浓度（mg/m</w:t>
            </w:r>
            <w:r>
              <w:rPr>
                <w:rFonts w:hint="eastAsia"/>
                <w:b/>
                <w:bCs/>
                <w:sz w:val="24"/>
                <w:highlight w:val="none"/>
                <w:vertAlign w:val="superscript"/>
                <w:lang w:val="en-US" w:eastAsia="zh-CN"/>
              </w:rPr>
              <w:t>3</w:t>
            </w:r>
            <w:r>
              <w:rPr>
                <w:rFonts w:hint="eastAsia"/>
                <w:b/>
                <w:bCs/>
                <w:sz w:val="24"/>
                <w:highlight w:val="none"/>
                <w:lang w:val="en-US" w:eastAsia="zh-CN"/>
              </w:rPr>
              <w:t>）× 碳原子数× C的气体摩尔质量（g/mol）÷有机气体摩尔质量（g/mol）=9.125×（12+15）×12÷（158.24+250.25）=7.237mgC/m</w:t>
            </w:r>
            <w:r>
              <w:rPr>
                <w:rFonts w:hint="eastAsia"/>
                <w:b/>
                <w:bCs/>
                <w:sz w:val="24"/>
                <w:highlight w:val="none"/>
                <w:vertAlign w:val="superscript"/>
                <w:lang w:val="en-US" w:eastAsia="zh-CN"/>
              </w:rPr>
              <w:t>3</w:t>
            </w:r>
          </w:p>
          <w:p w14:paraId="00FDC2D3">
            <w:pPr>
              <w:spacing w:line="480" w:lineRule="exact"/>
              <w:ind w:firstLine="480" w:firstLineChars="200"/>
              <w:rPr>
                <w:rFonts w:hint="eastAsia" w:eastAsia="宋体"/>
                <w:sz w:val="24"/>
                <w:highlight w:val="none"/>
                <w:lang w:eastAsia="zh-CN"/>
              </w:rPr>
            </w:pPr>
            <w:r>
              <w:rPr>
                <w:rFonts w:hint="eastAsia"/>
                <w:sz w:val="24"/>
                <w:highlight w:val="none"/>
              </w:rPr>
              <w:t>（3）天然气燃烧废气G</w:t>
            </w:r>
            <w:r>
              <w:rPr>
                <w:rFonts w:hint="eastAsia"/>
                <w:sz w:val="24"/>
                <w:highlight w:val="none"/>
                <w:lang w:val="en-US" w:eastAsia="zh-CN"/>
              </w:rPr>
              <w:t>3</w:t>
            </w:r>
          </w:p>
          <w:p w14:paraId="2227B760">
            <w:pPr>
              <w:autoSpaceDE w:val="0"/>
              <w:autoSpaceDN w:val="0"/>
              <w:adjustRightInd w:val="0"/>
              <w:spacing w:line="480" w:lineRule="exact"/>
              <w:ind w:firstLine="480" w:firstLineChars="200"/>
              <w:rPr>
                <w:sz w:val="24"/>
              </w:rPr>
            </w:pPr>
            <w:r>
              <w:rPr>
                <w:sz w:val="24"/>
              </w:rPr>
              <w:t>根据建设单位提供数据，</w:t>
            </w:r>
            <w:r>
              <w:rPr>
                <w:rFonts w:hint="eastAsia"/>
                <w:sz w:val="24"/>
              </w:rPr>
              <w:t>本项目烘干工段</w:t>
            </w:r>
            <w:r>
              <w:rPr>
                <w:sz w:val="24"/>
              </w:rPr>
              <w:t>用气</w:t>
            </w:r>
            <w:r>
              <w:rPr>
                <w:rFonts w:hint="eastAsia"/>
                <w:sz w:val="24"/>
              </w:rPr>
              <w:t>共6</w:t>
            </w:r>
            <w:r>
              <w:rPr>
                <w:sz w:val="24"/>
              </w:rPr>
              <w:t>万m</w:t>
            </w:r>
            <w:r>
              <w:rPr>
                <w:sz w:val="24"/>
                <w:vertAlign w:val="superscript"/>
              </w:rPr>
              <w:t>3</w:t>
            </w:r>
            <w:r>
              <w:rPr>
                <w:sz w:val="24"/>
              </w:rPr>
              <w:t>/a</w:t>
            </w:r>
            <w:r>
              <w:rPr>
                <w:rFonts w:hint="eastAsia"/>
                <w:sz w:val="24"/>
              </w:rPr>
              <w:t>，</w:t>
            </w:r>
            <w:r>
              <w:rPr>
                <w:sz w:val="24"/>
              </w:rPr>
              <w:t>采用天然气加热</w:t>
            </w:r>
            <w:r>
              <w:rPr>
                <w:rFonts w:hint="eastAsia"/>
                <w:sz w:val="24"/>
              </w:rPr>
              <w:t>提供热量</w:t>
            </w:r>
            <w:r>
              <w:rPr>
                <w:sz w:val="24"/>
              </w:rPr>
              <w:t>；根据《第二次全国污染源普查工业污染源产排污系数手册》相关数据NO</w:t>
            </w:r>
            <w:r>
              <w:rPr>
                <w:sz w:val="24"/>
                <w:vertAlign w:val="subscript"/>
              </w:rPr>
              <w:t>X</w:t>
            </w:r>
            <w:r>
              <w:rPr>
                <w:sz w:val="24"/>
              </w:rPr>
              <w:t>：6.97kg/万m</w:t>
            </w:r>
            <w:r>
              <w:rPr>
                <w:sz w:val="24"/>
                <w:vertAlign w:val="superscript"/>
              </w:rPr>
              <w:t>3</w:t>
            </w:r>
            <w:r>
              <w:rPr>
                <w:sz w:val="24"/>
              </w:rPr>
              <w:t>、SO</w:t>
            </w:r>
            <w:r>
              <w:rPr>
                <w:sz w:val="24"/>
                <w:vertAlign w:val="subscript"/>
              </w:rPr>
              <w:t>2</w:t>
            </w:r>
            <w:r>
              <w:rPr>
                <w:sz w:val="24"/>
              </w:rPr>
              <w:t>：2kg/万m</w:t>
            </w:r>
            <w:r>
              <w:rPr>
                <w:sz w:val="24"/>
                <w:vertAlign w:val="superscript"/>
              </w:rPr>
              <w:t>3</w:t>
            </w:r>
            <w:r>
              <w:rPr>
                <w:sz w:val="24"/>
              </w:rPr>
              <w:t>（根据《天然气》（GB17820-2018）表1 二类，S取值100），烟尘根据《环境保护使用数据手册》，烟尘：2.4kg/万m</w:t>
            </w:r>
            <w:r>
              <w:rPr>
                <w:sz w:val="24"/>
                <w:vertAlign w:val="superscript"/>
              </w:rPr>
              <w:t>3</w:t>
            </w:r>
            <w:r>
              <w:rPr>
                <w:sz w:val="24"/>
              </w:rPr>
              <w:t xml:space="preserve">，则天然气燃烧产生的污染物总量分别为：则天然气燃烧产生的污染物总量分别为：NOx </w:t>
            </w:r>
            <w:r>
              <w:rPr>
                <w:rFonts w:hint="eastAsia"/>
                <w:sz w:val="24"/>
              </w:rPr>
              <w:t>0.0418</w:t>
            </w:r>
            <w:r>
              <w:rPr>
                <w:sz w:val="24"/>
              </w:rPr>
              <w:t>t/a、SO</w:t>
            </w:r>
            <w:r>
              <w:rPr>
                <w:sz w:val="24"/>
                <w:vertAlign w:val="subscript"/>
              </w:rPr>
              <w:t>2</w:t>
            </w:r>
            <w:r>
              <w:rPr>
                <w:sz w:val="24"/>
              </w:rPr>
              <w:t xml:space="preserve"> </w:t>
            </w:r>
            <w:r>
              <w:rPr>
                <w:rFonts w:hint="eastAsia"/>
                <w:sz w:val="24"/>
              </w:rPr>
              <w:t>0.012</w:t>
            </w:r>
            <w:r>
              <w:rPr>
                <w:sz w:val="24"/>
              </w:rPr>
              <w:t>t/a、颗粒物</w:t>
            </w:r>
            <w:r>
              <w:rPr>
                <w:rFonts w:hint="eastAsia"/>
                <w:sz w:val="24"/>
              </w:rPr>
              <w:t>0.0144</w:t>
            </w:r>
            <w:r>
              <w:rPr>
                <w:sz w:val="24"/>
              </w:rPr>
              <w:t>t/a</w:t>
            </w:r>
            <w:r>
              <w:rPr>
                <w:rFonts w:hint="eastAsia"/>
                <w:sz w:val="24"/>
              </w:rPr>
              <w:t>，通过15m高排气筒排放</w:t>
            </w:r>
            <w:r>
              <w:rPr>
                <w:rFonts w:hint="eastAsia"/>
                <w:sz w:val="24"/>
                <w:szCs w:val="22"/>
              </w:rPr>
              <w:t>（DA00</w:t>
            </w:r>
            <w:r>
              <w:rPr>
                <w:rFonts w:hint="eastAsia"/>
                <w:sz w:val="24"/>
                <w:szCs w:val="22"/>
                <w:lang w:val="en-US" w:eastAsia="zh-CN"/>
              </w:rPr>
              <w:t>1</w:t>
            </w:r>
            <w:r>
              <w:rPr>
                <w:rFonts w:hint="eastAsia"/>
                <w:sz w:val="24"/>
                <w:szCs w:val="22"/>
              </w:rPr>
              <w:t>）</w:t>
            </w:r>
            <w:r>
              <w:rPr>
                <w:rFonts w:hint="eastAsia"/>
                <w:sz w:val="24"/>
              </w:rPr>
              <w:t>。</w:t>
            </w:r>
          </w:p>
          <w:p w14:paraId="6438D60F">
            <w:pPr>
              <w:pStyle w:val="2"/>
              <w:spacing w:before="0" w:after="0" w:line="480" w:lineRule="exact"/>
              <w:ind w:right="0" w:firstLine="480" w:firstLineChars="200"/>
              <w:rPr>
                <w:rFonts w:hint="default"/>
                <w:sz w:val="24"/>
                <w:szCs w:val="24"/>
                <w:lang w:val="en-US" w:eastAsia="zh-CN"/>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rFonts w:hint="eastAsia"/>
                <w:sz w:val="24"/>
                <w:szCs w:val="24"/>
                <w:lang w:val="en-US" w:eastAsia="zh-CN"/>
              </w:rPr>
              <w:t>危废仓库废气</w:t>
            </w:r>
          </w:p>
          <w:p w14:paraId="0A0DB0E5">
            <w:pPr>
              <w:pStyle w:val="2"/>
              <w:spacing w:before="0" w:after="0" w:line="480" w:lineRule="exact"/>
              <w:ind w:right="0" w:firstLine="480" w:firstLineChars="200"/>
              <w:rPr>
                <w:rFonts w:hint="eastAsia" w:eastAsia="宋体"/>
                <w:sz w:val="24"/>
                <w:szCs w:val="24"/>
                <w:lang w:val="en-US" w:eastAsia="zh-CN"/>
              </w:rPr>
            </w:pPr>
            <w:r>
              <w:rPr>
                <w:rFonts w:hint="eastAsia"/>
                <w:sz w:val="24"/>
                <w:szCs w:val="24"/>
              </w:rPr>
              <w:t>本项目废活性炭、</w:t>
            </w:r>
            <w:r>
              <w:rPr>
                <w:rFonts w:hint="eastAsia"/>
                <w:sz w:val="24"/>
                <w:szCs w:val="24"/>
                <w:lang w:val="en-US" w:eastAsia="zh-CN"/>
              </w:rPr>
              <w:t>含胶废物</w:t>
            </w:r>
            <w:r>
              <w:rPr>
                <w:rFonts w:hint="eastAsia"/>
                <w:sz w:val="24"/>
                <w:szCs w:val="24"/>
              </w:rPr>
              <w:t>等危险废物均贮存于危废库中，使用的原料均满足VOC含量的要求，且贮存过程采用密封桶或者双层塑料袋装袋并密封，挥发量极少，故本次不进行定量分析。将危废库废气密闭收集</w:t>
            </w:r>
            <w:r>
              <w:rPr>
                <w:rFonts w:hint="eastAsia"/>
                <w:sz w:val="24"/>
                <w:szCs w:val="24"/>
                <w:lang w:val="en-US" w:eastAsia="zh-CN"/>
              </w:rPr>
              <w:t>并入</w:t>
            </w:r>
            <w:r>
              <w:rPr>
                <w:rFonts w:hint="eastAsia"/>
                <w:sz w:val="24"/>
                <w:lang w:val="en-US" w:eastAsia="zh-CN"/>
              </w:rPr>
              <w:t>除水器+</w:t>
            </w:r>
            <w:r>
              <w:rPr>
                <w:rFonts w:hint="eastAsia"/>
                <w:sz w:val="24"/>
              </w:rPr>
              <w:t>二级活性炭吸附装置</w:t>
            </w:r>
            <w:r>
              <w:rPr>
                <w:rFonts w:hint="eastAsia"/>
                <w:sz w:val="24"/>
                <w:szCs w:val="22"/>
              </w:rPr>
              <w:t>（TA00</w:t>
            </w:r>
            <w:r>
              <w:rPr>
                <w:rFonts w:hint="eastAsia"/>
                <w:sz w:val="24"/>
                <w:szCs w:val="22"/>
                <w:lang w:val="en-US" w:eastAsia="zh-CN"/>
              </w:rPr>
              <w:t>2</w:t>
            </w:r>
            <w:r>
              <w:rPr>
                <w:rFonts w:hint="eastAsia"/>
                <w:sz w:val="24"/>
                <w:szCs w:val="22"/>
              </w:rPr>
              <w:t>）</w:t>
            </w:r>
            <w:r>
              <w:rPr>
                <w:rFonts w:hint="eastAsia"/>
                <w:sz w:val="24"/>
              </w:rPr>
              <w:t>进行吸附后通过15m高排气筒排放</w:t>
            </w:r>
            <w:r>
              <w:rPr>
                <w:rFonts w:hint="eastAsia"/>
                <w:sz w:val="24"/>
                <w:szCs w:val="22"/>
              </w:rPr>
              <w:t>（DA00</w:t>
            </w:r>
            <w:r>
              <w:rPr>
                <w:rFonts w:hint="eastAsia"/>
                <w:sz w:val="24"/>
                <w:szCs w:val="22"/>
                <w:lang w:val="en-US" w:eastAsia="zh-CN"/>
              </w:rPr>
              <w:t>1</w:t>
            </w:r>
            <w:r>
              <w:rPr>
                <w:rFonts w:hint="eastAsia"/>
                <w:sz w:val="24"/>
                <w:szCs w:val="22"/>
              </w:rPr>
              <w:t>）</w:t>
            </w:r>
            <w:r>
              <w:rPr>
                <w:rFonts w:hint="eastAsia"/>
                <w:sz w:val="24"/>
                <w:szCs w:val="22"/>
                <w:lang w:eastAsia="zh-CN"/>
              </w:rPr>
              <w:t>。</w:t>
            </w:r>
          </w:p>
          <w:p w14:paraId="68B2A37B">
            <w:pPr>
              <w:pStyle w:val="2"/>
              <w:spacing w:before="0" w:after="0" w:line="480" w:lineRule="exact"/>
              <w:ind w:right="0" w:firstLine="480" w:firstLineChars="200"/>
              <w:rPr>
                <w:color w:val="FF0000"/>
                <w:sz w:val="24"/>
                <w:szCs w:val="24"/>
              </w:rPr>
            </w:pPr>
            <w:r>
              <w:rPr>
                <w:sz w:val="24"/>
                <w:szCs w:val="24"/>
              </w:rPr>
              <w:t>本项目废气排放口基本情况见表4-</w:t>
            </w:r>
            <w:r>
              <w:rPr>
                <w:rFonts w:hint="eastAsia"/>
                <w:sz w:val="24"/>
                <w:szCs w:val="24"/>
                <w:lang w:val="en-US" w:eastAsia="zh-CN"/>
              </w:rPr>
              <w:t>7</w:t>
            </w:r>
            <w:r>
              <w:rPr>
                <w:sz w:val="24"/>
                <w:szCs w:val="24"/>
              </w:rPr>
              <w:t>。本项目有组织废气产生及排放情况见表4-</w:t>
            </w:r>
            <w:r>
              <w:rPr>
                <w:rFonts w:hint="eastAsia"/>
                <w:sz w:val="24"/>
                <w:szCs w:val="24"/>
                <w:lang w:val="en-US" w:eastAsia="zh-CN"/>
              </w:rPr>
              <w:t>8</w:t>
            </w:r>
            <w:r>
              <w:rPr>
                <w:sz w:val="24"/>
                <w:szCs w:val="24"/>
              </w:rPr>
              <w:t>，无组织废气污染物产生及排放情况表4-</w:t>
            </w:r>
            <w:r>
              <w:rPr>
                <w:rFonts w:hint="eastAsia"/>
                <w:sz w:val="24"/>
                <w:szCs w:val="24"/>
                <w:lang w:val="en-US" w:eastAsia="zh-CN"/>
              </w:rPr>
              <w:t>9</w:t>
            </w:r>
            <w:r>
              <w:rPr>
                <w:sz w:val="24"/>
                <w:szCs w:val="24"/>
              </w:rPr>
              <w:t>。</w:t>
            </w:r>
          </w:p>
        </w:tc>
      </w:tr>
    </w:tbl>
    <w:p w14:paraId="53C77430">
      <w:pPr>
        <w:rPr>
          <w:color w:val="FF0000"/>
        </w:rPr>
        <w:sectPr>
          <w:pgSz w:w="11907" w:h="16840"/>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tbl>
      <w:tblPr>
        <w:tblStyle w:val="2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4"/>
        <w:gridCol w:w="13646"/>
      </w:tblGrid>
      <w:tr w14:paraId="035CA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11" w:hRule="atLeast"/>
          <w:jc w:val="center"/>
        </w:trPr>
        <w:tc>
          <w:tcPr>
            <w:tcW w:w="185" w:type="pct"/>
            <w:tcBorders>
              <w:tl2br w:val="nil"/>
              <w:tr2bl w:val="nil"/>
            </w:tcBorders>
            <w:vAlign w:val="center"/>
          </w:tcPr>
          <w:p w14:paraId="25C141B6">
            <w:pPr>
              <w:adjustRightInd w:val="0"/>
              <w:snapToGrid w:val="0"/>
              <w:jc w:val="center"/>
              <w:rPr>
                <w:color w:val="FF0000"/>
              </w:rPr>
            </w:pPr>
            <w:r>
              <w:rPr>
                <w:b/>
                <w:sz w:val="24"/>
              </w:rPr>
              <w:t>运营期环境影响和保护措施</w:t>
            </w:r>
          </w:p>
        </w:tc>
        <w:tc>
          <w:tcPr>
            <w:tcW w:w="4814" w:type="pct"/>
            <w:tcBorders>
              <w:tl2br w:val="nil"/>
              <w:tr2bl w:val="nil"/>
            </w:tcBorders>
          </w:tcPr>
          <w:p w14:paraId="0202A8A8">
            <w:pPr>
              <w:widowControl/>
              <w:snapToGrid w:val="0"/>
              <w:spacing w:line="480" w:lineRule="exact"/>
              <w:jc w:val="center"/>
              <w:rPr>
                <w:b/>
                <w:bCs/>
                <w:sz w:val="24"/>
              </w:rPr>
            </w:pPr>
            <w:r>
              <w:rPr>
                <w:b/>
                <w:bCs/>
                <w:sz w:val="24"/>
              </w:rPr>
              <w:t>表4-</w:t>
            </w:r>
            <w:r>
              <w:rPr>
                <w:rFonts w:hint="eastAsia"/>
                <w:b/>
                <w:bCs/>
                <w:sz w:val="24"/>
              </w:rPr>
              <w:t>7</w:t>
            </w:r>
            <w:r>
              <w:rPr>
                <w:b/>
                <w:bCs/>
                <w:sz w:val="24"/>
              </w:rPr>
              <w:t xml:space="preserve">  本项目建成后全厂废气排放口基本情况信息表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
              <w:gridCol w:w="1113"/>
              <w:gridCol w:w="1335"/>
              <w:gridCol w:w="1335"/>
              <w:gridCol w:w="1306"/>
              <w:gridCol w:w="900"/>
              <w:gridCol w:w="763"/>
              <w:gridCol w:w="808"/>
              <w:gridCol w:w="967"/>
              <w:gridCol w:w="2067"/>
              <w:gridCol w:w="1318"/>
              <w:gridCol w:w="1066"/>
            </w:tblGrid>
            <w:tr w14:paraId="6EE5A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 w:type="pct"/>
                  <w:vMerge w:val="restart"/>
                  <w:vAlign w:val="center"/>
                </w:tcPr>
                <w:p w14:paraId="3B0CD7B9">
                  <w:pPr>
                    <w:tabs>
                      <w:tab w:val="left" w:pos="1418"/>
                    </w:tabs>
                    <w:jc w:val="center"/>
                    <w:rPr>
                      <w:b/>
                      <w:bCs/>
                      <w:szCs w:val="21"/>
                    </w:rPr>
                  </w:pPr>
                  <w:r>
                    <w:rPr>
                      <w:b/>
                      <w:bCs/>
                      <w:szCs w:val="21"/>
                    </w:rPr>
                    <w:t>序号</w:t>
                  </w:r>
                </w:p>
              </w:tc>
              <w:tc>
                <w:tcPr>
                  <w:tcW w:w="3175" w:type="pct"/>
                  <w:gridSpan w:val="8"/>
                  <w:vAlign w:val="center"/>
                </w:tcPr>
                <w:p w14:paraId="76BCB1DE">
                  <w:pPr>
                    <w:tabs>
                      <w:tab w:val="left" w:pos="1418"/>
                    </w:tabs>
                    <w:jc w:val="center"/>
                    <w:rPr>
                      <w:b/>
                      <w:bCs/>
                      <w:szCs w:val="21"/>
                    </w:rPr>
                  </w:pPr>
                  <w:r>
                    <w:rPr>
                      <w:b/>
                      <w:bCs/>
                      <w:szCs w:val="21"/>
                    </w:rPr>
                    <w:t>排放口基本情况</w:t>
                  </w:r>
                </w:p>
              </w:tc>
              <w:tc>
                <w:tcPr>
                  <w:tcW w:w="1657" w:type="pct"/>
                  <w:gridSpan w:val="3"/>
                  <w:vAlign w:val="center"/>
                </w:tcPr>
                <w:p w14:paraId="40008470">
                  <w:pPr>
                    <w:tabs>
                      <w:tab w:val="left" w:pos="1418"/>
                    </w:tabs>
                    <w:jc w:val="center"/>
                    <w:rPr>
                      <w:b/>
                      <w:bCs/>
                      <w:szCs w:val="21"/>
                    </w:rPr>
                  </w:pPr>
                  <w:r>
                    <w:rPr>
                      <w:b/>
                      <w:bCs/>
                      <w:szCs w:val="21"/>
                    </w:rPr>
                    <w:t>排放标准</w:t>
                  </w:r>
                </w:p>
              </w:tc>
            </w:tr>
            <w:tr w14:paraId="38C60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 w:type="pct"/>
                  <w:vMerge w:val="continue"/>
                  <w:vAlign w:val="center"/>
                </w:tcPr>
                <w:p w14:paraId="7A5EF89B">
                  <w:pPr>
                    <w:tabs>
                      <w:tab w:val="left" w:pos="1418"/>
                    </w:tabs>
                    <w:jc w:val="center"/>
                    <w:rPr>
                      <w:b/>
                      <w:bCs/>
                      <w:szCs w:val="21"/>
                    </w:rPr>
                  </w:pPr>
                </w:p>
              </w:tc>
              <w:tc>
                <w:tcPr>
                  <w:tcW w:w="414" w:type="pct"/>
                  <w:vMerge w:val="restart"/>
                  <w:vAlign w:val="center"/>
                </w:tcPr>
                <w:p w14:paraId="287450B7">
                  <w:pPr>
                    <w:tabs>
                      <w:tab w:val="left" w:pos="1418"/>
                    </w:tabs>
                    <w:jc w:val="center"/>
                    <w:rPr>
                      <w:b/>
                      <w:bCs/>
                      <w:szCs w:val="21"/>
                    </w:rPr>
                  </w:pPr>
                  <w:r>
                    <w:rPr>
                      <w:b/>
                      <w:bCs/>
                      <w:szCs w:val="21"/>
                    </w:rPr>
                    <w:t>编号及</w:t>
                  </w:r>
                </w:p>
                <w:p w14:paraId="11494072">
                  <w:pPr>
                    <w:tabs>
                      <w:tab w:val="left" w:pos="1418"/>
                    </w:tabs>
                    <w:jc w:val="center"/>
                    <w:rPr>
                      <w:b/>
                      <w:bCs/>
                      <w:szCs w:val="21"/>
                    </w:rPr>
                  </w:pPr>
                  <w:r>
                    <w:rPr>
                      <w:b/>
                      <w:bCs/>
                      <w:szCs w:val="21"/>
                    </w:rPr>
                    <w:t>名称</w:t>
                  </w:r>
                </w:p>
              </w:tc>
              <w:tc>
                <w:tcPr>
                  <w:tcW w:w="497" w:type="pct"/>
                  <w:vMerge w:val="restart"/>
                  <w:vAlign w:val="center"/>
                </w:tcPr>
                <w:p w14:paraId="4239FF39">
                  <w:pPr>
                    <w:tabs>
                      <w:tab w:val="left" w:pos="1418"/>
                    </w:tabs>
                    <w:jc w:val="center"/>
                    <w:rPr>
                      <w:b/>
                      <w:bCs/>
                      <w:szCs w:val="21"/>
                    </w:rPr>
                  </w:pPr>
                  <w:r>
                    <w:rPr>
                      <w:b/>
                      <w:bCs/>
                      <w:szCs w:val="21"/>
                    </w:rPr>
                    <w:t>类型</w:t>
                  </w:r>
                </w:p>
              </w:tc>
              <w:tc>
                <w:tcPr>
                  <w:tcW w:w="983" w:type="pct"/>
                  <w:gridSpan w:val="2"/>
                  <w:vAlign w:val="center"/>
                </w:tcPr>
                <w:p w14:paraId="4601152F">
                  <w:pPr>
                    <w:tabs>
                      <w:tab w:val="left" w:pos="1418"/>
                    </w:tabs>
                    <w:jc w:val="center"/>
                    <w:rPr>
                      <w:b/>
                      <w:bCs/>
                      <w:szCs w:val="21"/>
                    </w:rPr>
                  </w:pPr>
                  <w:r>
                    <w:rPr>
                      <w:b/>
                      <w:bCs/>
                      <w:szCs w:val="21"/>
                    </w:rPr>
                    <w:t>坐标</w:t>
                  </w:r>
                </w:p>
              </w:tc>
              <w:tc>
                <w:tcPr>
                  <w:tcW w:w="335" w:type="pct"/>
                  <w:vMerge w:val="restart"/>
                  <w:vAlign w:val="center"/>
                </w:tcPr>
                <w:p w14:paraId="32967FFF">
                  <w:pPr>
                    <w:tabs>
                      <w:tab w:val="left" w:pos="1418"/>
                    </w:tabs>
                    <w:jc w:val="center"/>
                    <w:rPr>
                      <w:b/>
                      <w:bCs/>
                      <w:szCs w:val="21"/>
                    </w:rPr>
                  </w:pPr>
                  <w:r>
                    <w:rPr>
                      <w:b/>
                      <w:bCs/>
                      <w:szCs w:val="21"/>
                    </w:rPr>
                    <w:t>排气筒高度（m）</w:t>
                  </w:r>
                </w:p>
              </w:tc>
              <w:tc>
                <w:tcPr>
                  <w:tcW w:w="284" w:type="pct"/>
                  <w:vMerge w:val="restart"/>
                  <w:vAlign w:val="center"/>
                </w:tcPr>
                <w:p w14:paraId="52B91DE5">
                  <w:pPr>
                    <w:tabs>
                      <w:tab w:val="left" w:pos="1418"/>
                    </w:tabs>
                    <w:jc w:val="center"/>
                    <w:rPr>
                      <w:b/>
                      <w:bCs/>
                      <w:szCs w:val="21"/>
                    </w:rPr>
                  </w:pPr>
                  <w:r>
                    <w:rPr>
                      <w:b/>
                      <w:bCs/>
                      <w:szCs w:val="21"/>
                    </w:rPr>
                    <w:t>出口内径（m）</w:t>
                  </w:r>
                </w:p>
              </w:tc>
              <w:tc>
                <w:tcPr>
                  <w:tcW w:w="300" w:type="pct"/>
                  <w:vMerge w:val="restart"/>
                  <w:vAlign w:val="center"/>
                </w:tcPr>
                <w:p w14:paraId="22BCC63D">
                  <w:pPr>
                    <w:tabs>
                      <w:tab w:val="left" w:pos="1418"/>
                    </w:tabs>
                    <w:jc w:val="center"/>
                    <w:rPr>
                      <w:b/>
                      <w:bCs/>
                      <w:szCs w:val="21"/>
                    </w:rPr>
                  </w:pPr>
                  <w:r>
                    <w:rPr>
                      <w:b/>
                      <w:bCs/>
                      <w:szCs w:val="21"/>
                    </w:rPr>
                    <w:t>排气温度（℃）</w:t>
                  </w:r>
                </w:p>
              </w:tc>
              <w:tc>
                <w:tcPr>
                  <w:tcW w:w="360" w:type="pct"/>
                  <w:vMerge w:val="restart"/>
                  <w:vAlign w:val="center"/>
                </w:tcPr>
                <w:p w14:paraId="3F0DE927">
                  <w:pPr>
                    <w:tabs>
                      <w:tab w:val="left" w:pos="1418"/>
                    </w:tabs>
                    <w:jc w:val="center"/>
                    <w:rPr>
                      <w:b/>
                      <w:bCs/>
                      <w:szCs w:val="21"/>
                    </w:rPr>
                  </w:pPr>
                  <w:r>
                    <w:rPr>
                      <w:b/>
                      <w:bCs/>
                      <w:szCs w:val="21"/>
                    </w:rPr>
                    <w:t>污染物项目</w:t>
                  </w:r>
                </w:p>
              </w:tc>
              <w:tc>
                <w:tcPr>
                  <w:tcW w:w="769" w:type="pct"/>
                  <w:vMerge w:val="restart"/>
                  <w:vAlign w:val="center"/>
                </w:tcPr>
                <w:p w14:paraId="13B65297">
                  <w:pPr>
                    <w:tabs>
                      <w:tab w:val="left" w:pos="1418"/>
                    </w:tabs>
                    <w:jc w:val="center"/>
                    <w:rPr>
                      <w:b/>
                      <w:bCs/>
                      <w:szCs w:val="21"/>
                    </w:rPr>
                  </w:pPr>
                  <w:r>
                    <w:rPr>
                      <w:b/>
                      <w:bCs/>
                      <w:szCs w:val="21"/>
                    </w:rPr>
                    <w:t>标准名称</w:t>
                  </w:r>
                </w:p>
              </w:tc>
              <w:tc>
                <w:tcPr>
                  <w:tcW w:w="490" w:type="pct"/>
                  <w:vMerge w:val="restart"/>
                  <w:vAlign w:val="center"/>
                </w:tcPr>
                <w:p w14:paraId="548B2107">
                  <w:pPr>
                    <w:tabs>
                      <w:tab w:val="left" w:pos="1418"/>
                    </w:tabs>
                    <w:jc w:val="center"/>
                    <w:rPr>
                      <w:b/>
                      <w:bCs/>
                      <w:szCs w:val="21"/>
                    </w:rPr>
                  </w:pPr>
                  <w:r>
                    <w:rPr>
                      <w:b/>
                      <w:bCs/>
                      <w:szCs w:val="21"/>
                    </w:rPr>
                    <w:t>浓度限值（mg/Nm</w:t>
                  </w:r>
                  <w:r>
                    <w:rPr>
                      <w:b/>
                      <w:bCs/>
                      <w:szCs w:val="21"/>
                      <w:vertAlign w:val="superscript"/>
                    </w:rPr>
                    <w:t>3</w:t>
                  </w:r>
                  <w:r>
                    <w:rPr>
                      <w:b/>
                      <w:bCs/>
                      <w:szCs w:val="21"/>
                    </w:rPr>
                    <w:t>）</w:t>
                  </w:r>
                </w:p>
              </w:tc>
              <w:tc>
                <w:tcPr>
                  <w:tcW w:w="397" w:type="pct"/>
                  <w:vMerge w:val="restart"/>
                  <w:vAlign w:val="center"/>
                </w:tcPr>
                <w:p w14:paraId="787EEFE4">
                  <w:pPr>
                    <w:tabs>
                      <w:tab w:val="left" w:pos="1418"/>
                    </w:tabs>
                    <w:jc w:val="center"/>
                    <w:rPr>
                      <w:b/>
                      <w:bCs/>
                      <w:szCs w:val="21"/>
                    </w:rPr>
                  </w:pPr>
                  <w:r>
                    <w:rPr>
                      <w:b/>
                      <w:bCs/>
                      <w:szCs w:val="21"/>
                    </w:rPr>
                    <w:t>速率限值（kg/h）</w:t>
                  </w:r>
                </w:p>
              </w:tc>
            </w:tr>
            <w:tr w14:paraId="405BF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 w:type="pct"/>
                  <w:vMerge w:val="continue"/>
                  <w:vAlign w:val="center"/>
                </w:tcPr>
                <w:p w14:paraId="1F6182A3">
                  <w:pPr>
                    <w:tabs>
                      <w:tab w:val="left" w:pos="1418"/>
                    </w:tabs>
                    <w:jc w:val="center"/>
                    <w:rPr>
                      <w:b/>
                      <w:bCs/>
                      <w:szCs w:val="21"/>
                    </w:rPr>
                  </w:pPr>
                </w:p>
              </w:tc>
              <w:tc>
                <w:tcPr>
                  <w:tcW w:w="414" w:type="pct"/>
                  <w:vMerge w:val="continue"/>
                  <w:vAlign w:val="center"/>
                </w:tcPr>
                <w:p w14:paraId="7ADD6E3E">
                  <w:pPr>
                    <w:tabs>
                      <w:tab w:val="left" w:pos="1418"/>
                    </w:tabs>
                    <w:jc w:val="center"/>
                    <w:rPr>
                      <w:b/>
                      <w:bCs/>
                      <w:szCs w:val="21"/>
                    </w:rPr>
                  </w:pPr>
                </w:p>
              </w:tc>
              <w:tc>
                <w:tcPr>
                  <w:tcW w:w="497" w:type="pct"/>
                  <w:vMerge w:val="continue"/>
                  <w:vAlign w:val="center"/>
                </w:tcPr>
                <w:p w14:paraId="1BDB4839">
                  <w:pPr>
                    <w:tabs>
                      <w:tab w:val="left" w:pos="1418"/>
                    </w:tabs>
                    <w:jc w:val="center"/>
                    <w:rPr>
                      <w:b/>
                      <w:bCs/>
                      <w:szCs w:val="21"/>
                    </w:rPr>
                  </w:pPr>
                </w:p>
              </w:tc>
              <w:tc>
                <w:tcPr>
                  <w:tcW w:w="497" w:type="pct"/>
                  <w:vAlign w:val="center"/>
                </w:tcPr>
                <w:p w14:paraId="466E6462">
                  <w:pPr>
                    <w:tabs>
                      <w:tab w:val="left" w:pos="1418"/>
                    </w:tabs>
                    <w:jc w:val="center"/>
                    <w:rPr>
                      <w:b/>
                      <w:bCs/>
                      <w:szCs w:val="21"/>
                    </w:rPr>
                  </w:pPr>
                  <w:r>
                    <w:rPr>
                      <w:b/>
                      <w:bCs/>
                      <w:szCs w:val="21"/>
                    </w:rPr>
                    <w:t>经度</w:t>
                  </w:r>
                </w:p>
              </w:tc>
              <w:tc>
                <w:tcPr>
                  <w:tcW w:w="486" w:type="pct"/>
                  <w:vAlign w:val="center"/>
                </w:tcPr>
                <w:p w14:paraId="140DEDDA">
                  <w:pPr>
                    <w:tabs>
                      <w:tab w:val="left" w:pos="1418"/>
                    </w:tabs>
                    <w:jc w:val="center"/>
                    <w:rPr>
                      <w:b/>
                      <w:bCs/>
                      <w:szCs w:val="21"/>
                    </w:rPr>
                  </w:pPr>
                  <w:r>
                    <w:rPr>
                      <w:b/>
                      <w:bCs/>
                      <w:szCs w:val="21"/>
                    </w:rPr>
                    <w:t>纬度</w:t>
                  </w:r>
                </w:p>
              </w:tc>
              <w:tc>
                <w:tcPr>
                  <w:tcW w:w="335" w:type="pct"/>
                  <w:vMerge w:val="continue"/>
                  <w:vAlign w:val="center"/>
                </w:tcPr>
                <w:p w14:paraId="756A8D66">
                  <w:pPr>
                    <w:tabs>
                      <w:tab w:val="left" w:pos="1418"/>
                    </w:tabs>
                    <w:jc w:val="center"/>
                    <w:rPr>
                      <w:szCs w:val="21"/>
                    </w:rPr>
                  </w:pPr>
                </w:p>
              </w:tc>
              <w:tc>
                <w:tcPr>
                  <w:tcW w:w="284" w:type="pct"/>
                  <w:vMerge w:val="continue"/>
                  <w:vAlign w:val="center"/>
                </w:tcPr>
                <w:p w14:paraId="13BF6DA8">
                  <w:pPr>
                    <w:tabs>
                      <w:tab w:val="left" w:pos="1418"/>
                    </w:tabs>
                    <w:jc w:val="center"/>
                    <w:rPr>
                      <w:szCs w:val="21"/>
                    </w:rPr>
                  </w:pPr>
                </w:p>
              </w:tc>
              <w:tc>
                <w:tcPr>
                  <w:tcW w:w="300" w:type="pct"/>
                  <w:vMerge w:val="continue"/>
                  <w:vAlign w:val="center"/>
                </w:tcPr>
                <w:p w14:paraId="31DE7337">
                  <w:pPr>
                    <w:tabs>
                      <w:tab w:val="left" w:pos="1418"/>
                    </w:tabs>
                    <w:jc w:val="center"/>
                    <w:rPr>
                      <w:szCs w:val="21"/>
                    </w:rPr>
                  </w:pPr>
                </w:p>
              </w:tc>
              <w:tc>
                <w:tcPr>
                  <w:tcW w:w="360" w:type="pct"/>
                  <w:vMerge w:val="continue"/>
                  <w:vAlign w:val="center"/>
                </w:tcPr>
                <w:p w14:paraId="3DF6CCC3">
                  <w:pPr>
                    <w:tabs>
                      <w:tab w:val="left" w:pos="1418"/>
                    </w:tabs>
                    <w:jc w:val="center"/>
                    <w:rPr>
                      <w:szCs w:val="21"/>
                    </w:rPr>
                  </w:pPr>
                </w:p>
              </w:tc>
              <w:tc>
                <w:tcPr>
                  <w:tcW w:w="769" w:type="pct"/>
                  <w:vMerge w:val="continue"/>
                  <w:vAlign w:val="center"/>
                </w:tcPr>
                <w:p w14:paraId="401A2F21">
                  <w:pPr>
                    <w:tabs>
                      <w:tab w:val="left" w:pos="1418"/>
                    </w:tabs>
                    <w:jc w:val="center"/>
                    <w:rPr>
                      <w:szCs w:val="21"/>
                    </w:rPr>
                  </w:pPr>
                </w:p>
              </w:tc>
              <w:tc>
                <w:tcPr>
                  <w:tcW w:w="490" w:type="pct"/>
                  <w:vMerge w:val="continue"/>
                  <w:vAlign w:val="center"/>
                </w:tcPr>
                <w:p w14:paraId="478EDA1B">
                  <w:pPr>
                    <w:tabs>
                      <w:tab w:val="left" w:pos="1418"/>
                    </w:tabs>
                    <w:jc w:val="center"/>
                    <w:rPr>
                      <w:szCs w:val="21"/>
                    </w:rPr>
                  </w:pPr>
                </w:p>
              </w:tc>
              <w:tc>
                <w:tcPr>
                  <w:tcW w:w="397" w:type="pct"/>
                  <w:vMerge w:val="continue"/>
                  <w:vAlign w:val="center"/>
                </w:tcPr>
                <w:p w14:paraId="4E5224D6">
                  <w:pPr>
                    <w:tabs>
                      <w:tab w:val="left" w:pos="1418"/>
                    </w:tabs>
                    <w:jc w:val="center"/>
                    <w:rPr>
                      <w:szCs w:val="21"/>
                    </w:rPr>
                  </w:pPr>
                </w:p>
              </w:tc>
            </w:tr>
            <w:tr w14:paraId="608E4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 w:type="pct"/>
                  <w:vAlign w:val="center"/>
                </w:tcPr>
                <w:p w14:paraId="4AAAD93F">
                  <w:pPr>
                    <w:tabs>
                      <w:tab w:val="left" w:pos="1418"/>
                    </w:tabs>
                    <w:jc w:val="center"/>
                    <w:rPr>
                      <w:rFonts w:hint="eastAsia" w:eastAsia="宋体"/>
                      <w:szCs w:val="21"/>
                      <w:lang w:val="en-US" w:eastAsia="zh-CN"/>
                    </w:rPr>
                  </w:pPr>
                  <w:r>
                    <w:rPr>
                      <w:rFonts w:hint="eastAsia"/>
                      <w:szCs w:val="21"/>
                      <w:lang w:val="en-US" w:eastAsia="zh-CN"/>
                    </w:rPr>
                    <w:t>1</w:t>
                  </w:r>
                </w:p>
              </w:tc>
              <w:tc>
                <w:tcPr>
                  <w:tcW w:w="414" w:type="pct"/>
                  <w:vMerge w:val="restart"/>
                  <w:shd w:val="clear" w:color="auto" w:fill="auto"/>
                  <w:vAlign w:val="center"/>
                </w:tcPr>
                <w:p w14:paraId="5EBE0763">
                  <w:pPr>
                    <w:jc w:val="center"/>
                    <w:rPr>
                      <w:rFonts w:hint="default" w:eastAsia="宋体"/>
                      <w:kern w:val="0"/>
                      <w:szCs w:val="21"/>
                      <w:lang w:val="en-US" w:eastAsia="zh-CN"/>
                    </w:rPr>
                  </w:pPr>
                  <w:r>
                    <w:rPr>
                      <w:rFonts w:hint="eastAsia"/>
                      <w:kern w:val="0"/>
                      <w:szCs w:val="21"/>
                      <w:lang w:val="en-US" w:eastAsia="zh-CN"/>
                    </w:rPr>
                    <w:t>DA001</w:t>
                  </w:r>
                </w:p>
              </w:tc>
              <w:tc>
                <w:tcPr>
                  <w:tcW w:w="497" w:type="pct"/>
                  <w:vMerge w:val="restart"/>
                  <w:shd w:val="clear" w:color="auto" w:fill="auto"/>
                  <w:vAlign w:val="center"/>
                </w:tcPr>
                <w:p w14:paraId="7ED12438">
                  <w:pPr>
                    <w:tabs>
                      <w:tab w:val="left" w:pos="1418"/>
                    </w:tabs>
                    <w:jc w:val="center"/>
                    <w:rPr>
                      <w:szCs w:val="21"/>
                    </w:rPr>
                  </w:pPr>
                  <w:r>
                    <w:rPr>
                      <w:szCs w:val="21"/>
                    </w:rPr>
                    <w:t>一般排放口</w:t>
                  </w:r>
                </w:p>
              </w:tc>
              <w:tc>
                <w:tcPr>
                  <w:tcW w:w="497" w:type="pct"/>
                  <w:vMerge w:val="restart"/>
                  <w:shd w:val="clear" w:color="auto" w:fill="auto"/>
                  <w:vAlign w:val="center"/>
                </w:tcPr>
                <w:p w14:paraId="079687E2">
                  <w:pPr>
                    <w:tabs>
                      <w:tab w:val="left" w:pos="1418"/>
                    </w:tabs>
                    <w:jc w:val="center"/>
                    <w:rPr>
                      <w:szCs w:val="21"/>
                    </w:rPr>
                  </w:pPr>
                  <w:r>
                    <w:rPr>
                      <w:rFonts w:hint="eastAsia"/>
                      <w:szCs w:val="21"/>
                    </w:rPr>
                    <w:t>119.432013</w:t>
                  </w:r>
                  <w:r>
                    <w:rPr>
                      <w:szCs w:val="21"/>
                    </w:rPr>
                    <w:t>E</w:t>
                  </w:r>
                </w:p>
              </w:tc>
              <w:tc>
                <w:tcPr>
                  <w:tcW w:w="486" w:type="pct"/>
                  <w:vMerge w:val="restart"/>
                  <w:shd w:val="clear" w:color="auto" w:fill="auto"/>
                  <w:vAlign w:val="center"/>
                </w:tcPr>
                <w:p w14:paraId="5DECD36E">
                  <w:pPr>
                    <w:tabs>
                      <w:tab w:val="left" w:pos="1418"/>
                    </w:tabs>
                    <w:jc w:val="center"/>
                    <w:rPr>
                      <w:szCs w:val="21"/>
                    </w:rPr>
                  </w:pPr>
                  <w:r>
                    <w:rPr>
                      <w:rFonts w:hint="eastAsia"/>
                      <w:szCs w:val="21"/>
                    </w:rPr>
                    <w:t>31.739334</w:t>
                  </w:r>
                  <w:r>
                    <w:rPr>
                      <w:szCs w:val="21"/>
                    </w:rPr>
                    <w:t>N</w:t>
                  </w:r>
                </w:p>
              </w:tc>
              <w:tc>
                <w:tcPr>
                  <w:tcW w:w="335" w:type="pct"/>
                  <w:vMerge w:val="restart"/>
                  <w:shd w:val="clear" w:color="auto" w:fill="auto"/>
                  <w:vAlign w:val="center"/>
                </w:tcPr>
                <w:p w14:paraId="03AE4310">
                  <w:pPr>
                    <w:widowControl/>
                    <w:jc w:val="center"/>
                    <w:rPr>
                      <w:szCs w:val="21"/>
                    </w:rPr>
                  </w:pPr>
                  <w:r>
                    <w:rPr>
                      <w:szCs w:val="21"/>
                    </w:rPr>
                    <w:t>15</w:t>
                  </w:r>
                </w:p>
              </w:tc>
              <w:tc>
                <w:tcPr>
                  <w:tcW w:w="284" w:type="pct"/>
                  <w:vMerge w:val="restart"/>
                  <w:shd w:val="clear" w:color="auto" w:fill="auto"/>
                  <w:vAlign w:val="center"/>
                </w:tcPr>
                <w:p w14:paraId="71A47A51">
                  <w:pPr>
                    <w:widowControl/>
                    <w:jc w:val="center"/>
                    <w:textAlignment w:val="center"/>
                    <w:rPr>
                      <w:rFonts w:hint="eastAsia" w:eastAsia="宋体"/>
                      <w:kern w:val="0"/>
                      <w:szCs w:val="21"/>
                      <w:lang w:eastAsia="zh-CN" w:bidi="ar"/>
                    </w:rPr>
                  </w:pPr>
                  <w:r>
                    <w:rPr>
                      <w:kern w:val="0"/>
                      <w:szCs w:val="21"/>
                      <w:lang w:bidi="ar"/>
                    </w:rPr>
                    <w:t>0.</w:t>
                  </w:r>
                  <w:r>
                    <w:rPr>
                      <w:rFonts w:hint="eastAsia"/>
                      <w:kern w:val="0"/>
                      <w:szCs w:val="21"/>
                      <w:lang w:val="en-US" w:eastAsia="zh-CN" w:bidi="ar"/>
                    </w:rPr>
                    <w:t>5</w:t>
                  </w:r>
                </w:p>
              </w:tc>
              <w:tc>
                <w:tcPr>
                  <w:tcW w:w="300" w:type="pct"/>
                  <w:vMerge w:val="restart"/>
                  <w:shd w:val="clear" w:color="auto" w:fill="auto"/>
                  <w:vAlign w:val="center"/>
                </w:tcPr>
                <w:p w14:paraId="4C0ECE0D">
                  <w:pPr>
                    <w:widowControl/>
                    <w:jc w:val="center"/>
                    <w:rPr>
                      <w:kern w:val="0"/>
                      <w:szCs w:val="21"/>
                    </w:rPr>
                  </w:pPr>
                  <w:r>
                    <w:rPr>
                      <w:kern w:val="0"/>
                      <w:szCs w:val="21"/>
                    </w:rPr>
                    <w:t>25</w:t>
                  </w:r>
                </w:p>
              </w:tc>
              <w:tc>
                <w:tcPr>
                  <w:tcW w:w="360" w:type="pct"/>
                  <w:vAlign w:val="center"/>
                </w:tcPr>
                <w:p w14:paraId="5A81BF6A">
                  <w:pPr>
                    <w:widowControl/>
                    <w:jc w:val="center"/>
                    <w:rPr>
                      <w:rFonts w:hint="eastAsia"/>
                      <w:kern w:val="0"/>
                      <w:szCs w:val="21"/>
                    </w:rPr>
                  </w:pPr>
                  <w:r>
                    <w:rPr>
                      <w:rFonts w:hint="eastAsia"/>
                      <w:kern w:val="0"/>
                      <w:szCs w:val="21"/>
                    </w:rPr>
                    <w:t>颗粒物</w:t>
                  </w:r>
                </w:p>
              </w:tc>
              <w:tc>
                <w:tcPr>
                  <w:tcW w:w="769" w:type="pct"/>
                  <w:vAlign w:val="center"/>
                </w:tcPr>
                <w:p w14:paraId="606D03D1">
                  <w:pPr>
                    <w:adjustRightInd w:val="0"/>
                    <w:snapToGrid w:val="0"/>
                    <w:jc w:val="center"/>
                    <w:rPr>
                      <w:rFonts w:hint="eastAsia" w:hAnsi="宋体"/>
                      <w:szCs w:val="21"/>
                    </w:rPr>
                  </w:pPr>
                  <w:r>
                    <w:rPr>
                      <w:rFonts w:hint="eastAsia" w:hAnsi="宋体"/>
                      <w:szCs w:val="21"/>
                    </w:rPr>
                    <w:t>《工业涂装工序大气污染物排放标准》（DB32/4439-2022）表1</w:t>
                  </w:r>
                </w:p>
              </w:tc>
              <w:tc>
                <w:tcPr>
                  <w:tcW w:w="490" w:type="pct"/>
                  <w:vAlign w:val="center"/>
                </w:tcPr>
                <w:p w14:paraId="37CD408D">
                  <w:pPr>
                    <w:spacing w:line="320" w:lineRule="exact"/>
                    <w:jc w:val="center"/>
                    <w:rPr>
                      <w:rFonts w:hint="default"/>
                      <w:color w:val="auto"/>
                      <w:szCs w:val="21"/>
                      <w:highlight w:val="none"/>
                      <w:lang w:val="en-US" w:eastAsia="zh-CN"/>
                    </w:rPr>
                  </w:pPr>
                  <w:r>
                    <w:rPr>
                      <w:rFonts w:hint="eastAsia"/>
                      <w:color w:val="auto"/>
                      <w:szCs w:val="21"/>
                      <w:highlight w:val="none"/>
                      <w:lang w:val="en-US" w:eastAsia="zh-CN"/>
                    </w:rPr>
                    <w:t>10</w:t>
                  </w:r>
                </w:p>
              </w:tc>
              <w:tc>
                <w:tcPr>
                  <w:tcW w:w="397" w:type="pct"/>
                  <w:vAlign w:val="center"/>
                </w:tcPr>
                <w:p w14:paraId="1600E18F">
                  <w:pPr>
                    <w:spacing w:line="320" w:lineRule="exact"/>
                    <w:jc w:val="center"/>
                    <w:rPr>
                      <w:rFonts w:hint="default"/>
                      <w:color w:val="auto"/>
                      <w:szCs w:val="21"/>
                      <w:highlight w:val="none"/>
                      <w:lang w:val="en-US" w:eastAsia="zh-CN"/>
                    </w:rPr>
                  </w:pPr>
                  <w:r>
                    <w:rPr>
                      <w:rFonts w:hint="eastAsia"/>
                      <w:color w:val="auto"/>
                      <w:szCs w:val="21"/>
                      <w:highlight w:val="none"/>
                      <w:lang w:val="en-US" w:eastAsia="zh-CN"/>
                    </w:rPr>
                    <w:t>0.4</w:t>
                  </w:r>
                </w:p>
              </w:tc>
            </w:tr>
            <w:tr w14:paraId="05763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66" w:type="pct"/>
                  <w:vAlign w:val="center"/>
                </w:tcPr>
                <w:p w14:paraId="230178F8">
                  <w:pPr>
                    <w:tabs>
                      <w:tab w:val="left" w:pos="1418"/>
                    </w:tabs>
                    <w:jc w:val="center"/>
                    <w:rPr>
                      <w:rFonts w:hint="default" w:eastAsia="宋体"/>
                      <w:szCs w:val="21"/>
                      <w:lang w:val="en-US" w:eastAsia="zh-CN"/>
                    </w:rPr>
                  </w:pPr>
                  <w:r>
                    <w:rPr>
                      <w:rFonts w:hint="eastAsia"/>
                      <w:szCs w:val="21"/>
                      <w:lang w:eastAsia="zh-CN"/>
                    </w:rPr>
                    <w:t>2</w:t>
                  </w:r>
                </w:p>
              </w:tc>
              <w:tc>
                <w:tcPr>
                  <w:tcW w:w="414" w:type="pct"/>
                  <w:vMerge w:val="continue"/>
                  <w:vAlign w:val="center"/>
                </w:tcPr>
                <w:p w14:paraId="0A8A8588">
                  <w:pPr>
                    <w:jc w:val="center"/>
                    <w:rPr>
                      <w:rFonts w:hint="default" w:eastAsia="宋体"/>
                      <w:kern w:val="0"/>
                      <w:szCs w:val="21"/>
                      <w:lang w:val="en-US" w:eastAsia="zh-CN"/>
                    </w:rPr>
                  </w:pPr>
                </w:p>
              </w:tc>
              <w:tc>
                <w:tcPr>
                  <w:tcW w:w="497" w:type="pct"/>
                  <w:vMerge w:val="continue"/>
                  <w:vAlign w:val="center"/>
                </w:tcPr>
                <w:p w14:paraId="7F317829">
                  <w:pPr>
                    <w:tabs>
                      <w:tab w:val="left" w:pos="1418"/>
                    </w:tabs>
                    <w:jc w:val="center"/>
                    <w:rPr>
                      <w:szCs w:val="21"/>
                    </w:rPr>
                  </w:pPr>
                </w:p>
              </w:tc>
              <w:tc>
                <w:tcPr>
                  <w:tcW w:w="497" w:type="pct"/>
                  <w:vMerge w:val="continue"/>
                  <w:vAlign w:val="center"/>
                </w:tcPr>
                <w:p w14:paraId="27DBC138">
                  <w:pPr>
                    <w:tabs>
                      <w:tab w:val="left" w:pos="1418"/>
                    </w:tabs>
                    <w:jc w:val="center"/>
                    <w:rPr>
                      <w:szCs w:val="21"/>
                    </w:rPr>
                  </w:pPr>
                </w:p>
              </w:tc>
              <w:tc>
                <w:tcPr>
                  <w:tcW w:w="486" w:type="pct"/>
                  <w:vMerge w:val="continue"/>
                  <w:vAlign w:val="center"/>
                </w:tcPr>
                <w:p w14:paraId="349052CB">
                  <w:pPr>
                    <w:tabs>
                      <w:tab w:val="left" w:pos="1418"/>
                    </w:tabs>
                    <w:jc w:val="center"/>
                    <w:rPr>
                      <w:szCs w:val="21"/>
                    </w:rPr>
                  </w:pPr>
                </w:p>
              </w:tc>
              <w:tc>
                <w:tcPr>
                  <w:tcW w:w="335" w:type="pct"/>
                  <w:vMerge w:val="continue"/>
                  <w:vAlign w:val="center"/>
                </w:tcPr>
                <w:p w14:paraId="1FC4FA3C">
                  <w:pPr>
                    <w:widowControl/>
                    <w:jc w:val="center"/>
                    <w:rPr>
                      <w:szCs w:val="21"/>
                    </w:rPr>
                  </w:pPr>
                </w:p>
              </w:tc>
              <w:tc>
                <w:tcPr>
                  <w:tcW w:w="284" w:type="pct"/>
                  <w:vMerge w:val="continue"/>
                  <w:vAlign w:val="center"/>
                </w:tcPr>
                <w:p w14:paraId="62C08405">
                  <w:pPr>
                    <w:widowControl/>
                    <w:jc w:val="center"/>
                    <w:textAlignment w:val="center"/>
                    <w:rPr>
                      <w:rFonts w:hint="eastAsia" w:eastAsia="宋体"/>
                      <w:kern w:val="0"/>
                      <w:szCs w:val="21"/>
                      <w:lang w:eastAsia="zh-CN" w:bidi="ar"/>
                    </w:rPr>
                  </w:pPr>
                </w:p>
              </w:tc>
              <w:tc>
                <w:tcPr>
                  <w:tcW w:w="300" w:type="pct"/>
                  <w:vMerge w:val="continue"/>
                  <w:vAlign w:val="center"/>
                </w:tcPr>
                <w:p w14:paraId="0E95A4D0">
                  <w:pPr>
                    <w:widowControl/>
                    <w:jc w:val="center"/>
                    <w:rPr>
                      <w:kern w:val="0"/>
                      <w:szCs w:val="21"/>
                    </w:rPr>
                  </w:pPr>
                </w:p>
              </w:tc>
              <w:tc>
                <w:tcPr>
                  <w:tcW w:w="360" w:type="pct"/>
                  <w:vAlign w:val="center"/>
                </w:tcPr>
                <w:p w14:paraId="1DE06FBE">
                  <w:pPr>
                    <w:widowControl/>
                    <w:jc w:val="center"/>
                    <w:rPr>
                      <w:kern w:val="0"/>
                      <w:szCs w:val="21"/>
                    </w:rPr>
                  </w:pPr>
                  <w:r>
                    <w:rPr>
                      <w:rFonts w:hint="eastAsia"/>
                      <w:kern w:val="0"/>
                      <w:szCs w:val="21"/>
                    </w:rPr>
                    <w:t>非甲烷总烃</w:t>
                  </w:r>
                </w:p>
              </w:tc>
              <w:tc>
                <w:tcPr>
                  <w:tcW w:w="769" w:type="pct"/>
                  <w:vMerge w:val="restart"/>
                  <w:vAlign w:val="center"/>
                </w:tcPr>
                <w:p w14:paraId="462B9DFF">
                  <w:pPr>
                    <w:adjustRightInd w:val="0"/>
                    <w:snapToGrid w:val="0"/>
                    <w:jc w:val="center"/>
                    <w:rPr>
                      <w:szCs w:val="21"/>
                    </w:rPr>
                  </w:pPr>
                  <w:r>
                    <w:rPr>
                      <w:rFonts w:hint="eastAsia" w:hAnsi="宋体"/>
                      <w:szCs w:val="21"/>
                    </w:rPr>
                    <w:t>《工业涂装工序大气污染物排放标准》（DB32/4439-2022）表1</w:t>
                  </w:r>
                </w:p>
              </w:tc>
              <w:tc>
                <w:tcPr>
                  <w:tcW w:w="490" w:type="pct"/>
                  <w:vAlign w:val="center"/>
                </w:tcPr>
                <w:p w14:paraId="12590E8A">
                  <w:pPr>
                    <w:spacing w:line="320" w:lineRule="exact"/>
                    <w:jc w:val="center"/>
                    <w:rPr>
                      <w:color w:val="auto"/>
                      <w:kern w:val="0"/>
                      <w:szCs w:val="21"/>
                      <w:highlight w:val="none"/>
                    </w:rPr>
                  </w:pPr>
                  <w:r>
                    <w:rPr>
                      <w:rFonts w:hint="eastAsia"/>
                      <w:color w:val="auto"/>
                      <w:szCs w:val="21"/>
                      <w:highlight w:val="none"/>
                      <w:lang w:val="en-US" w:eastAsia="zh-CN"/>
                    </w:rPr>
                    <w:t>5</w:t>
                  </w:r>
                  <w:r>
                    <w:rPr>
                      <w:rFonts w:hint="eastAsia"/>
                      <w:color w:val="auto"/>
                      <w:szCs w:val="21"/>
                      <w:highlight w:val="none"/>
                    </w:rPr>
                    <w:t>0</w:t>
                  </w:r>
                </w:p>
              </w:tc>
              <w:tc>
                <w:tcPr>
                  <w:tcW w:w="397" w:type="pct"/>
                  <w:vAlign w:val="center"/>
                </w:tcPr>
                <w:p w14:paraId="7D8F81DF">
                  <w:pPr>
                    <w:spacing w:line="320" w:lineRule="exact"/>
                    <w:jc w:val="center"/>
                    <w:rPr>
                      <w:color w:val="auto"/>
                      <w:kern w:val="0"/>
                      <w:szCs w:val="21"/>
                      <w:highlight w:val="none"/>
                    </w:rPr>
                  </w:pPr>
                  <w:r>
                    <w:rPr>
                      <w:rFonts w:hint="eastAsia"/>
                      <w:color w:val="auto"/>
                      <w:szCs w:val="21"/>
                      <w:highlight w:val="none"/>
                      <w:lang w:val="en-US" w:eastAsia="zh-CN"/>
                    </w:rPr>
                    <w:t>2</w:t>
                  </w:r>
                  <w:r>
                    <w:rPr>
                      <w:rFonts w:hint="eastAsia"/>
                      <w:color w:val="auto"/>
                      <w:szCs w:val="21"/>
                      <w:highlight w:val="none"/>
                    </w:rPr>
                    <w:t>.0</w:t>
                  </w:r>
                </w:p>
              </w:tc>
            </w:tr>
            <w:tr w14:paraId="4AE04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66" w:type="pct"/>
                  <w:shd w:val="clear" w:color="auto" w:fill="auto"/>
                  <w:vAlign w:val="center"/>
                </w:tcPr>
                <w:p w14:paraId="20CA4FD8">
                  <w:pPr>
                    <w:widowControl/>
                    <w:jc w:val="center"/>
                    <w:rPr>
                      <w:rFonts w:hint="eastAsia" w:ascii="Times New Roman" w:hAnsi="Times New Roman" w:eastAsia="宋体" w:cs="Times New Roman"/>
                      <w:kern w:val="2"/>
                      <w:sz w:val="21"/>
                      <w:szCs w:val="24"/>
                      <w:lang w:val="en-US" w:eastAsia="zh-CN" w:bidi="ar-SA"/>
                    </w:rPr>
                  </w:pPr>
                  <w:r>
                    <w:rPr>
                      <w:rFonts w:hint="eastAsia"/>
                      <w:lang w:val="en-US" w:eastAsia="zh-CN"/>
                    </w:rPr>
                    <w:t>3</w:t>
                  </w:r>
                </w:p>
              </w:tc>
              <w:tc>
                <w:tcPr>
                  <w:tcW w:w="414" w:type="pct"/>
                  <w:vMerge w:val="continue"/>
                  <w:vAlign w:val="center"/>
                </w:tcPr>
                <w:p w14:paraId="2FC3BCCA">
                  <w:pPr>
                    <w:jc w:val="center"/>
                    <w:rPr>
                      <w:rFonts w:hint="eastAsia"/>
                      <w:kern w:val="0"/>
                      <w:szCs w:val="21"/>
                      <w:lang w:val="en-US" w:eastAsia="zh-CN"/>
                    </w:rPr>
                  </w:pPr>
                </w:p>
              </w:tc>
              <w:tc>
                <w:tcPr>
                  <w:tcW w:w="497" w:type="pct"/>
                  <w:vMerge w:val="continue"/>
                  <w:vAlign w:val="center"/>
                </w:tcPr>
                <w:p w14:paraId="0DB7C5D3">
                  <w:pPr>
                    <w:tabs>
                      <w:tab w:val="left" w:pos="1418"/>
                    </w:tabs>
                    <w:jc w:val="center"/>
                    <w:rPr>
                      <w:szCs w:val="21"/>
                    </w:rPr>
                  </w:pPr>
                </w:p>
              </w:tc>
              <w:tc>
                <w:tcPr>
                  <w:tcW w:w="497" w:type="pct"/>
                  <w:vMerge w:val="continue"/>
                  <w:vAlign w:val="center"/>
                </w:tcPr>
                <w:p w14:paraId="57AF7500">
                  <w:pPr>
                    <w:tabs>
                      <w:tab w:val="left" w:pos="1418"/>
                    </w:tabs>
                    <w:jc w:val="center"/>
                    <w:rPr>
                      <w:rFonts w:hint="eastAsia"/>
                      <w:szCs w:val="21"/>
                    </w:rPr>
                  </w:pPr>
                </w:p>
              </w:tc>
              <w:tc>
                <w:tcPr>
                  <w:tcW w:w="486" w:type="pct"/>
                  <w:vMerge w:val="continue"/>
                  <w:vAlign w:val="center"/>
                </w:tcPr>
                <w:p w14:paraId="54634494">
                  <w:pPr>
                    <w:tabs>
                      <w:tab w:val="left" w:pos="1418"/>
                    </w:tabs>
                    <w:jc w:val="center"/>
                    <w:rPr>
                      <w:rFonts w:hint="eastAsia"/>
                      <w:szCs w:val="21"/>
                    </w:rPr>
                  </w:pPr>
                </w:p>
              </w:tc>
              <w:tc>
                <w:tcPr>
                  <w:tcW w:w="335" w:type="pct"/>
                  <w:vMerge w:val="continue"/>
                  <w:vAlign w:val="center"/>
                </w:tcPr>
                <w:p w14:paraId="5F194C7C">
                  <w:pPr>
                    <w:widowControl/>
                    <w:jc w:val="center"/>
                    <w:rPr>
                      <w:szCs w:val="21"/>
                    </w:rPr>
                  </w:pPr>
                </w:p>
              </w:tc>
              <w:tc>
                <w:tcPr>
                  <w:tcW w:w="284" w:type="pct"/>
                  <w:vMerge w:val="continue"/>
                  <w:vAlign w:val="center"/>
                </w:tcPr>
                <w:p w14:paraId="6F691E40">
                  <w:pPr>
                    <w:widowControl/>
                    <w:jc w:val="center"/>
                    <w:textAlignment w:val="center"/>
                    <w:rPr>
                      <w:kern w:val="0"/>
                      <w:szCs w:val="21"/>
                      <w:lang w:bidi="ar"/>
                    </w:rPr>
                  </w:pPr>
                </w:p>
              </w:tc>
              <w:tc>
                <w:tcPr>
                  <w:tcW w:w="300" w:type="pct"/>
                  <w:vMerge w:val="continue"/>
                  <w:vAlign w:val="center"/>
                </w:tcPr>
                <w:p w14:paraId="3A2AB589">
                  <w:pPr>
                    <w:widowControl/>
                    <w:jc w:val="center"/>
                    <w:rPr>
                      <w:kern w:val="0"/>
                      <w:szCs w:val="21"/>
                    </w:rPr>
                  </w:pPr>
                </w:p>
              </w:tc>
              <w:tc>
                <w:tcPr>
                  <w:tcW w:w="360" w:type="pct"/>
                  <w:vAlign w:val="center"/>
                </w:tcPr>
                <w:p w14:paraId="55063103">
                  <w:pPr>
                    <w:widowControl/>
                    <w:jc w:val="center"/>
                    <w:rPr>
                      <w:rFonts w:hint="default" w:eastAsia="宋体"/>
                      <w:kern w:val="0"/>
                      <w:szCs w:val="21"/>
                      <w:lang w:val="en-US" w:eastAsia="zh-CN"/>
                    </w:rPr>
                  </w:pPr>
                  <w:r>
                    <w:rPr>
                      <w:rFonts w:hint="eastAsia"/>
                      <w:kern w:val="0"/>
                      <w:szCs w:val="21"/>
                      <w:lang w:val="en-US" w:eastAsia="zh-CN"/>
                    </w:rPr>
                    <w:t>TVOC</w:t>
                  </w:r>
                </w:p>
              </w:tc>
              <w:tc>
                <w:tcPr>
                  <w:tcW w:w="769" w:type="pct"/>
                  <w:vMerge w:val="continue"/>
                  <w:vAlign w:val="center"/>
                </w:tcPr>
                <w:p w14:paraId="6B71CBF1">
                  <w:pPr>
                    <w:adjustRightInd w:val="0"/>
                    <w:snapToGrid w:val="0"/>
                    <w:jc w:val="center"/>
                    <w:rPr>
                      <w:rFonts w:hint="eastAsia" w:hAnsi="宋体"/>
                      <w:szCs w:val="21"/>
                    </w:rPr>
                  </w:pPr>
                </w:p>
              </w:tc>
              <w:tc>
                <w:tcPr>
                  <w:tcW w:w="490" w:type="pct"/>
                  <w:vAlign w:val="center"/>
                </w:tcPr>
                <w:p w14:paraId="2EF4276B">
                  <w:pPr>
                    <w:spacing w:line="320" w:lineRule="exact"/>
                    <w:jc w:val="center"/>
                    <w:rPr>
                      <w:rFonts w:hint="default"/>
                      <w:color w:val="auto"/>
                      <w:szCs w:val="21"/>
                      <w:highlight w:val="none"/>
                      <w:lang w:val="en-US" w:eastAsia="zh-CN"/>
                    </w:rPr>
                  </w:pPr>
                  <w:r>
                    <w:rPr>
                      <w:rFonts w:hint="eastAsia"/>
                      <w:color w:val="auto"/>
                      <w:szCs w:val="21"/>
                      <w:highlight w:val="none"/>
                      <w:lang w:val="en-US" w:eastAsia="zh-CN"/>
                    </w:rPr>
                    <w:t>80</w:t>
                  </w:r>
                </w:p>
              </w:tc>
              <w:tc>
                <w:tcPr>
                  <w:tcW w:w="397" w:type="pct"/>
                  <w:vAlign w:val="center"/>
                </w:tcPr>
                <w:p w14:paraId="5ED81618">
                  <w:pPr>
                    <w:spacing w:line="320" w:lineRule="exact"/>
                    <w:jc w:val="center"/>
                    <w:rPr>
                      <w:rFonts w:hint="default"/>
                      <w:color w:val="auto"/>
                      <w:szCs w:val="21"/>
                      <w:highlight w:val="none"/>
                      <w:lang w:val="en-US" w:eastAsia="zh-CN"/>
                    </w:rPr>
                  </w:pPr>
                  <w:r>
                    <w:rPr>
                      <w:rFonts w:hint="eastAsia"/>
                      <w:color w:val="auto"/>
                      <w:szCs w:val="21"/>
                      <w:highlight w:val="none"/>
                      <w:lang w:val="en-US" w:eastAsia="zh-CN"/>
                    </w:rPr>
                    <w:t>3.2</w:t>
                  </w:r>
                </w:p>
              </w:tc>
            </w:tr>
            <w:tr w14:paraId="723E4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 w:type="pct"/>
                  <w:shd w:val="clear" w:color="auto" w:fill="auto"/>
                  <w:vAlign w:val="center"/>
                </w:tcPr>
                <w:p w14:paraId="23DA4D75">
                  <w:pPr>
                    <w:widowControl/>
                    <w:jc w:val="center"/>
                    <w:rPr>
                      <w:rFonts w:hint="eastAsia" w:ascii="Times New Roman" w:hAnsi="Times New Roman" w:eastAsia="宋体" w:cs="Times New Roman"/>
                      <w:kern w:val="2"/>
                      <w:sz w:val="21"/>
                      <w:szCs w:val="24"/>
                      <w:lang w:val="en-US" w:eastAsia="zh-CN" w:bidi="ar-SA"/>
                    </w:rPr>
                  </w:pPr>
                  <w:r>
                    <w:rPr>
                      <w:rFonts w:hint="eastAsia"/>
                      <w:lang w:val="en-US" w:eastAsia="zh-CN"/>
                    </w:rPr>
                    <w:t>4</w:t>
                  </w:r>
                </w:p>
              </w:tc>
              <w:tc>
                <w:tcPr>
                  <w:tcW w:w="414" w:type="pct"/>
                  <w:vMerge w:val="continue"/>
                  <w:vAlign w:val="center"/>
                </w:tcPr>
                <w:p w14:paraId="08DA3D4D">
                  <w:pPr>
                    <w:widowControl/>
                    <w:jc w:val="center"/>
                  </w:pPr>
                </w:p>
              </w:tc>
              <w:tc>
                <w:tcPr>
                  <w:tcW w:w="497" w:type="pct"/>
                  <w:vMerge w:val="continue"/>
                  <w:vAlign w:val="center"/>
                </w:tcPr>
                <w:p w14:paraId="376E6480">
                  <w:pPr>
                    <w:widowControl/>
                    <w:jc w:val="center"/>
                  </w:pPr>
                </w:p>
              </w:tc>
              <w:tc>
                <w:tcPr>
                  <w:tcW w:w="497" w:type="pct"/>
                  <w:vMerge w:val="continue"/>
                  <w:vAlign w:val="center"/>
                </w:tcPr>
                <w:p w14:paraId="21125ED0">
                  <w:pPr>
                    <w:widowControl/>
                    <w:jc w:val="center"/>
                  </w:pPr>
                </w:p>
              </w:tc>
              <w:tc>
                <w:tcPr>
                  <w:tcW w:w="486" w:type="pct"/>
                  <w:vMerge w:val="continue"/>
                  <w:vAlign w:val="center"/>
                </w:tcPr>
                <w:p w14:paraId="58CC2302">
                  <w:pPr>
                    <w:widowControl/>
                    <w:jc w:val="center"/>
                  </w:pPr>
                </w:p>
              </w:tc>
              <w:tc>
                <w:tcPr>
                  <w:tcW w:w="335" w:type="pct"/>
                  <w:vMerge w:val="continue"/>
                  <w:vAlign w:val="center"/>
                </w:tcPr>
                <w:p w14:paraId="2A67EE93">
                  <w:pPr>
                    <w:widowControl/>
                    <w:jc w:val="center"/>
                  </w:pPr>
                </w:p>
              </w:tc>
              <w:tc>
                <w:tcPr>
                  <w:tcW w:w="284" w:type="pct"/>
                  <w:vMerge w:val="continue"/>
                  <w:vAlign w:val="center"/>
                </w:tcPr>
                <w:p w14:paraId="703857FD">
                  <w:pPr>
                    <w:widowControl/>
                    <w:jc w:val="center"/>
                  </w:pPr>
                </w:p>
              </w:tc>
              <w:tc>
                <w:tcPr>
                  <w:tcW w:w="300" w:type="pct"/>
                  <w:vMerge w:val="continue"/>
                  <w:vAlign w:val="center"/>
                </w:tcPr>
                <w:p w14:paraId="3C9475E7">
                  <w:pPr>
                    <w:widowControl/>
                    <w:jc w:val="center"/>
                  </w:pPr>
                </w:p>
              </w:tc>
              <w:tc>
                <w:tcPr>
                  <w:tcW w:w="360" w:type="pct"/>
                  <w:vMerge w:val="restart"/>
                  <w:vAlign w:val="center"/>
                </w:tcPr>
                <w:p w14:paraId="2F4281D1">
                  <w:pPr>
                    <w:adjustRightInd w:val="0"/>
                    <w:snapToGrid w:val="0"/>
                    <w:jc w:val="center"/>
                    <w:rPr>
                      <w:szCs w:val="21"/>
                    </w:rPr>
                  </w:pPr>
                  <w:r>
                    <w:rPr>
                      <w:szCs w:val="21"/>
                    </w:rPr>
                    <w:t>NOx</w:t>
                  </w:r>
                </w:p>
              </w:tc>
              <w:tc>
                <w:tcPr>
                  <w:tcW w:w="769" w:type="pct"/>
                  <w:vMerge w:val="restart"/>
                  <w:vAlign w:val="center"/>
                </w:tcPr>
                <w:p w14:paraId="7C8481D6">
                  <w:pPr>
                    <w:widowControl/>
                    <w:jc w:val="center"/>
                    <w:rPr>
                      <w:kern w:val="0"/>
                      <w:szCs w:val="21"/>
                    </w:rPr>
                  </w:pPr>
                  <w:r>
                    <w:rPr>
                      <w:rFonts w:hint="eastAsia"/>
                      <w:szCs w:val="21"/>
                    </w:rPr>
                    <w:t>《工业炉窑大气污染物排放标准》（DB32/3728-2020）表1</w:t>
                  </w:r>
                </w:p>
              </w:tc>
              <w:tc>
                <w:tcPr>
                  <w:tcW w:w="490" w:type="pct"/>
                  <w:vMerge w:val="restart"/>
                  <w:vAlign w:val="center"/>
                </w:tcPr>
                <w:p w14:paraId="64127F66">
                  <w:pPr>
                    <w:snapToGrid w:val="0"/>
                    <w:jc w:val="center"/>
                    <w:rPr>
                      <w:szCs w:val="21"/>
                    </w:rPr>
                  </w:pPr>
                  <w:r>
                    <w:rPr>
                      <w:rFonts w:hint="eastAsia"/>
                      <w:szCs w:val="21"/>
                    </w:rPr>
                    <w:t>180</w:t>
                  </w:r>
                </w:p>
              </w:tc>
              <w:tc>
                <w:tcPr>
                  <w:tcW w:w="397" w:type="pct"/>
                  <w:vMerge w:val="restart"/>
                  <w:vAlign w:val="center"/>
                </w:tcPr>
                <w:p w14:paraId="5D1806B0">
                  <w:pPr>
                    <w:jc w:val="center"/>
                    <w:rPr>
                      <w:szCs w:val="21"/>
                    </w:rPr>
                  </w:pPr>
                  <w:r>
                    <w:rPr>
                      <w:rFonts w:hint="eastAsia"/>
                      <w:szCs w:val="21"/>
                    </w:rPr>
                    <w:t>/</w:t>
                  </w:r>
                </w:p>
              </w:tc>
            </w:tr>
            <w:tr w14:paraId="77BF8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 w:type="pct"/>
                  <w:shd w:val="clear" w:color="auto" w:fill="auto"/>
                  <w:vAlign w:val="center"/>
                </w:tcPr>
                <w:p w14:paraId="5B5EB9B1">
                  <w:pPr>
                    <w:widowControl/>
                    <w:jc w:val="center"/>
                    <w:rPr>
                      <w:rFonts w:hint="eastAsia" w:ascii="Times New Roman" w:hAnsi="Times New Roman" w:eastAsia="宋体" w:cs="Times New Roman"/>
                      <w:kern w:val="2"/>
                      <w:sz w:val="21"/>
                      <w:szCs w:val="24"/>
                      <w:lang w:val="en-US" w:eastAsia="zh-CN" w:bidi="ar-SA"/>
                    </w:rPr>
                  </w:pPr>
                  <w:r>
                    <w:rPr>
                      <w:rFonts w:hint="eastAsia"/>
                      <w:lang w:val="en-US" w:eastAsia="zh-CN"/>
                    </w:rPr>
                    <w:t>5</w:t>
                  </w:r>
                </w:p>
              </w:tc>
              <w:tc>
                <w:tcPr>
                  <w:tcW w:w="414" w:type="pct"/>
                  <w:vMerge w:val="continue"/>
                  <w:vAlign w:val="center"/>
                </w:tcPr>
                <w:p w14:paraId="5C0694D7">
                  <w:pPr>
                    <w:widowControl/>
                    <w:jc w:val="center"/>
                  </w:pPr>
                </w:p>
              </w:tc>
              <w:tc>
                <w:tcPr>
                  <w:tcW w:w="497" w:type="pct"/>
                  <w:vMerge w:val="continue"/>
                  <w:vAlign w:val="center"/>
                </w:tcPr>
                <w:p w14:paraId="0388D845">
                  <w:pPr>
                    <w:widowControl/>
                    <w:jc w:val="center"/>
                  </w:pPr>
                </w:p>
              </w:tc>
              <w:tc>
                <w:tcPr>
                  <w:tcW w:w="497" w:type="pct"/>
                  <w:vMerge w:val="continue"/>
                  <w:vAlign w:val="center"/>
                </w:tcPr>
                <w:p w14:paraId="33DD9294">
                  <w:pPr>
                    <w:widowControl/>
                    <w:jc w:val="center"/>
                  </w:pPr>
                </w:p>
              </w:tc>
              <w:tc>
                <w:tcPr>
                  <w:tcW w:w="486" w:type="pct"/>
                  <w:vMerge w:val="continue"/>
                  <w:vAlign w:val="center"/>
                </w:tcPr>
                <w:p w14:paraId="564D047E">
                  <w:pPr>
                    <w:widowControl/>
                    <w:jc w:val="center"/>
                  </w:pPr>
                </w:p>
              </w:tc>
              <w:tc>
                <w:tcPr>
                  <w:tcW w:w="335" w:type="pct"/>
                  <w:vMerge w:val="continue"/>
                  <w:vAlign w:val="center"/>
                </w:tcPr>
                <w:p w14:paraId="63B22F9C">
                  <w:pPr>
                    <w:widowControl/>
                    <w:jc w:val="center"/>
                  </w:pPr>
                </w:p>
              </w:tc>
              <w:tc>
                <w:tcPr>
                  <w:tcW w:w="284" w:type="pct"/>
                  <w:vMerge w:val="continue"/>
                  <w:vAlign w:val="center"/>
                </w:tcPr>
                <w:p w14:paraId="45D96BB5">
                  <w:pPr>
                    <w:widowControl/>
                    <w:jc w:val="center"/>
                  </w:pPr>
                </w:p>
              </w:tc>
              <w:tc>
                <w:tcPr>
                  <w:tcW w:w="300" w:type="pct"/>
                  <w:vMerge w:val="continue"/>
                  <w:vAlign w:val="center"/>
                </w:tcPr>
                <w:p w14:paraId="4105D825">
                  <w:pPr>
                    <w:widowControl/>
                    <w:jc w:val="center"/>
                  </w:pPr>
                </w:p>
              </w:tc>
              <w:tc>
                <w:tcPr>
                  <w:tcW w:w="360" w:type="pct"/>
                  <w:vMerge w:val="continue"/>
                  <w:vAlign w:val="center"/>
                </w:tcPr>
                <w:p w14:paraId="1841D1AB">
                  <w:pPr>
                    <w:adjustRightInd w:val="0"/>
                    <w:snapToGrid w:val="0"/>
                    <w:jc w:val="center"/>
                    <w:rPr>
                      <w:szCs w:val="21"/>
                    </w:rPr>
                  </w:pPr>
                </w:p>
              </w:tc>
              <w:tc>
                <w:tcPr>
                  <w:tcW w:w="769" w:type="pct"/>
                  <w:vMerge w:val="continue"/>
                  <w:vAlign w:val="center"/>
                </w:tcPr>
                <w:p w14:paraId="301558E0">
                  <w:pPr>
                    <w:widowControl/>
                    <w:jc w:val="center"/>
                    <w:rPr>
                      <w:kern w:val="0"/>
                      <w:szCs w:val="21"/>
                    </w:rPr>
                  </w:pPr>
                </w:p>
              </w:tc>
              <w:tc>
                <w:tcPr>
                  <w:tcW w:w="490" w:type="pct"/>
                  <w:vMerge w:val="continue"/>
                  <w:vAlign w:val="center"/>
                </w:tcPr>
                <w:p w14:paraId="3DFF555A">
                  <w:pPr>
                    <w:snapToGrid w:val="0"/>
                    <w:jc w:val="center"/>
                    <w:rPr>
                      <w:szCs w:val="21"/>
                    </w:rPr>
                  </w:pPr>
                </w:p>
              </w:tc>
              <w:tc>
                <w:tcPr>
                  <w:tcW w:w="397" w:type="pct"/>
                  <w:vMerge w:val="continue"/>
                  <w:vAlign w:val="center"/>
                </w:tcPr>
                <w:p w14:paraId="077A3E95">
                  <w:pPr>
                    <w:jc w:val="center"/>
                    <w:rPr>
                      <w:szCs w:val="21"/>
                    </w:rPr>
                  </w:pPr>
                </w:p>
              </w:tc>
            </w:tr>
            <w:tr w14:paraId="477AF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 w:type="pct"/>
                  <w:vAlign w:val="center"/>
                </w:tcPr>
                <w:p w14:paraId="09DC2E2B">
                  <w:pPr>
                    <w:widowControl/>
                    <w:jc w:val="center"/>
                    <w:rPr>
                      <w:rFonts w:hint="default" w:eastAsia="宋体"/>
                      <w:lang w:val="en-US" w:eastAsia="zh-CN"/>
                    </w:rPr>
                  </w:pPr>
                  <w:r>
                    <w:rPr>
                      <w:rFonts w:hint="eastAsia"/>
                      <w:lang w:val="en-US" w:eastAsia="zh-CN"/>
                    </w:rPr>
                    <w:t>6</w:t>
                  </w:r>
                </w:p>
              </w:tc>
              <w:tc>
                <w:tcPr>
                  <w:tcW w:w="414" w:type="pct"/>
                  <w:vMerge w:val="continue"/>
                  <w:vAlign w:val="center"/>
                </w:tcPr>
                <w:p w14:paraId="5EE3CC69">
                  <w:pPr>
                    <w:widowControl/>
                    <w:jc w:val="center"/>
                  </w:pPr>
                </w:p>
              </w:tc>
              <w:tc>
                <w:tcPr>
                  <w:tcW w:w="497" w:type="pct"/>
                  <w:vMerge w:val="continue"/>
                  <w:vAlign w:val="center"/>
                </w:tcPr>
                <w:p w14:paraId="6425B91A">
                  <w:pPr>
                    <w:widowControl/>
                    <w:jc w:val="center"/>
                  </w:pPr>
                </w:p>
              </w:tc>
              <w:tc>
                <w:tcPr>
                  <w:tcW w:w="497" w:type="pct"/>
                  <w:vMerge w:val="continue"/>
                  <w:vAlign w:val="center"/>
                </w:tcPr>
                <w:p w14:paraId="163AF5F0">
                  <w:pPr>
                    <w:widowControl/>
                    <w:jc w:val="center"/>
                  </w:pPr>
                </w:p>
              </w:tc>
              <w:tc>
                <w:tcPr>
                  <w:tcW w:w="486" w:type="pct"/>
                  <w:vMerge w:val="continue"/>
                  <w:vAlign w:val="center"/>
                </w:tcPr>
                <w:p w14:paraId="6EF9A358">
                  <w:pPr>
                    <w:widowControl/>
                    <w:jc w:val="center"/>
                  </w:pPr>
                </w:p>
              </w:tc>
              <w:tc>
                <w:tcPr>
                  <w:tcW w:w="335" w:type="pct"/>
                  <w:vMerge w:val="continue"/>
                  <w:vAlign w:val="center"/>
                </w:tcPr>
                <w:p w14:paraId="79FC58C8">
                  <w:pPr>
                    <w:widowControl/>
                    <w:jc w:val="center"/>
                  </w:pPr>
                </w:p>
              </w:tc>
              <w:tc>
                <w:tcPr>
                  <w:tcW w:w="284" w:type="pct"/>
                  <w:vMerge w:val="continue"/>
                  <w:vAlign w:val="center"/>
                </w:tcPr>
                <w:p w14:paraId="60E6ED8F">
                  <w:pPr>
                    <w:widowControl/>
                    <w:jc w:val="center"/>
                  </w:pPr>
                </w:p>
              </w:tc>
              <w:tc>
                <w:tcPr>
                  <w:tcW w:w="300" w:type="pct"/>
                  <w:vMerge w:val="continue"/>
                  <w:vAlign w:val="center"/>
                </w:tcPr>
                <w:p w14:paraId="16347F5D">
                  <w:pPr>
                    <w:widowControl/>
                    <w:jc w:val="center"/>
                  </w:pPr>
                </w:p>
              </w:tc>
              <w:tc>
                <w:tcPr>
                  <w:tcW w:w="360" w:type="pct"/>
                  <w:vAlign w:val="center"/>
                </w:tcPr>
                <w:p w14:paraId="7706C249">
                  <w:pPr>
                    <w:jc w:val="center"/>
                    <w:rPr>
                      <w:szCs w:val="21"/>
                    </w:rPr>
                  </w:pPr>
                  <w:r>
                    <w:rPr>
                      <w:szCs w:val="21"/>
                    </w:rPr>
                    <w:t>SO</w:t>
                  </w:r>
                  <w:r>
                    <w:rPr>
                      <w:szCs w:val="21"/>
                      <w:vertAlign w:val="subscript"/>
                    </w:rPr>
                    <w:t>2</w:t>
                  </w:r>
                </w:p>
              </w:tc>
              <w:tc>
                <w:tcPr>
                  <w:tcW w:w="769" w:type="pct"/>
                  <w:vMerge w:val="continue"/>
                  <w:vAlign w:val="center"/>
                </w:tcPr>
                <w:p w14:paraId="595870DD">
                  <w:pPr>
                    <w:widowControl/>
                    <w:jc w:val="center"/>
                    <w:rPr>
                      <w:kern w:val="0"/>
                      <w:szCs w:val="21"/>
                    </w:rPr>
                  </w:pPr>
                </w:p>
              </w:tc>
              <w:tc>
                <w:tcPr>
                  <w:tcW w:w="490" w:type="pct"/>
                  <w:vAlign w:val="center"/>
                </w:tcPr>
                <w:p w14:paraId="30EEC25A">
                  <w:pPr>
                    <w:snapToGrid w:val="0"/>
                    <w:jc w:val="center"/>
                    <w:rPr>
                      <w:szCs w:val="21"/>
                    </w:rPr>
                  </w:pPr>
                  <w:r>
                    <w:rPr>
                      <w:rFonts w:hint="eastAsia"/>
                      <w:szCs w:val="21"/>
                    </w:rPr>
                    <w:t>80</w:t>
                  </w:r>
                </w:p>
              </w:tc>
              <w:tc>
                <w:tcPr>
                  <w:tcW w:w="397" w:type="pct"/>
                  <w:vAlign w:val="center"/>
                </w:tcPr>
                <w:p w14:paraId="52A2B808">
                  <w:pPr>
                    <w:jc w:val="center"/>
                    <w:rPr>
                      <w:szCs w:val="21"/>
                    </w:rPr>
                  </w:pPr>
                  <w:r>
                    <w:rPr>
                      <w:rFonts w:hint="eastAsia"/>
                      <w:szCs w:val="21"/>
                    </w:rPr>
                    <w:t>/</w:t>
                  </w:r>
                </w:p>
              </w:tc>
            </w:tr>
          </w:tbl>
          <w:p w14:paraId="52E52B31">
            <w:pPr>
              <w:spacing w:line="480" w:lineRule="exact"/>
              <w:jc w:val="center"/>
              <w:rPr>
                <w:b/>
                <w:sz w:val="24"/>
              </w:rPr>
            </w:pPr>
            <w:r>
              <w:rPr>
                <w:b/>
                <w:sz w:val="24"/>
              </w:rPr>
              <w:t>表4-</w:t>
            </w:r>
            <w:r>
              <w:rPr>
                <w:rFonts w:hint="eastAsia"/>
                <w:b/>
                <w:sz w:val="24"/>
              </w:rPr>
              <w:t>8</w:t>
            </w:r>
            <w:r>
              <w:rPr>
                <w:b/>
                <w:sz w:val="24"/>
              </w:rPr>
              <w:t xml:space="preserve">  全厂有组织废气产生量一览表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64"/>
              <w:gridCol w:w="1067"/>
              <w:gridCol w:w="737"/>
              <w:gridCol w:w="861"/>
              <w:gridCol w:w="852"/>
              <w:gridCol w:w="796"/>
              <w:gridCol w:w="707"/>
              <w:gridCol w:w="866"/>
              <w:gridCol w:w="536"/>
              <w:gridCol w:w="764"/>
              <w:gridCol w:w="680"/>
              <w:gridCol w:w="696"/>
              <w:gridCol w:w="800"/>
              <w:gridCol w:w="752"/>
              <w:gridCol w:w="594"/>
              <w:gridCol w:w="572"/>
              <w:gridCol w:w="572"/>
              <w:gridCol w:w="604"/>
              <w:gridCol w:w="610"/>
            </w:tblGrid>
            <w:tr w14:paraId="0ABCB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7" w:type="pct"/>
                  <w:gridSpan w:val="3"/>
                  <w:vAlign w:val="center"/>
                </w:tcPr>
                <w:p w14:paraId="3CB6E3F9">
                  <w:pPr>
                    <w:widowControl/>
                    <w:jc w:val="center"/>
                    <w:rPr>
                      <w:b/>
                      <w:bCs/>
                      <w:kern w:val="0"/>
                      <w:szCs w:val="21"/>
                    </w:rPr>
                  </w:pPr>
                  <w:r>
                    <w:rPr>
                      <w:b/>
                      <w:bCs/>
                      <w:kern w:val="0"/>
                      <w:szCs w:val="21"/>
                    </w:rPr>
                    <w:t>污染源</w:t>
                  </w:r>
                </w:p>
              </w:tc>
              <w:tc>
                <w:tcPr>
                  <w:tcW w:w="320" w:type="pct"/>
                  <w:vMerge w:val="restart"/>
                  <w:tcMar>
                    <w:left w:w="0" w:type="dxa"/>
                    <w:right w:w="0" w:type="dxa"/>
                  </w:tcMar>
                  <w:vAlign w:val="center"/>
                </w:tcPr>
                <w:p w14:paraId="4F5493E2">
                  <w:pPr>
                    <w:widowControl/>
                    <w:jc w:val="center"/>
                    <w:rPr>
                      <w:b/>
                      <w:bCs/>
                      <w:kern w:val="0"/>
                      <w:szCs w:val="21"/>
                    </w:rPr>
                  </w:pPr>
                  <w:r>
                    <w:rPr>
                      <w:b/>
                      <w:bCs/>
                      <w:kern w:val="0"/>
                      <w:szCs w:val="21"/>
                    </w:rPr>
                    <w:t>污染物</w:t>
                  </w:r>
                </w:p>
                <w:p w14:paraId="7ABA296D">
                  <w:pPr>
                    <w:widowControl/>
                    <w:jc w:val="center"/>
                    <w:rPr>
                      <w:b/>
                      <w:bCs/>
                      <w:kern w:val="0"/>
                      <w:szCs w:val="21"/>
                    </w:rPr>
                  </w:pPr>
                  <w:r>
                    <w:rPr>
                      <w:b/>
                      <w:bCs/>
                      <w:kern w:val="0"/>
                      <w:szCs w:val="21"/>
                    </w:rPr>
                    <w:t>名称</w:t>
                  </w:r>
                </w:p>
              </w:tc>
              <w:tc>
                <w:tcPr>
                  <w:tcW w:w="876" w:type="pct"/>
                  <w:gridSpan w:val="3"/>
                  <w:vAlign w:val="center"/>
                </w:tcPr>
                <w:p w14:paraId="52D4431E">
                  <w:pPr>
                    <w:widowControl/>
                    <w:jc w:val="center"/>
                    <w:rPr>
                      <w:b/>
                      <w:bCs/>
                      <w:kern w:val="0"/>
                      <w:szCs w:val="21"/>
                    </w:rPr>
                  </w:pPr>
                  <w:r>
                    <w:rPr>
                      <w:b/>
                      <w:bCs/>
                      <w:kern w:val="0"/>
                      <w:szCs w:val="21"/>
                    </w:rPr>
                    <w:t>产生状况</w:t>
                  </w:r>
                </w:p>
              </w:tc>
              <w:tc>
                <w:tcPr>
                  <w:tcW w:w="322" w:type="pct"/>
                  <w:vMerge w:val="restart"/>
                  <w:vAlign w:val="center"/>
                </w:tcPr>
                <w:p w14:paraId="341FADF1">
                  <w:pPr>
                    <w:widowControl/>
                    <w:jc w:val="center"/>
                    <w:rPr>
                      <w:b/>
                      <w:bCs/>
                      <w:kern w:val="0"/>
                      <w:szCs w:val="21"/>
                    </w:rPr>
                  </w:pPr>
                  <w:r>
                    <w:rPr>
                      <w:b/>
                      <w:bCs/>
                      <w:kern w:val="0"/>
                      <w:szCs w:val="21"/>
                    </w:rPr>
                    <w:t>治理</w:t>
                  </w:r>
                </w:p>
                <w:p w14:paraId="3E60BA70">
                  <w:pPr>
                    <w:widowControl/>
                    <w:jc w:val="center"/>
                    <w:rPr>
                      <w:b/>
                      <w:bCs/>
                      <w:kern w:val="0"/>
                      <w:szCs w:val="21"/>
                    </w:rPr>
                  </w:pPr>
                  <w:r>
                    <w:rPr>
                      <w:b/>
                      <w:bCs/>
                      <w:kern w:val="0"/>
                      <w:szCs w:val="21"/>
                    </w:rPr>
                    <w:t>措施</w:t>
                  </w:r>
                </w:p>
              </w:tc>
              <w:tc>
                <w:tcPr>
                  <w:tcW w:w="199" w:type="pct"/>
                  <w:vMerge w:val="restart"/>
                  <w:vAlign w:val="center"/>
                </w:tcPr>
                <w:p w14:paraId="1FDD23E5">
                  <w:pPr>
                    <w:widowControl/>
                    <w:jc w:val="center"/>
                    <w:rPr>
                      <w:b/>
                      <w:bCs/>
                      <w:kern w:val="0"/>
                      <w:szCs w:val="21"/>
                    </w:rPr>
                  </w:pPr>
                  <w:r>
                    <w:rPr>
                      <w:b/>
                      <w:bCs/>
                      <w:kern w:val="0"/>
                      <w:szCs w:val="21"/>
                    </w:rPr>
                    <w:t>去除率%</w:t>
                  </w:r>
                </w:p>
              </w:tc>
              <w:tc>
                <w:tcPr>
                  <w:tcW w:w="284" w:type="pct"/>
                  <w:vMerge w:val="restart"/>
                  <w:vAlign w:val="center"/>
                </w:tcPr>
                <w:p w14:paraId="01B6CD6E">
                  <w:pPr>
                    <w:widowControl/>
                    <w:jc w:val="center"/>
                    <w:rPr>
                      <w:b/>
                      <w:bCs/>
                      <w:kern w:val="0"/>
                      <w:szCs w:val="21"/>
                    </w:rPr>
                  </w:pPr>
                  <w:r>
                    <w:rPr>
                      <w:b/>
                      <w:bCs/>
                      <w:kern w:val="0"/>
                      <w:szCs w:val="21"/>
                    </w:rPr>
                    <w:t>污染物</w:t>
                  </w:r>
                </w:p>
                <w:p w14:paraId="5CF3A224">
                  <w:pPr>
                    <w:widowControl/>
                    <w:jc w:val="center"/>
                    <w:rPr>
                      <w:b/>
                      <w:bCs/>
                      <w:kern w:val="0"/>
                      <w:szCs w:val="21"/>
                    </w:rPr>
                  </w:pPr>
                  <w:r>
                    <w:rPr>
                      <w:b/>
                      <w:bCs/>
                      <w:kern w:val="0"/>
                      <w:szCs w:val="21"/>
                    </w:rPr>
                    <w:t>名称</w:t>
                  </w:r>
                </w:p>
              </w:tc>
              <w:tc>
                <w:tcPr>
                  <w:tcW w:w="810" w:type="pct"/>
                  <w:gridSpan w:val="3"/>
                  <w:vAlign w:val="center"/>
                </w:tcPr>
                <w:p w14:paraId="09A02D3B">
                  <w:pPr>
                    <w:widowControl/>
                    <w:jc w:val="center"/>
                    <w:rPr>
                      <w:b/>
                      <w:bCs/>
                      <w:kern w:val="0"/>
                      <w:szCs w:val="21"/>
                    </w:rPr>
                  </w:pPr>
                  <w:r>
                    <w:rPr>
                      <w:b/>
                      <w:bCs/>
                      <w:kern w:val="0"/>
                      <w:szCs w:val="21"/>
                    </w:rPr>
                    <w:t>排放状况</w:t>
                  </w:r>
                </w:p>
              </w:tc>
              <w:tc>
                <w:tcPr>
                  <w:tcW w:w="501" w:type="pct"/>
                  <w:gridSpan w:val="2"/>
                  <w:vAlign w:val="center"/>
                </w:tcPr>
                <w:p w14:paraId="60F3D4FF">
                  <w:pPr>
                    <w:widowControl/>
                    <w:jc w:val="center"/>
                    <w:rPr>
                      <w:b/>
                      <w:bCs/>
                      <w:kern w:val="0"/>
                      <w:szCs w:val="21"/>
                    </w:rPr>
                  </w:pPr>
                  <w:r>
                    <w:rPr>
                      <w:b/>
                      <w:bCs/>
                      <w:kern w:val="0"/>
                      <w:szCs w:val="21"/>
                    </w:rPr>
                    <w:t>执行标准</w:t>
                  </w:r>
                </w:p>
              </w:tc>
              <w:tc>
                <w:tcPr>
                  <w:tcW w:w="650" w:type="pct"/>
                  <w:gridSpan w:val="3"/>
                  <w:vAlign w:val="center"/>
                </w:tcPr>
                <w:p w14:paraId="053F2D0E">
                  <w:pPr>
                    <w:widowControl/>
                    <w:jc w:val="center"/>
                    <w:rPr>
                      <w:b/>
                      <w:bCs/>
                      <w:kern w:val="0"/>
                      <w:szCs w:val="21"/>
                    </w:rPr>
                  </w:pPr>
                  <w:r>
                    <w:rPr>
                      <w:b/>
                      <w:bCs/>
                      <w:kern w:val="0"/>
                      <w:szCs w:val="21"/>
                    </w:rPr>
                    <w:t>排放源参数</w:t>
                  </w:r>
                </w:p>
              </w:tc>
              <w:tc>
                <w:tcPr>
                  <w:tcW w:w="227" w:type="pct"/>
                  <w:vMerge w:val="restart"/>
                  <w:vAlign w:val="center"/>
                </w:tcPr>
                <w:p w14:paraId="63B03392">
                  <w:pPr>
                    <w:widowControl/>
                    <w:jc w:val="center"/>
                    <w:rPr>
                      <w:b/>
                      <w:bCs/>
                      <w:kern w:val="0"/>
                      <w:szCs w:val="21"/>
                    </w:rPr>
                  </w:pPr>
                  <w:r>
                    <w:rPr>
                      <w:b/>
                      <w:bCs/>
                      <w:kern w:val="0"/>
                      <w:szCs w:val="21"/>
                    </w:rPr>
                    <w:t>排放</w:t>
                  </w:r>
                </w:p>
                <w:p w14:paraId="79B75ECC">
                  <w:pPr>
                    <w:widowControl/>
                    <w:jc w:val="center"/>
                    <w:rPr>
                      <w:b/>
                      <w:bCs/>
                      <w:kern w:val="0"/>
                      <w:szCs w:val="21"/>
                    </w:rPr>
                  </w:pPr>
                  <w:r>
                    <w:rPr>
                      <w:b/>
                      <w:bCs/>
                      <w:kern w:val="0"/>
                      <w:szCs w:val="21"/>
                    </w:rPr>
                    <w:t>方式</w:t>
                  </w:r>
                </w:p>
              </w:tc>
            </w:tr>
            <w:tr w14:paraId="480CD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 w:type="pct"/>
                  <w:vAlign w:val="center"/>
                </w:tcPr>
                <w:p w14:paraId="04650D55">
                  <w:pPr>
                    <w:widowControl/>
                    <w:jc w:val="center"/>
                    <w:rPr>
                      <w:b/>
                      <w:bCs/>
                      <w:kern w:val="0"/>
                      <w:szCs w:val="21"/>
                    </w:rPr>
                  </w:pPr>
                  <w:r>
                    <w:rPr>
                      <w:b/>
                      <w:bCs/>
                      <w:kern w:val="0"/>
                      <w:szCs w:val="21"/>
                    </w:rPr>
                    <w:t>名称</w:t>
                  </w:r>
                </w:p>
              </w:tc>
              <w:tc>
                <w:tcPr>
                  <w:tcW w:w="397" w:type="pct"/>
                  <w:tcMar>
                    <w:left w:w="0" w:type="dxa"/>
                    <w:right w:w="0" w:type="dxa"/>
                  </w:tcMar>
                  <w:vAlign w:val="center"/>
                </w:tcPr>
                <w:p w14:paraId="33BD3B43">
                  <w:pPr>
                    <w:widowControl/>
                    <w:jc w:val="center"/>
                    <w:rPr>
                      <w:b/>
                      <w:bCs/>
                      <w:kern w:val="0"/>
                      <w:szCs w:val="21"/>
                    </w:rPr>
                  </w:pPr>
                  <w:r>
                    <w:rPr>
                      <w:b/>
                      <w:bCs/>
                      <w:kern w:val="0"/>
                      <w:szCs w:val="21"/>
                    </w:rPr>
                    <w:t>工段</w:t>
                  </w:r>
                </w:p>
              </w:tc>
              <w:tc>
                <w:tcPr>
                  <w:tcW w:w="274" w:type="pct"/>
                  <w:tcMar>
                    <w:left w:w="0" w:type="dxa"/>
                    <w:right w:w="0" w:type="dxa"/>
                  </w:tcMar>
                  <w:vAlign w:val="center"/>
                </w:tcPr>
                <w:p w14:paraId="7D975AD1">
                  <w:pPr>
                    <w:widowControl/>
                    <w:jc w:val="center"/>
                    <w:rPr>
                      <w:b/>
                      <w:bCs/>
                      <w:kern w:val="0"/>
                      <w:szCs w:val="21"/>
                    </w:rPr>
                  </w:pPr>
                  <w:r>
                    <w:rPr>
                      <w:b/>
                      <w:bCs/>
                      <w:kern w:val="0"/>
                      <w:szCs w:val="21"/>
                    </w:rPr>
                    <w:t>排气量m</w:t>
                  </w:r>
                  <w:r>
                    <w:rPr>
                      <w:b/>
                      <w:bCs/>
                      <w:kern w:val="0"/>
                      <w:szCs w:val="21"/>
                      <w:vertAlign w:val="superscript"/>
                    </w:rPr>
                    <w:t>3</w:t>
                  </w:r>
                  <w:r>
                    <w:rPr>
                      <w:b/>
                      <w:bCs/>
                      <w:kern w:val="0"/>
                      <w:szCs w:val="21"/>
                    </w:rPr>
                    <w:t>/h</w:t>
                  </w:r>
                </w:p>
              </w:tc>
              <w:tc>
                <w:tcPr>
                  <w:tcW w:w="320" w:type="pct"/>
                  <w:vMerge w:val="continue"/>
                  <w:tcMar>
                    <w:left w:w="0" w:type="dxa"/>
                    <w:right w:w="0" w:type="dxa"/>
                  </w:tcMar>
                  <w:vAlign w:val="center"/>
                </w:tcPr>
                <w:p w14:paraId="32841031">
                  <w:pPr>
                    <w:widowControl/>
                    <w:jc w:val="center"/>
                    <w:rPr>
                      <w:b/>
                      <w:bCs/>
                      <w:kern w:val="0"/>
                      <w:szCs w:val="21"/>
                    </w:rPr>
                  </w:pPr>
                </w:p>
              </w:tc>
              <w:tc>
                <w:tcPr>
                  <w:tcW w:w="317" w:type="pct"/>
                  <w:tcMar>
                    <w:left w:w="0" w:type="dxa"/>
                    <w:right w:w="0" w:type="dxa"/>
                  </w:tcMar>
                  <w:vAlign w:val="center"/>
                </w:tcPr>
                <w:p w14:paraId="0F6E02D8">
                  <w:pPr>
                    <w:widowControl/>
                    <w:jc w:val="center"/>
                    <w:rPr>
                      <w:b/>
                      <w:bCs/>
                      <w:kern w:val="0"/>
                      <w:szCs w:val="21"/>
                    </w:rPr>
                  </w:pPr>
                  <w:r>
                    <w:rPr>
                      <w:b/>
                      <w:bCs/>
                      <w:kern w:val="0"/>
                      <w:szCs w:val="21"/>
                    </w:rPr>
                    <w:t>浓度</w:t>
                  </w:r>
                </w:p>
                <w:p w14:paraId="0A6FC02F">
                  <w:pPr>
                    <w:jc w:val="center"/>
                    <w:rPr>
                      <w:b/>
                      <w:bCs/>
                      <w:kern w:val="0"/>
                      <w:szCs w:val="21"/>
                    </w:rPr>
                  </w:pPr>
                  <w:r>
                    <w:rPr>
                      <w:b/>
                      <w:bCs/>
                      <w:kern w:val="0"/>
                      <w:szCs w:val="21"/>
                    </w:rPr>
                    <w:t>mg/m</w:t>
                  </w:r>
                  <w:r>
                    <w:rPr>
                      <w:b/>
                      <w:bCs/>
                      <w:kern w:val="0"/>
                      <w:szCs w:val="21"/>
                      <w:vertAlign w:val="superscript"/>
                    </w:rPr>
                    <w:t>3</w:t>
                  </w:r>
                </w:p>
              </w:tc>
              <w:tc>
                <w:tcPr>
                  <w:tcW w:w="296" w:type="pct"/>
                  <w:tcMar>
                    <w:left w:w="0" w:type="dxa"/>
                    <w:right w:w="0" w:type="dxa"/>
                  </w:tcMar>
                  <w:vAlign w:val="center"/>
                </w:tcPr>
                <w:p w14:paraId="7C2C88E3">
                  <w:pPr>
                    <w:widowControl/>
                    <w:jc w:val="center"/>
                    <w:rPr>
                      <w:b/>
                      <w:bCs/>
                      <w:kern w:val="0"/>
                      <w:szCs w:val="21"/>
                    </w:rPr>
                  </w:pPr>
                  <w:r>
                    <w:rPr>
                      <w:b/>
                      <w:bCs/>
                      <w:kern w:val="0"/>
                      <w:szCs w:val="21"/>
                    </w:rPr>
                    <w:t>速率</w:t>
                  </w:r>
                </w:p>
                <w:p w14:paraId="538C670C">
                  <w:pPr>
                    <w:jc w:val="center"/>
                    <w:rPr>
                      <w:b/>
                      <w:bCs/>
                      <w:kern w:val="0"/>
                      <w:szCs w:val="21"/>
                    </w:rPr>
                  </w:pPr>
                  <w:r>
                    <w:rPr>
                      <w:b/>
                      <w:bCs/>
                      <w:kern w:val="0"/>
                      <w:szCs w:val="21"/>
                    </w:rPr>
                    <w:t>kg/h</w:t>
                  </w:r>
                </w:p>
              </w:tc>
              <w:tc>
                <w:tcPr>
                  <w:tcW w:w="263" w:type="pct"/>
                  <w:tcMar>
                    <w:left w:w="0" w:type="dxa"/>
                    <w:right w:w="0" w:type="dxa"/>
                  </w:tcMar>
                  <w:vAlign w:val="center"/>
                </w:tcPr>
                <w:p w14:paraId="4C5A177E">
                  <w:pPr>
                    <w:widowControl/>
                    <w:jc w:val="center"/>
                    <w:rPr>
                      <w:b/>
                      <w:bCs/>
                      <w:kern w:val="0"/>
                      <w:szCs w:val="21"/>
                    </w:rPr>
                  </w:pPr>
                  <w:r>
                    <w:rPr>
                      <w:b/>
                      <w:bCs/>
                      <w:kern w:val="0"/>
                      <w:szCs w:val="21"/>
                    </w:rPr>
                    <w:t>产生量t/a</w:t>
                  </w:r>
                </w:p>
              </w:tc>
              <w:tc>
                <w:tcPr>
                  <w:tcW w:w="322" w:type="pct"/>
                  <w:vMerge w:val="continue"/>
                  <w:tcMar>
                    <w:left w:w="0" w:type="dxa"/>
                    <w:right w:w="0" w:type="dxa"/>
                  </w:tcMar>
                  <w:vAlign w:val="center"/>
                </w:tcPr>
                <w:p w14:paraId="37441856">
                  <w:pPr>
                    <w:widowControl/>
                    <w:jc w:val="center"/>
                    <w:rPr>
                      <w:b/>
                      <w:bCs/>
                      <w:kern w:val="0"/>
                      <w:szCs w:val="21"/>
                    </w:rPr>
                  </w:pPr>
                </w:p>
              </w:tc>
              <w:tc>
                <w:tcPr>
                  <w:tcW w:w="199" w:type="pct"/>
                  <w:vMerge w:val="continue"/>
                  <w:tcMar>
                    <w:left w:w="0" w:type="dxa"/>
                    <w:right w:w="0" w:type="dxa"/>
                  </w:tcMar>
                  <w:vAlign w:val="center"/>
                </w:tcPr>
                <w:p w14:paraId="4A6673BB">
                  <w:pPr>
                    <w:widowControl/>
                    <w:jc w:val="center"/>
                    <w:rPr>
                      <w:b/>
                      <w:bCs/>
                      <w:kern w:val="0"/>
                      <w:szCs w:val="21"/>
                    </w:rPr>
                  </w:pPr>
                </w:p>
              </w:tc>
              <w:tc>
                <w:tcPr>
                  <w:tcW w:w="284" w:type="pct"/>
                  <w:vMerge w:val="continue"/>
                  <w:tcMar>
                    <w:left w:w="0" w:type="dxa"/>
                    <w:right w:w="0" w:type="dxa"/>
                  </w:tcMar>
                  <w:vAlign w:val="center"/>
                </w:tcPr>
                <w:p w14:paraId="5772BAA1">
                  <w:pPr>
                    <w:widowControl/>
                    <w:jc w:val="center"/>
                    <w:rPr>
                      <w:b/>
                      <w:bCs/>
                      <w:kern w:val="0"/>
                      <w:szCs w:val="21"/>
                    </w:rPr>
                  </w:pPr>
                </w:p>
              </w:tc>
              <w:tc>
                <w:tcPr>
                  <w:tcW w:w="253" w:type="pct"/>
                  <w:tcMar>
                    <w:left w:w="0" w:type="dxa"/>
                    <w:right w:w="0" w:type="dxa"/>
                  </w:tcMar>
                  <w:vAlign w:val="center"/>
                </w:tcPr>
                <w:p w14:paraId="676E8954">
                  <w:pPr>
                    <w:widowControl/>
                    <w:jc w:val="center"/>
                    <w:rPr>
                      <w:b/>
                      <w:bCs/>
                      <w:kern w:val="0"/>
                      <w:szCs w:val="21"/>
                    </w:rPr>
                  </w:pPr>
                  <w:r>
                    <w:rPr>
                      <w:b/>
                      <w:bCs/>
                      <w:kern w:val="0"/>
                      <w:szCs w:val="21"/>
                    </w:rPr>
                    <w:t>浓度</w:t>
                  </w:r>
                </w:p>
                <w:p w14:paraId="1697495D">
                  <w:pPr>
                    <w:jc w:val="center"/>
                    <w:rPr>
                      <w:b/>
                      <w:bCs/>
                      <w:kern w:val="0"/>
                      <w:szCs w:val="21"/>
                    </w:rPr>
                  </w:pPr>
                  <w:r>
                    <w:rPr>
                      <w:b/>
                      <w:bCs/>
                      <w:kern w:val="0"/>
                      <w:szCs w:val="21"/>
                    </w:rPr>
                    <w:t>mg/m</w:t>
                  </w:r>
                  <w:r>
                    <w:rPr>
                      <w:b/>
                      <w:bCs/>
                      <w:kern w:val="0"/>
                      <w:szCs w:val="21"/>
                      <w:vertAlign w:val="superscript"/>
                    </w:rPr>
                    <w:t>3</w:t>
                  </w:r>
                </w:p>
              </w:tc>
              <w:tc>
                <w:tcPr>
                  <w:tcW w:w="259" w:type="pct"/>
                  <w:tcMar>
                    <w:left w:w="0" w:type="dxa"/>
                    <w:right w:w="0" w:type="dxa"/>
                  </w:tcMar>
                  <w:vAlign w:val="center"/>
                </w:tcPr>
                <w:p w14:paraId="44E63333">
                  <w:pPr>
                    <w:widowControl/>
                    <w:jc w:val="center"/>
                    <w:rPr>
                      <w:b/>
                      <w:bCs/>
                      <w:kern w:val="0"/>
                      <w:szCs w:val="21"/>
                    </w:rPr>
                  </w:pPr>
                  <w:r>
                    <w:rPr>
                      <w:b/>
                      <w:bCs/>
                      <w:kern w:val="0"/>
                      <w:szCs w:val="21"/>
                    </w:rPr>
                    <w:t>速率</w:t>
                  </w:r>
                </w:p>
                <w:p w14:paraId="4E471121">
                  <w:pPr>
                    <w:jc w:val="center"/>
                    <w:rPr>
                      <w:b/>
                      <w:bCs/>
                      <w:kern w:val="0"/>
                      <w:szCs w:val="21"/>
                    </w:rPr>
                  </w:pPr>
                  <w:r>
                    <w:rPr>
                      <w:b/>
                      <w:bCs/>
                      <w:kern w:val="0"/>
                      <w:szCs w:val="21"/>
                    </w:rPr>
                    <w:t>kg/h</w:t>
                  </w:r>
                </w:p>
              </w:tc>
              <w:tc>
                <w:tcPr>
                  <w:tcW w:w="297" w:type="pct"/>
                  <w:tcMar>
                    <w:left w:w="0" w:type="dxa"/>
                    <w:right w:w="0" w:type="dxa"/>
                  </w:tcMar>
                  <w:vAlign w:val="center"/>
                </w:tcPr>
                <w:p w14:paraId="17690485">
                  <w:pPr>
                    <w:widowControl/>
                    <w:jc w:val="center"/>
                    <w:rPr>
                      <w:b/>
                      <w:bCs/>
                      <w:kern w:val="0"/>
                      <w:szCs w:val="21"/>
                    </w:rPr>
                  </w:pPr>
                  <w:r>
                    <w:rPr>
                      <w:b/>
                      <w:bCs/>
                      <w:kern w:val="0"/>
                      <w:szCs w:val="21"/>
                    </w:rPr>
                    <w:t>排放量t/a</w:t>
                  </w:r>
                </w:p>
              </w:tc>
              <w:tc>
                <w:tcPr>
                  <w:tcW w:w="279" w:type="pct"/>
                  <w:tcMar>
                    <w:left w:w="0" w:type="dxa"/>
                    <w:right w:w="0" w:type="dxa"/>
                  </w:tcMar>
                  <w:vAlign w:val="center"/>
                </w:tcPr>
                <w:p w14:paraId="32DF1A84">
                  <w:pPr>
                    <w:widowControl/>
                    <w:jc w:val="center"/>
                    <w:rPr>
                      <w:b/>
                      <w:bCs/>
                      <w:kern w:val="0"/>
                      <w:szCs w:val="21"/>
                    </w:rPr>
                  </w:pPr>
                  <w:r>
                    <w:rPr>
                      <w:b/>
                      <w:bCs/>
                      <w:kern w:val="0"/>
                      <w:szCs w:val="21"/>
                    </w:rPr>
                    <w:t>浓度mg/m</w:t>
                  </w:r>
                  <w:r>
                    <w:rPr>
                      <w:b/>
                      <w:bCs/>
                      <w:kern w:val="0"/>
                      <w:szCs w:val="21"/>
                      <w:vertAlign w:val="superscript"/>
                    </w:rPr>
                    <w:t>3</w:t>
                  </w:r>
                </w:p>
              </w:tc>
              <w:tc>
                <w:tcPr>
                  <w:tcW w:w="221" w:type="pct"/>
                  <w:tcMar>
                    <w:left w:w="0" w:type="dxa"/>
                    <w:right w:w="0" w:type="dxa"/>
                  </w:tcMar>
                  <w:vAlign w:val="center"/>
                </w:tcPr>
                <w:p w14:paraId="3408F645">
                  <w:pPr>
                    <w:widowControl/>
                    <w:jc w:val="center"/>
                    <w:rPr>
                      <w:b/>
                      <w:bCs/>
                      <w:kern w:val="0"/>
                      <w:szCs w:val="21"/>
                    </w:rPr>
                  </w:pPr>
                  <w:r>
                    <w:rPr>
                      <w:b/>
                      <w:bCs/>
                      <w:kern w:val="0"/>
                      <w:szCs w:val="21"/>
                    </w:rPr>
                    <w:t>速率kg/h</w:t>
                  </w:r>
                </w:p>
              </w:tc>
              <w:tc>
                <w:tcPr>
                  <w:tcW w:w="212" w:type="pct"/>
                  <w:tcMar>
                    <w:left w:w="0" w:type="dxa"/>
                    <w:right w:w="0" w:type="dxa"/>
                  </w:tcMar>
                  <w:vAlign w:val="center"/>
                </w:tcPr>
                <w:p w14:paraId="56DC975F">
                  <w:pPr>
                    <w:widowControl/>
                    <w:jc w:val="center"/>
                    <w:rPr>
                      <w:b/>
                      <w:bCs/>
                      <w:kern w:val="0"/>
                      <w:szCs w:val="21"/>
                    </w:rPr>
                  </w:pPr>
                  <w:r>
                    <w:rPr>
                      <w:b/>
                      <w:bCs/>
                      <w:kern w:val="0"/>
                      <w:szCs w:val="21"/>
                    </w:rPr>
                    <w:t>高度</w:t>
                  </w:r>
                </w:p>
                <w:p w14:paraId="67A7FD56">
                  <w:pPr>
                    <w:widowControl/>
                    <w:jc w:val="center"/>
                    <w:rPr>
                      <w:b/>
                      <w:bCs/>
                      <w:kern w:val="0"/>
                      <w:szCs w:val="21"/>
                    </w:rPr>
                  </w:pPr>
                  <w:r>
                    <w:rPr>
                      <w:b/>
                      <w:bCs/>
                      <w:kern w:val="0"/>
                      <w:szCs w:val="21"/>
                    </w:rPr>
                    <w:t>m</w:t>
                  </w:r>
                </w:p>
              </w:tc>
              <w:tc>
                <w:tcPr>
                  <w:tcW w:w="212" w:type="pct"/>
                  <w:tcMar>
                    <w:left w:w="0" w:type="dxa"/>
                    <w:right w:w="0" w:type="dxa"/>
                  </w:tcMar>
                  <w:vAlign w:val="center"/>
                </w:tcPr>
                <w:p w14:paraId="32AEC6AD">
                  <w:pPr>
                    <w:widowControl/>
                    <w:jc w:val="center"/>
                    <w:rPr>
                      <w:b/>
                      <w:bCs/>
                      <w:kern w:val="0"/>
                      <w:szCs w:val="21"/>
                    </w:rPr>
                  </w:pPr>
                  <w:r>
                    <w:rPr>
                      <w:b/>
                      <w:bCs/>
                      <w:kern w:val="0"/>
                      <w:szCs w:val="21"/>
                    </w:rPr>
                    <w:t>直径</w:t>
                  </w:r>
                </w:p>
                <w:p w14:paraId="7608AD0B">
                  <w:pPr>
                    <w:jc w:val="center"/>
                    <w:rPr>
                      <w:b/>
                      <w:bCs/>
                      <w:kern w:val="0"/>
                      <w:szCs w:val="21"/>
                    </w:rPr>
                  </w:pPr>
                  <w:r>
                    <w:rPr>
                      <w:b/>
                      <w:bCs/>
                      <w:kern w:val="0"/>
                      <w:szCs w:val="21"/>
                    </w:rPr>
                    <w:t>m</w:t>
                  </w:r>
                </w:p>
              </w:tc>
              <w:tc>
                <w:tcPr>
                  <w:tcW w:w="224" w:type="pct"/>
                  <w:tcMar>
                    <w:left w:w="0" w:type="dxa"/>
                    <w:right w:w="0" w:type="dxa"/>
                  </w:tcMar>
                  <w:vAlign w:val="center"/>
                </w:tcPr>
                <w:p w14:paraId="45E362CD">
                  <w:pPr>
                    <w:widowControl/>
                    <w:jc w:val="center"/>
                    <w:rPr>
                      <w:b/>
                      <w:bCs/>
                      <w:kern w:val="0"/>
                      <w:szCs w:val="21"/>
                    </w:rPr>
                  </w:pPr>
                  <w:r>
                    <w:rPr>
                      <w:b/>
                      <w:bCs/>
                      <w:kern w:val="0"/>
                      <w:szCs w:val="21"/>
                    </w:rPr>
                    <w:t>温度</w:t>
                  </w:r>
                </w:p>
                <w:p w14:paraId="3F522A37">
                  <w:pPr>
                    <w:jc w:val="center"/>
                    <w:rPr>
                      <w:b/>
                      <w:bCs/>
                      <w:kern w:val="0"/>
                      <w:szCs w:val="21"/>
                    </w:rPr>
                  </w:pPr>
                  <w:r>
                    <w:rPr>
                      <w:b/>
                      <w:bCs/>
                      <w:kern w:val="0"/>
                      <w:szCs w:val="21"/>
                    </w:rPr>
                    <w:t>℃</w:t>
                  </w:r>
                </w:p>
              </w:tc>
              <w:tc>
                <w:tcPr>
                  <w:tcW w:w="227" w:type="pct"/>
                  <w:vMerge w:val="continue"/>
                  <w:vAlign w:val="center"/>
                </w:tcPr>
                <w:p w14:paraId="4E2A4E5B">
                  <w:pPr>
                    <w:jc w:val="center"/>
                    <w:rPr>
                      <w:b/>
                      <w:bCs/>
                      <w:kern w:val="0"/>
                      <w:szCs w:val="21"/>
                    </w:rPr>
                  </w:pPr>
                </w:p>
              </w:tc>
            </w:tr>
            <w:tr w14:paraId="29E95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 w:type="pct"/>
                  <w:vMerge w:val="restart"/>
                  <w:vAlign w:val="center"/>
                </w:tcPr>
                <w:p w14:paraId="289DE27D">
                  <w:pPr>
                    <w:widowControl/>
                    <w:jc w:val="center"/>
                    <w:rPr>
                      <w:rFonts w:hint="default"/>
                      <w:kern w:val="0"/>
                      <w:szCs w:val="21"/>
                      <w:lang w:val="en-US" w:eastAsia="zh-CN"/>
                    </w:rPr>
                  </w:pPr>
                  <w:r>
                    <w:rPr>
                      <w:rFonts w:hint="eastAsia"/>
                      <w:kern w:val="0"/>
                      <w:szCs w:val="21"/>
                      <w:lang w:val="en-US" w:eastAsia="zh-CN"/>
                    </w:rPr>
                    <w:t>DA001</w:t>
                  </w:r>
                </w:p>
              </w:tc>
              <w:tc>
                <w:tcPr>
                  <w:tcW w:w="397" w:type="pct"/>
                  <w:vMerge w:val="restart"/>
                  <w:tcMar>
                    <w:left w:w="0" w:type="dxa"/>
                    <w:right w:w="0" w:type="dxa"/>
                  </w:tcMar>
                  <w:vAlign w:val="center"/>
                </w:tcPr>
                <w:p w14:paraId="27DF935C">
                  <w:pPr>
                    <w:widowControl/>
                    <w:jc w:val="center"/>
                    <w:rPr>
                      <w:szCs w:val="21"/>
                    </w:rPr>
                  </w:pPr>
                  <w:r>
                    <w:rPr>
                      <w:rFonts w:hint="eastAsia"/>
                      <w:szCs w:val="21"/>
                    </w:rPr>
                    <w:t>调配、</w:t>
                  </w:r>
                  <w:r>
                    <w:rPr>
                      <w:szCs w:val="21"/>
                    </w:rPr>
                    <w:t>背胶及烘干</w:t>
                  </w:r>
                </w:p>
              </w:tc>
              <w:tc>
                <w:tcPr>
                  <w:tcW w:w="274" w:type="pct"/>
                  <w:vMerge w:val="restart"/>
                  <w:tcMar>
                    <w:left w:w="0" w:type="dxa"/>
                    <w:right w:w="0" w:type="dxa"/>
                  </w:tcMar>
                  <w:vAlign w:val="center"/>
                </w:tcPr>
                <w:p w14:paraId="762BC665">
                  <w:pPr>
                    <w:widowControl/>
                    <w:jc w:val="center"/>
                    <w:textAlignment w:val="center"/>
                    <w:rPr>
                      <w:kern w:val="0"/>
                      <w:szCs w:val="21"/>
                      <w:lang w:bidi="ar"/>
                    </w:rPr>
                  </w:pPr>
                  <w:r>
                    <w:rPr>
                      <w:rFonts w:hint="eastAsia"/>
                      <w:kern w:val="0"/>
                      <w:szCs w:val="21"/>
                      <w:lang w:bidi="ar"/>
                    </w:rPr>
                    <w:t>10000</w:t>
                  </w:r>
                </w:p>
              </w:tc>
              <w:tc>
                <w:tcPr>
                  <w:tcW w:w="320" w:type="pct"/>
                  <w:tcMar>
                    <w:left w:w="0" w:type="dxa"/>
                    <w:right w:w="0" w:type="dxa"/>
                  </w:tcMar>
                  <w:vAlign w:val="center"/>
                </w:tcPr>
                <w:p w14:paraId="124D12F1">
                  <w:pPr>
                    <w:widowControl/>
                    <w:jc w:val="center"/>
                    <w:rPr>
                      <w:rFonts w:hint="eastAsia" w:eastAsia="宋体"/>
                      <w:kern w:val="0"/>
                      <w:szCs w:val="21"/>
                      <w:lang w:val="en-US" w:eastAsia="zh-CN"/>
                    </w:rPr>
                  </w:pPr>
                  <w:r>
                    <w:rPr>
                      <w:rFonts w:hint="eastAsia"/>
                      <w:kern w:val="0"/>
                      <w:szCs w:val="21"/>
                      <w:lang w:val="en-US" w:eastAsia="zh-CN"/>
                    </w:rPr>
                    <w:t>颗粒物</w:t>
                  </w:r>
                </w:p>
              </w:tc>
              <w:tc>
                <w:tcPr>
                  <w:tcW w:w="317" w:type="pct"/>
                  <w:tcMar>
                    <w:left w:w="0" w:type="dxa"/>
                    <w:right w:w="0" w:type="dxa"/>
                  </w:tcMar>
                  <w:vAlign w:val="center"/>
                </w:tcPr>
                <w:p w14:paraId="33343E91">
                  <w:pPr>
                    <w:widowControl/>
                    <w:jc w:val="center"/>
                    <w:textAlignment w:val="center"/>
                    <w:rPr>
                      <w:rFonts w:hint="default" w:eastAsia="宋体"/>
                      <w:kern w:val="0"/>
                      <w:szCs w:val="21"/>
                      <w:lang w:val="en-US" w:eastAsia="zh-CN" w:bidi="ar"/>
                    </w:rPr>
                  </w:pPr>
                  <w:r>
                    <w:rPr>
                      <w:rFonts w:hint="eastAsia"/>
                      <w:kern w:val="0"/>
                      <w:szCs w:val="21"/>
                      <w:lang w:val="en-US" w:eastAsia="zh-CN" w:bidi="ar"/>
                    </w:rPr>
                    <w:t>45.833</w:t>
                  </w:r>
                </w:p>
              </w:tc>
              <w:tc>
                <w:tcPr>
                  <w:tcW w:w="296" w:type="pct"/>
                  <w:tcMar>
                    <w:left w:w="0" w:type="dxa"/>
                    <w:right w:w="0" w:type="dxa"/>
                  </w:tcMar>
                  <w:vAlign w:val="center"/>
                </w:tcPr>
                <w:p w14:paraId="67F591B1">
                  <w:pPr>
                    <w:widowControl/>
                    <w:jc w:val="center"/>
                    <w:textAlignment w:val="center"/>
                    <w:rPr>
                      <w:rFonts w:hint="default" w:eastAsia="宋体"/>
                      <w:kern w:val="0"/>
                      <w:szCs w:val="21"/>
                      <w:lang w:val="en-US" w:eastAsia="zh-CN" w:bidi="ar"/>
                    </w:rPr>
                  </w:pPr>
                  <w:r>
                    <w:rPr>
                      <w:rFonts w:hint="eastAsia"/>
                      <w:kern w:val="0"/>
                      <w:szCs w:val="21"/>
                      <w:lang w:val="en-US" w:eastAsia="zh-CN" w:bidi="ar"/>
                    </w:rPr>
                    <w:t>0.229</w:t>
                  </w:r>
                </w:p>
              </w:tc>
              <w:tc>
                <w:tcPr>
                  <w:tcW w:w="263" w:type="pct"/>
                  <w:tcMar>
                    <w:left w:w="0" w:type="dxa"/>
                    <w:right w:w="0" w:type="dxa"/>
                  </w:tcMar>
                  <w:vAlign w:val="center"/>
                </w:tcPr>
                <w:p w14:paraId="42FAD961">
                  <w:pPr>
                    <w:widowControl/>
                    <w:jc w:val="center"/>
                    <w:textAlignment w:val="center"/>
                    <w:rPr>
                      <w:rFonts w:hint="default" w:eastAsia="宋体"/>
                      <w:kern w:val="0"/>
                      <w:szCs w:val="21"/>
                      <w:lang w:val="en-US" w:eastAsia="zh-CN" w:bidi="ar"/>
                    </w:rPr>
                  </w:pPr>
                  <w:r>
                    <w:rPr>
                      <w:rFonts w:hint="eastAsia"/>
                      <w:kern w:val="0"/>
                      <w:szCs w:val="21"/>
                      <w:lang w:val="en-US" w:eastAsia="zh-CN" w:bidi="ar"/>
                    </w:rPr>
                    <w:t>1.65</w:t>
                  </w:r>
                </w:p>
              </w:tc>
              <w:tc>
                <w:tcPr>
                  <w:tcW w:w="322" w:type="pct"/>
                  <w:tcMar>
                    <w:left w:w="0" w:type="dxa"/>
                    <w:right w:w="0" w:type="dxa"/>
                  </w:tcMar>
                  <w:vAlign w:val="center"/>
                </w:tcPr>
                <w:p w14:paraId="2114CE07">
                  <w:pPr>
                    <w:widowControl/>
                    <w:jc w:val="center"/>
                    <w:textAlignment w:val="center"/>
                    <w:rPr>
                      <w:rFonts w:hint="default" w:eastAsia="宋体"/>
                      <w:kern w:val="0"/>
                      <w:szCs w:val="21"/>
                      <w:lang w:val="en-US" w:eastAsia="zh-CN" w:bidi="ar"/>
                    </w:rPr>
                  </w:pPr>
                  <w:r>
                    <w:rPr>
                      <w:rFonts w:hint="eastAsia"/>
                      <w:kern w:val="0"/>
                      <w:szCs w:val="21"/>
                      <w:lang w:val="en-US" w:eastAsia="zh-CN" w:bidi="ar"/>
                    </w:rPr>
                    <w:t>布袋除尘器</w:t>
                  </w:r>
                </w:p>
              </w:tc>
              <w:tc>
                <w:tcPr>
                  <w:tcW w:w="199" w:type="pct"/>
                  <w:tcMar>
                    <w:left w:w="0" w:type="dxa"/>
                    <w:right w:w="0" w:type="dxa"/>
                  </w:tcMar>
                  <w:vAlign w:val="center"/>
                </w:tcPr>
                <w:p w14:paraId="2E31E7DB">
                  <w:pPr>
                    <w:widowControl/>
                    <w:jc w:val="center"/>
                    <w:textAlignment w:val="center"/>
                    <w:rPr>
                      <w:rFonts w:hint="default" w:eastAsia="宋体"/>
                      <w:kern w:val="0"/>
                      <w:szCs w:val="21"/>
                      <w:lang w:val="en-US" w:eastAsia="zh-CN" w:bidi="ar"/>
                    </w:rPr>
                  </w:pPr>
                  <w:r>
                    <w:rPr>
                      <w:rFonts w:hint="eastAsia"/>
                      <w:kern w:val="0"/>
                      <w:szCs w:val="21"/>
                      <w:lang w:val="en-US" w:eastAsia="zh-CN" w:bidi="ar"/>
                    </w:rPr>
                    <w:t>95</w:t>
                  </w:r>
                </w:p>
              </w:tc>
              <w:tc>
                <w:tcPr>
                  <w:tcW w:w="284" w:type="pct"/>
                  <w:tcMar>
                    <w:left w:w="0" w:type="dxa"/>
                    <w:right w:w="0" w:type="dxa"/>
                  </w:tcMar>
                  <w:vAlign w:val="center"/>
                </w:tcPr>
                <w:p w14:paraId="512A4BD4">
                  <w:pPr>
                    <w:widowControl/>
                    <w:jc w:val="center"/>
                    <w:rPr>
                      <w:rFonts w:hint="eastAsia"/>
                      <w:kern w:val="0"/>
                      <w:szCs w:val="21"/>
                    </w:rPr>
                  </w:pPr>
                  <w:r>
                    <w:rPr>
                      <w:rFonts w:hint="eastAsia"/>
                      <w:kern w:val="0"/>
                      <w:szCs w:val="21"/>
                      <w:lang w:val="en-US" w:eastAsia="zh-CN"/>
                    </w:rPr>
                    <w:t>颗粒物</w:t>
                  </w:r>
                </w:p>
              </w:tc>
              <w:tc>
                <w:tcPr>
                  <w:tcW w:w="253" w:type="pct"/>
                  <w:tcMar>
                    <w:left w:w="0" w:type="dxa"/>
                    <w:right w:w="0" w:type="dxa"/>
                  </w:tcMar>
                  <w:vAlign w:val="center"/>
                </w:tcPr>
                <w:p w14:paraId="76D74DA9">
                  <w:pPr>
                    <w:widowControl/>
                    <w:jc w:val="center"/>
                    <w:textAlignment w:val="center"/>
                    <w:rPr>
                      <w:rFonts w:hint="default" w:eastAsia="宋体"/>
                      <w:kern w:val="0"/>
                      <w:szCs w:val="21"/>
                      <w:lang w:val="en-US" w:eastAsia="zh-CN" w:bidi="ar"/>
                    </w:rPr>
                  </w:pPr>
                  <w:r>
                    <w:rPr>
                      <w:rFonts w:hint="eastAsia"/>
                      <w:kern w:val="0"/>
                      <w:szCs w:val="21"/>
                      <w:lang w:val="en-US" w:eastAsia="zh-CN" w:bidi="ar"/>
                    </w:rPr>
                    <w:t>2.292</w:t>
                  </w:r>
                </w:p>
              </w:tc>
              <w:tc>
                <w:tcPr>
                  <w:tcW w:w="259" w:type="pct"/>
                  <w:tcMar>
                    <w:left w:w="0" w:type="dxa"/>
                    <w:right w:w="0" w:type="dxa"/>
                  </w:tcMar>
                  <w:vAlign w:val="center"/>
                </w:tcPr>
                <w:p w14:paraId="4EB8FE6E">
                  <w:pPr>
                    <w:widowControl/>
                    <w:jc w:val="center"/>
                    <w:textAlignment w:val="center"/>
                    <w:rPr>
                      <w:rFonts w:hint="default" w:eastAsia="宋体"/>
                      <w:kern w:val="0"/>
                      <w:szCs w:val="21"/>
                      <w:lang w:val="en-US" w:eastAsia="zh-CN" w:bidi="ar"/>
                    </w:rPr>
                  </w:pPr>
                  <w:r>
                    <w:rPr>
                      <w:rFonts w:hint="eastAsia"/>
                      <w:kern w:val="0"/>
                      <w:szCs w:val="21"/>
                      <w:lang w:val="en-US" w:eastAsia="zh-CN" w:bidi="ar"/>
                    </w:rPr>
                    <w:t>0.012</w:t>
                  </w:r>
                </w:p>
              </w:tc>
              <w:tc>
                <w:tcPr>
                  <w:tcW w:w="297" w:type="pct"/>
                  <w:tcMar>
                    <w:left w:w="0" w:type="dxa"/>
                    <w:right w:w="0" w:type="dxa"/>
                  </w:tcMar>
                  <w:vAlign w:val="center"/>
                </w:tcPr>
                <w:p w14:paraId="3D4223D8">
                  <w:pPr>
                    <w:widowControl/>
                    <w:jc w:val="center"/>
                    <w:textAlignment w:val="center"/>
                    <w:rPr>
                      <w:rFonts w:hint="default"/>
                      <w:kern w:val="0"/>
                      <w:szCs w:val="21"/>
                      <w:lang w:val="en-US" w:bidi="ar"/>
                    </w:rPr>
                  </w:pPr>
                  <w:r>
                    <w:rPr>
                      <w:rFonts w:hint="eastAsia"/>
                      <w:kern w:val="0"/>
                      <w:szCs w:val="21"/>
                      <w:lang w:val="en-US" w:eastAsia="zh-CN" w:bidi="ar"/>
                    </w:rPr>
                    <w:t>0.0825</w:t>
                  </w:r>
                </w:p>
              </w:tc>
              <w:tc>
                <w:tcPr>
                  <w:tcW w:w="279" w:type="pct"/>
                  <w:tcMar>
                    <w:left w:w="0" w:type="dxa"/>
                    <w:right w:w="0" w:type="dxa"/>
                  </w:tcMar>
                  <w:vAlign w:val="center"/>
                </w:tcPr>
                <w:p w14:paraId="176254B3">
                  <w:pPr>
                    <w:widowControl/>
                    <w:jc w:val="center"/>
                    <w:textAlignment w:val="center"/>
                    <w:rPr>
                      <w:rFonts w:hint="default" w:eastAsia="宋体"/>
                      <w:szCs w:val="21"/>
                      <w:lang w:val="en-US" w:eastAsia="zh-CN"/>
                    </w:rPr>
                  </w:pPr>
                  <w:r>
                    <w:rPr>
                      <w:rFonts w:hint="eastAsia"/>
                      <w:szCs w:val="21"/>
                      <w:lang w:val="en-US" w:eastAsia="zh-CN"/>
                    </w:rPr>
                    <w:t>10</w:t>
                  </w:r>
                </w:p>
              </w:tc>
              <w:tc>
                <w:tcPr>
                  <w:tcW w:w="221" w:type="pct"/>
                  <w:tcMar>
                    <w:left w:w="0" w:type="dxa"/>
                    <w:right w:w="0" w:type="dxa"/>
                  </w:tcMar>
                  <w:vAlign w:val="center"/>
                </w:tcPr>
                <w:p w14:paraId="1E61132E">
                  <w:pPr>
                    <w:widowControl/>
                    <w:jc w:val="center"/>
                    <w:textAlignment w:val="center"/>
                    <w:rPr>
                      <w:rFonts w:hint="default" w:eastAsia="宋体"/>
                      <w:kern w:val="0"/>
                      <w:szCs w:val="21"/>
                      <w:lang w:val="en-US" w:eastAsia="zh-CN" w:bidi="ar"/>
                    </w:rPr>
                  </w:pPr>
                  <w:r>
                    <w:rPr>
                      <w:rFonts w:hint="eastAsia"/>
                      <w:kern w:val="0"/>
                      <w:szCs w:val="21"/>
                      <w:lang w:val="en-US" w:eastAsia="zh-CN" w:bidi="ar"/>
                    </w:rPr>
                    <w:t>0.4</w:t>
                  </w:r>
                </w:p>
              </w:tc>
              <w:tc>
                <w:tcPr>
                  <w:tcW w:w="212" w:type="pct"/>
                  <w:tcMar>
                    <w:left w:w="0" w:type="dxa"/>
                    <w:right w:w="0" w:type="dxa"/>
                  </w:tcMar>
                  <w:vAlign w:val="center"/>
                </w:tcPr>
                <w:p w14:paraId="094E0C27">
                  <w:pPr>
                    <w:tabs>
                      <w:tab w:val="left" w:pos="1418"/>
                    </w:tabs>
                    <w:jc w:val="center"/>
                    <w:rPr>
                      <w:rFonts w:hint="default" w:eastAsia="宋体"/>
                      <w:szCs w:val="21"/>
                      <w:lang w:val="en-US" w:eastAsia="zh-CN"/>
                    </w:rPr>
                  </w:pPr>
                  <w:r>
                    <w:rPr>
                      <w:rFonts w:hint="eastAsia"/>
                      <w:szCs w:val="21"/>
                      <w:lang w:val="en-US" w:eastAsia="zh-CN"/>
                    </w:rPr>
                    <w:t>15</w:t>
                  </w:r>
                </w:p>
              </w:tc>
              <w:tc>
                <w:tcPr>
                  <w:tcW w:w="212" w:type="pct"/>
                  <w:tcMar>
                    <w:left w:w="0" w:type="dxa"/>
                    <w:right w:w="0" w:type="dxa"/>
                  </w:tcMar>
                  <w:vAlign w:val="center"/>
                </w:tcPr>
                <w:p w14:paraId="6820224D">
                  <w:pPr>
                    <w:widowControl/>
                    <w:jc w:val="center"/>
                    <w:textAlignment w:val="center"/>
                    <w:rPr>
                      <w:rFonts w:hint="default" w:eastAsia="宋体"/>
                      <w:kern w:val="0"/>
                      <w:szCs w:val="21"/>
                      <w:lang w:val="en-US" w:eastAsia="zh-CN" w:bidi="ar"/>
                    </w:rPr>
                  </w:pPr>
                  <w:r>
                    <w:rPr>
                      <w:rFonts w:hint="eastAsia"/>
                      <w:kern w:val="0"/>
                      <w:szCs w:val="21"/>
                      <w:lang w:val="en-US" w:eastAsia="zh-CN" w:bidi="ar"/>
                    </w:rPr>
                    <w:t>0.25</w:t>
                  </w:r>
                </w:p>
              </w:tc>
              <w:tc>
                <w:tcPr>
                  <w:tcW w:w="224" w:type="pct"/>
                  <w:tcMar>
                    <w:left w:w="0" w:type="dxa"/>
                    <w:right w:w="0" w:type="dxa"/>
                  </w:tcMar>
                  <w:vAlign w:val="center"/>
                </w:tcPr>
                <w:p w14:paraId="2569E9F2">
                  <w:pPr>
                    <w:jc w:val="center"/>
                    <w:rPr>
                      <w:rFonts w:hint="default" w:eastAsia="宋体"/>
                      <w:kern w:val="0"/>
                      <w:szCs w:val="21"/>
                      <w:lang w:val="en-US" w:eastAsia="zh-CN"/>
                    </w:rPr>
                  </w:pPr>
                  <w:r>
                    <w:rPr>
                      <w:rFonts w:hint="eastAsia"/>
                      <w:kern w:val="0"/>
                      <w:szCs w:val="21"/>
                      <w:lang w:val="en-US" w:eastAsia="zh-CN"/>
                    </w:rPr>
                    <w:t>25</w:t>
                  </w:r>
                </w:p>
              </w:tc>
              <w:tc>
                <w:tcPr>
                  <w:tcW w:w="227" w:type="pct"/>
                  <w:vMerge w:val="restart"/>
                  <w:shd w:val="clear" w:color="auto" w:fill="auto"/>
                  <w:vAlign w:val="center"/>
                </w:tcPr>
                <w:p w14:paraId="316F1FB5">
                  <w:pPr>
                    <w:jc w:val="center"/>
                    <w:rPr>
                      <w:kern w:val="0"/>
                      <w:szCs w:val="21"/>
                    </w:rPr>
                  </w:pPr>
                  <w:r>
                    <w:rPr>
                      <w:rFonts w:hint="eastAsia"/>
                      <w:kern w:val="0"/>
                      <w:szCs w:val="21"/>
                      <w:lang w:val="en-US" w:eastAsia="zh-CN"/>
                    </w:rPr>
                    <w:t>72</w:t>
                  </w:r>
                  <w:r>
                    <w:rPr>
                      <w:kern w:val="0"/>
                      <w:szCs w:val="21"/>
                    </w:rPr>
                    <w:t>00h</w:t>
                  </w:r>
                </w:p>
              </w:tc>
            </w:tr>
            <w:tr w14:paraId="29AA5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135" w:type="pct"/>
                  <w:vMerge w:val="continue"/>
                  <w:vAlign w:val="center"/>
                </w:tcPr>
                <w:p w14:paraId="2EFDD37D">
                  <w:pPr>
                    <w:widowControl/>
                    <w:jc w:val="center"/>
                    <w:rPr>
                      <w:kern w:val="0"/>
                      <w:szCs w:val="21"/>
                    </w:rPr>
                  </w:pPr>
                </w:p>
              </w:tc>
              <w:tc>
                <w:tcPr>
                  <w:tcW w:w="397" w:type="pct"/>
                  <w:vMerge w:val="continue"/>
                  <w:tcMar>
                    <w:left w:w="0" w:type="dxa"/>
                    <w:right w:w="0" w:type="dxa"/>
                  </w:tcMar>
                  <w:vAlign w:val="center"/>
                </w:tcPr>
                <w:p w14:paraId="5AA71DAD">
                  <w:pPr>
                    <w:widowControl/>
                    <w:jc w:val="center"/>
                    <w:rPr>
                      <w:szCs w:val="21"/>
                    </w:rPr>
                  </w:pPr>
                </w:p>
              </w:tc>
              <w:tc>
                <w:tcPr>
                  <w:tcW w:w="274" w:type="pct"/>
                  <w:vMerge w:val="continue"/>
                  <w:tcMar>
                    <w:left w:w="0" w:type="dxa"/>
                    <w:right w:w="0" w:type="dxa"/>
                  </w:tcMar>
                  <w:vAlign w:val="center"/>
                </w:tcPr>
                <w:p w14:paraId="582A69B0">
                  <w:pPr>
                    <w:widowControl/>
                    <w:jc w:val="center"/>
                    <w:textAlignment w:val="center"/>
                    <w:rPr>
                      <w:kern w:val="0"/>
                      <w:szCs w:val="21"/>
                      <w:lang w:bidi="ar"/>
                    </w:rPr>
                  </w:pPr>
                </w:p>
              </w:tc>
              <w:tc>
                <w:tcPr>
                  <w:tcW w:w="320" w:type="pct"/>
                  <w:tcMar>
                    <w:left w:w="0" w:type="dxa"/>
                    <w:right w:w="0" w:type="dxa"/>
                  </w:tcMar>
                  <w:vAlign w:val="center"/>
                </w:tcPr>
                <w:p w14:paraId="6E2557BB">
                  <w:pPr>
                    <w:widowControl/>
                    <w:jc w:val="center"/>
                    <w:rPr>
                      <w:rFonts w:hint="default" w:eastAsia="宋体"/>
                      <w:kern w:val="0"/>
                      <w:szCs w:val="21"/>
                      <w:lang w:val="en-US" w:eastAsia="zh-CN"/>
                    </w:rPr>
                  </w:pPr>
                  <w:r>
                    <w:rPr>
                      <w:rFonts w:hint="eastAsia"/>
                      <w:kern w:val="0"/>
                      <w:szCs w:val="21"/>
                      <w:lang w:val="en-US" w:eastAsia="zh-CN"/>
                    </w:rPr>
                    <w:t>挥发性有机物</w:t>
                  </w:r>
                </w:p>
              </w:tc>
              <w:tc>
                <w:tcPr>
                  <w:tcW w:w="317" w:type="pct"/>
                  <w:tcMar>
                    <w:left w:w="0" w:type="dxa"/>
                    <w:right w:w="0" w:type="dxa"/>
                  </w:tcMar>
                  <w:vAlign w:val="center"/>
                </w:tcPr>
                <w:p w14:paraId="29A39620">
                  <w:pPr>
                    <w:widowControl/>
                    <w:jc w:val="center"/>
                    <w:textAlignment w:val="center"/>
                    <w:rPr>
                      <w:rFonts w:hint="default" w:eastAsia="宋体"/>
                      <w:kern w:val="0"/>
                      <w:szCs w:val="21"/>
                      <w:lang w:val="en-US" w:eastAsia="zh-CN" w:bidi="ar"/>
                    </w:rPr>
                  </w:pPr>
                  <w:r>
                    <w:rPr>
                      <w:rFonts w:hint="eastAsia"/>
                      <w:kern w:val="0"/>
                      <w:szCs w:val="21"/>
                      <w:lang w:val="en-US" w:eastAsia="zh-CN" w:bidi="ar"/>
                    </w:rPr>
                    <w:t>9.125</w:t>
                  </w:r>
                </w:p>
              </w:tc>
              <w:tc>
                <w:tcPr>
                  <w:tcW w:w="296" w:type="pct"/>
                  <w:tcMar>
                    <w:left w:w="0" w:type="dxa"/>
                    <w:right w:w="0" w:type="dxa"/>
                  </w:tcMar>
                  <w:vAlign w:val="center"/>
                </w:tcPr>
                <w:p w14:paraId="03C30067">
                  <w:pPr>
                    <w:widowControl/>
                    <w:jc w:val="center"/>
                    <w:textAlignment w:val="center"/>
                    <w:rPr>
                      <w:rFonts w:hint="default" w:eastAsia="宋体"/>
                      <w:kern w:val="0"/>
                      <w:szCs w:val="21"/>
                      <w:lang w:val="en-US" w:eastAsia="zh-CN" w:bidi="ar"/>
                    </w:rPr>
                  </w:pPr>
                  <w:r>
                    <w:rPr>
                      <w:rFonts w:hint="eastAsia"/>
                      <w:kern w:val="0"/>
                      <w:szCs w:val="21"/>
                      <w:lang w:val="en-US" w:eastAsia="zh-CN" w:bidi="ar"/>
                    </w:rPr>
                    <w:t>0.091</w:t>
                  </w:r>
                </w:p>
              </w:tc>
              <w:tc>
                <w:tcPr>
                  <w:tcW w:w="263" w:type="pct"/>
                  <w:tcMar>
                    <w:left w:w="0" w:type="dxa"/>
                    <w:right w:w="0" w:type="dxa"/>
                  </w:tcMar>
                  <w:vAlign w:val="center"/>
                </w:tcPr>
                <w:p w14:paraId="6AF31A6D">
                  <w:pPr>
                    <w:widowControl/>
                    <w:jc w:val="center"/>
                    <w:textAlignment w:val="center"/>
                    <w:rPr>
                      <w:rFonts w:hint="default" w:eastAsia="宋体"/>
                      <w:kern w:val="0"/>
                      <w:szCs w:val="21"/>
                      <w:lang w:val="en-US" w:eastAsia="zh-CN" w:bidi="ar"/>
                    </w:rPr>
                  </w:pPr>
                  <w:r>
                    <w:rPr>
                      <w:rFonts w:hint="eastAsia"/>
                      <w:kern w:val="0"/>
                      <w:szCs w:val="21"/>
                      <w:lang w:val="en-US" w:eastAsia="zh-CN" w:bidi="ar"/>
                    </w:rPr>
                    <w:t>0.657</w:t>
                  </w:r>
                </w:p>
              </w:tc>
              <w:tc>
                <w:tcPr>
                  <w:tcW w:w="322" w:type="pct"/>
                  <w:vMerge w:val="restart"/>
                  <w:tcMar>
                    <w:left w:w="0" w:type="dxa"/>
                    <w:right w:w="0" w:type="dxa"/>
                  </w:tcMar>
                  <w:vAlign w:val="center"/>
                </w:tcPr>
                <w:p w14:paraId="0B49AB7B">
                  <w:pPr>
                    <w:widowControl/>
                    <w:jc w:val="center"/>
                    <w:textAlignment w:val="center"/>
                    <w:rPr>
                      <w:kern w:val="0"/>
                      <w:szCs w:val="21"/>
                      <w:lang w:bidi="ar"/>
                    </w:rPr>
                  </w:pPr>
                  <w:r>
                    <w:rPr>
                      <w:rFonts w:hint="eastAsia"/>
                      <w:kern w:val="0"/>
                      <w:szCs w:val="21"/>
                      <w:lang w:val="en-US" w:eastAsia="zh-CN" w:bidi="ar"/>
                    </w:rPr>
                    <w:t>除水器+</w:t>
                  </w:r>
                  <w:r>
                    <w:rPr>
                      <w:rFonts w:hint="eastAsia"/>
                      <w:kern w:val="0"/>
                      <w:szCs w:val="21"/>
                      <w:lang w:bidi="ar"/>
                    </w:rPr>
                    <w:t>二级活性炭吸附装置</w:t>
                  </w:r>
                </w:p>
              </w:tc>
              <w:tc>
                <w:tcPr>
                  <w:tcW w:w="199" w:type="pct"/>
                  <w:vMerge w:val="restart"/>
                  <w:tcMar>
                    <w:left w:w="0" w:type="dxa"/>
                    <w:right w:w="0" w:type="dxa"/>
                  </w:tcMar>
                  <w:vAlign w:val="center"/>
                </w:tcPr>
                <w:p w14:paraId="2444461B">
                  <w:pPr>
                    <w:widowControl/>
                    <w:jc w:val="center"/>
                    <w:textAlignment w:val="center"/>
                    <w:rPr>
                      <w:szCs w:val="21"/>
                    </w:rPr>
                  </w:pPr>
                  <w:r>
                    <w:rPr>
                      <w:rFonts w:hint="eastAsia"/>
                      <w:kern w:val="0"/>
                      <w:szCs w:val="21"/>
                      <w:lang w:bidi="ar"/>
                    </w:rPr>
                    <w:t>90</w:t>
                  </w:r>
                </w:p>
              </w:tc>
              <w:tc>
                <w:tcPr>
                  <w:tcW w:w="284" w:type="pct"/>
                  <w:shd w:val="clear" w:color="auto" w:fill="auto"/>
                  <w:tcMar>
                    <w:left w:w="0" w:type="dxa"/>
                    <w:right w:w="0" w:type="dxa"/>
                  </w:tcMar>
                  <w:vAlign w:val="center"/>
                </w:tcPr>
                <w:p w14:paraId="6A424B07">
                  <w:pPr>
                    <w:widowControl/>
                    <w:jc w:val="center"/>
                    <w:rPr>
                      <w:rFonts w:ascii="Times New Roman" w:hAnsi="Times New Roman" w:eastAsia="宋体" w:cs="Times New Roman"/>
                      <w:kern w:val="0"/>
                      <w:sz w:val="21"/>
                      <w:szCs w:val="21"/>
                      <w:lang w:val="en-US" w:eastAsia="zh-CN" w:bidi="ar-SA"/>
                    </w:rPr>
                  </w:pPr>
                  <w:r>
                    <w:rPr>
                      <w:rFonts w:hint="eastAsia"/>
                      <w:kern w:val="0"/>
                      <w:szCs w:val="21"/>
                      <w:lang w:val="en-US" w:eastAsia="zh-CN"/>
                    </w:rPr>
                    <w:t>挥发性有机物</w:t>
                  </w:r>
                </w:p>
              </w:tc>
              <w:tc>
                <w:tcPr>
                  <w:tcW w:w="253" w:type="pct"/>
                  <w:shd w:val="clear" w:color="auto" w:fill="auto"/>
                  <w:tcMar>
                    <w:left w:w="0" w:type="dxa"/>
                    <w:right w:w="0" w:type="dxa"/>
                  </w:tcMar>
                  <w:vAlign w:val="center"/>
                </w:tcPr>
                <w:p w14:paraId="0C4547DA">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Cs w:val="21"/>
                      <w:lang w:val="en-US" w:eastAsia="zh-CN" w:bidi="ar"/>
                    </w:rPr>
                    <w:t>0.912</w:t>
                  </w:r>
                </w:p>
              </w:tc>
              <w:tc>
                <w:tcPr>
                  <w:tcW w:w="259" w:type="pct"/>
                  <w:shd w:val="clear" w:color="auto" w:fill="auto"/>
                  <w:tcMar>
                    <w:left w:w="0" w:type="dxa"/>
                    <w:right w:w="0" w:type="dxa"/>
                  </w:tcMar>
                  <w:vAlign w:val="center"/>
                </w:tcPr>
                <w:p w14:paraId="58E236C8">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Cs w:val="21"/>
                      <w:lang w:val="en-US" w:eastAsia="zh-CN" w:bidi="ar"/>
                    </w:rPr>
                    <w:t>0.009</w:t>
                  </w:r>
                </w:p>
              </w:tc>
              <w:tc>
                <w:tcPr>
                  <w:tcW w:w="297" w:type="pct"/>
                  <w:shd w:val="clear" w:color="auto" w:fill="auto"/>
                  <w:tcMar>
                    <w:left w:w="0" w:type="dxa"/>
                    <w:right w:w="0" w:type="dxa"/>
                  </w:tcMar>
                  <w:vAlign w:val="center"/>
                </w:tcPr>
                <w:p w14:paraId="795C8685">
                  <w:pPr>
                    <w:widowControl/>
                    <w:jc w:val="center"/>
                    <w:textAlignment w:val="center"/>
                    <w:rPr>
                      <w:rFonts w:hint="default" w:ascii="Times New Roman" w:hAnsi="Times New Roman" w:eastAsia="宋体" w:cs="Times New Roman"/>
                      <w:kern w:val="0"/>
                      <w:sz w:val="21"/>
                      <w:szCs w:val="21"/>
                      <w:lang w:val="en-US" w:eastAsia="zh-CN" w:bidi="ar"/>
                    </w:rPr>
                  </w:pPr>
                  <w:r>
                    <w:rPr>
                      <w:kern w:val="0"/>
                      <w:szCs w:val="21"/>
                      <w:lang w:bidi="ar"/>
                    </w:rPr>
                    <w:t>0.</w:t>
                  </w:r>
                  <w:r>
                    <w:rPr>
                      <w:rFonts w:hint="eastAsia"/>
                      <w:kern w:val="0"/>
                      <w:szCs w:val="21"/>
                      <w:lang w:val="en-US" w:eastAsia="zh-CN" w:bidi="ar"/>
                    </w:rPr>
                    <w:t>066</w:t>
                  </w:r>
                </w:p>
              </w:tc>
              <w:tc>
                <w:tcPr>
                  <w:tcW w:w="279" w:type="pct"/>
                  <w:shd w:val="clear" w:color="auto" w:fill="auto"/>
                  <w:tcMar>
                    <w:left w:w="0" w:type="dxa"/>
                    <w:right w:w="0" w:type="dxa"/>
                  </w:tcMar>
                  <w:vAlign w:val="center"/>
                </w:tcPr>
                <w:p w14:paraId="6DA1A3C9">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80</w:t>
                  </w:r>
                </w:p>
              </w:tc>
              <w:tc>
                <w:tcPr>
                  <w:tcW w:w="221" w:type="pct"/>
                  <w:shd w:val="clear" w:color="auto" w:fill="auto"/>
                  <w:tcMar>
                    <w:left w:w="0" w:type="dxa"/>
                    <w:right w:w="0" w:type="dxa"/>
                  </w:tcMar>
                  <w:vAlign w:val="center"/>
                </w:tcPr>
                <w:p w14:paraId="6D153F71">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3.2</w:t>
                  </w:r>
                </w:p>
              </w:tc>
              <w:tc>
                <w:tcPr>
                  <w:tcW w:w="212" w:type="pct"/>
                  <w:vMerge w:val="restart"/>
                  <w:tcMar>
                    <w:left w:w="0" w:type="dxa"/>
                    <w:right w:w="0" w:type="dxa"/>
                  </w:tcMar>
                  <w:vAlign w:val="center"/>
                </w:tcPr>
                <w:p w14:paraId="632FC1C4">
                  <w:pPr>
                    <w:tabs>
                      <w:tab w:val="left" w:pos="1418"/>
                    </w:tabs>
                    <w:jc w:val="center"/>
                    <w:rPr>
                      <w:szCs w:val="21"/>
                    </w:rPr>
                  </w:pPr>
                  <w:r>
                    <w:rPr>
                      <w:szCs w:val="21"/>
                    </w:rPr>
                    <w:t>15</w:t>
                  </w:r>
                </w:p>
              </w:tc>
              <w:tc>
                <w:tcPr>
                  <w:tcW w:w="212" w:type="pct"/>
                  <w:vMerge w:val="restart"/>
                  <w:tcMar>
                    <w:left w:w="0" w:type="dxa"/>
                    <w:right w:w="0" w:type="dxa"/>
                  </w:tcMar>
                  <w:vAlign w:val="center"/>
                </w:tcPr>
                <w:p w14:paraId="3A2975D0">
                  <w:pPr>
                    <w:widowControl/>
                    <w:jc w:val="center"/>
                    <w:textAlignment w:val="center"/>
                    <w:rPr>
                      <w:kern w:val="0"/>
                      <w:szCs w:val="21"/>
                      <w:lang w:bidi="ar"/>
                    </w:rPr>
                  </w:pPr>
                  <w:r>
                    <w:rPr>
                      <w:kern w:val="0"/>
                      <w:szCs w:val="21"/>
                      <w:lang w:bidi="ar"/>
                    </w:rPr>
                    <w:t>0.</w:t>
                  </w:r>
                  <w:r>
                    <w:rPr>
                      <w:rFonts w:hint="eastAsia"/>
                      <w:kern w:val="0"/>
                      <w:szCs w:val="21"/>
                      <w:lang w:bidi="ar"/>
                    </w:rPr>
                    <w:t>5</w:t>
                  </w:r>
                </w:p>
              </w:tc>
              <w:tc>
                <w:tcPr>
                  <w:tcW w:w="224" w:type="pct"/>
                  <w:vMerge w:val="restart"/>
                  <w:tcMar>
                    <w:left w:w="0" w:type="dxa"/>
                    <w:right w:w="0" w:type="dxa"/>
                  </w:tcMar>
                  <w:vAlign w:val="center"/>
                </w:tcPr>
                <w:p w14:paraId="63997ED5">
                  <w:pPr>
                    <w:jc w:val="center"/>
                    <w:rPr>
                      <w:kern w:val="0"/>
                      <w:szCs w:val="21"/>
                    </w:rPr>
                  </w:pPr>
                  <w:r>
                    <w:rPr>
                      <w:kern w:val="0"/>
                      <w:szCs w:val="21"/>
                    </w:rPr>
                    <w:t>25</w:t>
                  </w:r>
                </w:p>
              </w:tc>
              <w:tc>
                <w:tcPr>
                  <w:tcW w:w="227" w:type="pct"/>
                  <w:vMerge w:val="continue"/>
                  <w:vAlign w:val="center"/>
                </w:tcPr>
                <w:p w14:paraId="12A39C28">
                  <w:pPr>
                    <w:jc w:val="center"/>
                    <w:rPr>
                      <w:kern w:val="0"/>
                      <w:szCs w:val="21"/>
                    </w:rPr>
                  </w:pPr>
                </w:p>
              </w:tc>
            </w:tr>
            <w:tr w14:paraId="24668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5" w:type="pct"/>
                  <w:vMerge w:val="continue"/>
                  <w:vAlign w:val="center"/>
                </w:tcPr>
                <w:p w14:paraId="687990EF">
                  <w:pPr>
                    <w:widowControl/>
                    <w:jc w:val="center"/>
                    <w:rPr>
                      <w:kern w:val="0"/>
                      <w:szCs w:val="21"/>
                    </w:rPr>
                  </w:pPr>
                </w:p>
              </w:tc>
              <w:tc>
                <w:tcPr>
                  <w:tcW w:w="397" w:type="pct"/>
                  <w:vMerge w:val="continue"/>
                  <w:tcMar>
                    <w:left w:w="0" w:type="dxa"/>
                    <w:right w:w="0" w:type="dxa"/>
                  </w:tcMar>
                  <w:vAlign w:val="center"/>
                </w:tcPr>
                <w:p w14:paraId="70008E97">
                  <w:pPr>
                    <w:widowControl/>
                    <w:jc w:val="center"/>
                    <w:rPr>
                      <w:szCs w:val="21"/>
                    </w:rPr>
                  </w:pPr>
                </w:p>
              </w:tc>
              <w:tc>
                <w:tcPr>
                  <w:tcW w:w="274" w:type="pct"/>
                  <w:vMerge w:val="continue"/>
                  <w:tcMar>
                    <w:left w:w="0" w:type="dxa"/>
                    <w:right w:w="0" w:type="dxa"/>
                  </w:tcMar>
                  <w:vAlign w:val="center"/>
                </w:tcPr>
                <w:p w14:paraId="43211561">
                  <w:pPr>
                    <w:widowControl/>
                    <w:jc w:val="center"/>
                    <w:textAlignment w:val="center"/>
                    <w:rPr>
                      <w:kern w:val="0"/>
                      <w:szCs w:val="21"/>
                      <w:lang w:bidi="ar"/>
                    </w:rPr>
                  </w:pPr>
                </w:p>
              </w:tc>
              <w:tc>
                <w:tcPr>
                  <w:tcW w:w="320" w:type="pct"/>
                  <w:tcMar>
                    <w:left w:w="0" w:type="dxa"/>
                    <w:right w:w="0" w:type="dxa"/>
                  </w:tcMar>
                  <w:vAlign w:val="center"/>
                </w:tcPr>
                <w:p w14:paraId="7446C795">
                  <w:pPr>
                    <w:widowControl/>
                    <w:jc w:val="center"/>
                    <w:rPr>
                      <w:rFonts w:hint="default"/>
                      <w:kern w:val="0"/>
                      <w:szCs w:val="21"/>
                      <w:lang w:val="en-US" w:eastAsia="zh-CN"/>
                    </w:rPr>
                  </w:pPr>
                  <w:r>
                    <w:rPr>
                      <w:rFonts w:hint="eastAsia"/>
                      <w:kern w:val="0"/>
                      <w:szCs w:val="21"/>
                      <w:lang w:val="en-US" w:eastAsia="zh-CN"/>
                    </w:rPr>
                    <w:t>非甲烷总烃*</w:t>
                  </w:r>
                </w:p>
              </w:tc>
              <w:tc>
                <w:tcPr>
                  <w:tcW w:w="317" w:type="pct"/>
                  <w:tcMar>
                    <w:left w:w="0" w:type="dxa"/>
                    <w:right w:w="0" w:type="dxa"/>
                  </w:tcMar>
                  <w:vAlign w:val="center"/>
                </w:tcPr>
                <w:p w14:paraId="19CA8831">
                  <w:pPr>
                    <w:widowControl/>
                    <w:jc w:val="center"/>
                    <w:textAlignment w:val="center"/>
                    <w:rPr>
                      <w:rFonts w:hint="default"/>
                      <w:kern w:val="0"/>
                      <w:szCs w:val="21"/>
                      <w:lang w:val="en-US" w:eastAsia="zh-CN" w:bidi="ar"/>
                    </w:rPr>
                  </w:pPr>
                  <w:r>
                    <w:rPr>
                      <w:rFonts w:hint="default"/>
                      <w:kern w:val="0"/>
                      <w:szCs w:val="21"/>
                      <w:lang w:val="en-US" w:eastAsia="zh-CN" w:bidi="ar"/>
                    </w:rPr>
                    <w:t>7.237</w:t>
                  </w:r>
                </w:p>
              </w:tc>
              <w:tc>
                <w:tcPr>
                  <w:tcW w:w="296" w:type="pct"/>
                  <w:tcMar>
                    <w:left w:w="0" w:type="dxa"/>
                    <w:right w:w="0" w:type="dxa"/>
                  </w:tcMar>
                  <w:vAlign w:val="center"/>
                </w:tcPr>
                <w:p w14:paraId="41913D5C">
                  <w:pPr>
                    <w:widowControl/>
                    <w:jc w:val="center"/>
                    <w:textAlignment w:val="center"/>
                    <w:rPr>
                      <w:rFonts w:hint="default"/>
                      <w:kern w:val="0"/>
                      <w:szCs w:val="21"/>
                      <w:lang w:val="en-US" w:eastAsia="zh-CN" w:bidi="ar"/>
                    </w:rPr>
                  </w:pPr>
                  <w:r>
                    <w:rPr>
                      <w:rFonts w:hint="eastAsia"/>
                      <w:kern w:val="0"/>
                      <w:szCs w:val="21"/>
                      <w:lang w:val="en-US" w:eastAsia="zh-CN" w:bidi="ar"/>
                    </w:rPr>
                    <w:t>0.072</w:t>
                  </w:r>
                </w:p>
              </w:tc>
              <w:tc>
                <w:tcPr>
                  <w:tcW w:w="263" w:type="pct"/>
                  <w:tcMar>
                    <w:left w:w="0" w:type="dxa"/>
                    <w:right w:w="0" w:type="dxa"/>
                  </w:tcMar>
                  <w:vAlign w:val="center"/>
                </w:tcPr>
                <w:p w14:paraId="3E4E5702">
                  <w:pPr>
                    <w:widowControl/>
                    <w:jc w:val="center"/>
                    <w:textAlignment w:val="center"/>
                    <w:rPr>
                      <w:rFonts w:hint="default"/>
                      <w:kern w:val="0"/>
                      <w:szCs w:val="21"/>
                      <w:lang w:val="en-US" w:eastAsia="zh-CN" w:bidi="ar"/>
                    </w:rPr>
                  </w:pPr>
                  <w:r>
                    <w:rPr>
                      <w:rFonts w:hint="eastAsia"/>
                      <w:kern w:val="0"/>
                      <w:szCs w:val="21"/>
                      <w:lang w:val="en-US" w:eastAsia="zh-CN" w:bidi="ar"/>
                    </w:rPr>
                    <w:t>0.521</w:t>
                  </w:r>
                </w:p>
              </w:tc>
              <w:tc>
                <w:tcPr>
                  <w:tcW w:w="322" w:type="pct"/>
                  <w:vMerge w:val="continue"/>
                  <w:tcMar>
                    <w:left w:w="0" w:type="dxa"/>
                    <w:right w:w="0" w:type="dxa"/>
                  </w:tcMar>
                  <w:vAlign w:val="center"/>
                </w:tcPr>
                <w:p w14:paraId="0A004B68">
                  <w:pPr>
                    <w:widowControl/>
                    <w:jc w:val="center"/>
                    <w:textAlignment w:val="center"/>
                    <w:rPr>
                      <w:rFonts w:hint="eastAsia"/>
                      <w:kern w:val="0"/>
                      <w:szCs w:val="21"/>
                      <w:lang w:val="en-US" w:eastAsia="zh-CN" w:bidi="ar"/>
                    </w:rPr>
                  </w:pPr>
                </w:p>
              </w:tc>
              <w:tc>
                <w:tcPr>
                  <w:tcW w:w="199" w:type="pct"/>
                  <w:vMerge w:val="continue"/>
                  <w:tcMar>
                    <w:left w:w="0" w:type="dxa"/>
                    <w:right w:w="0" w:type="dxa"/>
                  </w:tcMar>
                  <w:vAlign w:val="center"/>
                </w:tcPr>
                <w:p w14:paraId="2909FD58">
                  <w:pPr>
                    <w:widowControl/>
                    <w:jc w:val="center"/>
                    <w:textAlignment w:val="center"/>
                    <w:rPr>
                      <w:rFonts w:hint="eastAsia"/>
                      <w:kern w:val="0"/>
                      <w:szCs w:val="21"/>
                      <w:lang w:bidi="ar"/>
                    </w:rPr>
                  </w:pPr>
                </w:p>
              </w:tc>
              <w:tc>
                <w:tcPr>
                  <w:tcW w:w="284" w:type="pct"/>
                  <w:shd w:val="clear" w:color="auto" w:fill="auto"/>
                  <w:tcMar>
                    <w:left w:w="0" w:type="dxa"/>
                    <w:right w:w="0" w:type="dxa"/>
                  </w:tcMar>
                  <w:vAlign w:val="center"/>
                </w:tcPr>
                <w:p w14:paraId="6F8DDBFF">
                  <w:pPr>
                    <w:widowControl/>
                    <w:jc w:val="center"/>
                    <w:rPr>
                      <w:rFonts w:hint="default"/>
                      <w:kern w:val="0"/>
                      <w:szCs w:val="21"/>
                      <w:lang w:val="en-US" w:eastAsia="zh-CN"/>
                    </w:rPr>
                  </w:pPr>
                  <w:r>
                    <w:rPr>
                      <w:rFonts w:hint="eastAsia"/>
                      <w:kern w:val="0"/>
                      <w:szCs w:val="21"/>
                      <w:lang w:val="en-US" w:eastAsia="zh-CN"/>
                    </w:rPr>
                    <w:t>非甲烷总烃*</w:t>
                  </w:r>
                </w:p>
              </w:tc>
              <w:tc>
                <w:tcPr>
                  <w:tcW w:w="253" w:type="pct"/>
                  <w:shd w:val="clear" w:color="auto" w:fill="auto"/>
                  <w:tcMar>
                    <w:left w:w="0" w:type="dxa"/>
                    <w:right w:w="0" w:type="dxa"/>
                  </w:tcMar>
                  <w:vAlign w:val="center"/>
                </w:tcPr>
                <w:p w14:paraId="028CD7FA">
                  <w:pPr>
                    <w:widowControl/>
                    <w:jc w:val="center"/>
                    <w:textAlignment w:val="center"/>
                    <w:rPr>
                      <w:rFonts w:hint="default"/>
                      <w:kern w:val="0"/>
                      <w:szCs w:val="21"/>
                      <w:lang w:val="en-US" w:eastAsia="zh-CN" w:bidi="ar"/>
                    </w:rPr>
                  </w:pPr>
                  <w:r>
                    <w:rPr>
                      <w:rFonts w:hint="eastAsia"/>
                      <w:kern w:val="0"/>
                      <w:szCs w:val="21"/>
                      <w:lang w:val="en-US" w:eastAsia="zh-CN" w:bidi="ar"/>
                    </w:rPr>
                    <w:t>0.723</w:t>
                  </w:r>
                </w:p>
              </w:tc>
              <w:tc>
                <w:tcPr>
                  <w:tcW w:w="259" w:type="pct"/>
                  <w:shd w:val="clear" w:color="auto" w:fill="auto"/>
                  <w:tcMar>
                    <w:left w:w="0" w:type="dxa"/>
                    <w:right w:w="0" w:type="dxa"/>
                  </w:tcMar>
                  <w:vAlign w:val="center"/>
                </w:tcPr>
                <w:p w14:paraId="6AEB6ED4">
                  <w:pPr>
                    <w:widowControl/>
                    <w:jc w:val="center"/>
                    <w:textAlignment w:val="center"/>
                    <w:rPr>
                      <w:rFonts w:hint="default"/>
                      <w:kern w:val="0"/>
                      <w:szCs w:val="21"/>
                      <w:lang w:val="en-US" w:eastAsia="zh-CN" w:bidi="ar"/>
                    </w:rPr>
                  </w:pPr>
                  <w:r>
                    <w:rPr>
                      <w:rFonts w:hint="eastAsia"/>
                      <w:kern w:val="0"/>
                      <w:szCs w:val="21"/>
                      <w:lang w:val="en-US" w:eastAsia="zh-CN" w:bidi="ar"/>
                    </w:rPr>
                    <w:t>0.007</w:t>
                  </w:r>
                </w:p>
              </w:tc>
              <w:tc>
                <w:tcPr>
                  <w:tcW w:w="297" w:type="pct"/>
                  <w:shd w:val="clear" w:color="auto" w:fill="auto"/>
                  <w:tcMar>
                    <w:left w:w="0" w:type="dxa"/>
                    <w:right w:w="0" w:type="dxa"/>
                  </w:tcMar>
                  <w:vAlign w:val="center"/>
                </w:tcPr>
                <w:p w14:paraId="01AE2F1E">
                  <w:pPr>
                    <w:widowControl/>
                    <w:jc w:val="center"/>
                    <w:textAlignment w:val="center"/>
                    <w:rPr>
                      <w:rFonts w:hint="default" w:eastAsia="宋体"/>
                      <w:kern w:val="0"/>
                      <w:szCs w:val="21"/>
                      <w:lang w:val="en-US" w:eastAsia="zh-CN" w:bidi="ar"/>
                    </w:rPr>
                  </w:pPr>
                  <w:r>
                    <w:rPr>
                      <w:rFonts w:hint="eastAsia"/>
                      <w:kern w:val="0"/>
                      <w:szCs w:val="21"/>
                      <w:lang w:val="en-US" w:eastAsia="zh-CN" w:bidi="ar"/>
                    </w:rPr>
                    <w:t>0.052</w:t>
                  </w:r>
                </w:p>
              </w:tc>
              <w:tc>
                <w:tcPr>
                  <w:tcW w:w="279" w:type="pct"/>
                  <w:shd w:val="clear" w:color="auto" w:fill="auto"/>
                  <w:tcMar>
                    <w:left w:w="0" w:type="dxa"/>
                    <w:right w:w="0" w:type="dxa"/>
                  </w:tcMar>
                  <w:vAlign w:val="center"/>
                </w:tcPr>
                <w:p w14:paraId="0235A4C5">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szCs w:val="21"/>
                    </w:rPr>
                    <w:t>50</w:t>
                  </w:r>
                </w:p>
              </w:tc>
              <w:tc>
                <w:tcPr>
                  <w:tcW w:w="221" w:type="pct"/>
                  <w:shd w:val="clear" w:color="auto" w:fill="auto"/>
                  <w:tcMar>
                    <w:left w:w="0" w:type="dxa"/>
                    <w:right w:w="0" w:type="dxa"/>
                  </w:tcMar>
                  <w:vAlign w:val="center"/>
                </w:tcPr>
                <w:p w14:paraId="0CFAD4F8">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kern w:val="0"/>
                      <w:szCs w:val="21"/>
                      <w:lang w:bidi="ar"/>
                    </w:rPr>
                    <w:t>2.0</w:t>
                  </w:r>
                </w:p>
              </w:tc>
              <w:tc>
                <w:tcPr>
                  <w:tcW w:w="212" w:type="pct"/>
                  <w:vMerge w:val="continue"/>
                  <w:tcMar>
                    <w:left w:w="0" w:type="dxa"/>
                    <w:right w:w="0" w:type="dxa"/>
                  </w:tcMar>
                  <w:vAlign w:val="center"/>
                </w:tcPr>
                <w:p w14:paraId="5D7F0E0E">
                  <w:pPr>
                    <w:tabs>
                      <w:tab w:val="left" w:pos="1418"/>
                    </w:tabs>
                    <w:jc w:val="center"/>
                    <w:rPr>
                      <w:szCs w:val="21"/>
                    </w:rPr>
                  </w:pPr>
                </w:p>
              </w:tc>
              <w:tc>
                <w:tcPr>
                  <w:tcW w:w="212" w:type="pct"/>
                  <w:vMerge w:val="continue"/>
                  <w:tcMar>
                    <w:left w:w="0" w:type="dxa"/>
                    <w:right w:w="0" w:type="dxa"/>
                  </w:tcMar>
                  <w:vAlign w:val="center"/>
                </w:tcPr>
                <w:p w14:paraId="02F6A81A">
                  <w:pPr>
                    <w:widowControl/>
                    <w:jc w:val="center"/>
                    <w:textAlignment w:val="center"/>
                    <w:rPr>
                      <w:kern w:val="0"/>
                      <w:szCs w:val="21"/>
                      <w:lang w:bidi="ar"/>
                    </w:rPr>
                  </w:pPr>
                </w:p>
              </w:tc>
              <w:tc>
                <w:tcPr>
                  <w:tcW w:w="224" w:type="pct"/>
                  <w:vMerge w:val="continue"/>
                  <w:tcMar>
                    <w:left w:w="0" w:type="dxa"/>
                    <w:right w:w="0" w:type="dxa"/>
                  </w:tcMar>
                  <w:vAlign w:val="center"/>
                </w:tcPr>
                <w:p w14:paraId="25DD106A">
                  <w:pPr>
                    <w:jc w:val="center"/>
                    <w:rPr>
                      <w:kern w:val="0"/>
                      <w:szCs w:val="21"/>
                    </w:rPr>
                  </w:pPr>
                </w:p>
              </w:tc>
              <w:tc>
                <w:tcPr>
                  <w:tcW w:w="227" w:type="pct"/>
                  <w:vMerge w:val="continue"/>
                  <w:vAlign w:val="center"/>
                </w:tcPr>
                <w:p w14:paraId="1742E720">
                  <w:pPr>
                    <w:jc w:val="center"/>
                    <w:rPr>
                      <w:kern w:val="0"/>
                      <w:szCs w:val="21"/>
                    </w:rPr>
                  </w:pPr>
                </w:p>
              </w:tc>
            </w:tr>
            <w:tr w14:paraId="117A6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 w:type="pct"/>
                  <w:vMerge w:val="continue"/>
                  <w:vAlign w:val="center"/>
                </w:tcPr>
                <w:p w14:paraId="06F3EE85">
                  <w:pPr>
                    <w:widowControl/>
                    <w:jc w:val="center"/>
                    <w:rPr>
                      <w:kern w:val="0"/>
                      <w:szCs w:val="21"/>
                    </w:rPr>
                  </w:pPr>
                </w:p>
              </w:tc>
              <w:tc>
                <w:tcPr>
                  <w:tcW w:w="397" w:type="pct"/>
                  <w:vMerge w:val="restart"/>
                  <w:tcMar>
                    <w:left w:w="0" w:type="dxa"/>
                    <w:right w:w="0" w:type="dxa"/>
                  </w:tcMar>
                  <w:vAlign w:val="center"/>
                </w:tcPr>
                <w:p w14:paraId="40A98185">
                  <w:pPr>
                    <w:jc w:val="center"/>
                    <w:rPr>
                      <w:szCs w:val="21"/>
                    </w:rPr>
                  </w:pPr>
                  <w:r>
                    <w:rPr>
                      <w:rFonts w:hint="eastAsia"/>
                      <w:szCs w:val="21"/>
                    </w:rPr>
                    <w:t>天然气燃烧</w:t>
                  </w:r>
                </w:p>
              </w:tc>
              <w:tc>
                <w:tcPr>
                  <w:tcW w:w="274" w:type="pct"/>
                  <w:vMerge w:val="continue"/>
                  <w:tcMar>
                    <w:left w:w="0" w:type="dxa"/>
                    <w:right w:w="0" w:type="dxa"/>
                  </w:tcMar>
                  <w:vAlign w:val="center"/>
                </w:tcPr>
                <w:p w14:paraId="41DAA0CF">
                  <w:pPr>
                    <w:jc w:val="center"/>
                    <w:rPr>
                      <w:szCs w:val="21"/>
                    </w:rPr>
                  </w:pPr>
                </w:p>
              </w:tc>
              <w:tc>
                <w:tcPr>
                  <w:tcW w:w="320" w:type="pct"/>
                  <w:tcMar>
                    <w:left w:w="0" w:type="dxa"/>
                    <w:right w:w="0" w:type="dxa"/>
                  </w:tcMar>
                  <w:vAlign w:val="center"/>
                </w:tcPr>
                <w:p w14:paraId="7B5808B3">
                  <w:pPr>
                    <w:jc w:val="center"/>
                    <w:rPr>
                      <w:szCs w:val="21"/>
                    </w:rPr>
                  </w:pPr>
                  <w:r>
                    <w:rPr>
                      <w:rFonts w:hint="eastAsia"/>
                      <w:szCs w:val="21"/>
                    </w:rPr>
                    <w:t>NOx</w:t>
                  </w:r>
                </w:p>
              </w:tc>
              <w:tc>
                <w:tcPr>
                  <w:tcW w:w="317" w:type="pct"/>
                  <w:tcMar>
                    <w:left w:w="0" w:type="dxa"/>
                    <w:right w:w="0" w:type="dxa"/>
                  </w:tcMar>
                  <w:vAlign w:val="center"/>
                </w:tcPr>
                <w:p w14:paraId="7B52C39E">
                  <w:pPr>
                    <w:widowControl/>
                    <w:jc w:val="center"/>
                    <w:textAlignment w:val="center"/>
                    <w:rPr>
                      <w:rFonts w:hint="default" w:eastAsia="宋体"/>
                      <w:kern w:val="0"/>
                      <w:szCs w:val="21"/>
                      <w:lang w:val="en-US" w:eastAsia="zh-CN" w:bidi="ar"/>
                    </w:rPr>
                  </w:pPr>
                  <w:r>
                    <w:rPr>
                      <w:rFonts w:hint="eastAsia"/>
                      <w:kern w:val="0"/>
                      <w:szCs w:val="21"/>
                      <w:lang w:val="en-US" w:eastAsia="zh-CN" w:bidi="ar"/>
                    </w:rPr>
                    <w:t>0.581</w:t>
                  </w:r>
                </w:p>
              </w:tc>
              <w:tc>
                <w:tcPr>
                  <w:tcW w:w="296" w:type="pct"/>
                  <w:tcMar>
                    <w:left w:w="0" w:type="dxa"/>
                    <w:right w:w="0" w:type="dxa"/>
                  </w:tcMar>
                  <w:vAlign w:val="center"/>
                </w:tcPr>
                <w:p w14:paraId="312789B2">
                  <w:pPr>
                    <w:widowControl/>
                    <w:jc w:val="center"/>
                    <w:textAlignment w:val="center"/>
                    <w:rPr>
                      <w:rFonts w:hint="default" w:eastAsia="宋体"/>
                      <w:kern w:val="0"/>
                      <w:szCs w:val="21"/>
                      <w:lang w:val="en-US" w:eastAsia="zh-CN" w:bidi="ar"/>
                    </w:rPr>
                  </w:pPr>
                  <w:r>
                    <w:rPr>
                      <w:rFonts w:hint="eastAsia"/>
                      <w:kern w:val="0"/>
                      <w:szCs w:val="21"/>
                      <w:lang w:val="en-US" w:eastAsia="zh-CN" w:bidi="ar"/>
                    </w:rPr>
                    <w:t>0.006</w:t>
                  </w:r>
                </w:p>
              </w:tc>
              <w:tc>
                <w:tcPr>
                  <w:tcW w:w="263" w:type="pct"/>
                  <w:tcMar>
                    <w:left w:w="0" w:type="dxa"/>
                    <w:right w:w="0" w:type="dxa"/>
                  </w:tcMar>
                  <w:vAlign w:val="center"/>
                </w:tcPr>
                <w:p w14:paraId="54DA50E6">
                  <w:pPr>
                    <w:widowControl/>
                    <w:jc w:val="center"/>
                    <w:textAlignment w:val="center"/>
                    <w:rPr>
                      <w:kern w:val="0"/>
                      <w:szCs w:val="21"/>
                      <w:lang w:bidi="ar"/>
                    </w:rPr>
                  </w:pPr>
                  <w:r>
                    <w:rPr>
                      <w:kern w:val="0"/>
                      <w:szCs w:val="21"/>
                      <w:lang w:bidi="ar"/>
                    </w:rPr>
                    <w:t>0.0418</w:t>
                  </w:r>
                </w:p>
              </w:tc>
              <w:tc>
                <w:tcPr>
                  <w:tcW w:w="322" w:type="pct"/>
                  <w:vMerge w:val="restart"/>
                  <w:tcMar>
                    <w:left w:w="0" w:type="dxa"/>
                    <w:right w:w="0" w:type="dxa"/>
                  </w:tcMar>
                  <w:vAlign w:val="center"/>
                </w:tcPr>
                <w:p w14:paraId="565E5C39">
                  <w:pPr>
                    <w:widowControl/>
                    <w:jc w:val="center"/>
                    <w:textAlignment w:val="center"/>
                    <w:rPr>
                      <w:kern w:val="0"/>
                      <w:szCs w:val="21"/>
                      <w:lang w:bidi="ar"/>
                    </w:rPr>
                  </w:pPr>
                  <w:r>
                    <w:rPr>
                      <w:rFonts w:hint="eastAsia"/>
                      <w:kern w:val="0"/>
                      <w:szCs w:val="21"/>
                    </w:rPr>
                    <w:t>--</w:t>
                  </w:r>
                </w:p>
              </w:tc>
              <w:tc>
                <w:tcPr>
                  <w:tcW w:w="199" w:type="pct"/>
                  <w:tcMar>
                    <w:left w:w="0" w:type="dxa"/>
                    <w:right w:w="0" w:type="dxa"/>
                  </w:tcMar>
                  <w:vAlign w:val="center"/>
                </w:tcPr>
                <w:p w14:paraId="7D04DA49">
                  <w:pPr>
                    <w:widowControl/>
                    <w:jc w:val="center"/>
                    <w:textAlignment w:val="center"/>
                    <w:rPr>
                      <w:kern w:val="0"/>
                      <w:szCs w:val="21"/>
                    </w:rPr>
                  </w:pPr>
                  <w:r>
                    <w:rPr>
                      <w:rFonts w:hint="eastAsia"/>
                      <w:kern w:val="0"/>
                      <w:szCs w:val="21"/>
                    </w:rPr>
                    <w:t>--</w:t>
                  </w:r>
                </w:p>
              </w:tc>
              <w:tc>
                <w:tcPr>
                  <w:tcW w:w="284" w:type="pct"/>
                  <w:tcMar>
                    <w:left w:w="0" w:type="dxa"/>
                    <w:right w:w="0" w:type="dxa"/>
                  </w:tcMar>
                  <w:vAlign w:val="center"/>
                </w:tcPr>
                <w:p w14:paraId="3E370BB8">
                  <w:pPr>
                    <w:jc w:val="center"/>
                    <w:rPr>
                      <w:szCs w:val="21"/>
                    </w:rPr>
                  </w:pPr>
                  <w:r>
                    <w:rPr>
                      <w:rFonts w:hint="eastAsia"/>
                      <w:szCs w:val="21"/>
                    </w:rPr>
                    <w:t>NOx</w:t>
                  </w:r>
                </w:p>
              </w:tc>
              <w:tc>
                <w:tcPr>
                  <w:tcW w:w="253" w:type="pct"/>
                  <w:tcMar>
                    <w:left w:w="0" w:type="dxa"/>
                    <w:right w:w="0" w:type="dxa"/>
                  </w:tcMar>
                  <w:vAlign w:val="center"/>
                </w:tcPr>
                <w:p w14:paraId="60C96C95">
                  <w:pPr>
                    <w:widowControl/>
                    <w:jc w:val="center"/>
                    <w:textAlignment w:val="center"/>
                    <w:rPr>
                      <w:rFonts w:hint="default" w:eastAsia="宋体"/>
                      <w:kern w:val="0"/>
                      <w:szCs w:val="21"/>
                      <w:lang w:val="en-US" w:eastAsia="zh-CN" w:bidi="ar"/>
                    </w:rPr>
                  </w:pPr>
                  <w:r>
                    <w:rPr>
                      <w:rFonts w:hint="eastAsia"/>
                      <w:kern w:val="0"/>
                      <w:szCs w:val="21"/>
                      <w:lang w:val="en-US" w:eastAsia="zh-CN" w:bidi="ar"/>
                    </w:rPr>
                    <w:t>0.581</w:t>
                  </w:r>
                </w:p>
              </w:tc>
              <w:tc>
                <w:tcPr>
                  <w:tcW w:w="259" w:type="pct"/>
                  <w:tcMar>
                    <w:left w:w="0" w:type="dxa"/>
                    <w:right w:w="0" w:type="dxa"/>
                  </w:tcMar>
                  <w:vAlign w:val="center"/>
                </w:tcPr>
                <w:p w14:paraId="2A5768B2">
                  <w:pPr>
                    <w:widowControl/>
                    <w:jc w:val="center"/>
                    <w:textAlignment w:val="center"/>
                    <w:rPr>
                      <w:rFonts w:hint="default" w:eastAsia="宋体"/>
                      <w:kern w:val="0"/>
                      <w:szCs w:val="21"/>
                      <w:lang w:val="en-US" w:eastAsia="zh-CN" w:bidi="ar"/>
                    </w:rPr>
                  </w:pPr>
                  <w:r>
                    <w:rPr>
                      <w:rFonts w:hint="eastAsia"/>
                      <w:kern w:val="0"/>
                      <w:szCs w:val="21"/>
                      <w:lang w:val="en-US" w:eastAsia="zh-CN" w:bidi="ar"/>
                    </w:rPr>
                    <w:t>0.006</w:t>
                  </w:r>
                </w:p>
              </w:tc>
              <w:tc>
                <w:tcPr>
                  <w:tcW w:w="297" w:type="pct"/>
                  <w:tcMar>
                    <w:left w:w="0" w:type="dxa"/>
                    <w:right w:w="0" w:type="dxa"/>
                  </w:tcMar>
                  <w:vAlign w:val="center"/>
                </w:tcPr>
                <w:p w14:paraId="765842F6">
                  <w:pPr>
                    <w:widowControl/>
                    <w:jc w:val="center"/>
                    <w:textAlignment w:val="center"/>
                    <w:rPr>
                      <w:kern w:val="0"/>
                      <w:szCs w:val="21"/>
                      <w:lang w:bidi="ar"/>
                    </w:rPr>
                  </w:pPr>
                  <w:r>
                    <w:rPr>
                      <w:kern w:val="0"/>
                      <w:szCs w:val="21"/>
                      <w:lang w:bidi="ar"/>
                    </w:rPr>
                    <w:t>0.0418</w:t>
                  </w:r>
                </w:p>
              </w:tc>
              <w:tc>
                <w:tcPr>
                  <w:tcW w:w="279" w:type="pct"/>
                  <w:tcMar>
                    <w:left w:w="0" w:type="dxa"/>
                    <w:right w:w="0" w:type="dxa"/>
                  </w:tcMar>
                  <w:vAlign w:val="center"/>
                </w:tcPr>
                <w:p w14:paraId="330DD074">
                  <w:pPr>
                    <w:widowControl/>
                    <w:jc w:val="center"/>
                    <w:textAlignment w:val="center"/>
                    <w:rPr>
                      <w:kern w:val="0"/>
                      <w:szCs w:val="21"/>
                      <w:lang w:bidi="ar"/>
                    </w:rPr>
                  </w:pPr>
                  <w:r>
                    <w:rPr>
                      <w:rFonts w:hint="eastAsia"/>
                      <w:kern w:val="0"/>
                      <w:szCs w:val="21"/>
                      <w:lang w:bidi="ar"/>
                    </w:rPr>
                    <w:t>180</w:t>
                  </w:r>
                </w:p>
              </w:tc>
              <w:tc>
                <w:tcPr>
                  <w:tcW w:w="221" w:type="pct"/>
                  <w:tcMar>
                    <w:left w:w="0" w:type="dxa"/>
                    <w:right w:w="0" w:type="dxa"/>
                  </w:tcMar>
                  <w:vAlign w:val="center"/>
                </w:tcPr>
                <w:p w14:paraId="3402B9FF">
                  <w:pPr>
                    <w:widowControl/>
                    <w:jc w:val="center"/>
                    <w:textAlignment w:val="center"/>
                    <w:rPr>
                      <w:kern w:val="0"/>
                      <w:szCs w:val="21"/>
                    </w:rPr>
                  </w:pPr>
                  <w:r>
                    <w:rPr>
                      <w:rFonts w:hint="eastAsia"/>
                      <w:kern w:val="0"/>
                      <w:szCs w:val="21"/>
                    </w:rPr>
                    <w:t>--</w:t>
                  </w:r>
                </w:p>
              </w:tc>
              <w:tc>
                <w:tcPr>
                  <w:tcW w:w="212" w:type="pct"/>
                  <w:vMerge w:val="continue"/>
                  <w:tcMar>
                    <w:left w:w="0" w:type="dxa"/>
                    <w:right w:w="0" w:type="dxa"/>
                  </w:tcMar>
                  <w:vAlign w:val="center"/>
                </w:tcPr>
                <w:p w14:paraId="67A64CE4">
                  <w:pPr>
                    <w:tabs>
                      <w:tab w:val="left" w:pos="1418"/>
                    </w:tabs>
                    <w:jc w:val="center"/>
                    <w:rPr>
                      <w:szCs w:val="21"/>
                    </w:rPr>
                  </w:pPr>
                </w:p>
              </w:tc>
              <w:tc>
                <w:tcPr>
                  <w:tcW w:w="212" w:type="pct"/>
                  <w:vMerge w:val="continue"/>
                  <w:tcMar>
                    <w:left w:w="0" w:type="dxa"/>
                    <w:right w:w="0" w:type="dxa"/>
                  </w:tcMar>
                  <w:vAlign w:val="center"/>
                </w:tcPr>
                <w:p w14:paraId="71E0BE30">
                  <w:pPr>
                    <w:widowControl/>
                    <w:jc w:val="center"/>
                    <w:textAlignment w:val="center"/>
                    <w:rPr>
                      <w:kern w:val="0"/>
                      <w:szCs w:val="21"/>
                      <w:lang w:bidi="ar"/>
                    </w:rPr>
                  </w:pPr>
                </w:p>
              </w:tc>
              <w:tc>
                <w:tcPr>
                  <w:tcW w:w="224" w:type="pct"/>
                  <w:vMerge w:val="continue"/>
                  <w:tcMar>
                    <w:left w:w="0" w:type="dxa"/>
                    <w:right w:w="0" w:type="dxa"/>
                  </w:tcMar>
                  <w:vAlign w:val="center"/>
                </w:tcPr>
                <w:p w14:paraId="55ED1ED6">
                  <w:pPr>
                    <w:jc w:val="center"/>
                    <w:rPr>
                      <w:kern w:val="0"/>
                      <w:szCs w:val="21"/>
                    </w:rPr>
                  </w:pPr>
                </w:p>
              </w:tc>
              <w:tc>
                <w:tcPr>
                  <w:tcW w:w="227" w:type="pct"/>
                  <w:vMerge w:val="continue"/>
                  <w:vAlign w:val="center"/>
                </w:tcPr>
                <w:p w14:paraId="04C4EB10">
                  <w:pPr>
                    <w:jc w:val="center"/>
                    <w:rPr>
                      <w:kern w:val="0"/>
                      <w:szCs w:val="21"/>
                    </w:rPr>
                  </w:pPr>
                </w:p>
              </w:tc>
            </w:tr>
            <w:tr w14:paraId="743BC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 w:type="pct"/>
                  <w:vMerge w:val="continue"/>
                  <w:vAlign w:val="center"/>
                </w:tcPr>
                <w:p w14:paraId="1FC7BEB1">
                  <w:pPr>
                    <w:widowControl/>
                    <w:jc w:val="center"/>
                    <w:rPr>
                      <w:kern w:val="0"/>
                      <w:szCs w:val="21"/>
                    </w:rPr>
                  </w:pPr>
                </w:p>
              </w:tc>
              <w:tc>
                <w:tcPr>
                  <w:tcW w:w="397" w:type="pct"/>
                  <w:vMerge w:val="continue"/>
                  <w:tcMar>
                    <w:left w:w="0" w:type="dxa"/>
                    <w:right w:w="0" w:type="dxa"/>
                  </w:tcMar>
                  <w:vAlign w:val="center"/>
                </w:tcPr>
                <w:p w14:paraId="4CEB4073">
                  <w:pPr>
                    <w:widowControl/>
                    <w:jc w:val="center"/>
                    <w:rPr>
                      <w:szCs w:val="21"/>
                    </w:rPr>
                  </w:pPr>
                </w:p>
              </w:tc>
              <w:tc>
                <w:tcPr>
                  <w:tcW w:w="274" w:type="pct"/>
                  <w:vMerge w:val="continue"/>
                  <w:tcMar>
                    <w:left w:w="0" w:type="dxa"/>
                    <w:right w:w="0" w:type="dxa"/>
                  </w:tcMar>
                  <w:vAlign w:val="center"/>
                </w:tcPr>
                <w:p w14:paraId="781465CC">
                  <w:pPr>
                    <w:jc w:val="center"/>
                    <w:rPr>
                      <w:szCs w:val="21"/>
                    </w:rPr>
                  </w:pPr>
                </w:p>
              </w:tc>
              <w:tc>
                <w:tcPr>
                  <w:tcW w:w="320" w:type="pct"/>
                  <w:tcMar>
                    <w:left w:w="0" w:type="dxa"/>
                    <w:right w:w="0" w:type="dxa"/>
                  </w:tcMar>
                  <w:vAlign w:val="center"/>
                </w:tcPr>
                <w:p w14:paraId="41924423">
                  <w:pPr>
                    <w:jc w:val="center"/>
                    <w:rPr>
                      <w:szCs w:val="21"/>
                    </w:rPr>
                  </w:pPr>
                  <w:r>
                    <w:rPr>
                      <w:rFonts w:hint="eastAsia"/>
                      <w:szCs w:val="21"/>
                    </w:rPr>
                    <w:t>SO</w:t>
                  </w:r>
                  <w:r>
                    <w:rPr>
                      <w:rFonts w:hint="eastAsia"/>
                      <w:szCs w:val="21"/>
                      <w:vertAlign w:val="subscript"/>
                    </w:rPr>
                    <w:t>2</w:t>
                  </w:r>
                </w:p>
              </w:tc>
              <w:tc>
                <w:tcPr>
                  <w:tcW w:w="317" w:type="pct"/>
                  <w:tcMar>
                    <w:left w:w="0" w:type="dxa"/>
                    <w:right w:w="0" w:type="dxa"/>
                  </w:tcMar>
                  <w:vAlign w:val="center"/>
                </w:tcPr>
                <w:p w14:paraId="234CC477">
                  <w:pPr>
                    <w:widowControl/>
                    <w:jc w:val="center"/>
                    <w:textAlignment w:val="center"/>
                    <w:rPr>
                      <w:rFonts w:hint="default" w:eastAsia="宋体"/>
                      <w:kern w:val="0"/>
                      <w:szCs w:val="21"/>
                      <w:lang w:val="en-US" w:eastAsia="zh-CN" w:bidi="ar"/>
                    </w:rPr>
                  </w:pPr>
                  <w:r>
                    <w:rPr>
                      <w:rFonts w:hint="eastAsia"/>
                      <w:kern w:val="0"/>
                      <w:szCs w:val="21"/>
                      <w:lang w:val="en-US" w:eastAsia="zh-CN" w:bidi="ar"/>
                    </w:rPr>
                    <w:t>0.167</w:t>
                  </w:r>
                </w:p>
              </w:tc>
              <w:tc>
                <w:tcPr>
                  <w:tcW w:w="296" w:type="pct"/>
                  <w:tcMar>
                    <w:left w:w="0" w:type="dxa"/>
                    <w:right w:w="0" w:type="dxa"/>
                  </w:tcMar>
                  <w:vAlign w:val="center"/>
                </w:tcPr>
                <w:p w14:paraId="5319C339">
                  <w:pPr>
                    <w:widowControl/>
                    <w:jc w:val="center"/>
                    <w:textAlignment w:val="center"/>
                    <w:rPr>
                      <w:rFonts w:hint="default" w:eastAsia="宋体"/>
                      <w:kern w:val="0"/>
                      <w:szCs w:val="21"/>
                      <w:lang w:val="en-US" w:eastAsia="zh-CN" w:bidi="ar"/>
                    </w:rPr>
                  </w:pPr>
                  <w:r>
                    <w:rPr>
                      <w:rFonts w:hint="eastAsia"/>
                      <w:kern w:val="0"/>
                      <w:szCs w:val="21"/>
                      <w:lang w:val="en-US" w:eastAsia="zh-CN" w:bidi="ar"/>
                    </w:rPr>
                    <w:t>0.002</w:t>
                  </w:r>
                </w:p>
              </w:tc>
              <w:tc>
                <w:tcPr>
                  <w:tcW w:w="263" w:type="pct"/>
                  <w:tcMar>
                    <w:left w:w="0" w:type="dxa"/>
                    <w:right w:w="0" w:type="dxa"/>
                  </w:tcMar>
                  <w:vAlign w:val="center"/>
                </w:tcPr>
                <w:p w14:paraId="1E63522D">
                  <w:pPr>
                    <w:widowControl/>
                    <w:jc w:val="center"/>
                    <w:textAlignment w:val="center"/>
                    <w:rPr>
                      <w:kern w:val="0"/>
                      <w:szCs w:val="21"/>
                      <w:lang w:bidi="ar"/>
                    </w:rPr>
                  </w:pPr>
                  <w:r>
                    <w:rPr>
                      <w:kern w:val="0"/>
                      <w:szCs w:val="21"/>
                      <w:lang w:bidi="ar"/>
                    </w:rPr>
                    <w:t>0.012</w:t>
                  </w:r>
                </w:p>
              </w:tc>
              <w:tc>
                <w:tcPr>
                  <w:tcW w:w="322" w:type="pct"/>
                  <w:vMerge w:val="continue"/>
                  <w:tcMar>
                    <w:left w:w="0" w:type="dxa"/>
                    <w:right w:w="0" w:type="dxa"/>
                  </w:tcMar>
                  <w:vAlign w:val="center"/>
                </w:tcPr>
                <w:p w14:paraId="63545479">
                  <w:pPr>
                    <w:widowControl/>
                    <w:jc w:val="center"/>
                    <w:textAlignment w:val="center"/>
                    <w:rPr>
                      <w:kern w:val="0"/>
                      <w:szCs w:val="21"/>
                      <w:lang w:bidi="ar"/>
                    </w:rPr>
                  </w:pPr>
                </w:p>
              </w:tc>
              <w:tc>
                <w:tcPr>
                  <w:tcW w:w="199" w:type="pct"/>
                  <w:tcMar>
                    <w:left w:w="0" w:type="dxa"/>
                    <w:right w:w="0" w:type="dxa"/>
                  </w:tcMar>
                  <w:vAlign w:val="center"/>
                </w:tcPr>
                <w:p w14:paraId="353994C7">
                  <w:pPr>
                    <w:widowControl/>
                    <w:jc w:val="center"/>
                    <w:textAlignment w:val="center"/>
                    <w:rPr>
                      <w:kern w:val="0"/>
                      <w:szCs w:val="21"/>
                    </w:rPr>
                  </w:pPr>
                  <w:r>
                    <w:rPr>
                      <w:rFonts w:hint="eastAsia"/>
                      <w:kern w:val="0"/>
                      <w:szCs w:val="21"/>
                    </w:rPr>
                    <w:t>--</w:t>
                  </w:r>
                </w:p>
              </w:tc>
              <w:tc>
                <w:tcPr>
                  <w:tcW w:w="284" w:type="pct"/>
                  <w:tcMar>
                    <w:left w:w="0" w:type="dxa"/>
                    <w:right w:w="0" w:type="dxa"/>
                  </w:tcMar>
                  <w:vAlign w:val="center"/>
                </w:tcPr>
                <w:p w14:paraId="7D0D6291">
                  <w:pPr>
                    <w:jc w:val="center"/>
                    <w:rPr>
                      <w:szCs w:val="21"/>
                    </w:rPr>
                  </w:pPr>
                  <w:r>
                    <w:rPr>
                      <w:rFonts w:hint="eastAsia"/>
                      <w:szCs w:val="21"/>
                    </w:rPr>
                    <w:t>SO</w:t>
                  </w:r>
                  <w:r>
                    <w:rPr>
                      <w:rFonts w:hint="eastAsia"/>
                      <w:szCs w:val="21"/>
                      <w:vertAlign w:val="subscript"/>
                    </w:rPr>
                    <w:t>2</w:t>
                  </w:r>
                </w:p>
              </w:tc>
              <w:tc>
                <w:tcPr>
                  <w:tcW w:w="253" w:type="pct"/>
                  <w:tcMar>
                    <w:left w:w="0" w:type="dxa"/>
                    <w:right w:w="0" w:type="dxa"/>
                  </w:tcMar>
                  <w:vAlign w:val="center"/>
                </w:tcPr>
                <w:p w14:paraId="058B516F">
                  <w:pPr>
                    <w:widowControl/>
                    <w:jc w:val="center"/>
                    <w:textAlignment w:val="center"/>
                    <w:rPr>
                      <w:rFonts w:hint="default" w:eastAsia="宋体"/>
                      <w:kern w:val="0"/>
                      <w:szCs w:val="21"/>
                      <w:lang w:val="en-US" w:eastAsia="zh-CN" w:bidi="ar"/>
                    </w:rPr>
                  </w:pPr>
                  <w:r>
                    <w:rPr>
                      <w:rFonts w:hint="eastAsia"/>
                      <w:kern w:val="0"/>
                      <w:szCs w:val="21"/>
                      <w:lang w:val="en-US" w:eastAsia="zh-CN" w:bidi="ar"/>
                    </w:rPr>
                    <w:t>0.167</w:t>
                  </w:r>
                </w:p>
              </w:tc>
              <w:tc>
                <w:tcPr>
                  <w:tcW w:w="259" w:type="pct"/>
                  <w:tcMar>
                    <w:left w:w="0" w:type="dxa"/>
                    <w:right w:w="0" w:type="dxa"/>
                  </w:tcMar>
                  <w:vAlign w:val="center"/>
                </w:tcPr>
                <w:p w14:paraId="4CBFD36F">
                  <w:pPr>
                    <w:widowControl/>
                    <w:jc w:val="center"/>
                    <w:textAlignment w:val="center"/>
                    <w:rPr>
                      <w:rFonts w:hint="default" w:eastAsia="宋体"/>
                      <w:kern w:val="0"/>
                      <w:szCs w:val="21"/>
                      <w:lang w:val="en-US" w:eastAsia="zh-CN" w:bidi="ar"/>
                    </w:rPr>
                  </w:pPr>
                  <w:r>
                    <w:rPr>
                      <w:rFonts w:hint="eastAsia"/>
                      <w:kern w:val="0"/>
                      <w:szCs w:val="21"/>
                      <w:lang w:val="en-US" w:eastAsia="zh-CN" w:bidi="ar"/>
                    </w:rPr>
                    <w:t>0.002</w:t>
                  </w:r>
                </w:p>
              </w:tc>
              <w:tc>
                <w:tcPr>
                  <w:tcW w:w="297" w:type="pct"/>
                  <w:tcMar>
                    <w:left w:w="0" w:type="dxa"/>
                    <w:right w:w="0" w:type="dxa"/>
                  </w:tcMar>
                  <w:vAlign w:val="center"/>
                </w:tcPr>
                <w:p w14:paraId="761F276E">
                  <w:pPr>
                    <w:widowControl/>
                    <w:jc w:val="center"/>
                    <w:textAlignment w:val="center"/>
                    <w:rPr>
                      <w:kern w:val="0"/>
                      <w:szCs w:val="21"/>
                      <w:lang w:bidi="ar"/>
                    </w:rPr>
                  </w:pPr>
                  <w:r>
                    <w:rPr>
                      <w:kern w:val="0"/>
                      <w:szCs w:val="21"/>
                      <w:lang w:bidi="ar"/>
                    </w:rPr>
                    <w:t>0.012</w:t>
                  </w:r>
                </w:p>
              </w:tc>
              <w:tc>
                <w:tcPr>
                  <w:tcW w:w="279" w:type="pct"/>
                  <w:tcMar>
                    <w:left w:w="0" w:type="dxa"/>
                    <w:right w:w="0" w:type="dxa"/>
                  </w:tcMar>
                  <w:vAlign w:val="center"/>
                </w:tcPr>
                <w:p w14:paraId="2438AC8F">
                  <w:pPr>
                    <w:widowControl/>
                    <w:jc w:val="center"/>
                    <w:textAlignment w:val="center"/>
                    <w:rPr>
                      <w:kern w:val="0"/>
                      <w:szCs w:val="21"/>
                      <w:lang w:bidi="ar"/>
                    </w:rPr>
                  </w:pPr>
                  <w:r>
                    <w:rPr>
                      <w:rFonts w:hint="eastAsia"/>
                      <w:kern w:val="0"/>
                      <w:szCs w:val="21"/>
                      <w:lang w:bidi="ar"/>
                    </w:rPr>
                    <w:t>80</w:t>
                  </w:r>
                </w:p>
              </w:tc>
              <w:tc>
                <w:tcPr>
                  <w:tcW w:w="221" w:type="pct"/>
                  <w:tcMar>
                    <w:left w:w="0" w:type="dxa"/>
                    <w:right w:w="0" w:type="dxa"/>
                  </w:tcMar>
                  <w:vAlign w:val="center"/>
                </w:tcPr>
                <w:p w14:paraId="2D40BEB2">
                  <w:pPr>
                    <w:widowControl/>
                    <w:jc w:val="center"/>
                    <w:textAlignment w:val="center"/>
                    <w:rPr>
                      <w:kern w:val="0"/>
                      <w:szCs w:val="21"/>
                    </w:rPr>
                  </w:pPr>
                  <w:r>
                    <w:rPr>
                      <w:rFonts w:hint="eastAsia"/>
                      <w:kern w:val="0"/>
                      <w:szCs w:val="21"/>
                    </w:rPr>
                    <w:t>--</w:t>
                  </w:r>
                </w:p>
              </w:tc>
              <w:tc>
                <w:tcPr>
                  <w:tcW w:w="212" w:type="pct"/>
                  <w:vMerge w:val="continue"/>
                  <w:tcMar>
                    <w:left w:w="0" w:type="dxa"/>
                    <w:right w:w="0" w:type="dxa"/>
                  </w:tcMar>
                  <w:vAlign w:val="center"/>
                </w:tcPr>
                <w:p w14:paraId="27E076DA">
                  <w:pPr>
                    <w:tabs>
                      <w:tab w:val="left" w:pos="1418"/>
                    </w:tabs>
                    <w:jc w:val="center"/>
                    <w:rPr>
                      <w:szCs w:val="21"/>
                    </w:rPr>
                  </w:pPr>
                </w:p>
              </w:tc>
              <w:tc>
                <w:tcPr>
                  <w:tcW w:w="212" w:type="pct"/>
                  <w:vMerge w:val="continue"/>
                  <w:tcMar>
                    <w:left w:w="0" w:type="dxa"/>
                    <w:right w:w="0" w:type="dxa"/>
                  </w:tcMar>
                  <w:vAlign w:val="center"/>
                </w:tcPr>
                <w:p w14:paraId="693C47E8">
                  <w:pPr>
                    <w:widowControl/>
                    <w:jc w:val="center"/>
                    <w:textAlignment w:val="center"/>
                    <w:rPr>
                      <w:kern w:val="0"/>
                      <w:szCs w:val="21"/>
                      <w:lang w:bidi="ar"/>
                    </w:rPr>
                  </w:pPr>
                </w:p>
              </w:tc>
              <w:tc>
                <w:tcPr>
                  <w:tcW w:w="224" w:type="pct"/>
                  <w:vMerge w:val="continue"/>
                  <w:tcMar>
                    <w:left w:w="0" w:type="dxa"/>
                    <w:right w:w="0" w:type="dxa"/>
                  </w:tcMar>
                  <w:vAlign w:val="center"/>
                </w:tcPr>
                <w:p w14:paraId="489F90C2">
                  <w:pPr>
                    <w:jc w:val="center"/>
                    <w:rPr>
                      <w:kern w:val="0"/>
                      <w:szCs w:val="21"/>
                    </w:rPr>
                  </w:pPr>
                </w:p>
              </w:tc>
              <w:tc>
                <w:tcPr>
                  <w:tcW w:w="227" w:type="pct"/>
                  <w:vMerge w:val="continue"/>
                  <w:vAlign w:val="center"/>
                </w:tcPr>
                <w:p w14:paraId="2C813786">
                  <w:pPr>
                    <w:jc w:val="center"/>
                    <w:rPr>
                      <w:kern w:val="0"/>
                      <w:szCs w:val="21"/>
                    </w:rPr>
                  </w:pPr>
                </w:p>
              </w:tc>
            </w:tr>
            <w:tr w14:paraId="5B938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 w:type="pct"/>
                  <w:vMerge w:val="continue"/>
                  <w:vAlign w:val="center"/>
                </w:tcPr>
                <w:p w14:paraId="34A93C78">
                  <w:pPr>
                    <w:widowControl/>
                    <w:jc w:val="center"/>
                    <w:rPr>
                      <w:kern w:val="0"/>
                      <w:szCs w:val="21"/>
                    </w:rPr>
                  </w:pPr>
                </w:p>
              </w:tc>
              <w:tc>
                <w:tcPr>
                  <w:tcW w:w="397" w:type="pct"/>
                  <w:vMerge w:val="continue"/>
                  <w:tcMar>
                    <w:left w:w="0" w:type="dxa"/>
                    <w:right w:w="0" w:type="dxa"/>
                  </w:tcMar>
                  <w:vAlign w:val="center"/>
                </w:tcPr>
                <w:p w14:paraId="5B81A447">
                  <w:pPr>
                    <w:widowControl/>
                    <w:jc w:val="center"/>
                    <w:rPr>
                      <w:szCs w:val="21"/>
                    </w:rPr>
                  </w:pPr>
                </w:p>
              </w:tc>
              <w:tc>
                <w:tcPr>
                  <w:tcW w:w="274" w:type="pct"/>
                  <w:vMerge w:val="continue"/>
                  <w:tcMar>
                    <w:left w:w="0" w:type="dxa"/>
                    <w:right w:w="0" w:type="dxa"/>
                  </w:tcMar>
                  <w:vAlign w:val="center"/>
                </w:tcPr>
                <w:p w14:paraId="17882C16">
                  <w:pPr>
                    <w:jc w:val="center"/>
                    <w:rPr>
                      <w:szCs w:val="21"/>
                    </w:rPr>
                  </w:pPr>
                </w:p>
              </w:tc>
              <w:tc>
                <w:tcPr>
                  <w:tcW w:w="320" w:type="pct"/>
                  <w:tcMar>
                    <w:left w:w="0" w:type="dxa"/>
                    <w:right w:w="0" w:type="dxa"/>
                  </w:tcMar>
                  <w:vAlign w:val="center"/>
                </w:tcPr>
                <w:p w14:paraId="5E0FF7DF">
                  <w:pPr>
                    <w:jc w:val="center"/>
                    <w:rPr>
                      <w:szCs w:val="21"/>
                    </w:rPr>
                  </w:pPr>
                  <w:r>
                    <w:rPr>
                      <w:rFonts w:hint="eastAsia"/>
                      <w:szCs w:val="21"/>
                    </w:rPr>
                    <w:t>颗粒物</w:t>
                  </w:r>
                </w:p>
              </w:tc>
              <w:tc>
                <w:tcPr>
                  <w:tcW w:w="317" w:type="pct"/>
                  <w:tcMar>
                    <w:left w:w="0" w:type="dxa"/>
                    <w:right w:w="0" w:type="dxa"/>
                  </w:tcMar>
                  <w:vAlign w:val="center"/>
                </w:tcPr>
                <w:p w14:paraId="25A5027A">
                  <w:pPr>
                    <w:widowControl/>
                    <w:jc w:val="center"/>
                    <w:textAlignment w:val="center"/>
                    <w:rPr>
                      <w:rFonts w:hint="default" w:eastAsia="宋体"/>
                      <w:kern w:val="0"/>
                      <w:szCs w:val="21"/>
                      <w:lang w:val="en-US" w:eastAsia="zh-CN" w:bidi="ar"/>
                    </w:rPr>
                  </w:pPr>
                  <w:r>
                    <w:rPr>
                      <w:rFonts w:hint="eastAsia"/>
                      <w:kern w:val="0"/>
                      <w:szCs w:val="21"/>
                      <w:lang w:val="en-US" w:eastAsia="zh-CN" w:bidi="ar"/>
                    </w:rPr>
                    <w:t>0.2</w:t>
                  </w:r>
                </w:p>
              </w:tc>
              <w:tc>
                <w:tcPr>
                  <w:tcW w:w="296" w:type="pct"/>
                  <w:tcMar>
                    <w:left w:w="0" w:type="dxa"/>
                    <w:right w:w="0" w:type="dxa"/>
                  </w:tcMar>
                  <w:vAlign w:val="center"/>
                </w:tcPr>
                <w:p w14:paraId="465CBB57">
                  <w:pPr>
                    <w:widowControl/>
                    <w:jc w:val="center"/>
                    <w:textAlignment w:val="center"/>
                    <w:rPr>
                      <w:rFonts w:hint="default" w:eastAsia="宋体"/>
                      <w:kern w:val="0"/>
                      <w:szCs w:val="21"/>
                      <w:lang w:val="en-US" w:eastAsia="zh-CN" w:bidi="ar"/>
                    </w:rPr>
                  </w:pPr>
                  <w:r>
                    <w:rPr>
                      <w:rFonts w:hint="eastAsia"/>
                      <w:kern w:val="0"/>
                      <w:szCs w:val="21"/>
                      <w:lang w:val="en-US" w:eastAsia="zh-CN" w:bidi="ar"/>
                    </w:rPr>
                    <w:t>0.002</w:t>
                  </w:r>
                </w:p>
              </w:tc>
              <w:tc>
                <w:tcPr>
                  <w:tcW w:w="263" w:type="pct"/>
                  <w:tcMar>
                    <w:left w:w="0" w:type="dxa"/>
                    <w:right w:w="0" w:type="dxa"/>
                  </w:tcMar>
                  <w:vAlign w:val="center"/>
                </w:tcPr>
                <w:p w14:paraId="6E8BDB35">
                  <w:pPr>
                    <w:widowControl/>
                    <w:jc w:val="center"/>
                    <w:textAlignment w:val="center"/>
                    <w:rPr>
                      <w:kern w:val="0"/>
                      <w:szCs w:val="21"/>
                      <w:lang w:bidi="ar"/>
                    </w:rPr>
                  </w:pPr>
                  <w:r>
                    <w:rPr>
                      <w:kern w:val="0"/>
                      <w:szCs w:val="21"/>
                      <w:lang w:bidi="ar"/>
                    </w:rPr>
                    <w:t>0.0144</w:t>
                  </w:r>
                </w:p>
              </w:tc>
              <w:tc>
                <w:tcPr>
                  <w:tcW w:w="322" w:type="pct"/>
                  <w:vMerge w:val="continue"/>
                  <w:tcMar>
                    <w:left w:w="0" w:type="dxa"/>
                    <w:right w:w="0" w:type="dxa"/>
                  </w:tcMar>
                  <w:vAlign w:val="center"/>
                </w:tcPr>
                <w:p w14:paraId="066581F5">
                  <w:pPr>
                    <w:widowControl/>
                    <w:jc w:val="center"/>
                    <w:textAlignment w:val="center"/>
                    <w:rPr>
                      <w:kern w:val="0"/>
                      <w:szCs w:val="21"/>
                      <w:lang w:bidi="ar"/>
                    </w:rPr>
                  </w:pPr>
                </w:p>
              </w:tc>
              <w:tc>
                <w:tcPr>
                  <w:tcW w:w="199" w:type="pct"/>
                  <w:tcMar>
                    <w:left w:w="0" w:type="dxa"/>
                    <w:right w:w="0" w:type="dxa"/>
                  </w:tcMar>
                  <w:vAlign w:val="center"/>
                </w:tcPr>
                <w:p w14:paraId="7F3757A9">
                  <w:pPr>
                    <w:widowControl/>
                    <w:jc w:val="center"/>
                    <w:textAlignment w:val="center"/>
                    <w:rPr>
                      <w:kern w:val="0"/>
                      <w:szCs w:val="21"/>
                    </w:rPr>
                  </w:pPr>
                  <w:r>
                    <w:rPr>
                      <w:rFonts w:hint="eastAsia"/>
                      <w:kern w:val="0"/>
                      <w:szCs w:val="21"/>
                    </w:rPr>
                    <w:t>--</w:t>
                  </w:r>
                </w:p>
              </w:tc>
              <w:tc>
                <w:tcPr>
                  <w:tcW w:w="284" w:type="pct"/>
                  <w:tcMar>
                    <w:left w:w="0" w:type="dxa"/>
                    <w:right w:w="0" w:type="dxa"/>
                  </w:tcMar>
                  <w:vAlign w:val="center"/>
                </w:tcPr>
                <w:p w14:paraId="092AEF6D">
                  <w:pPr>
                    <w:jc w:val="center"/>
                    <w:rPr>
                      <w:szCs w:val="21"/>
                    </w:rPr>
                  </w:pPr>
                  <w:r>
                    <w:rPr>
                      <w:rFonts w:hint="eastAsia"/>
                      <w:szCs w:val="21"/>
                    </w:rPr>
                    <w:t>颗粒物</w:t>
                  </w:r>
                </w:p>
              </w:tc>
              <w:tc>
                <w:tcPr>
                  <w:tcW w:w="253" w:type="pct"/>
                  <w:tcMar>
                    <w:left w:w="0" w:type="dxa"/>
                    <w:right w:w="0" w:type="dxa"/>
                  </w:tcMar>
                  <w:vAlign w:val="center"/>
                </w:tcPr>
                <w:p w14:paraId="4F2FD3FB">
                  <w:pPr>
                    <w:widowControl/>
                    <w:jc w:val="center"/>
                    <w:textAlignment w:val="center"/>
                    <w:rPr>
                      <w:rFonts w:hint="default" w:eastAsia="宋体"/>
                      <w:kern w:val="0"/>
                      <w:szCs w:val="21"/>
                      <w:lang w:val="en-US" w:eastAsia="zh-CN" w:bidi="ar"/>
                    </w:rPr>
                  </w:pPr>
                  <w:r>
                    <w:rPr>
                      <w:rFonts w:hint="eastAsia"/>
                      <w:kern w:val="0"/>
                      <w:szCs w:val="21"/>
                      <w:lang w:val="en-US" w:eastAsia="zh-CN" w:bidi="ar"/>
                    </w:rPr>
                    <w:t>0.2</w:t>
                  </w:r>
                </w:p>
              </w:tc>
              <w:tc>
                <w:tcPr>
                  <w:tcW w:w="259" w:type="pct"/>
                  <w:tcMar>
                    <w:left w:w="0" w:type="dxa"/>
                    <w:right w:w="0" w:type="dxa"/>
                  </w:tcMar>
                  <w:vAlign w:val="center"/>
                </w:tcPr>
                <w:p w14:paraId="78E4248A">
                  <w:pPr>
                    <w:widowControl/>
                    <w:jc w:val="center"/>
                    <w:textAlignment w:val="center"/>
                    <w:rPr>
                      <w:rFonts w:hint="default" w:eastAsia="宋体"/>
                      <w:kern w:val="0"/>
                      <w:szCs w:val="21"/>
                      <w:lang w:val="en-US" w:eastAsia="zh-CN" w:bidi="ar"/>
                    </w:rPr>
                  </w:pPr>
                  <w:r>
                    <w:rPr>
                      <w:rFonts w:hint="eastAsia"/>
                      <w:kern w:val="0"/>
                      <w:szCs w:val="21"/>
                      <w:lang w:val="en-US" w:eastAsia="zh-CN" w:bidi="ar"/>
                    </w:rPr>
                    <w:t>0.002</w:t>
                  </w:r>
                </w:p>
              </w:tc>
              <w:tc>
                <w:tcPr>
                  <w:tcW w:w="297" w:type="pct"/>
                  <w:tcMar>
                    <w:left w:w="0" w:type="dxa"/>
                    <w:right w:w="0" w:type="dxa"/>
                  </w:tcMar>
                  <w:vAlign w:val="center"/>
                </w:tcPr>
                <w:p w14:paraId="635AB299">
                  <w:pPr>
                    <w:widowControl/>
                    <w:jc w:val="center"/>
                    <w:textAlignment w:val="center"/>
                    <w:rPr>
                      <w:kern w:val="0"/>
                      <w:szCs w:val="21"/>
                      <w:lang w:bidi="ar"/>
                    </w:rPr>
                  </w:pPr>
                  <w:r>
                    <w:rPr>
                      <w:kern w:val="0"/>
                      <w:szCs w:val="21"/>
                      <w:lang w:bidi="ar"/>
                    </w:rPr>
                    <w:t>0.0144</w:t>
                  </w:r>
                </w:p>
              </w:tc>
              <w:tc>
                <w:tcPr>
                  <w:tcW w:w="279" w:type="pct"/>
                  <w:tcMar>
                    <w:left w:w="0" w:type="dxa"/>
                    <w:right w:w="0" w:type="dxa"/>
                  </w:tcMar>
                  <w:vAlign w:val="center"/>
                </w:tcPr>
                <w:p w14:paraId="29828A26">
                  <w:pPr>
                    <w:widowControl/>
                    <w:jc w:val="center"/>
                    <w:textAlignment w:val="center"/>
                    <w:rPr>
                      <w:kern w:val="0"/>
                      <w:szCs w:val="21"/>
                      <w:lang w:bidi="ar"/>
                    </w:rPr>
                  </w:pPr>
                  <w:r>
                    <w:rPr>
                      <w:rFonts w:hint="eastAsia"/>
                      <w:kern w:val="0"/>
                      <w:szCs w:val="21"/>
                      <w:lang w:bidi="ar"/>
                    </w:rPr>
                    <w:t>20</w:t>
                  </w:r>
                </w:p>
              </w:tc>
              <w:tc>
                <w:tcPr>
                  <w:tcW w:w="221" w:type="pct"/>
                  <w:tcMar>
                    <w:left w:w="0" w:type="dxa"/>
                    <w:right w:w="0" w:type="dxa"/>
                  </w:tcMar>
                  <w:vAlign w:val="center"/>
                </w:tcPr>
                <w:p w14:paraId="0FFAA33B">
                  <w:pPr>
                    <w:widowControl/>
                    <w:jc w:val="center"/>
                    <w:textAlignment w:val="center"/>
                    <w:rPr>
                      <w:kern w:val="0"/>
                      <w:szCs w:val="21"/>
                    </w:rPr>
                  </w:pPr>
                  <w:r>
                    <w:rPr>
                      <w:rFonts w:hint="eastAsia"/>
                      <w:kern w:val="0"/>
                      <w:szCs w:val="21"/>
                    </w:rPr>
                    <w:t>--</w:t>
                  </w:r>
                </w:p>
              </w:tc>
              <w:tc>
                <w:tcPr>
                  <w:tcW w:w="212" w:type="pct"/>
                  <w:vMerge w:val="continue"/>
                  <w:tcMar>
                    <w:left w:w="0" w:type="dxa"/>
                    <w:right w:w="0" w:type="dxa"/>
                  </w:tcMar>
                  <w:vAlign w:val="center"/>
                </w:tcPr>
                <w:p w14:paraId="1D54D698">
                  <w:pPr>
                    <w:tabs>
                      <w:tab w:val="left" w:pos="1418"/>
                    </w:tabs>
                    <w:jc w:val="center"/>
                    <w:rPr>
                      <w:szCs w:val="21"/>
                    </w:rPr>
                  </w:pPr>
                </w:p>
              </w:tc>
              <w:tc>
                <w:tcPr>
                  <w:tcW w:w="212" w:type="pct"/>
                  <w:vMerge w:val="continue"/>
                  <w:tcMar>
                    <w:left w:w="0" w:type="dxa"/>
                    <w:right w:w="0" w:type="dxa"/>
                  </w:tcMar>
                  <w:vAlign w:val="center"/>
                </w:tcPr>
                <w:p w14:paraId="5AB9359F">
                  <w:pPr>
                    <w:widowControl/>
                    <w:jc w:val="center"/>
                    <w:textAlignment w:val="center"/>
                    <w:rPr>
                      <w:kern w:val="0"/>
                      <w:szCs w:val="21"/>
                      <w:lang w:bidi="ar"/>
                    </w:rPr>
                  </w:pPr>
                </w:p>
              </w:tc>
              <w:tc>
                <w:tcPr>
                  <w:tcW w:w="224" w:type="pct"/>
                  <w:vMerge w:val="continue"/>
                  <w:tcMar>
                    <w:left w:w="0" w:type="dxa"/>
                    <w:right w:w="0" w:type="dxa"/>
                  </w:tcMar>
                  <w:vAlign w:val="center"/>
                </w:tcPr>
                <w:p w14:paraId="0E4AFBA4">
                  <w:pPr>
                    <w:jc w:val="center"/>
                    <w:rPr>
                      <w:kern w:val="0"/>
                      <w:szCs w:val="21"/>
                    </w:rPr>
                  </w:pPr>
                </w:p>
              </w:tc>
              <w:tc>
                <w:tcPr>
                  <w:tcW w:w="227" w:type="pct"/>
                  <w:vMerge w:val="continue"/>
                  <w:vAlign w:val="center"/>
                </w:tcPr>
                <w:p w14:paraId="6DA4851D">
                  <w:pPr>
                    <w:jc w:val="center"/>
                    <w:rPr>
                      <w:kern w:val="0"/>
                      <w:szCs w:val="21"/>
                    </w:rPr>
                  </w:pPr>
                </w:p>
              </w:tc>
            </w:tr>
          </w:tbl>
          <w:p w14:paraId="013F8F1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eastAsia="宋体"/>
                <w:b/>
                <w:sz w:val="21"/>
                <w:szCs w:val="21"/>
                <w:lang w:val="en-US" w:eastAsia="zh-CN"/>
              </w:rPr>
            </w:pPr>
            <w:r>
              <w:rPr>
                <w:rFonts w:hint="eastAsia"/>
                <w:b/>
                <w:sz w:val="21"/>
                <w:szCs w:val="21"/>
                <w:lang w:val="en-US" w:eastAsia="zh-CN"/>
              </w:rPr>
              <w:t>注：非甲烷总烃为挥发性有机物的折算量。</w:t>
            </w:r>
          </w:p>
          <w:p w14:paraId="0A67D531">
            <w:pPr>
              <w:spacing w:line="480" w:lineRule="exact"/>
              <w:jc w:val="center"/>
              <w:rPr>
                <w:b/>
                <w:sz w:val="24"/>
              </w:rPr>
            </w:pPr>
            <w:r>
              <w:rPr>
                <w:b/>
                <w:sz w:val="24"/>
              </w:rPr>
              <w:t>表4-</w:t>
            </w:r>
            <w:r>
              <w:rPr>
                <w:rFonts w:hint="eastAsia"/>
                <w:b/>
                <w:sz w:val="24"/>
              </w:rPr>
              <w:t>9</w:t>
            </w:r>
            <w:r>
              <w:rPr>
                <w:b/>
                <w:sz w:val="24"/>
              </w:rPr>
              <w:t xml:space="preserve">  本项目建成后全厂无组织废气产生及排放量一览表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4494"/>
              <w:gridCol w:w="1832"/>
              <w:gridCol w:w="1832"/>
              <w:gridCol w:w="1832"/>
              <w:gridCol w:w="1835"/>
            </w:tblGrid>
            <w:tr w14:paraId="044A1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Align w:val="center"/>
                </w:tcPr>
                <w:p w14:paraId="4C6A605D">
                  <w:pPr>
                    <w:jc w:val="center"/>
                    <w:rPr>
                      <w:b/>
                      <w:szCs w:val="21"/>
                    </w:rPr>
                  </w:pPr>
                  <w:r>
                    <w:rPr>
                      <w:b/>
                      <w:szCs w:val="21"/>
                    </w:rPr>
                    <w:t>污染源位置</w:t>
                  </w:r>
                </w:p>
              </w:tc>
              <w:tc>
                <w:tcPr>
                  <w:tcW w:w="1672" w:type="pct"/>
                  <w:vAlign w:val="center"/>
                </w:tcPr>
                <w:p w14:paraId="27FFBD06">
                  <w:pPr>
                    <w:jc w:val="center"/>
                    <w:rPr>
                      <w:b/>
                      <w:szCs w:val="21"/>
                    </w:rPr>
                  </w:pPr>
                  <w:r>
                    <w:rPr>
                      <w:b/>
                      <w:szCs w:val="21"/>
                    </w:rPr>
                    <w:t>工段</w:t>
                  </w:r>
                </w:p>
              </w:tc>
              <w:tc>
                <w:tcPr>
                  <w:tcW w:w="682" w:type="pct"/>
                  <w:vAlign w:val="center"/>
                </w:tcPr>
                <w:p w14:paraId="1903534B">
                  <w:pPr>
                    <w:jc w:val="center"/>
                    <w:rPr>
                      <w:b/>
                      <w:szCs w:val="21"/>
                    </w:rPr>
                  </w:pPr>
                  <w:r>
                    <w:rPr>
                      <w:b/>
                      <w:szCs w:val="21"/>
                    </w:rPr>
                    <w:t>污染物名称</w:t>
                  </w:r>
                </w:p>
              </w:tc>
              <w:tc>
                <w:tcPr>
                  <w:tcW w:w="682" w:type="pct"/>
                  <w:tcMar>
                    <w:left w:w="0" w:type="dxa"/>
                    <w:right w:w="0" w:type="dxa"/>
                  </w:tcMar>
                  <w:vAlign w:val="center"/>
                </w:tcPr>
                <w:p w14:paraId="2F9F1BFE">
                  <w:pPr>
                    <w:jc w:val="center"/>
                    <w:rPr>
                      <w:b/>
                      <w:szCs w:val="21"/>
                    </w:rPr>
                  </w:pPr>
                  <w:r>
                    <w:rPr>
                      <w:b/>
                      <w:szCs w:val="21"/>
                    </w:rPr>
                    <w:t>排放量t/a</w:t>
                  </w:r>
                </w:p>
              </w:tc>
              <w:tc>
                <w:tcPr>
                  <w:tcW w:w="682" w:type="pct"/>
                  <w:tcMar>
                    <w:left w:w="0" w:type="dxa"/>
                    <w:right w:w="0" w:type="dxa"/>
                  </w:tcMar>
                  <w:vAlign w:val="center"/>
                </w:tcPr>
                <w:p w14:paraId="0601BE83">
                  <w:pPr>
                    <w:jc w:val="center"/>
                    <w:rPr>
                      <w:b/>
                      <w:szCs w:val="21"/>
                    </w:rPr>
                  </w:pPr>
                  <w:r>
                    <w:rPr>
                      <w:b/>
                      <w:szCs w:val="21"/>
                    </w:rPr>
                    <w:t>面源面积m</w:t>
                  </w:r>
                  <w:r>
                    <w:rPr>
                      <w:b/>
                      <w:szCs w:val="21"/>
                      <w:vertAlign w:val="superscript"/>
                    </w:rPr>
                    <w:t>2</w:t>
                  </w:r>
                </w:p>
              </w:tc>
              <w:tc>
                <w:tcPr>
                  <w:tcW w:w="683" w:type="pct"/>
                  <w:tcMar>
                    <w:left w:w="0" w:type="dxa"/>
                    <w:right w:w="0" w:type="dxa"/>
                  </w:tcMar>
                  <w:vAlign w:val="center"/>
                </w:tcPr>
                <w:p w14:paraId="0BF655E6">
                  <w:pPr>
                    <w:jc w:val="center"/>
                    <w:rPr>
                      <w:b/>
                      <w:szCs w:val="21"/>
                    </w:rPr>
                  </w:pPr>
                  <w:r>
                    <w:rPr>
                      <w:b/>
                      <w:szCs w:val="21"/>
                    </w:rPr>
                    <w:t>面源高度m</w:t>
                  </w:r>
                </w:p>
              </w:tc>
            </w:tr>
            <w:tr w14:paraId="5FC4B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Merge w:val="restart"/>
                  <w:vAlign w:val="center"/>
                </w:tcPr>
                <w:p w14:paraId="29320FC4">
                  <w:pPr>
                    <w:jc w:val="center"/>
                    <w:rPr>
                      <w:bCs/>
                      <w:szCs w:val="21"/>
                    </w:rPr>
                  </w:pPr>
                  <w:r>
                    <w:rPr>
                      <w:rFonts w:hint="eastAsia"/>
                      <w:bCs/>
                      <w:szCs w:val="21"/>
                    </w:rPr>
                    <w:t>车间</w:t>
                  </w:r>
                </w:p>
              </w:tc>
              <w:tc>
                <w:tcPr>
                  <w:tcW w:w="1672" w:type="pct"/>
                  <w:vMerge w:val="restart"/>
                  <w:vAlign w:val="center"/>
                </w:tcPr>
                <w:p w14:paraId="0093ACF2">
                  <w:pPr>
                    <w:widowControl/>
                    <w:jc w:val="center"/>
                    <w:rPr>
                      <w:szCs w:val="21"/>
                    </w:rPr>
                  </w:pPr>
                  <w:r>
                    <w:rPr>
                      <w:szCs w:val="21"/>
                    </w:rPr>
                    <w:t>调胶、背胶及烘干</w:t>
                  </w:r>
                  <w:r>
                    <w:rPr>
                      <w:rFonts w:hint="eastAsia"/>
                      <w:szCs w:val="21"/>
                    </w:rPr>
                    <w:t>、投料</w:t>
                  </w:r>
                </w:p>
              </w:tc>
              <w:tc>
                <w:tcPr>
                  <w:tcW w:w="682" w:type="pct"/>
                  <w:vAlign w:val="center"/>
                </w:tcPr>
                <w:p w14:paraId="3C5E721E">
                  <w:pPr>
                    <w:widowControl/>
                    <w:jc w:val="center"/>
                    <w:rPr>
                      <w:rFonts w:hint="eastAsia" w:ascii="Times New Roman" w:hAnsi="Times New Roman" w:eastAsia="宋体" w:cs="Times New Roman"/>
                      <w:szCs w:val="21"/>
                    </w:rPr>
                  </w:pPr>
                  <w:r>
                    <w:rPr>
                      <w:rFonts w:hint="eastAsia"/>
                      <w:kern w:val="0"/>
                      <w:szCs w:val="21"/>
                      <w:lang w:val="en-US" w:eastAsia="zh-CN"/>
                    </w:rPr>
                    <w:t>挥发性有机物</w:t>
                  </w:r>
                </w:p>
              </w:tc>
              <w:tc>
                <w:tcPr>
                  <w:tcW w:w="682" w:type="pct"/>
                  <w:tcMar>
                    <w:left w:w="0" w:type="dxa"/>
                    <w:right w:w="0" w:type="dxa"/>
                  </w:tcMar>
                  <w:vAlign w:val="center"/>
                </w:tcPr>
                <w:p w14:paraId="0E4CB734">
                  <w:pPr>
                    <w:widowControl/>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073</w:t>
                  </w:r>
                </w:p>
              </w:tc>
              <w:tc>
                <w:tcPr>
                  <w:tcW w:w="682" w:type="pct"/>
                  <w:vMerge w:val="restart"/>
                  <w:tcMar>
                    <w:left w:w="0" w:type="dxa"/>
                    <w:right w:w="0" w:type="dxa"/>
                  </w:tcMar>
                  <w:vAlign w:val="center"/>
                </w:tcPr>
                <w:p w14:paraId="301CFDB7">
                  <w:pPr>
                    <w:widowControl/>
                    <w:jc w:val="center"/>
                    <w:textAlignment w:val="center"/>
                    <w:rPr>
                      <w:szCs w:val="21"/>
                    </w:rPr>
                  </w:pPr>
                  <w:r>
                    <w:rPr>
                      <w:rFonts w:hint="eastAsia"/>
                      <w:szCs w:val="21"/>
                    </w:rPr>
                    <w:t>2000</w:t>
                  </w:r>
                </w:p>
              </w:tc>
              <w:tc>
                <w:tcPr>
                  <w:tcW w:w="683" w:type="pct"/>
                  <w:vMerge w:val="restart"/>
                  <w:tcMar>
                    <w:left w:w="0" w:type="dxa"/>
                    <w:right w:w="0" w:type="dxa"/>
                  </w:tcMar>
                  <w:vAlign w:val="center"/>
                </w:tcPr>
                <w:p w14:paraId="633E1551">
                  <w:pPr>
                    <w:jc w:val="center"/>
                    <w:rPr>
                      <w:szCs w:val="21"/>
                    </w:rPr>
                  </w:pPr>
                  <w:r>
                    <w:rPr>
                      <w:rFonts w:hint="eastAsia"/>
                      <w:szCs w:val="21"/>
                    </w:rPr>
                    <w:t>13</w:t>
                  </w:r>
                </w:p>
              </w:tc>
            </w:tr>
            <w:tr w14:paraId="19F0A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97" w:type="pct"/>
                  <w:vMerge w:val="continue"/>
                  <w:vAlign w:val="center"/>
                </w:tcPr>
                <w:p w14:paraId="1953B633">
                  <w:pPr>
                    <w:widowControl/>
                    <w:jc w:val="center"/>
                    <w:textAlignment w:val="center"/>
                  </w:pPr>
                </w:p>
              </w:tc>
              <w:tc>
                <w:tcPr>
                  <w:tcW w:w="1672" w:type="pct"/>
                  <w:vMerge w:val="continue"/>
                  <w:vAlign w:val="center"/>
                </w:tcPr>
                <w:p w14:paraId="3B8181D8">
                  <w:pPr>
                    <w:widowControl/>
                    <w:jc w:val="center"/>
                    <w:textAlignment w:val="center"/>
                  </w:pPr>
                </w:p>
              </w:tc>
              <w:tc>
                <w:tcPr>
                  <w:tcW w:w="682" w:type="pct"/>
                  <w:vAlign w:val="center"/>
                </w:tcPr>
                <w:p w14:paraId="725F0199">
                  <w:pPr>
                    <w:widowControl/>
                    <w:jc w:val="center"/>
                    <w:rPr>
                      <w:rFonts w:hint="eastAsia" w:ascii="Times New Roman" w:hAnsi="Times New Roman" w:eastAsia="宋体" w:cs="Times New Roman"/>
                      <w:szCs w:val="21"/>
                    </w:rPr>
                  </w:pPr>
                  <w:r>
                    <w:rPr>
                      <w:rFonts w:hint="eastAsia" w:ascii="Times New Roman" w:hAnsi="Times New Roman" w:eastAsia="宋体" w:cs="Times New Roman"/>
                      <w:szCs w:val="21"/>
                    </w:rPr>
                    <w:t>颗粒物</w:t>
                  </w:r>
                </w:p>
              </w:tc>
              <w:tc>
                <w:tcPr>
                  <w:tcW w:w="682" w:type="pct"/>
                  <w:tcMar>
                    <w:left w:w="0" w:type="dxa"/>
                    <w:right w:w="0" w:type="dxa"/>
                  </w:tcMar>
                  <w:vAlign w:val="center"/>
                </w:tcPr>
                <w:p w14:paraId="41CD4B62">
                  <w:pPr>
                    <w:widowControl/>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0.</w:t>
                  </w:r>
                  <w:r>
                    <w:rPr>
                      <w:rFonts w:hint="eastAsia" w:cs="Times New Roman"/>
                      <w:szCs w:val="21"/>
                      <w:lang w:val="en-US" w:eastAsia="zh-CN"/>
                    </w:rPr>
                    <w:t>1835</w:t>
                  </w:r>
                </w:p>
              </w:tc>
              <w:tc>
                <w:tcPr>
                  <w:tcW w:w="682" w:type="pct"/>
                  <w:vMerge w:val="continue"/>
                  <w:tcMar>
                    <w:left w:w="0" w:type="dxa"/>
                    <w:right w:w="0" w:type="dxa"/>
                  </w:tcMar>
                  <w:vAlign w:val="center"/>
                </w:tcPr>
                <w:p w14:paraId="7BD1D1BA">
                  <w:pPr>
                    <w:widowControl/>
                    <w:jc w:val="center"/>
                    <w:textAlignment w:val="center"/>
                    <w:rPr>
                      <w:szCs w:val="21"/>
                    </w:rPr>
                  </w:pPr>
                </w:p>
              </w:tc>
              <w:tc>
                <w:tcPr>
                  <w:tcW w:w="683" w:type="pct"/>
                  <w:vMerge w:val="continue"/>
                  <w:tcMar>
                    <w:left w:w="0" w:type="dxa"/>
                    <w:right w:w="0" w:type="dxa"/>
                  </w:tcMar>
                  <w:vAlign w:val="center"/>
                </w:tcPr>
                <w:p w14:paraId="3B67D8B0">
                  <w:pPr>
                    <w:widowControl/>
                    <w:jc w:val="center"/>
                    <w:textAlignment w:val="center"/>
                    <w:rPr>
                      <w:szCs w:val="21"/>
                    </w:rPr>
                  </w:pPr>
                </w:p>
              </w:tc>
            </w:tr>
            <w:tr w14:paraId="6F8AF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9" w:type="pct"/>
                  <w:gridSpan w:val="2"/>
                  <w:vMerge w:val="restart"/>
                  <w:vAlign w:val="center"/>
                </w:tcPr>
                <w:p w14:paraId="3FFE06B1">
                  <w:pPr>
                    <w:jc w:val="center"/>
                    <w:rPr>
                      <w:bCs/>
                      <w:szCs w:val="21"/>
                    </w:rPr>
                  </w:pPr>
                  <w:r>
                    <w:rPr>
                      <w:bCs/>
                      <w:szCs w:val="21"/>
                    </w:rPr>
                    <w:t>合计</w:t>
                  </w:r>
                </w:p>
              </w:tc>
              <w:tc>
                <w:tcPr>
                  <w:tcW w:w="682" w:type="pct"/>
                  <w:vAlign w:val="center"/>
                </w:tcPr>
                <w:p w14:paraId="0F538F7E">
                  <w:pPr>
                    <w:widowControl/>
                    <w:jc w:val="center"/>
                    <w:rPr>
                      <w:rFonts w:hint="eastAsia" w:ascii="Times New Roman" w:hAnsi="Times New Roman" w:eastAsia="宋体" w:cs="Times New Roman"/>
                      <w:szCs w:val="21"/>
                    </w:rPr>
                  </w:pPr>
                  <w:r>
                    <w:rPr>
                      <w:rFonts w:hint="eastAsia"/>
                      <w:kern w:val="0"/>
                      <w:szCs w:val="21"/>
                      <w:lang w:val="en-US" w:eastAsia="zh-CN"/>
                    </w:rPr>
                    <w:t>挥发性有机物</w:t>
                  </w:r>
                </w:p>
              </w:tc>
              <w:tc>
                <w:tcPr>
                  <w:tcW w:w="682" w:type="pct"/>
                  <w:tcMar>
                    <w:left w:w="0" w:type="dxa"/>
                    <w:right w:w="0" w:type="dxa"/>
                  </w:tcMar>
                  <w:vAlign w:val="center"/>
                </w:tcPr>
                <w:p w14:paraId="13B48A6D">
                  <w:pPr>
                    <w:widowControl/>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073</w:t>
                  </w:r>
                </w:p>
              </w:tc>
              <w:tc>
                <w:tcPr>
                  <w:tcW w:w="682" w:type="pct"/>
                  <w:vMerge w:val="restart"/>
                  <w:tcMar>
                    <w:left w:w="0" w:type="dxa"/>
                    <w:right w:w="0" w:type="dxa"/>
                  </w:tcMar>
                  <w:vAlign w:val="center"/>
                </w:tcPr>
                <w:p w14:paraId="102F2D2D">
                  <w:pPr>
                    <w:widowControl/>
                    <w:jc w:val="center"/>
                    <w:textAlignment w:val="center"/>
                    <w:rPr>
                      <w:szCs w:val="21"/>
                    </w:rPr>
                  </w:pPr>
                  <w:r>
                    <w:rPr>
                      <w:szCs w:val="21"/>
                    </w:rPr>
                    <w:t>/</w:t>
                  </w:r>
                </w:p>
              </w:tc>
              <w:tc>
                <w:tcPr>
                  <w:tcW w:w="683" w:type="pct"/>
                  <w:vMerge w:val="restart"/>
                  <w:tcMar>
                    <w:left w:w="0" w:type="dxa"/>
                    <w:right w:w="0" w:type="dxa"/>
                  </w:tcMar>
                  <w:vAlign w:val="center"/>
                </w:tcPr>
                <w:p w14:paraId="7CE4C5F3">
                  <w:pPr>
                    <w:jc w:val="center"/>
                    <w:rPr>
                      <w:kern w:val="0"/>
                      <w:szCs w:val="21"/>
                    </w:rPr>
                  </w:pPr>
                  <w:r>
                    <w:rPr>
                      <w:kern w:val="0"/>
                      <w:szCs w:val="21"/>
                    </w:rPr>
                    <w:t>/</w:t>
                  </w:r>
                </w:p>
              </w:tc>
            </w:tr>
            <w:tr w14:paraId="27DAF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2269" w:type="pct"/>
                  <w:gridSpan w:val="2"/>
                  <w:vMerge w:val="continue"/>
                  <w:vAlign w:val="center"/>
                </w:tcPr>
                <w:p w14:paraId="41C1B0B9">
                  <w:pPr>
                    <w:jc w:val="center"/>
                    <w:rPr>
                      <w:bCs/>
                      <w:szCs w:val="21"/>
                    </w:rPr>
                  </w:pPr>
                </w:p>
              </w:tc>
              <w:tc>
                <w:tcPr>
                  <w:tcW w:w="682" w:type="pct"/>
                  <w:vAlign w:val="center"/>
                </w:tcPr>
                <w:p w14:paraId="3EA58C7D">
                  <w:pPr>
                    <w:widowControl/>
                    <w:jc w:val="center"/>
                    <w:rPr>
                      <w:rFonts w:hint="eastAsia" w:ascii="Times New Roman" w:hAnsi="Times New Roman" w:eastAsia="宋体" w:cs="Times New Roman"/>
                      <w:szCs w:val="21"/>
                    </w:rPr>
                  </w:pPr>
                  <w:r>
                    <w:rPr>
                      <w:rFonts w:hint="eastAsia" w:ascii="Times New Roman" w:hAnsi="Times New Roman" w:eastAsia="宋体" w:cs="Times New Roman"/>
                      <w:szCs w:val="21"/>
                    </w:rPr>
                    <w:t>颗粒物</w:t>
                  </w:r>
                </w:p>
              </w:tc>
              <w:tc>
                <w:tcPr>
                  <w:tcW w:w="682" w:type="pct"/>
                  <w:tcMar>
                    <w:left w:w="0" w:type="dxa"/>
                    <w:right w:w="0" w:type="dxa"/>
                  </w:tcMar>
                  <w:vAlign w:val="center"/>
                </w:tcPr>
                <w:p w14:paraId="700B64BC">
                  <w:pPr>
                    <w:widowControl/>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0.</w:t>
                  </w:r>
                  <w:r>
                    <w:rPr>
                      <w:rFonts w:hint="eastAsia" w:cs="Times New Roman"/>
                      <w:szCs w:val="21"/>
                      <w:lang w:val="en-US" w:eastAsia="zh-CN"/>
                    </w:rPr>
                    <w:t>1835</w:t>
                  </w:r>
                </w:p>
              </w:tc>
              <w:tc>
                <w:tcPr>
                  <w:tcW w:w="682" w:type="pct"/>
                  <w:vMerge w:val="continue"/>
                  <w:tcMar>
                    <w:left w:w="0" w:type="dxa"/>
                    <w:right w:w="0" w:type="dxa"/>
                  </w:tcMar>
                  <w:vAlign w:val="center"/>
                </w:tcPr>
                <w:p w14:paraId="00246B86">
                  <w:pPr>
                    <w:widowControl/>
                    <w:jc w:val="center"/>
                    <w:textAlignment w:val="center"/>
                    <w:rPr>
                      <w:szCs w:val="21"/>
                    </w:rPr>
                  </w:pPr>
                </w:p>
              </w:tc>
              <w:tc>
                <w:tcPr>
                  <w:tcW w:w="683" w:type="pct"/>
                  <w:vMerge w:val="continue"/>
                  <w:tcMar>
                    <w:left w:w="0" w:type="dxa"/>
                    <w:right w:w="0" w:type="dxa"/>
                  </w:tcMar>
                  <w:vAlign w:val="center"/>
                </w:tcPr>
                <w:p w14:paraId="103DA476">
                  <w:pPr>
                    <w:jc w:val="center"/>
                    <w:rPr>
                      <w:kern w:val="0"/>
                      <w:szCs w:val="21"/>
                    </w:rPr>
                  </w:pPr>
                </w:p>
              </w:tc>
            </w:tr>
          </w:tbl>
          <w:p w14:paraId="17967D96">
            <w:pPr>
              <w:pStyle w:val="3"/>
              <w:numPr>
                <w:ilvl w:val="0"/>
                <w:numId w:val="0"/>
              </w:numPr>
              <w:spacing w:line="480" w:lineRule="exact"/>
              <w:rPr>
                <w:color w:val="FF0000"/>
                <w:sz w:val="24"/>
                <w:szCs w:val="32"/>
              </w:rPr>
            </w:pPr>
          </w:p>
        </w:tc>
      </w:tr>
    </w:tbl>
    <w:p w14:paraId="148B1D93">
      <w:pPr>
        <w:pStyle w:val="2"/>
        <w:rPr>
          <w:color w:val="FF0000"/>
        </w:rPr>
        <w:sectPr>
          <w:pgSz w:w="16840" w:h="11907" w:orient="landscape"/>
          <w:pgMar w:top="1797" w:right="1440" w:bottom="1797" w:left="1440" w:header="851" w:footer="851" w:gutter="0"/>
          <w:pgBorders>
            <w:top w:val="none" w:sz="0" w:space="0"/>
            <w:left w:val="none" w:sz="0" w:space="0"/>
            <w:bottom w:val="none" w:sz="0" w:space="0"/>
            <w:right w:val="none" w:sz="0" w:space="0"/>
          </w:pgBorders>
          <w:cols w:space="720" w:num="1"/>
          <w:docGrid w:linePitch="312" w:charSpace="0"/>
        </w:sectPr>
      </w:pPr>
    </w:p>
    <w:tbl>
      <w:tblPr>
        <w:tblStyle w:val="28"/>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9168"/>
      </w:tblGrid>
      <w:tr w14:paraId="78206A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47" w:hRule="atLeast"/>
          <w:jc w:val="center"/>
        </w:trPr>
        <w:tc>
          <w:tcPr>
            <w:tcW w:w="456" w:type="dxa"/>
            <w:tcBorders>
              <w:tl2br w:val="nil"/>
              <w:tr2bl w:val="nil"/>
            </w:tcBorders>
            <w:vAlign w:val="center"/>
          </w:tcPr>
          <w:p w14:paraId="37FA59C2">
            <w:pPr>
              <w:adjustRightInd w:val="0"/>
              <w:snapToGrid w:val="0"/>
              <w:jc w:val="center"/>
              <w:rPr>
                <w:color w:val="FF0000"/>
              </w:rPr>
            </w:pPr>
            <w:r>
              <w:rPr>
                <w:b/>
                <w:sz w:val="24"/>
              </w:rPr>
              <w:t>运营期环境影响和保护措施</w:t>
            </w:r>
          </w:p>
        </w:tc>
        <w:tc>
          <w:tcPr>
            <w:tcW w:w="8671" w:type="dxa"/>
            <w:tcBorders>
              <w:tl2br w:val="nil"/>
              <w:tr2bl w:val="nil"/>
            </w:tcBorders>
            <w:vAlign w:val="center"/>
          </w:tcPr>
          <w:p w14:paraId="2616A195">
            <w:pPr>
              <w:spacing w:line="360" w:lineRule="auto"/>
              <w:ind w:firstLine="482" w:firstLineChars="200"/>
              <w:rPr>
                <w:rFonts w:hint="default"/>
                <w:b/>
                <w:bCs/>
                <w:sz w:val="24"/>
                <w:szCs w:val="24"/>
                <w:lang w:val="en-US" w:eastAsia="zh-CN"/>
              </w:rPr>
            </w:pPr>
            <w:r>
              <w:rPr>
                <w:rFonts w:hint="default"/>
                <w:b/>
                <w:bCs/>
                <w:sz w:val="24"/>
                <w:szCs w:val="24"/>
                <w:lang w:val="en-US" w:eastAsia="zh-CN"/>
              </w:rPr>
              <w:t>恶臭污染物环境影响分析</w:t>
            </w:r>
          </w:p>
          <w:p w14:paraId="612D85F3">
            <w:pPr>
              <w:spacing w:line="360" w:lineRule="auto"/>
              <w:ind w:firstLine="480" w:firstLineChars="200"/>
              <w:rPr>
                <w:rFonts w:hint="default"/>
                <w:sz w:val="24"/>
                <w:szCs w:val="24"/>
                <w:lang w:val="en-US" w:eastAsia="zh-CN"/>
              </w:rPr>
            </w:pPr>
            <w:r>
              <w:rPr>
                <w:rFonts w:hint="eastAsia"/>
                <w:sz w:val="24"/>
                <w:szCs w:val="24"/>
                <w:lang w:val="en-US" w:eastAsia="zh-CN"/>
              </w:rPr>
              <w:t>本项目使用丁苯乳胶具有一定气味，因此本项目进行恶臭污染物环境影响分析。</w:t>
            </w:r>
          </w:p>
          <w:p w14:paraId="195EB903">
            <w:pPr>
              <w:spacing w:line="360" w:lineRule="auto"/>
              <w:ind w:firstLine="480" w:firstLineChars="200"/>
              <w:rPr>
                <w:rFonts w:hint="default"/>
                <w:sz w:val="24"/>
                <w:szCs w:val="24"/>
                <w:lang w:val="en-US" w:eastAsia="zh-CN"/>
              </w:rPr>
            </w:pPr>
            <w:r>
              <w:rPr>
                <w:rFonts w:hint="default"/>
                <w:sz w:val="24"/>
                <w:szCs w:val="24"/>
                <w:lang w:val="en-US" w:eastAsia="zh-CN"/>
              </w:rPr>
              <w:t>根据《恶臭污染物排放标准》（GB14554-93）定义，恶臭气体是</w:t>
            </w:r>
            <w:r>
              <w:rPr>
                <w:rFonts w:hint="eastAsia"/>
                <w:sz w:val="24"/>
                <w:szCs w:val="24"/>
                <w:lang w:val="en-US" w:eastAsia="zh-CN"/>
              </w:rPr>
              <w:t>“</w:t>
            </w:r>
            <w:r>
              <w:rPr>
                <w:rFonts w:hint="default"/>
                <w:sz w:val="24"/>
                <w:szCs w:val="24"/>
                <w:lang w:val="en-US" w:eastAsia="zh-CN"/>
              </w:rPr>
              <w:t>指一切刺激嗅觉引起人们不愉快及损害生活环境的气体物质</w:t>
            </w:r>
            <w:r>
              <w:rPr>
                <w:rFonts w:hint="eastAsia"/>
                <w:sz w:val="24"/>
                <w:szCs w:val="24"/>
                <w:lang w:val="en-US" w:eastAsia="zh-CN"/>
              </w:rPr>
              <w:t>”</w:t>
            </w:r>
            <w:r>
              <w:rPr>
                <w:rFonts w:hint="default"/>
                <w:sz w:val="24"/>
                <w:szCs w:val="24"/>
                <w:lang w:val="en-US" w:eastAsia="zh-CN"/>
              </w:rPr>
              <w:t>，恶臭物质的质量浓度，用化学分析法测度，以毫克/升表示；而臭气浓度则以稀释倍数法测度，为嗅阈值，无量纲。因此可用臭气浓度指标来衡量项目生产过程中排放的恶臭污染程度。</w:t>
            </w:r>
          </w:p>
          <w:p w14:paraId="4C6F25F6">
            <w:pPr>
              <w:spacing w:line="360" w:lineRule="auto"/>
              <w:ind w:firstLine="480" w:firstLineChars="200"/>
              <w:rPr>
                <w:rFonts w:hint="default"/>
                <w:sz w:val="24"/>
                <w:szCs w:val="24"/>
                <w:lang w:val="en-US" w:eastAsia="zh-CN"/>
              </w:rPr>
            </w:pPr>
            <w:r>
              <w:rPr>
                <w:rFonts w:hint="default"/>
                <w:sz w:val="24"/>
                <w:szCs w:val="24"/>
                <w:lang w:val="en-US" w:eastAsia="zh-CN"/>
              </w:rPr>
              <w:t>恶臭的成因及危害</w:t>
            </w:r>
          </w:p>
          <w:p w14:paraId="1866762A">
            <w:pPr>
              <w:spacing w:line="360" w:lineRule="auto"/>
              <w:ind w:firstLine="480" w:firstLineChars="200"/>
              <w:rPr>
                <w:rFonts w:hint="default"/>
                <w:sz w:val="24"/>
                <w:szCs w:val="24"/>
                <w:lang w:val="en-US" w:eastAsia="zh-CN"/>
              </w:rPr>
            </w:pPr>
            <w:r>
              <w:rPr>
                <w:rFonts w:hint="default"/>
                <w:sz w:val="24"/>
                <w:szCs w:val="24"/>
                <w:lang w:val="en-US" w:eastAsia="zh-CN"/>
              </w:rPr>
              <w:t>《中华人民共和国大气污染防治法》有关条例已对防治恶臭污染作了规定。</w:t>
            </w:r>
          </w:p>
          <w:p w14:paraId="40C84DB5">
            <w:pPr>
              <w:spacing w:line="360" w:lineRule="auto"/>
              <w:ind w:firstLine="480" w:firstLineChars="200"/>
              <w:rPr>
                <w:rFonts w:hint="default"/>
                <w:sz w:val="24"/>
                <w:szCs w:val="24"/>
                <w:lang w:val="en-US" w:eastAsia="zh-CN"/>
              </w:rPr>
            </w:pPr>
            <w:r>
              <w:rPr>
                <w:rFonts w:hint="default"/>
                <w:sz w:val="24"/>
                <w:szCs w:val="24"/>
                <w:lang w:val="en-US" w:eastAsia="zh-CN"/>
              </w:rPr>
              <w:t>①恶臭来源</w:t>
            </w:r>
          </w:p>
          <w:p w14:paraId="50316CE2">
            <w:pPr>
              <w:spacing w:line="360" w:lineRule="auto"/>
              <w:ind w:firstLine="480" w:firstLineChars="200"/>
              <w:rPr>
                <w:rFonts w:hint="default"/>
                <w:sz w:val="24"/>
                <w:szCs w:val="24"/>
                <w:lang w:val="en-US" w:eastAsia="zh-CN"/>
              </w:rPr>
            </w:pPr>
            <w:r>
              <w:rPr>
                <w:rFonts w:hint="default"/>
                <w:sz w:val="24"/>
                <w:szCs w:val="24"/>
                <w:lang w:val="en-US" w:eastAsia="zh-CN"/>
              </w:rPr>
              <w:t>迄今凭人的嗅觉即能感觉到的恶臭物质有4000多种，其中对健康危害较大的有硫醇类、氨、硫化氢、甲基硫、三甲胺、甲醛、苯乙烯、铬酸、酚类等几十种。有些恶臭物质随着废水、废渣排入水体，不仅使水发生异臭异味，而且使鱼类等水生生物发生恶臭。恶臭物质分布广，影响范围大，已经成为公害，在一些地方的环保投诉中，恶臭案件仅次于噪声。</w:t>
            </w:r>
          </w:p>
          <w:p w14:paraId="339AC501">
            <w:pPr>
              <w:spacing w:line="360" w:lineRule="auto"/>
              <w:ind w:firstLine="480" w:firstLineChars="200"/>
              <w:rPr>
                <w:rFonts w:hint="default"/>
                <w:sz w:val="24"/>
                <w:szCs w:val="24"/>
                <w:lang w:val="en-US" w:eastAsia="zh-CN"/>
              </w:rPr>
            </w:pPr>
            <w:r>
              <w:rPr>
                <w:rFonts w:hint="default"/>
                <w:sz w:val="24"/>
                <w:szCs w:val="24"/>
                <w:lang w:val="en-US" w:eastAsia="zh-CN"/>
              </w:rPr>
              <w:t>②发臭机制</w:t>
            </w:r>
          </w:p>
          <w:p w14:paraId="19F1BF8B">
            <w:pPr>
              <w:spacing w:line="360" w:lineRule="auto"/>
              <w:ind w:firstLine="480" w:firstLineChars="200"/>
              <w:rPr>
                <w:rFonts w:hint="default"/>
                <w:sz w:val="24"/>
                <w:szCs w:val="24"/>
                <w:lang w:val="en-US" w:eastAsia="zh-CN"/>
              </w:rPr>
            </w:pPr>
            <w:r>
              <w:rPr>
                <w:rFonts w:hint="default"/>
                <w:sz w:val="24"/>
                <w:szCs w:val="24"/>
                <w:lang w:val="en-US" w:eastAsia="zh-CN"/>
              </w:rPr>
              <w:t>恶臭物质发臭和它的分子结构有关，如两个烷基同硫结合时，就会变成二甲基硫(CH</w:t>
            </w:r>
            <w:r>
              <w:rPr>
                <w:rFonts w:hint="default"/>
                <w:sz w:val="24"/>
                <w:szCs w:val="24"/>
                <w:vertAlign w:val="subscript"/>
                <w:lang w:val="en-US" w:eastAsia="zh-CN"/>
              </w:rPr>
              <w:t>3</w:t>
            </w:r>
            <w:r>
              <w:rPr>
                <w:rFonts w:hint="default"/>
                <w:sz w:val="24"/>
                <w:szCs w:val="24"/>
                <w:lang w:val="en-US" w:eastAsia="zh-CN"/>
              </w:rPr>
              <w:t>)</w:t>
            </w:r>
            <w:r>
              <w:rPr>
                <w:rFonts w:hint="default"/>
                <w:sz w:val="24"/>
                <w:szCs w:val="24"/>
                <w:vertAlign w:val="subscript"/>
                <w:lang w:val="en-US" w:eastAsia="zh-CN"/>
              </w:rPr>
              <w:t>2</w:t>
            </w:r>
            <w:r>
              <w:rPr>
                <w:rFonts w:hint="default"/>
                <w:sz w:val="24"/>
                <w:szCs w:val="24"/>
                <w:lang w:val="en-US" w:eastAsia="zh-CN"/>
              </w:rPr>
              <w:t>S和甲基乙基硫CH</w:t>
            </w:r>
            <w:r>
              <w:rPr>
                <w:rFonts w:hint="default"/>
                <w:sz w:val="24"/>
                <w:szCs w:val="24"/>
                <w:vertAlign w:val="subscript"/>
                <w:lang w:val="en-US" w:eastAsia="zh-CN"/>
              </w:rPr>
              <w:t>3</w:t>
            </w:r>
            <w:r>
              <w:rPr>
                <w:rFonts w:hint="default"/>
                <w:sz w:val="24"/>
                <w:szCs w:val="24"/>
                <w:lang w:val="en-US" w:eastAsia="zh-CN"/>
              </w:rPr>
              <w:t>C</w:t>
            </w:r>
            <w:r>
              <w:rPr>
                <w:rFonts w:hint="default"/>
                <w:sz w:val="24"/>
                <w:szCs w:val="24"/>
                <w:vertAlign w:val="subscript"/>
                <w:lang w:val="en-US" w:eastAsia="zh-CN"/>
              </w:rPr>
              <w:t>2</w:t>
            </w:r>
            <w:r>
              <w:rPr>
                <w:rFonts w:hint="default"/>
                <w:sz w:val="24"/>
                <w:szCs w:val="24"/>
                <w:lang w:val="en-US" w:eastAsia="zh-CN"/>
              </w:rPr>
              <w:t>H</w:t>
            </w:r>
            <w:r>
              <w:rPr>
                <w:rFonts w:hint="default"/>
                <w:sz w:val="24"/>
                <w:szCs w:val="24"/>
                <w:vertAlign w:val="subscript"/>
                <w:lang w:val="en-US" w:eastAsia="zh-CN"/>
              </w:rPr>
              <w:t>5</w:t>
            </w:r>
            <w:r>
              <w:rPr>
                <w:rFonts w:hint="default"/>
                <w:sz w:val="24"/>
                <w:szCs w:val="24"/>
                <w:lang w:val="en-US" w:eastAsia="zh-CN"/>
              </w:rPr>
              <w:t>S等带有异臭的硫醚。若再改变某些化合物分子结构中S的位子，其臭味的性质也会改变。例如，将有烂洋葱臭味的乙基硫氰化物C</w:t>
            </w:r>
            <w:r>
              <w:rPr>
                <w:rFonts w:hint="default"/>
                <w:sz w:val="24"/>
                <w:szCs w:val="24"/>
                <w:vertAlign w:val="subscript"/>
                <w:lang w:val="en-US" w:eastAsia="zh-CN"/>
              </w:rPr>
              <w:t>2</w:t>
            </w:r>
            <w:r>
              <w:rPr>
                <w:rFonts w:hint="default"/>
                <w:sz w:val="24"/>
                <w:szCs w:val="24"/>
                <w:lang w:val="en-US" w:eastAsia="zh-CN"/>
              </w:rPr>
              <w:t>H</w:t>
            </w:r>
            <w:r>
              <w:rPr>
                <w:rFonts w:hint="default"/>
                <w:sz w:val="24"/>
                <w:szCs w:val="24"/>
                <w:vertAlign w:val="subscript"/>
                <w:lang w:val="en-US" w:eastAsia="zh-CN"/>
              </w:rPr>
              <w:t>5</w:t>
            </w:r>
            <w:r>
              <w:rPr>
                <w:rFonts w:hint="default"/>
                <w:sz w:val="24"/>
                <w:szCs w:val="24"/>
                <w:lang w:val="en-US" w:eastAsia="zh-CN"/>
              </w:rPr>
              <w:t>SCN中S与N的位置对调，就会变成芥末臭味的硫代异氰酸酯C</w:t>
            </w:r>
            <w:r>
              <w:rPr>
                <w:rFonts w:hint="default"/>
                <w:sz w:val="24"/>
                <w:szCs w:val="24"/>
                <w:vertAlign w:val="subscript"/>
                <w:lang w:val="en-US" w:eastAsia="zh-CN"/>
              </w:rPr>
              <w:t>2</w:t>
            </w:r>
            <w:r>
              <w:rPr>
                <w:rFonts w:hint="default"/>
                <w:sz w:val="24"/>
                <w:szCs w:val="24"/>
                <w:lang w:val="en-US" w:eastAsia="zh-CN"/>
              </w:rPr>
              <w:t>H</w:t>
            </w:r>
            <w:r>
              <w:rPr>
                <w:rFonts w:hint="default"/>
                <w:sz w:val="24"/>
                <w:szCs w:val="24"/>
                <w:vertAlign w:val="subscript"/>
                <w:lang w:val="en-US" w:eastAsia="zh-CN"/>
              </w:rPr>
              <w:t>5</w:t>
            </w:r>
            <w:r>
              <w:rPr>
                <w:rFonts w:hint="default"/>
                <w:sz w:val="24"/>
                <w:szCs w:val="24"/>
                <w:lang w:val="en-US" w:eastAsia="zh-CN"/>
              </w:rPr>
              <w:t>NCS。各种化合物分子结构中的硫（=S）、巯基（-SH）和硫氰基（-SCN），是形成恶臭的原子团，通称为“发臭团”。另有一些有机物如苯酚、甲醛、丙酮和酪酸等，其分子结构虽不含硫，但含有羟基、醛基、羰基和羧基，也散发各种臭味，起“发臭团”的作用。</w:t>
            </w:r>
          </w:p>
          <w:p w14:paraId="57275D6B">
            <w:pPr>
              <w:spacing w:line="360" w:lineRule="auto"/>
              <w:ind w:firstLine="480" w:firstLineChars="200"/>
              <w:rPr>
                <w:rFonts w:hint="default"/>
                <w:sz w:val="24"/>
                <w:szCs w:val="24"/>
                <w:lang w:val="en-US" w:eastAsia="zh-CN"/>
              </w:rPr>
            </w:pPr>
            <w:r>
              <w:rPr>
                <w:rFonts w:hint="default"/>
                <w:sz w:val="24"/>
                <w:szCs w:val="24"/>
                <w:lang w:val="en-US" w:eastAsia="zh-CN"/>
              </w:rPr>
              <w:t>③嗅觉机制</w:t>
            </w:r>
          </w:p>
          <w:p w14:paraId="6BDFBCE6">
            <w:pPr>
              <w:spacing w:line="360" w:lineRule="auto"/>
              <w:ind w:firstLine="480" w:firstLineChars="200"/>
              <w:rPr>
                <w:rFonts w:hint="default"/>
                <w:sz w:val="24"/>
                <w:szCs w:val="24"/>
                <w:lang w:val="en-US" w:eastAsia="zh-CN"/>
              </w:rPr>
            </w:pPr>
            <w:r>
              <w:rPr>
                <w:rFonts w:hint="default"/>
                <w:sz w:val="24"/>
                <w:szCs w:val="24"/>
                <w:lang w:val="en-US" w:eastAsia="zh-CN"/>
              </w:rPr>
              <w:t>恶臭通过人体的嗅觉器官发生作用。人的鼻腔上部有嗅上皮，它由嗅觉细胞（感觉细胞）、支持细胞和基底细胞形成的嗅粘膜以及嗅粘液表面所构成。在嗅觉细胞末端有嗅小胞，并伸出嗅纤毛到嗅粘液表面下的粘液中。从嗅觉细胞伸出嗅神经进入嗅球，经两条通路传入大脑的嗅觉中枢。</w:t>
            </w:r>
          </w:p>
          <w:p w14:paraId="291CC52C">
            <w:pPr>
              <w:spacing w:line="360" w:lineRule="auto"/>
              <w:ind w:firstLine="480" w:firstLineChars="200"/>
              <w:rPr>
                <w:rFonts w:hint="default"/>
                <w:sz w:val="24"/>
                <w:szCs w:val="24"/>
                <w:lang w:val="en-US" w:eastAsia="zh-CN"/>
              </w:rPr>
            </w:pPr>
            <w:r>
              <w:rPr>
                <w:rFonts w:hint="default"/>
                <w:sz w:val="24"/>
                <w:szCs w:val="24"/>
                <w:lang w:val="en-US" w:eastAsia="zh-CN"/>
              </w:rPr>
              <w:t>④危害</w:t>
            </w:r>
          </w:p>
          <w:p w14:paraId="22D5A12C">
            <w:pPr>
              <w:spacing w:line="360" w:lineRule="auto"/>
              <w:ind w:firstLine="480" w:firstLineChars="200"/>
              <w:rPr>
                <w:rFonts w:hint="default"/>
                <w:sz w:val="24"/>
                <w:szCs w:val="24"/>
                <w:lang w:val="en-US" w:eastAsia="zh-CN"/>
              </w:rPr>
            </w:pPr>
            <w:r>
              <w:rPr>
                <w:rFonts w:hint="default"/>
                <w:sz w:val="24"/>
                <w:szCs w:val="24"/>
                <w:lang w:val="en-US" w:eastAsia="zh-CN"/>
              </w:rPr>
              <w:t>主要有六个方面：</w:t>
            </w:r>
          </w:p>
          <w:p w14:paraId="533F0929">
            <w:pPr>
              <w:spacing w:line="360" w:lineRule="auto"/>
              <w:ind w:firstLine="480" w:firstLineChars="200"/>
              <w:rPr>
                <w:rFonts w:hint="default"/>
                <w:sz w:val="24"/>
                <w:szCs w:val="24"/>
                <w:lang w:val="en-US" w:eastAsia="zh-CN"/>
              </w:rPr>
            </w:pPr>
            <w:r>
              <w:rPr>
                <w:rFonts w:hint="default"/>
                <w:sz w:val="24"/>
                <w:szCs w:val="24"/>
                <w:lang w:val="en-US" w:eastAsia="zh-CN"/>
              </w:rPr>
              <w:t>a.危害呼吸系统。人们突然闻到恶臭，就会产生反射性的抑制吸气，使呼吸次数减少，深度变浅，甚至会暂时停止吸气，即所谓“闭气”，妨碍正常呼吸功能。</w:t>
            </w:r>
          </w:p>
          <w:p w14:paraId="2A9F85AA">
            <w:pPr>
              <w:spacing w:line="360" w:lineRule="auto"/>
              <w:ind w:firstLine="480" w:firstLineChars="200"/>
              <w:rPr>
                <w:rFonts w:hint="default"/>
                <w:sz w:val="24"/>
                <w:szCs w:val="24"/>
                <w:lang w:val="en-US" w:eastAsia="zh-CN"/>
              </w:rPr>
            </w:pPr>
            <w:r>
              <w:rPr>
                <w:rFonts w:hint="default"/>
                <w:sz w:val="24"/>
                <w:szCs w:val="24"/>
                <w:lang w:val="en-US" w:eastAsia="zh-CN"/>
              </w:rPr>
              <w:t>b.危害循环系统。随着呼吸的变化，会出现脉搏和血压的变化。如氨等刺激性臭气会使血压出现先下降后上升，脉搏先减慢后加快的现象。</w:t>
            </w:r>
          </w:p>
          <w:p w14:paraId="0F034005">
            <w:pPr>
              <w:spacing w:line="360" w:lineRule="auto"/>
              <w:ind w:firstLine="480" w:firstLineChars="200"/>
              <w:rPr>
                <w:rFonts w:hint="default"/>
                <w:sz w:val="24"/>
                <w:szCs w:val="24"/>
                <w:lang w:val="en-US" w:eastAsia="zh-CN"/>
              </w:rPr>
            </w:pPr>
            <w:r>
              <w:rPr>
                <w:rFonts w:hint="default"/>
                <w:sz w:val="24"/>
                <w:szCs w:val="24"/>
                <w:lang w:val="en-US" w:eastAsia="zh-CN"/>
              </w:rPr>
              <w:t>c.危害消化系统。经常接触恶臭，会使人厌食、恶心，甚至呕吐，进而发展为消化功能减退。</w:t>
            </w:r>
          </w:p>
          <w:p w14:paraId="24A9CB02">
            <w:pPr>
              <w:spacing w:line="360" w:lineRule="auto"/>
              <w:ind w:firstLine="480" w:firstLineChars="200"/>
              <w:rPr>
                <w:rFonts w:hint="default"/>
                <w:sz w:val="24"/>
                <w:szCs w:val="24"/>
                <w:lang w:val="en-US" w:eastAsia="zh-CN"/>
              </w:rPr>
            </w:pPr>
            <w:r>
              <w:rPr>
                <w:rFonts w:hint="default"/>
                <w:sz w:val="24"/>
                <w:szCs w:val="24"/>
                <w:lang w:val="en-US" w:eastAsia="zh-CN"/>
              </w:rPr>
              <w:t>d.危害内分泌系统。经常受恶臭刺激，会使内分泌系统的分泌功能紊乱，影响机体的代谢活动。</w:t>
            </w:r>
          </w:p>
          <w:p w14:paraId="1A981EF9">
            <w:pPr>
              <w:spacing w:line="360" w:lineRule="auto"/>
              <w:ind w:firstLine="480" w:firstLineChars="200"/>
              <w:rPr>
                <w:rFonts w:hint="default"/>
                <w:sz w:val="24"/>
                <w:szCs w:val="24"/>
                <w:lang w:val="en-US" w:eastAsia="zh-CN"/>
              </w:rPr>
            </w:pPr>
            <w:r>
              <w:rPr>
                <w:rFonts w:hint="default"/>
                <w:sz w:val="24"/>
                <w:szCs w:val="24"/>
                <w:lang w:val="en-US" w:eastAsia="zh-CN"/>
              </w:rPr>
              <w:t>e.危害神经系统。长期受到一种或几种低浓度恶臭物质的刺激，会引起嗅觉脱失、嗅觉疲劳等障碍。</w:t>
            </w:r>
            <w:r>
              <w:rPr>
                <w:rFonts w:hint="eastAsia"/>
                <w:sz w:val="24"/>
                <w:szCs w:val="24"/>
                <w:lang w:val="en-US" w:eastAsia="zh-CN"/>
              </w:rPr>
              <w:t>“</w:t>
            </w:r>
            <w:r>
              <w:rPr>
                <w:rFonts w:hint="default"/>
                <w:sz w:val="24"/>
                <w:szCs w:val="24"/>
                <w:lang w:val="en-US" w:eastAsia="zh-CN"/>
              </w:rPr>
              <w:t>久闻而不知其臭</w:t>
            </w:r>
            <w:r>
              <w:rPr>
                <w:rFonts w:hint="eastAsia"/>
                <w:sz w:val="24"/>
                <w:szCs w:val="24"/>
                <w:lang w:val="en-US" w:eastAsia="zh-CN"/>
              </w:rPr>
              <w:t>”</w:t>
            </w:r>
            <w:r>
              <w:rPr>
                <w:rFonts w:hint="default"/>
                <w:sz w:val="24"/>
                <w:szCs w:val="24"/>
                <w:lang w:val="en-US" w:eastAsia="zh-CN"/>
              </w:rPr>
              <w:t>，使嗅觉丧失了第一道防御功能，但脑神经仍不断受到刺激和损伤，最后导致大脑皮层兴奋和抑制的调节功能失调。</w:t>
            </w:r>
          </w:p>
          <w:p w14:paraId="04C9C9A4">
            <w:pPr>
              <w:spacing w:line="360" w:lineRule="auto"/>
              <w:ind w:firstLine="480" w:firstLineChars="200"/>
              <w:rPr>
                <w:rFonts w:hint="default"/>
                <w:sz w:val="24"/>
                <w:szCs w:val="24"/>
                <w:lang w:val="en-US" w:eastAsia="zh-CN"/>
              </w:rPr>
            </w:pPr>
            <w:r>
              <w:rPr>
                <w:rFonts w:hint="default"/>
                <w:sz w:val="24"/>
                <w:szCs w:val="24"/>
                <w:lang w:val="en-US" w:eastAsia="zh-CN"/>
              </w:rPr>
              <w:t>f.对精神的影响。恶臭使人精神烦躁不安，思想不集中，工作效率减低，判断力和记忆力下降，影响大脑的思考活动。</w:t>
            </w:r>
          </w:p>
          <w:p w14:paraId="6007445E">
            <w:pPr>
              <w:spacing w:line="360" w:lineRule="auto"/>
              <w:ind w:firstLine="480" w:firstLineChars="200"/>
              <w:rPr>
                <w:rFonts w:hint="default"/>
                <w:sz w:val="24"/>
                <w:szCs w:val="24"/>
                <w:lang w:val="en-US" w:eastAsia="zh-CN"/>
              </w:rPr>
            </w:pPr>
            <w:r>
              <w:rPr>
                <w:rFonts w:hint="default"/>
                <w:sz w:val="24"/>
                <w:szCs w:val="24"/>
                <w:lang w:val="en-US" w:eastAsia="zh-CN"/>
              </w:rPr>
              <w:t>高浓度恶臭物质的突然袭击，有时会把人当场熏倒，造成事故。例如在日本川崎市，1961年8～9月就曾连续发生三次恶臭公害事件，都是由一间工厂夜间排放一种含硫醇的废油引起的。恶臭扩散到距排放源20多公里的地方，近处有人当场被熏倒，远处有人在熟睡中被熏醒。还有人恶心、呕吐、眼睛疼痛等。</w:t>
            </w:r>
          </w:p>
          <w:p w14:paraId="27AE8808">
            <w:pPr>
              <w:spacing w:line="360" w:lineRule="auto"/>
              <w:ind w:firstLine="480" w:firstLineChars="200"/>
              <w:rPr>
                <w:rFonts w:hint="default"/>
                <w:sz w:val="24"/>
                <w:szCs w:val="24"/>
                <w:lang w:val="en-US" w:eastAsia="zh-CN"/>
              </w:rPr>
            </w:pPr>
            <w:r>
              <w:rPr>
                <w:rFonts w:hint="default"/>
                <w:sz w:val="24"/>
                <w:szCs w:val="24"/>
                <w:lang w:val="en-US" w:eastAsia="zh-CN"/>
              </w:rPr>
              <w:t>恶臭环境影响分析</w:t>
            </w:r>
          </w:p>
          <w:p w14:paraId="4B30B2E8">
            <w:pPr>
              <w:spacing w:line="360" w:lineRule="auto"/>
              <w:ind w:firstLine="480" w:firstLineChars="200"/>
              <w:rPr>
                <w:rFonts w:hint="default"/>
                <w:sz w:val="24"/>
                <w:szCs w:val="24"/>
                <w:lang w:val="en-US" w:eastAsia="zh-CN"/>
              </w:rPr>
            </w:pPr>
            <w:r>
              <w:rPr>
                <w:rFonts w:hint="default"/>
                <w:sz w:val="24"/>
                <w:szCs w:val="24"/>
                <w:lang w:val="en-US" w:eastAsia="zh-CN"/>
              </w:rPr>
              <w:t>本评价采用日本的恶臭强度6级分级法对项目臭气影响进行分析。</w:t>
            </w:r>
          </w:p>
          <w:p w14:paraId="159BAC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val="en-US" w:eastAsia="zh-CN"/>
              </w:rPr>
            </w:pPr>
            <w:r>
              <w:rPr>
                <w:rFonts w:hint="eastAsia"/>
                <w:b/>
                <w:bCs/>
                <w:sz w:val="24"/>
                <w:szCs w:val="24"/>
                <w:lang w:val="en-US" w:eastAsia="zh-CN"/>
              </w:rPr>
              <w:t>表4-10  臭气强度分级表</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89"/>
              <w:gridCol w:w="5461"/>
            </w:tblGrid>
            <w:tr w14:paraId="14DF2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949" w:type="pct"/>
                  <w:tcBorders>
                    <w:tl2br w:val="nil"/>
                    <w:tr2bl w:val="nil"/>
                  </w:tcBorders>
                  <w:noWrap w:val="0"/>
                  <w:vAlign w:val="top"/>
                </w:tcPr>
                <w:p w14:paraId="1EF4DF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lang w:val="en-US" w:eastAsia="zh-CN"/>
                    </w:rPr>
                  </w:pPr>
                  <w:r>
                    <w:rPr>
                      <w:rFonts w:hint="eastAsia"/>
                      <w:b/>
                      <w:bCs/>
                      <w:lang w:val="en-US" w:eastAsia="zh-CN"/>
                    </w:rPr>
                    <w:t>强度等级</w:t>
                  </w:r>
                </w:p>
              </w:tc>
              <w:tc>
                <w:tcPr>
                  <w:tcW w:w="3050" w:type="pct"/>
                  <w:tcBorders>
                    <w:tl2br w:val="nil"/>
                    <w:tr2bl w:val="nil"/>
                  </w:tcBorders>
                  <w:noWrap w:val="0"/>
                  <w:vAlign w:val="top"/>
                </w:tcPr>
                <w:p w14:paraId="3E125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lang w:val="en-US" w:eastAsia="zh-CN"/>
                    </w:rPr>
                  </w:pPr>
                  <w:r>
                    <w:rPr>
                      <w:rFonts w:hint="eastAsia"/>
                      <w:b/>
                      <w:bCs/>
                      <w:lang w:val="en-US" w:eastAsia="zh-CN"/>
                    </w:rPr>
                    <w:t>嗅觉判别标准</w:t>
                  </w:r>
                </w:p>
              </w:tc>
            </w:tr>
            <w:tr w14:paraId="7E1E1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49" w:type="pct"/>
                  <w:tcBorders>
                    <w:tl2br w:val="nil"/>
                    <w:tr2bl w:val="nil"/>
                  </w:tcBorders>
                  <w:noWrap w:val="0"/>
                  <w:vAlign w:val="center"/>
                </w:tcPr>
                <w:p w14:paraId="6CD958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0</w:t>
                  </w:r>
                </w:p>
              </w:tc>
              <w:tc>
                <w:tcPr>
                  <w:tcW w:w="3050" w:type="pct"/>
                  <w:tcBorders>
                    <w:tl2br w:val="nil"/>
                    <w:tr2bl w:val="nil"/>
                  </w:tcBorders>
                  <w:noWrap w:val="0"/>
                  <w:vAlign w:val="center"/>
                </w:tcPr>
                <w:p w14:paraId="55AAD4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无臭</w:t>
                  </w:r>
                </w:p>
              </w:tc>
            </w:tr>
            <w:tr w14:paraId="5443D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49" w:type="pct"/>
                  <w:tcBorders>
                    <w:tl2br w:val="nil"/>
                    <w:tr2bl w:val="nil"/>
                  </w:tcBorders>
                  <w:noWrap w:val="0"/>
                  <w:vAlign w:val="center"/>
                </w:tcPr>
                <w:p w14:paraId="5E713A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1</w:t>
                  </w:r>
                </w:p>
              </w:tc>
              <w:tc>
                <w:tcPr>
                  <w:tcW w:w="3050" w:type="pct"/>
                  <w:tcBorders>
                    <w:tl2br w:val="nil"/>
                    <w:tr2bl w:val="nil"/>
                  </w:tcBorders>
                  <w:noWrap w:val="0"/>
                  <w:vAlign w:val="center"/>
                </w:tcPr>
                <w:p w14:paraId="0C02DE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勉强可以感到轻微臭味</w:t>
                  </w:r>
                </w:p>
              </w:tc>
            </w:tr>
            <w:tr w14:paraId="29AF1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49" w:type="pct"/>
                  <w:tcBorders>
                    <w:tl2br w:val="nil"/>
                    <w:tr2bl w:val="nil"/>
                  </w:tcBorders>
                  <w:noWrap w:val="0"/>
                  <w:vAlign w:val="center"/>
                </w:tcPr>
                <w:p w14:paraId="7B0C88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2</w:t>
                  </w:r>
                </w:p>
              </w:tc>
              <w:tc>
                <w:tcPr>
                  <w:tcW w:w="3050" w:type="pct"/>
                  <w:tcBorders>
                    <w:tl2br w:val="nil"/>
                    <w:tr2bl w:val="nil"/>
                  </w:tcBorders>
                  <w:noWrap w:val="0"/>
                  <w:vAlign w:val="center"/>
                </w:tcPr>
                <w:p w14:paraId="3B8158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容易感到轻微臭味</w:t>
                  </w:r>
                </w:p>
              </w:tc>
            </w:tr>
            <w:tr w14:paraId="41F4F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49" w:type="pct"/>
                  <w:tcBorders>
                    <w:tl2br w:val="nil"/>
                    <w:tr2bl w:val="nil"/>
                  </w:tcBorders>
                  <w:noWrap w:val="0"/>
                  <w:vAlign w:val="center"/>
                </w:tcPr>
                <w:p w14:paraId="62689F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3</w:t>
                  </w:r>
                </w:p>
              </w:tc>
              <w:tc>
                <w:tcPr>
                  <w:tcW w:w="3050" w:type="pct"/>
                  <w:tcBorders>
                    <w:tl2br w:val="nil"/>
                    <w:tr2bl w:val="nil"/>
                  </w:tcBorders>
                  <w:noWrap w:val="0"/>
                  <w:vAlign w:val="center"/>
                </w:tcPr>
                <w:p w14:paraId="504343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明显感到臭味</w:t>
                  </w:r>
                </w:p>
              </w:tc>
            </w:tr>
            <w:tr w14:paraId="34AB6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49" w:type="pct"/>
                  <w:tcBorders>
                    <w:tl2br w:val="nil"/>
                    <w:tr2bl w:val="nil"/>
                  </w:tcBorders>
                  <w:noWrap w:val="0"/>
                  <w:vAlign w:val="center"/>
                </w:tcPr>
                <w:p w14:paraId="23243B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4</w:t>
                  </w:r>
                </w:p>
              </w:tc>
              <w:tc>
                <w:tcPr>
                  <w:tcW w:w="3050" w:type="pct"/>
                  <w:tcBorders>
                    <w:tl2br w:val="nil"/>
                    <w:tr2bl w:val="nil"/>
                  </w:tcBorders>
                  <w:noWrap w:val="0"/>
                  <w:vAlign w:val="center"/>
                </w:tcPr>
                <w:p w14:paraId="4965A7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强烈臭味</w:t>
                  </w:r>
                </w:p>
              </w:tc>
            </w:tr>
            <w:tr w14:paraId="27E8A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949" w:type="pct"/>
                  <w:tcBorders>
                    <w:tl2br w:val="nil"/>
                    <w:tr2bl w:val="nil"/>
                  </w:tcBorders>
                  <w:noWrap w:val="0"/>
                  <w:vAlign w:val="center"/>
                </w:tcPr>
                <w:p w14:paraId="53DB5F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5</w:t>
                  </w:r>
                </w:p>
              </w:tc>
              <w:tc>
                <w:tcPr>
                  <w:tcW w:w="3050" w:type="pct"/>
                  <w:tcBorders>
                    <w:tl2br w:val="nil"/>
                    <w:tr2bl w:val="nil"/>
                  </w:tcBorders>
                  <w:noWrap w:val="0"/>
                  <w:vAlign w:val="center"/>
                </w:tcPr>
                <w:p w14:paraId="4AEAE3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t>无法忍受的强烈臭味</w:t>
                  </w:r>
                </w:p>
              </w:tc>
            </w:tr>
          </w:tbl>
          <w:p w14:paraId="1BBFDBBD">
            <w:pPr>
              <w:spacing w:line="360" w:lineRule="auto"/>
              <w:ind w:firstLine="480" w:firstLineChars="200"/>
              <w:rPr>
                <w:rFonts w:hint="default"/>
                <w:sz w:val="24"/>
                <w:szCs w:val="24"/>
                <w:lang w:val="en-US" w:eastAsia="zh-CN"/>
              </w:rPr>
            </w:pPr>
            <w:r>
              <w:rPr>
                <w:rFonts w:hint="default"/>
                <w:sz w:val="24"/>
                <w:szCs w:val="24"/>
                <w:lang w:val="en-US" w:eastAsia="zh-CN"/>
              </w:rPr>
              <w:t xml:space="preserve">为了减少恶臭对周围环境的影响，建设项目采取如下措施： </w:t>
            </w:r>
          </w:p>
          <w:p w14:paraId="13682985">
            <w:pPr>
              <w:spacing w:line="360" w:lineRule="auto"/>
              <w:ind w:firstLine="480" w:firstLineChars="200"/>
              <w:rPr>
                <w:rFonts w:hint="default"/>
                <w:sz w:val="24"/>
                <w:szCs w:val="24"/>
                <w:lang w:val="en-US" w:eastAsia="zh-CN"/>
              </w:rPr>
            </w:pPr>
            <w:r>
              <w:rPr>
                <w:rFonts w:hint="default"/>
                <w:sz w:val="24"/>
                <w:szCs w:val="24"/>
                <w:lang w:val="en-US" w:eastAsia="zh-CN"/>
              </w:rPr>
              <w:t>1、生产过程中保持车间、生产工段密闭，增加废气捕集率；</w:t>
            </w:r>
          </w:p>
          <w:p w14:paraId="1E30E355">
            <w:pPr>
              <w:spacing w:line="360" w:lineRule="auto"/>
              <w:ind w:firstLine="480" w:firstLineChars="200"/>
              <w:rPr>
                <w:rFonts w:hint="default"/>
                <w:sz w:val="24"/>
                <w:szCs w:val="24"/>
                <w:lang w:val="en-US" w:eastAsia="zh-CN"/>
              </w:rPr>
            </w:pPr>
            <w:r>
              <w:rPr>
                <w:rFonts w:hint="default"/>
                <w:sz w:val="24"/>
                <w:szCs w:val="24"/>
                <w:lang w:val="en-US" w:eastAsia="zh-CN"/>
              </w:rPr>
              <w:t>2、加强周边加强绿化，种植可吸收臭味的植物。</w:t>
            </w:r>
          </w:p>
          <w:p w14:paraId="11A941E5">
            <w:pPr>
              <w:spacing w:line="360" w:lineRule="auto"/>
              <w:ind w:firstLine="480" w:firstLineChars="200"/>
              <w:rPr>
                <w:rFonts w:hint="default"/>
                <w:sz w:val="24"/>
                <w:szCs w:val="24"/>
                <w:lang w:val="en-US" w:eastAsia="zh-CN"/>
              </w:rPr>
            </w:pPr>
            <w:r>
              <w:rPr>
                <w:rFonts w:hint="default"/>
                <w:sz w:val="24"/>
                <w:szCs w:val="24"/>
                <w:lang w:val="en-US" w:eastAsia="zh-CN"/>
              </w:rPr>
              <w:t>该项目在采取以上措施后，臭气强度等级可降至0-1级，对周围环境的影响将大大降低。</w:t>
            </w:r>
          </w:p>
          <w:p w14:paraId="5B3B1833">
            <w:pPr>
              <w:spacing w:line="360" w:lineRule="auto"/>
              <w:ind w:firstLine="480" w:firstLineChars="200"/>
              <w:rPr>
                <w:rFonts w:hint="default"/>
                <w:sz w:val="24"/>
                <w:szCs w:val="24"/>
                <w:lang w:val="en-US" w:eastAsia="zh-CN"/>
              </w:rPr>
            </w:pPr>
            <w:r>
              <w:rPr>
                <w:rFonts w:hint="default"/>
                <w:sz w:val="24"/>
                <w:szCs w:val="24"/>
                <w:lang w:val="en-US" w:eastAsia="zh-CN"/>
              </w:rPr>
              <w:t>综上所述，项目恶臭对周边环境影响较小。</w:t>
            </w:r>
          </w:p>
          <w:p w14:paraId="1A523AA6">
            <w:pPr>
              <w:spacing w:line="480" w:lineRule="exact"/>
              <w:ind w:firstLine="482" w:firstLineChars="200"/>
              <w:rPr>
                <w:b/>
                <w:bCs/>
                <w:sz w:val="24"/>
              </w:rPr>
            </w:pPr>
            <w:r>
              <w:rPr>
                <w:b/>
                <w:bCs/>
                <w:sz w:val="24"/>
              </w:rPr>
              <w:t>（3）非正常工况废气产生及排放情况</w:t>
            </w:r>
          </w:p>
          <w:p w14:paraId="5FA0BD9B">
            <w:pPr>
              <w:spacing w:line="480" w:lineRule="exact"/>
              <w:ind w:firstLine="480" w:firstLineChars="200"/>
              <w:rPr>
                <w:sz w:val="24"/>
              </w:rPr>
            </w:pPr>
            <w:r>
              <w:rPr>
                <w:sz w:val="24"/>
              </w:rPr>
              <w:t>在分析本项目生产工艺的基础上可知，本项目非正常工况主要有2种情况：污染防治措施及装置出现故障和突发事故，两种情况都会导致废气直接排放，危害环境。</w:t>
            </w:r>
          </w:p>
          <w:p w14:paraId="3496D234">
            <w:pPr>
              <w:spacing w:line="480" w:lineRule="exact"/>
              <w:ind w:firstLine="480" w:firstLineChars="200"/>
              <w:rPr>
                <w:sz w:val="24"/>
              </w:rPr>
            </w:pPr>
            <w:r>
              <w:rPr>
                <w:sz w:val="24"/>
              </w:rPr>
              <w:t>①污染防治措施及装置出现故障</w:t>
            </w:r>
          </w:p>
          <w:p w14:paraId="190AE823">
            <w:pPr>
              <w:spacing w:line="480" w:lineRule="exact"/>
              <w:ind w:firstLine="480" w:firstLineChars="200"/>
              <w:rPr>
                <w:sz w:val="24"/>
              </w:rPr>
            </w:pPr>
            <w:r>
              <w:rPr>
                <w:sz w:val="24"/>
              </w:rPr>
              <w:t>根据国内外同类项目的运营经验，当废气处理设施出现故障时，有可能造成污染物的事故性排放。当</w:t>
            </w:r>
            <w:r>
              <w:rPr>
                <w:rFonts w:hint="eastAsia"/>
                <w:sz w:val="24"/>
              </w:rPr>
              <w:t>废气</w:t>
            </w:r>
            <w:r>
              <w:rPr>
                <w:sz w:val="24"/>
              </w:rPr>
              <w:t>处理设施出现故障时，即便采取紧急停炉措施，也需约半小时才能实现，这段时间</w:t>
            </w:r>
            <w:r>
              <w:rPr>
                <w:rFonts w:hint="eastAsia"/>
                <w:sz w:val="24"/>
              </w:rPr>
              <w:t>废气</w:t>
            </w:r>
            <w:r>
              <w:rPr>
                <w:sz w:val="24"/>
              </w:rPr>
              <w:t>就会呈现非正常排放。</w:t>
            </w:r>
          </w:p>
          <w:p w14:paraId="527858FC">
            <w:pPr>
              <w:spacing w:line="480" w:lineRule="exact"/>
              <w:ind w:firstLine="480" w:firstLineChars="200"/>
              <w:rPr>
                <w:sz w:val="24"/>
              </w:rPr>
            </w:pPr>
            <w:r>
              <w:rPr>
                <w:sz w:val="24"/>
              </w:rPr>
              <w:t>②突发事故</w:t>
            </w:r>
          </w:p>
          <w:p w14:paraId="6DFAA651">
            <w:pPr>
              <w:spacing w:line="480" w:lineRule="exact"/>
              <w:ind w:firstLine="480" w:firstLineChars="200"/>
              <w:rPr>
                <w:sz w:val="24"/>
              </w:rPr>
            </w:pPr>
            <w:r>
              <w:rPr>
                <w:sz w:val="24"/>
              </w:rPr>
              <w:t>突发性事故主要因管理不善以及设备检修等因素引起，具体表现为意外事故跳闸、仪表失灵导致操作失控、误操作等，也可能因突然断电引起，最严重后果可能导致生产无法进行。</w:t>
            </w:r>
          </w:p>
          <w:p w14:paraId="43CB6B69">
            <w:pPr>
              <w:spacing w:line="480" w:lineRule="exact"/>
              <w:ind w:firstLine="480" w:firstLineChars="200"/>
              <w:rPr>
                <w:sz w:val="24"/>
              </w:rPr>
            </w:pPr>
            <w:r>
              <w:rPr>
                <w:sz w:val="24"/>
              </w:rPr>
              <w:t>为预防上述情况发生，除确保废气设备质量先进、安装可靠外，平时还需加强环保管理，做好设备的日常维护和保养工作，定期检查环保设施的运行情况，同时严格按照操作规程生产，采取上述措施后，可减少非正常工况的发生概率。</w:t>
            </w:r>
          </w:p>
          <w:p w14:paraId="6DE469E4">
            <w:pPr>
              <w:spacing w:line="480" w:lineRule="exact"/>
              <w:ind w:firstLine="480" w:firstLineChars="200"/>
              <w:rPr>
                <w:sz w:val="24"/>
              </w:rPr>
            </w:pPr>
            <w:r>
              <w:rPr>
                <w:sz w:val="24"/>
              </w:rPr>
              <w:t>全厂非正常工况下废气排放情况见表4-11。</w:t>
            </w:r>
          </w:p>
          <w:p w14:paraId="6EBF4C5B">
            <w:pPr>
              <w:spacing w:line="480" w:lineRule="exact"/>
              <w:jc w:val="center"/>
              <w:rPr>
                <w:b/>
                <w:bCs/>
                <w:sz w:val="24"/>
              </w:rPr>
            </w:pPr>
            <w:r>
              <w:rPr>
                <w:b/>
                <w:bCs/>
                <w:sz w:val="24"/>
              </w:rPr>
              <w:t>表4-1</w:t>
            </w:r>
            <w:r>
              <w:rPr>
                <w:rFonts w:hint="eastAsia"/>
                <w:b/>
                <w:bCs/>
                <w:sz w:val="24"/>
                <w:lang w:val="en-US" w:eastAsia="zh-CN"/>
              </w:rPr>
              <w:t>1</w:t>
            </w:r>
            <w:r>
              <w:rPr>
                <w:b/>
                <w:bCs/>
                <w:sz w:val="24"/>
              </w:rPr>
              <w:t xml:space="preserve">  全厂有组织废气非正常（事故）工况下产生及排放情况一览表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24"/>
              <w:gridCol w:w="1202"/>
              <w:gridCol w:w="1099"/>
              <w:gridCol w:w="787"/>
              <w:gridCol w:w="1486"/>
              <w:gridCol w:w="1160"/>
              <w:gridCol w:w="927"/>
              <w:gridCol w:w="912"/>
              <w:gridCol w:w="755"/>
            </w:tblGrid>
            <w:tr w14:paraId="407B2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8" w:type="pct"/>
                  <w:vAlign w:val="center"/>
                </w:tcPr>
                <w:p w14:paraId="3BE13B11">
                  <w:pPr>
                    <w:pStyle w:val="111"/>
                    <w:spacing w:beforeLines="0" w:line="240" w:lineRule="auto"/>
                    <w:ind w:firstLine="0" w:firstLineChars="0"/>
                    <w:jc w:val="center"/>
                    <w:rPr>
                      <w:b/>
                      <w:bCs/>
                      <w:sz w:val="21"/>
                      <w:szCs w:val="21"/>
                    </w:rPr>
                  </w:pPr>
                  <w:r>
                    <w:rPr>
                      <w:b/>
                      <w:bCs/>
                      <w:sz w:val="21"/>
                      <w:szCs w:val="21"/>
                    </w:rPr>
                    <w:t>序号</w:t>
                  </w:r>
                </w:p>
              </w:tc>
              <w:tc>
                <w:tcPr>
                  <w:tcW w:w="671" w:type="pct"/>
                  <w:vAlign w:val="center"/>
                </w:tcPr>
                <w:p w14:paraId="4AA3C654">
                  <w:pPr>
                    <w:pStyle w:val="111"/>
                    <w:spacing w:beforeLines="0" w:line="240" w:lineRule="auto"/>
                    <w:ind w:firstLine="0" w:firstLineChars="0"/>
                    <w:jc w:val="center"/>
                    <w:rPr>
                      <w:b/>
                      <w:bCs/>
                      <w:sz w:val="21"/>
                      <w:szCs w:val="21"/>
                    </w:rPr>
                  </w:pPr>
                  <w:r>
                    <w:rPr>
                      <w:b/>
                      <w:bCs/>
                      <w:sz w:val="21"/>
                      <w:szCs w:val="21"/>
                    </w:rPr>
                    <w:t>污染源</w:t>
                  </w:r>
                </w:p>
              </w:tc>
              <w:tc>
                <w:tcPr>
                  <w:tcW w:w="614" w:type="pct"/>
                  <w:vAlign w:val="center"/>
                </w:tcPr>
                <w:p w14:paraId="07FC657A">
                  <w:pPr>
                    <w:pStyle w:val="111"/>
                    <w:spacing w:beforeLines="0" w:line="240" w:lineRule="auto"/>
                    <w:ind w:firstLine="0" w:firstLineChars="0"/>
                    <w:jc w:val="center"/>
                    <w:rPr>
                      <w:b/>
                      <w:bCs/>
                      <w:sz w:val="21"/>
                      <w:szCs w:val="21"/>
                    </w:rPr>
                  </w:pPr>
                  <w:r>
                    <w:rPr>
                      <w:b/>
                      <w:bCs/>
                      <w:sz w:val="21"/>
                      <w:szCs w:val="21"/>
                    </w:rPr>
                    <w:t>非正常排放原因</w:t>
                  </w:r>
                </w:p>
              </w:tc>
              <w:tc>
                <w:tcPr>
                  <w:tcW w:w="439" w:type="pct"/>
                  <w:vAlign w:val="center"/>
                </w:tcPr>
                <w:p w14:paraId="78CDAE71">
                  <w:pPr>
                    <w:pStyle w:val="111"/>
                    <w:spacing w:beforeLines="0" w:line="240" w:lineRule="auto"/>
                    <w:ind w:firstLine="0" w:firstLineChars="0"/>
                    <w:jc w:val="center"/>
                    <w:rPr>
                      <w:b/>
                      <w:bCs/>
                      <w:sz w:val="21"/>
                      <w:szCs w:val="21"/>
                    </w:rPr>
                  </w:pPr>
                  <w:r>
                    <w:rPr>
                      <w:b/>
                      <w:bCs/>
                      <w:sz w:val="21"/>
                      <w:szCs w:val="21"/>
                    </w:rPr>
                    <w:t>污染物</w:t>
                  </w:r>
                </w:p>
              </w:tc>
              <w:tc>
                <w:tcPr>
                  <w:tcW w:w="829" w:type="pct"/>
                  <w:vAlign w:val="center"/>
                </w:tcPr>
                <w:p w14:paraId="05AA1CF1">
                  <w:pPr>
                    <w:pStyle w:val="111"/>
                    <w:spacing w:beforeLines="0" w:line="240" w:lineRule="auto"/>
                    <w:ind w:firstLine="0" w:firstLineChars="0"/>
                    <w:jc w:val="center"/>
                    <w:rPr>
                      <w:b/>
                      <w:bCs/>
                      <w:sz w:val="21"/>
                      <w:szCs w:val="21"/>
                    </w:rPr>
                  </w:pPr>
                  <w:r>
                    <w:rPr>
                      <w:b/>
                      <w:bCs/>
                      <w:sz w:val="21"/>
                      <w:szCs w:val="21"/>
                    </w:rPr>
                    <w:t>非正常排放浓度/（mg/m</w:t>
                  </w:r>
                  <w:r>
                    <w:rPr>
                      <w:b/>
                      <w:bCs/>
                      <w:sz w:val="21"/>
                      <w:szCs w:val="21"/>
                      <w:vertAlign w:val="superscript"/>
                    </w:rPr>
                    <w:t>3</w:t>
                  </w:r>
                  <w:r>
                    <w:rPr>
                      <w:b/>
                      <w:bCs/>
                      <w:sz w:val="21"/>
                      <w:szCs w:val="21"/>
                    </w:rPr>
                    <w:t>）</w:t>
                  </w:r>
                </w:p>
              </w:tc>
              <w:tc>
                <w:tcPr>
                  <w:tcW w:w="647" w:type="pct"/>
                  <w:vAlign w:val="center"/>
                </w:tcPr>
                <w:p w14:paraId="6A24EEA3">
                  <w:pPr>
                    <w:pStyle w:val="111"/>
                    <w:spacing w:beforeLines="0" w:line="240" w:lineRule="auto"/>
                    <w:ind w:firstLine="0" w:firstLineChars="0"/>
                    <w:jc w:val="center"/>
                    <w:rPr>
                      <w:b/>
                      <w:bCs/>
                      <w:sz w:val="21"/>
                      <w:szCs w:val="21"/>
                    </w:rPr>
                  </w:pPr>
                  <w:r>
                    <w:rPr>
                      <w:b/>
                      <w:bCs/>
                      <w:sz w:val="21"/>
                      <w:szCs w:val="21"/>
                    </w:rPr>
                    <w:t>非正常排放速率/（kg/h）</w:t>
                  </w:r>
                </w:p>
              </w:tc>
              <w:tc>
                <w:tcPr>
                  <w:tcW w:w="517" w:type="pct"/>
                  <w:vAlign w:val="center"/>
                </w:tcPr>
                <w:p w14:paraId="25E3E00C">
                  <w:pPr>
                    <w:pStyle w:val="111"/>
                    <w:spacing w:beforeLines="0" w:line="240" w:lineRule="auto"/>
                    <w:ind w:firstLine="0" w:firstLineChars="0"/>
                    <w:jc w:val="center"/>
                    <w:rPr>
                      <w:b/>
                      <w:bCs/>
                      <w:sz w:val="21"/>
                      <w:szCs w:val="21"/>
                    </w:rPr>
                  </w:pPr>
                  <w:r>
                    <w:rPr>
                      <w:b/>
                      <w:bCs/>
                      <w:sz w:val="21"/>
                      <w:szCs w:val="21"/>
                    </w:rPr>
                    <w:t>单次持续时间/h</w:t>
                  </w:r>
                </w:p>
              </w:tc>
              <w:tc>
                <w:tcPr>
                  <w:tcW w:w="509" w:type="pct"/>
                  <w:vAlign w:val="center"/>
                </w:tcPr>
                <w:p w14:paraId="3216F75D">
                  <w:pPr>
                    <w:pStyle w:val="111"/>
                    <w:spacing w:beforeLines="0" w:line="240" w:lineRule="auto"/>
                    <w:ind w:firstLine="0" w:firstLineChars="0"/>
                    <w:jc w:val="center"/>
                    <w:rPr>
                      <w:b/>
                      <w:bCs/>
                      <w:sz w:val="21"/>
                      <w:szCs w:val="21"/>
                    </w:rPr>
                  </w:pPr>
                  <w:r>
                    <w:rPr>
                      <w:b/>
                      <w:bCs/>
                      <w:sz w:val="21"/>
                      <w:szCs w:val="21"/>
                    </w:rPr>
                    <w:t>年发生频次/次</w:t>
                  </w:r>
                </w:p>
              </w:tc>
              <w:tc>
                <w:tcPr>
                  <w:tcW w:w="421" w:type="pct"/>
                  <w:vAlign w:val="center"/>
                </w:tcPr>
                <w:p w14:paraId="361C7DCE">
                  <w:pPr>
                    <w:pStyle w:val="111"/>
                    <w:spacing w:beforeLines="0" w:line="240" w:lineRule="auto"/>
                    <w:ind w:firstLine="0" w:firstLineChars="0"/>
                    <w:jc w:val="center"/>
                    <w:rPr>
                      <w:b/>
                      <w:bCs/>
                      <w:sz w:val="21"/>
                      <w:szCs w:val="21"/>
                    </w:rPr>
                  </w:pPr>
                  <w:r>
                    <w:rPr>
                      <w:b/>
                      <w:bCs/>
                      <w:sz w:val="21"/>
                      <w:szCs w:val="21"/>
                    </w:rPr>
                    <w:t>应对</w:t>
                  </w:r>
                </w:p>
                <w:p w14:paraId="7E132B90">
                  <w:pPr>
                    <w:pStyle w:val="111"/>
                    <w:spacing w:beforeLines="0" w:line="240" w:lineRule="auto"/>
                    <w:ind w:firstLine="0" w:firstLineChars="0"/>
                    <w:jc w:val="center"/>
                    <w:rPr>
                      <w:b/>
                      <w:bCs/>
                      <w:sz w:val="21"/>
                      <w:szCs w:val="21"/>
                    </w:rPr>
                  </w:pPr>
                  <w:r>
                    <w:rPr>
                      <w:b/>
                      <w:bCs/>
                      <w:sz w:val="21"/>
                      <w:szCs w:val="21"/>
                    </w:rPr>
                    <w:t>措施</w:t>
                  </w:r>
                </w:p>
              </w:tc>
            </w:tr>
            <w:tr w14:paraId="247F2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348" w:type="pct"/>
                  <w:vMerge w:val="restart"/>
                  <w:vAlign w:val="center"/>
                </w:tcPr>
                <w:p w14:paraId="0C55F963">
                  <w:pPr>
                    <w:widowControl/>
                    <w:jc w:val="center"/>
                    <w:rPr>
                      <w:rFonts w:hint="default"/>
                      <w:kern w:val="0"/>
                      <w:szCs w:val="21"/>
                      <w:lang w:val="en-US" w:eastAsia="zh-CN"/>
                    </w:rPr>
                  </w:pPr>
                  <w:r>
                    <w:rPr>
                      <w:rFonts w:hint="eastAsia"/>
                      <w:kern w:val="0"/>
                      <w:szCs w:val="21"/>
                      <w:lang w:val="en-US" w:eastAsia="zh-CN"/>
                    </w:rPr>
                    <w:t>DA001</w:t>
                  </w:r>
                </w:p>
              </w:tc>
              <w:tc>
                <w:tcPr>
                  <w:tcW w:w="671" w:type="pct"/>
                  <w:vMerge w:val="restart"/>
                  <w:vAlign w:val="center"/>
                </w:tcPr>
                <w:p w14:paraId="7D6495C8">
                  <w:pPr>
                    <w:widowControl/>
                    <w:jc w:val="center"/>
                    <w:rPr>
                      <w:szCs w:val="21"/>
                    </w:rPr>
                  </w:pPr>
                  <w:r>
                    <w:rPr>
                      <w:rFonts w:hint="eastAsia"/>
                      <w:szCs w:val="21"/>
                    </w:rPr>
                    <w:t>调配、</w:t>
                  </w:r>
                  <w:r>
                    <w:rPr>
                      <w:szCs w:val="21"/>
                    </w:rPr>
                    <w:t>背胶及烘干</w:t>
                  </w:r>
                </w:p>
              </w:tc>
              <w:tc>
                <w:tcPr>
                  <w:tcW w:w="614" w:type="pct"/>
                  <w:vMerge w:val="restart"/>
                  <w:vAlign w:val="center"/>
                </w:tcPr>
                <w:p w14:paraId="2EFA70E3">
                  <w:pPr>
                    <w:pStyle w:val="111"/>
                    <w:spacing w:beforeLines="0" w:line="240" w:lineRule="auto"/>
                    <w:ind w:firstLine="0" w:firstLineChars="0"/>
                    <w:jc w:val="center"/>
                    <w:rPr>
                      <w:sz w:val="21"/>
                      <w:szCs w:val="21"/>
                    </w:rPr>
                  </w:pPr>
                  <w:r>
                    <w:rPr>
                      <w:sz w:val="21"/>
                      <w:szCs w:val="21"/>
                    </w:rPr>
                    <w:t>开停车以及设备检修</w:t>
                  </w:r>
                </w:p>
              </w:tc>
              <w:tc>
                <w:tcPr>
                  <w:tcW w:w="439" w:type="pct"/>
                  <w:vAlign w:val="center"/>
                </w:tcPr>
                <w:p w14:paraId="13768557">
                  <w:pPr>
                    <w:widowControl/>
                    <w:jc w:val="center"/>
                    <w:rPr>
                      <w:rFonts w:hint="eastAsia" w:eastAsia="宋体"/>
                      <w:kern w:val="0"/>
                      <w:szCs w:val="21"/>
                      <w:lang w:val="en-US" w:eastAsia="zh-CN"/>
                    </w:rPr>
                  </w:pPr>
                  <w:r>
                    <w:rPr>
                      <w:rFonts w:hint="eastAsia"/>
                      <w:kern w:val="0"/>
                      <w:szCs w:val="21"/>
                      <w:lang w:val="en-US" w:eastAsia="zh-CN"/>
                    </w:rPr>
                    <w:t>颗粒物</w:t>
                  </w:r>
                </w:p>
              </w:tc>
              <w:tc>
                <w:tcPr>
                  <w:tcW w:w="1485" w:type="dxa"/>
                  <w:vAlign w:val="center"/>
                </w:tcPr>
                <w:p w14:paraId="0929C9C5">
                  <w:pPr>
                    <w:widowControl/>
                    <w:jc w:val="center"/>
                    <w:textAlignment w:val="center"/>
                    <w:rPr>
                      <w:rFonts w:hint="eastAsia"/>
                      <w:kern w:val="0"/>
                      <w:szCs w:val="21"/>
                      <w:lang w:val="en-US" w:eastAsia="zh-CN"/>
                    </w:rPr>
                  </w:pPr>
                  <w:r>
                    <w:rPr>
                      <w:rFonts w:hint="eastAsia"/>
                      <w:kern w:val="0"/>
                      <w:szCs w:val="21"/>
                      <w:lang w:val="en-US" w:eastAsia="zh-CN" w:bidi="ar"/>
                    </w:rPr>
                    <w:t>45.833</w:t>
                  </w:r>
                </w:p>
              </w:tc>
              <w:tc>
                <w:tcPr>
                  <w:tcW w:w="1159" w:type="dxa"/>
                  <w:vAlign w:val="center"/>
                </w:tcPr>
                <w:p w14:paraId="46028CEC">
                  <w:pPr>
                    <w:widowControl/>
                    <w:jc w:val="center"/>
                    <w:textAlignment w:val="center"/>
                    <w:rPr>
                      <w:rFonts w:hint="eastAsia"/>
                      <w:kern w:val="0"/>
                      <w:szCs w:val="21"/>
                      <w:lang w:val="en-US" w:eastAsia="zh-CN"/>
                    </w:rPr>
                  </w:pPr>
                  <w:r>
                    <w:rPr>
                      <w:rFonts w:hint="eastAsia"/>
                      <w:kern w:val="0"/>
                      <w:szCs w:val="21"/>
                      <w:lang w:val="en-US" w:eastAsia="zh-CN" w:bidi="ar"/>
                    </w:rPr>
                    <w:t>0.229</w:t>
                  </w:r>
                </w:p>
              </w:tc>
              <w:tc>
                <w:tcPr>
                  <w:tcW w:w="517" w:type="pct"/>
                  <w:vMerge w:val="restart"/>
                  <w:vAlign w:val="center"/>
                </w:tcPr>
                <w:p w14:paraId="590B7F56">
                  <w:pPr>
                    <w:jc w:val="center"/>
                    <w:rPr>
                      <w:szCs w:val="21"/>
                    </w:rPr>
                  </w:pPr>
                  <w:r>
                    <w:rPr>
                      <w:rFonts w:hint="eastAsia"/>
                      <w:szCs w:val="21"/>
                    </w:rPr>
                    <w:t>&lt;</w:t>
                  </w:r>
                  <w:r>
                    <w:rPr>
                      <w:szCs w:val="21"/>
                    </w:rPr>
                    <w:t>1h</w:t>
                  </w:r>
                </w:p>
              </w:tc>
              <w:tc>
                <w:tcPr>
                  <w:tcW w:w="509" w:type="pct"/>
                  <w:vMerge w:val="restart"/>
                  <w:vAlign w:val="center"/>
                </w:tcPr>
                <w:p w14:paraId="30536460">
                  <w:pPr>
                    <w:pStyle w:val="111"/>
                    <w:spacing w:beforeLines="0" w:line="240" w:lineRule="auto"/>
                    <w:ind w:firstLine="0" w:firstLineChars="0"/>
                    <w:jc w:val="center"/>
                    <w:rPr>
                      <w:sz w:val="21"/>
                      <w:szCs w:val="21"/>
                    </w:rPr>
                  </w:pPr>
                  <w:r>
                    <w:rPr>
                      <w:sz w:val="21"/>
                      <w:szCs w:val="21"/>
                    </w:rPr>
                    <w:t>1~2</w:t>
                  </w:r>
                </w:p>
              </w:tc>
              <w:tc>
                <w:tcPr>
                  <w:tcW w:w="421" w:type="pct"/>
                  <w:vMerge w:val="restart"/>
                  <w:vAlign w:val="center"/>
                </w:tcPr>
                <w:p w14:paraId="0DB5209D">
                  <w:pPr>
                    <w:pStyle w:val="111"/>
                    <w:spacing w:beforeLines="0" w:line="240" w:lineRule="auto"/>
                    <w:ind w:firstLine="0" w:firstLineChars="0"/>
                    <w:jc w:val="center"/>
                    <w:rPr>
                      <w:sz w:val="21"/>
                      <w:szCs w:val="21"/>
                    </w:rPr>
                  </w:pPr>
                  <w:r>
                    <w:rPr>
                      <w:sz w:val="21"/>
                      <w:szCs w:val="21"/>
                    </w:rPr>
                    <w:t>关闭风机及阀门，停止生产</w:t>
                  </w:r>
                </w:p>
              </w:tc>
            </w:tr>
            <w:tr w14:paraId="73E43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348" w:type="pct"/>
                  <w:vMerge w:val="continue"/>
                  <w:vAlign w:val="center"/>
                </w:tcPr>
                <w:p w14:paraId="5018506C">
                  <w:pPr>
                    <w:widowControl/>
                    <w:jc w:val="center"/>
                    <w:rPr>
                      <w:rFonts w:hint="default" w:eastAsia="宋体"/>
                      <w:kern w:val="0"/>
                      <w:szCs w:val="21"/>
                      <w:lang w:val="en-US" w:eastAsia="zh-CN"/>
                    </w:rPr>
                  </w:pPr>
                </w:p>
              </w:tc>
              <w:tc>
                <w:tcPr>
                  <w:tcW w:w="671" w:type="pct"/>
                  <w:vMerge w:val="continue"/>
                  <w:vAlign w:val="center"/>
                </w:tcPr>
                <w:p w14:paraId="4FD2267C">
                  <w:pPr>
                    <w:widowControl/>
                    <w:jc w:val="center"/>
                    <w:rPr>
                      <w:szCs w:val="21"/>
                    </w:rPr>
                  </w:pPr>
                </w:p>
              </w:tc>
              <w:tc>
                <w:tcPr>
                  <w:tcW w:w="614" w:type="pct"/>
                  <w:vMerge w:val="continue"/>
                  <w:vAlign w:val="center"/>
                </w:tcPr>
                <w:p w14:paraId="4C1B486D">
                  <w:pPr>
                    <w:pStyle w:val="111"/>
                    <w:spacing w:beforeLines="0" w:line="240" w:lineRule="auto"/>
                    <w:ind w:firstLine="0" w:firstLineChars="0"/>
                    <w:jc w:val="center"/>
                    <w:rPr>
                      <w:sz w:val="21"/>
                      <w:szCs w:val="21"/>
                    </w:rPr>
                  </w:pPr>
                </w:p>
              </w:tc>
              <w:tc>
                <w:tcPr>
                  <w:tcW w:w="439" w:type="pct"/>
                  <w:vAlign w:val="center"/>
                </w:tcPr>
                <w:p w14:paraId="4DB64E38">
                  <w:pPr>
                    <w:widowControl/>
                    <w:jc w:val="center"/>
                    <w:rPr>
                      <w:rFonts w:hint="eastAsia" w:eastAsia="宋体"/>
                      <w:kern w:val="0"/>
                      <w:szCs w:val="21"/>
                      <w:lang w:eastAsia="zh-CN"/>
                    </w:rPr>
                  </w:pPr>
                  <w:r>
                    <w:rPr>
                      <w:rFonts w:hint="eastAsia"/>
                      <w:kern w:val="0"/>
                      <w:szCs w:val="21"/>
                      <w:lang w:eastAsia="zh-CN"/>
                    </w:rPr>
                    <w:t>挥发性有机物</w:t>
                  </w:r>
                </w:p>
              </w:tc>
              <w:tc>
                <w:tcPr>
                  <w:tcW w:w="829" w:type="pct"/>
                  <w:vAlign w:val="center"/>
                </w:tcPr>
                <w:p w14:paraId="65E3A544">
                  <w:pPr>
                    <w:widowControl/>
                    <w:jc w:val="center"/>
                    <w:rPr>
                      <w:rFonts w:hint="default" w:eastAsia="宋体"/>
                      <w:kern w:val="0"/>
                      <w:szCs w:val="21"/>
                      <w:lang w:val="en-US" w:eastAsia="zh-CN"/>
                    </w:rPr>
                  </w:pPr>
                  <w:r>
                    <w:rPr>
                      <w:rFonts w:hint="eastAsia"/>
                      <w:kern w:val="0"/>
                      <w:szCs w:val="21"/>
                      <w:lang w:val="en-US" w:eastAsia="zh-CN"/>
                    </w:rPr>
                    <w:t>15</w:t>
                  </w:r>
                </w:p>
              </w:tc>
              <w:tc>
                <w:tcPr>
                  <w:tcW w:w="647" w:type="pct"/>
                  <w:vAlign w:val="center"/>
                </w:tcPr>
                <w:p w14:paraId="69480342">
                  <w:pPr>
                    <w:widowControl/>
                    <w:jc w:val="center"/>
                    <w:rPr>
                      <w:rFonts w:hint="default" w:eastAsia="宋体"/>
                      <w:kern w:val="0"/>
                      <w:szCs w:val="21"/>
                      <w:lang w:val="en-US" w:eastAsia="zh-CN"/>
                    </w:rPr>
                  </w:pPr>
                  <w:r>
                    <w:rPr>
                      <w:rFonts w:hint="eastAsia"/>
                      <w:kern w:val="0"/>
                      <w:szCs w:val="21"/>
                      <w:lang w:val="en-US" w:eastAsia="zh-CN"/>
                    </w:rPr>
                    <w:t>0.15</w:t>
                  </w:r>
                </w:p>
              </w:tc>
              <w:tc>
                <w:tcPr>
                  <w:tcW w:w="517" w:type="pct"/>
                  <w:vMerge w:val="continue"/>
                  <w:vAlign w:val="center"/>
                </w:tcPr>
                <w:p w14:paraId="0AB1E7DA">
                  <w:pPr>
                    <w:jc w:val="center"/>
                    <w:rPr>
                      <w:szCs w:val="21"/>
                    </w:rPr>
                  </w:pPr>
                </w:p>
              </w:tc>
              <w:tc>
                <w:tcPr>
                  <w:tcW w:w="509" w:type="pct"/>
                  <w:vMerge w:val="continue"/>
                  <w:vAlign w:val="center"/>
                </w:tcPr>
                <w:p w14:paraId="661846BF">
                  <w:pPr>
                    <w:pStyle w:val="111"/>
                    <w:spacing w:beforeLines="0" w:line="240" w:lineRule="auto"/>
                    <w:ind w:firstLine="0" w:firstLineChars="0"/>
                    <w:jc w:val="center"/>
                    <w:rPr>
                      <w:sz w:val="21"/>
                      <w:szCs w:val="21"/>
                    </w:rPr>
                  </w:pPr>
                </w:p>
              </w:tc>
              <w:tc>
                <w:tcPr>
                  <w:tcW w:w="421" w:type="pct"/>
                  <w:vMerge w:val="continue"/>
                  <w:vAlign w:val="center"/>
                </w:tcPr>
                <w:p w14:paraId="4C5F0233">
                  <w:pPr>
                    <w:pStyle w:val="111"/>
                    <w:spacing w:beforeLines="0" w:line="240" w:lineRule="auto"/>
                    <w:ind w:firstLine="0" w:firstLineChars="0"/>
                    <w:jc w:val="center"/>
                    <w:rPr>
                      <w:sz w:val="21"/>
                      <w:szCs w:val="21"/>
                    </w:rPr>
                  </w:pPr>
                </w:p>
              </w:tc>
            </w:tr>
            <w:tr w14:paraId="00936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8" w:type="pct"/>
                  <w:vMerge w:val="continue"/>
                  <w:vAlign w:val="center"/>
                </w:tcPr>
                <w:p w14:paraId="1658D40E">
                  <w:pPr>
                    <w:widowControl/>
                    <w:jc w:val="center"/>
                    <w:rPr>
                      <w:kern w:val="0"/>
                      <w:szCs w:val="21"/>
                    </w:rPr>
                  </w:pPr>
                </w:p>
              </w:tc>
              <w:tc>
                <w:tcPr>
                  <w:tcW w:w="671" w:type="pct"/>
                  <w:vMerge w:val="restart"/>
                  <w:vAlign w:val="center"/>
                </w:tcPr>
                <w:p w14:paraId="68CBD8CD">
                  <w:pPr>
                    <w:jc w:val="center"/>
                    <w:rPr>
                      <w:szCs w:val="21"/>
                    </w:rPr>
                  </w:pPr>
                  <w:r>
                    <w:rPr>
                      <w:rFonts w:hint="eastAsia"/>
                      <w:szCs w:val="21"/>
                    </w:rPr>
                    <w:t>天然气燃烧</w:t>
                  </w:r>
                </w:p>
              </w:tc>
              <w:tc>
                <w:tcPr>
                  <w:tcW w:w="614" w:type="pct"/>
                  <w:vMerge w:val="continue"/>
                  <w:vAlign w:val="center"/>
                </w:tcPr>
                <w:p w14:paraId="6F4927C2">
                  <w:pPr>
                    <w:pStyle w:val="111"/>
                    <w:spacing w:beforeLines="0" w:line="240" w:lineRule="auto"/>
                    <w:ind w:firstLine="0" w:firstLineChars="0"/>
                    <w:jc w:val="center"/>
                    <w:rPr>
                      <w:sz w:val="21"/>
                      <w:szCs w:val="21"/>
                    </w:rPr>
                  </w:pPr>
                </w:p>
              </w:tc>
              <w:tc>
                <w:tcPr>
                  <w:tcW w:w="439" w:type="pct"/>
                  <w:vAlign w:val="center"/>
                </w:tcPr>
                <w:p w14:paraId="64871DE8">
                  <w:pPr>
                    <w:jc w:val="center"/>
                    <w:rPr>
                      <w:szCs w:val="21"/>
                    </w:rPr>
                  </w:pPr>
                  <w:r>
                    <w:rPr>
                      <w:rFonts w:hint="eastAsia"/>
                      <w:szCs w:val="21"/>
                    </w:rPr>
                    <w:t>NOx</w:t>
                  </w:r>
                </w:p>
              </w:tc>
              <w:tc>
                <w:tcPr>
                  <w:tcW w:w="829" w:type="pct"/>
                  <w:shd w:val="clear" w:color="auto" w:fill="auto"/>
                  <w:vAlign w:val="center"/>
                </w:tcPr>
                <w:p w14:paraId="2E9344CB">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Cs w:val="21"/>
                      <w:lang w:val="en-US" w:eastAsia="zh-CN" w:bidi="ar"/>
                    </w:rPr>
                    <w:t>0.581</w:t>
                  </w:r>
                </w:p>
              </w:tc>
              <w:tc>
                <w:tcPr>
                  <w:tcW w:w="647" w:type="pct"/>
                  <w:shd w:val="clear" w:color="auto" w:fill="auto"/>
                  <w:vAlign w:val="center"/>
                </w:tcPr>
                <w:p w14:paraId="62C2EEB8">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Cs w:val="21"/>
                      <w:lang w:val="en-US" w:eastAsia="zh-CN" w:bidi="ar"/>
                    </w:rPr>
                    <w:t>0.006</w:t>
                  </w:r>
                </w:p>
              </w:tc>
              <w:tc>
                <w:tcPr>
                  <w:tcW w:w="517" w:type="pct"/>
                  <w:vMerge w:val="continue"/>
                  <w:vAlign w:val="center"/>
                </w:tcPr>
                <w:p w14:paraId="6B4CF3EA">
                  <w:pPr>
                    <w:jc w:val="center"/>
                    <w:rPr>
                      <w:szCs w:val="21"/>
                    </w:rPr>
                  </w:pPr>
                </w:p>
              </w:tc>
              <w:tc>
                <w:tcPr>
                  <w:tcW w:w="509" w:type="pct"/>
                  <w:vMerge w:val="continue"/>
                  <w:vAlign w:val="center"/>
                </w:tcPr>
                <w:p w14:paraId="02364781">
                  <w:pPr>
                    <w:pStyle w:val="111"/>
                    <w:spacing w:beforeLines="0" w:line="240" w:lineRule="auto"/>
                    <w:ind w:firstLine="0" w:firstLineChars="0"/>
                    <w:jc w:val="center"/>
                    <w:rPr>
                      <w:sz w:val="21"/>
                      <w:szCs w:val="21"/>
                    </w:rPr>
                  </w:pPr>
                </w:p>
              </w:tc>
              <w:tc>
                <w:tcPr>
                  <w:tcW w:w="421" w:type="pct"/>
                  <w:vMerge w:val="continue"/>
                  <w:vAlign w:val="center"/>
                </w:tcPr>
                <w:p w14:paraId="7761DE20">
                  <w:pPr>
                    <w:pStyle w:val="111"/>
                    <w:spacing w:beforeLines="0" w:line="240" w:lineRule="auto"/>
                    <w:ind w:firstLine="0" w:firstLineChars="0"/>
                    <w:jc w:val="center"/>
                    <w:rPr>
                      <w:sz w:val="21"/>
                      <w:szCs w:val="21"/>
                    </w:rPr>
                  </w:pPr>
                </w:p>
              </w:tc>
            </w:tr>
            <w:tr w14:paraId="631AB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8" w:type="pct"/>
                  <w:vMerge w:val="continue"/>
                </w:tcPr>
                <w:p w14:paraId="332F5E84">
                  <w:pPr>
                    <w:widowControl/>
                    <w:jc w:val="center"/>
                    <w:rPr>
                      <w:kern w:val="0"/>
                      <w:szCs w:val="21"/>
                    </w:rPr>
                  </w:pPr>
                </w:p>
              </w:tc>
              <w:tc>
                <w:tcPr>
                  <w:tcW w:w="671" w:type="pct"/>
                  <w:vMerge w:val="continue"/>
                </w:tcPr>
                <w:p w14:paraId="3B49C9AB">
                  <w:pPr>
                    <w:jc w:val="center"/>
                    <w:rPr>
                      <w:szCs w:val="21"/>
                    </w:rPr>
                  </w:pPr>
                </w:p>
              </w:tc>
              <w:tc>
                <w:tcPr>
                  <w:tcW w:w="614" w:type="pct"/>
                  <w:vMerge w:val="continue"/>
                </w:tcPr>
                <w:p w14:paraId="18CA70B0">
                  <w:pPr>
                    <w:pStyle w:val="111"/>
                    <w:spacing w:beforeLines="0" w:line="240" w:lineRule="auto"/>
                    <w:ind w:firstLine="0" w:firstLineChars="0"/>
                    <w:jc w:val="center"/>
                    <w:rPr>
                      <w:sz w:val="21"/>
                      <w:szCs w:val="21"/>
                    </w:rPr>
                  </w:pPr>
                </w:p>
              </w:tc>
              <w:tc>
                <w:tcPr>
                  <w:tcW w:w="439" w:type="pct"/>
                  <w:vAlign w:val="center"/>
                </w:tcPr>
                <w:p w14:paraId="2951DDB7">
                  <w:pPr>
                    <w:jc w:val="center"/>
                    <w:rPr>
                      <w:szCs w:val="21"/>
                    </w:rPr>
                  </w:pPr>
                  <w:r>
                    <w:rPr>
                      <w:rFonts w:hint="eastAsia"/>
                      <w:szCs w:val="21"/>
                    </w:rPr>
                    <w:t>SO</w:t>
                  </w:r>
                  <w:r>
                    <w:rPr>
                      <w:rFonts w:hint="eastAsia"/>
                      <w:szCs w:val="21"/>
                      <w:vertAlign w:val="subscript"/>
                    </w:rPr>
                    <w:t>2</w:t>
                  </w:r>
                </w:p>
              </w:tc>
              <w:tc>
                <w:tcPr>
                  <w:tcW w:w="829" w:type="pct"/>
                  <w:shd w:val="clear" w:color="auto" w:fill="auto"/>
                  <w:vAlign w:val="center"/>
                </w:tcPr>
                <w:p w14:paraId="44B37DC9">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Cs w:val="21"/>
                      <w:lang w:val="en-US" w:eastAsia="zh-CN" w:bidi="ar"/>
                    </w:rPr>
                    <w:t>0.167</w:t>
                  </w:r>
                </w:p>
              </w:tc>
              <w:tc>
                <w:tcPr>
                  <w:tcW w:w="647" w:type="pct"/>
                  <w:shd w:val="clear" w:color="auto" w:fill="auto"/>
                  <w:vAlign w:val="center"/>
                </w:tcPr>
                <w:p w14:paraId="34ED6CB9">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Cs w:val="21"/>
                      <w:lang w:val="en-US" w:eastAsia="zh-CN" w:bidi="ar"/>
                    </w:rPr>
                    <w:t>0.002</w:t>
                  </w:r>
                </w:p>
              </w:tc>
              <w:tc>
                <w:tcPr>
                  <w:tcW w:w="517" w:type="pct"/>
                  <w:vMerge w:val="continue"/>
                </w:tcPr>
                <w:p w14:paraId="1370D3D8">
                  <w:pPr>
                    <w:jc w:val="center"/>
                    <w:rPr>
                      <w:szCs w:val="21"/>
                    </w:rPr>
                  </w:pPr>
                </w:p>
              </w:tc>
              <w:tc>
                <w:tcPr>
                  <w:tcW w:w="509" w:type="pct"/>
                  <w:vMerge w:val="continue"/>
                </w:tcPr>
                <w:p w14:paraId="6A7BC8C1">
                  <w:pPr>
                    <w:pStyle w:val="111"/>
                    <w:spacing w:beforeLines="0" w:line="240" w:lineRule="auto"/>
                    <w:ind w:firstLine="0" w:firstLineChars="0"/>
                    <w:jc w:val="center"/>
                    <w:rPr>
                      <w:sz w:val="21"/>
                      <w:szCs w:val="21"/>
                    </w:rPr>
                  </w:pPr>
                </w:p>
              </w:tc>
              <w:tc>
                <w:tcPr>
                  <w:tcW w:w="421" w:type="pct"/>
                  <w:vMerge w:val="continue"/>
                </w:tcPr>
                <w:p w14:paraId="29D1724D">
                  <w:pPr>
                    <w:pStyle w:val="111"/>
                    <w:spacing w:beforeLines="0" w:line="240" w:lineRule="auto"/>
                    <w:ind w:firstLine="0" w:firstLineChars="0"/>
                    <w:jc w:val="center"/>
                    <w:rPr>
                      <w:sz w:val="21"/>
                      <w:szCs w:val="21"/>
                    </w:rPr>
                  </w:pPr>
                </w:p>
              </w:tc>
            </w:tr>
            <w:tr w14:paraId="18122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8" w:type="pct"/>
                  <w:vMerge w:val="continue"/>
                </w:tcPr>
                <w:p w14:paraId="1271031D">
                  <w:pPr>
                    <w:widowControl/>
                    <w:jc w:val="center"/>
                    <w:rPr>
                      <w:kern w:val="0"/>
                      <w:szCs w:val="21"/>
                    </w:rPr>
                  </w:pPr>
                </w:p>
              </w:tc>
              <w:tc>
                <w:tcPr>
                  <w:tcW w:w="671" w:type="pct"/>
                  <w:vMerge w:val="continue"/>
                </w:tcPr>
                <w:p w14:paraId="14912D21">
                  <w:pPr>
                    <w:jc w:val="center"/>
                    <w:rPr>
                      <w:szCs w:val="21"/>
                    </w:rPr>
                  </w:pPr>
                </w:p>
              </w:tc>
              <w:tc>
                <w:tcPr>
                  <w:tcW w:w="614" w:type="pct"/>
                  <w:vMerge w:val="continue"/>
                </w:tcPr>
                <w:p w14:paraId="207D0A4E">
                  <w:pPr>
                    <w:pStyle w:val="111"/>
                    <w:spacing w:beforeLines="0" w:line="240" w:lineRule="auto"/>
                    <w:ind w:firstLine="0" w:firstLineChars="0"/>
                    <w:jc w:val="center"/>
                    <w:rPr>
                      <w:sz w:val="21"/>
                      <w:szCs w:val="21"/>
                    </w:rPr>
                  </w:pPr>
                </w:p>
              </w:tc>
              <w:tc>
                <w:tcPr>
                  <w:tcW w:w="439" w:type="pct"/>
                  <w:vAlign w:val="center"/>
                </w:tcPr>
                <w:p w14:paraId="78011877">
                  <w:pPr>
                    <w:jc w:val="center"/>
                    <w:rPr>
                      <w:szCs w:val="21"/>
                    </w:rPr>
                  </w:pPr>
                  <w:r>
                    <w:rPr>
                      <w:rFonts w:hint="eastAsia"/>
                      <w:szCs w:val="21"/>
                    </w:rPr>
                    <w:t>颗粒物</w:t>
                  </w:r>
                </w:p>
              </w:tc>
              <w:tc>
                <w:tcPr>
                  <w:tcW w:w="829" w:type="pct"/>
                  <w:shd w:val="clear" w:color="auto" w:fill="auto"/>
                  <w:vAlign w:val="center"/>
                </w:tcPr>
                <w:p w14:paraId="5D148E08">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Cs w:val="21"/>
                      <w:lang w:val="en-US" w:eastAsia="zh-CN" w:bidi="ar"/>
                    </w:rPr>
                    <w:t>0.2</w:t>
                  </w:r>
                </w:p>
              </w:tc>
              <w:tc>
                <w:tcPr>
                  <w:tcW w:w="647" w:type="pct"/>
                  <w:shd w:val="clear" w:color="auto" w:fill="auto"/>
                  <w:vAlign w:val="center"/>
                </w:tcPr>
                <w:p w14:paraId="7899AC09">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Cs w:val="21"/>
                      <w:lang w:val="en-US" w:eastAsia="zh-CN" w:bidi="ar"/>
                    </w:rPr>
                    <w:t>0.002</w:t>
                  </w:r>
                </w:p>
              </w:tc>
              <w:tc>
                <w:tcPr>
                  <w:tcW w:w="517" w:type="pct"/>
                  <w:vMerge w:val="continue"/>
                </w:tcPr>
                <w:p w14:paraId="3A69BB06">
                  <w:pPr>
                    <w:jc w:val="center"/>
                    <w:rPr>
                      <w:szCs w:val="21"/>
                    </w:rPr>
                  </w:pPr>
                </w:p>
              </w:tc>
              <w:tc>
                <w:tcPr>
                  <w:tcW w:w="509" w:type="pct"/>
                  <w:vMerge w:val="continue"/>
                </w:tcPr>
                <w:p w14:paraId="0538A26F">
                  <w:pPr>
                    <w:pStyle w:val="111"/>
                    <w:spacing w:beforeLines="0" w:line="240" w:lineRule="auto"/>
                    <w:ind w:firstLine="0" w:firstLineChars="0"/>
                    <w:jc w:val="center"/>
                    <w:rPr>
                      <w:sz w:val="21"/>
                      <w:szCs w:val="21"/>
                    </w:rPr>
                  </w:pPr>
                </w:p>
              </w:tc>
              <w:tc>
                <w:tcPr>
                  <w:tcW w:w="421" w:type="pct"/>
                  <w:vMerge w:val="continue"/>
                </w:tcPr>
                <w:p w14:paraId="68BC3A36">
                  <w:pPr>
                    <w:pStyle w:val="111"/>
                    <w:spacing w:beforeLines="0" w:line="240" w:lineRule="auto"/>
                    <w:ind w:firstLine="0" w:firstLineChars="0"/>
                    <w:jc w:val="center"/>
                    <w:rPr>
                      <w:sz w:val="21"/>
                      <w:szCs w:val="21"/>
                    </w:rPr>
                  </w:pPr>
                </w:p>
              </w:tc>
            </w:tr>
          </w:tbl>
          <w:p w14:paraId="0C0EECA3">
            <w:pPr>
              <w:pStyle w:val="2"/>
              <w:spacing w:before="0" w:after="0" w:line="240" w:lineRule="auto"/>
              <w:ind w:right="0" w:firstLine="422" w:firstLineChars="200"/>
              <w:rPr>
                <w:bCs/>
                <w:sz w:val="21"/>
                <w:szCs w:val="21"/>
              </w:rPr>
            </w:pPr>
            <w:r>
              <w:rPr>
                <w:b/>
                <w:bCs/>
                <w:sz w:val="21"/>
                <w:szCs w:val="21"/>
              </w:rPr>
              <w:t>注：</w:t>
            </w:r>
            <w:r>
              <w:rPr>
                <w:sz w:val="21"/>
                <w:szCs w:val="21"/>
              </w:rPr>
              <w:t>非正常排放估算源强参数采用的是处理装置完全失效时污染物的产生源强</w:t>
            </w:r>
          </w:p>
          <w:p w14:paraId="3398DECA">
            <w:pPr>
              <w:spacing w:line="480" w:lineRule="exact"/>
              <w:ind w:firstLine="482" w:firstLineChars="200"/>
              <w:rPr>
                <w:b/>
                <w:sz w:val="24"/>
              </w:rPr>
            </w:pPr>
            <w:r>
              <w:rPr>
                <w:b/>
                <w:sz w:val="24"/>
              </w:rPr>
              <w:t>2、废气治理措施可行性分析</w:t>
            </w:r>
          </w:p>
          <w:p w14:paraId="0AA7C05B">
            <w:pPr>
              <w:spacing w:line="480" w:lineRule="exact"/>
              <w:ind w:firstLine="480" w:firstLineChars="200"/>
              <w:rPr>
                <w:sz w:val="24"/>
              </w:rPr>
            </w:pPr>
            <w:r>
              <w:rPr>
                <w:sz w:val="24"/>
              </w:rPr>
              <w:t>（1）有组织废气</w:t>
            </w:r>
          </w:p>
          <w:p w14:paraId="057EFFA2">
            <w:pPr>
              <w:spacing w:line="480" w:lineRule="exact"/>
              <w:ind w:firstLine="480" w:firstLineChars="200"/>
              <w:rPr>
                <w:rFonts w:hint="eastAsia"/>
                <w:kern w:val="0"/>
                <w:sz w:val="24"/>
                <w:lang w:val="en-US" w:eastAsia="zh-CN"/>
              </w:rPr>
            </w:pPr>
            <w:r>
              <w:rPr>
                <w:rFonts w:hint="eastAsia"/>
                <w:kern w:val="0"/>
                <w:sz w:val="24"/>
                <w:lang w:val="en-US" w:eastAsia="zh-CN"/>
              </w:rPr>
              <w:t>本</w:t>
            </w:r>
            <w:r>
              <w:rPr>
                <w:rFonts w:hint="eastAsia"/>
                <w:kern w:val="0"/>
                <w:sz w:val="24"/>
              </w:rPr>
              <w:t>项目调配废气经TA001布袋除尘器处理后，与背胶、烘干、天然气燃烧和危废废气一起经TA002除水器+二级活性炭吸附装置处理后通过一根15m高DA001排气筒</w:t>
            </w:r>
            <w:r>
              <w:rPr>
                <w:rFonts w:hint="eastAsia"/>
                <w:kern w:val="0"/>
                <w:sz w:val="24"/>
                <w:lang w:val="en-US" w:eastAsia="zh-CN"/>
              </w:rPr>
              <w:t>排放，</w:t>
            </w:r>
            <w:r>
              <w:rPr>
                <w:sz w:val="24"/>
                <w:szCs w:val="22"/>
              </w:rPr>
              <w:t>废气捕集率约9</w:t>
            </w:r>
            <w:r>
              <w:rPr>
                <w:rFonts w:hint="eastAsia"/>
                <w:sz w:val="24"/>
                <w:szCs w:val="22"/>
                <w:lang w:val="en-US" w:eastAsia="zh-CN"/>
              </w:rPr>
              <w:t>0</w:t>
            </w:r>
            <w:r>
              <w:rPr>
                <w:sz w:val="24"/>
                <w:szCs w:val="22"/>
              </w:rPr>
              <w:t>%，</w:t>
            </w:r>
            <w:r>
              <w:rPr>
                <w:rFonts w:hint="eastAsia"/>
                <w:sz w:val="24"/>
                <w:szCs w:val="22"/>
                <w:lang w:val="en-US" w:eastAsia="zh-CN"/>
              </w:rPr>
              <w:t>除尘</w:t>
            </w:r>
            <w:r>
              <w:rPr>
                <w:sz w:val="24"/>
                <w:szCs w:val="22"/>
              </w:rPr>
              <w:t>效率约9</w:t>
            </w:r>
            <w:r>
              <w:rPr>
                <w:rFonts w:hint="eastAsia"/>
                <w:sz w:val="24"/>
                <w:szCs w:val="22"/>
                <w:lang w:val="en-US" w:eastAsia="zh-CN"/>
              </w:rPr>
              <w:t>5</w:t>
            </w:r>
            <w:r>
              <w:rPr>
                <w:sz w:val="24"/>
                <w:szCs w:val="22"/>
              </w:rPr>
              <w:t>%，</w:t>
            </w:r>
            <w:r>
              <w:rPr>
                <w:rFonts w:hint="eastAsia"/>
                <w:sz w:val="24"/>
                <w:szCs w:val="22"/>
              </w:rPr>
              <w:t>活性炭吸附</w:t>
            </w:r>
            <w:r>
              <w:rPr>
                <w:sz w:val="24"/>
                <w:szCs w:val="22"/>
              </w:rPr>
              <w:t>效率约9</w:t>
            </w:r>
            <w:r>
              <w:rPr>
                <w:rFonts w:hint="eastAsia"/>
                <w:sz w:val="24"/>
                <w:szCs w:val="22"/>
              </w:rPr>
              <w:t>0</w:t>
            </w:r>
            <w:r>
              <w:rPr>
                <w:sz w:val="24"/>
                <w:szCs w:val="22"/>
              </w:rPr>
              <w:t>%</w:t>
            </w:r>
            <w:r>
              <w:rPr>
                <w:rFonts w:hint="eastAsia"/>
                <w:kern w:val="0"/>
                <w:sz w:val="24"/>
                <w:lang w:val="en-US" w:eastAsia="zh-CN"/>
              </w:rPr>
              <w:t>。</w:t>
            </w:r>
          </w:p>
          <w:p w14:paraId="52CF98BC">
            <w:pPr>
              <w:numPr>
                <w:ilvl w:val="0"/>
                <w:numId w:val="7"/>
              </w:numPr>
              <w:spacing w:line="480" w:lineRule="exact"/>
              <w:ind w:firstLine="480" w:firstLineChars="200"/>
              <w:rPr>
                <w:sz w:val="24"/>
                <w:szCs w:val="22"/>
              </w:rPr>
            </w:pPr>
            <w:r>
              <w:rPr>
                <w:rFonts w:hint="eastAsia"/>
                <w:sz w:val="24"/>
                <w:szCs w:val="22"/>
              </w:rPr>
              <w:t>无组织废气</w:t>
            </w:r>
          </w:p>
          <w:p w14:paraId="0123408A">
            <w:pPr>
              <w:spacing w:line="480" w:lineRule="exact"/>
              <w:ind w:firstLine="480" w:firstLineChars="200"/>
              <w:rPr>
                <w:sz w:val="24"/>
                <w:szCs w:val="22"/>
              </w:rPr>
            </w:pPr>
            <w:r>
              <w:rPr>
                <w:rFonts w:hint="eastAsia"/>
                <w:sz w:val="24"/>
                <w:szCs w:val="22"/>
                <w:lang w:val="en-US" w:eastAsia="zh-CN"/>
              </w:rPr>
              <w:t>未捕集废气车间内无组织排放</w:t>
            </w:r>
            <w:r>
              <w:rPr>
                <w:rFonts w:hint="eastAsia"/>
                <w:sz w:val="24"/>
                <w:szCs w:val="22"/>
              </w:rPr>
              <w:t>。</w:t>
            </w:r>
          </w:p>
          <w:p w14:paraId="406F9240">
            <w:pPr>
              <w:spacing w:line="480" w:lineRule="exact"/>
              <w:ind w:firstLine="480" w:firstLineChars="200"/>
              <w:rPr>
                <w:sz w:val="24"/>
              </w:rPr>
            </w:pPr>
            <w:r>
              <w:rPr>
                <w:sz w:val="24"/>
              </w:rPr>
              <w:t>项目废气治理措施示意图见下表。</w:t>
            </w:r>
          </w:p>
          <w:p w14:paraId="134A69DC">
            <w:pPr>
              <w:pStyle w:val="7"/>
              <w:jc w:val="center"/>
              <w:rPr>
                <w:color w:val="FF0000"/>
              </w:rPr>
            </w:pPr>
            <w:r>
              <w:object>
                <v:shape id="_x0000_i1026" o:spt="75" type="#_x0000_t75" style="height:196.85pt;width:435.3pt;" o:ole="t" fillcolor="#FFFFFF" filled="t" o:preferrelative="t" stroked="f" coordsize="21600,21600">
                  <v:path/>
                  <v:fill on="t" color2="#FFFFFF" focussize="0,0"/>
                  <v:stroke on="f"/>
                  <v:imagedata r:id="rId15" cropleft="839f" croptop="1147f" cropright="613f" cropbottom="374f" o:title=""/>
                  <o:lock v:ext="edit" aspectratio="t"/>
                  <w10:wrap type="none"/>
                  <w10:anchorlock/>
                </v:shape>
                <o:OLEObject Type="Embed" ProgID="Visio.Drawing.15" ShapeID="_x0000_i1026" DrawAspect="Content" ObjectID="_1468075726" r:id="rId14">
                  <o:LockedField>false</o:LockedField>
                </o:OLEObject>
              </w:object>
            </w:r>
          </w:p>
          <w:p w14:paraId="28CBDC3D">
            <w:pPr>
              <w:spacing w:line="480" w:lineRule="exact"/>
              <w:jc w:val="center"/>
              <w:rPr>
                <w:b/>
                <w:bCs/>
                <w:sz w:val="24"/>
              </w:rPr>
            </w:pPr>
            <w:r>
              <w:rPr>
                <w:b/>
                <w:bCs/>
                <w:sz w:val="24"/>
              </w:rPr>
              <w:t>图4-2  项目建成后全厂废气治理措施示意图</w:t>
            </w:r>
          </w:p>
          <w:p w14:paraId="2FCCD64B">
            <w:pPr>
              <w:numPr>
                <w:ilvl w:val="0"/>
                <w:numId w:val="8"/>
              </w:numPr>
              <w:spacing w:line="480" w:lineRule="exact"/>
              <w:ind w:firstLine="482" w:firstLineChars="200"/>
              <w:rPr>
                <w:b/>
                <w:sz w:val="24"/>
              </w:rPr>
            </w:pPr>
            <w:r>
              <w:rPr>
                <w:b/>
                <w:sz w:val="24"/>
              </w:rPr>
              <w:t>废气收集措施</w:t>
            </w:r>
          </w:p>
          <w:p w14:paraId="2A9861B2">
            <w:pPr>
              <w:pStyle w:val="2"/>
              <w:widowControl w:val="0"/>
              <w:spacing w:before="0" w:after="0" w:line="480" w:lineRule="exact"/>
              <w:ind w:right="0" w:firstLine="480" w:firstLineChars="200"/>
              <w:rPr>
                <w:sz w:val="24"/>
                <w:szCs w:val="24"/>
              </w:rPr>
            </w:pPr>
            <w:r>
              <w:rPr>
                <w:sz w:val="24"/>
                <w:szCs w:val="24"/>
              </w:rPr>
              <w:t>本项目</w:t>
            </w:r>
            <w:r>
              <w:rPr>
                <w:rFonts w:hint="eastAsia"/>
                <w:sz w:val="24"/>
                <w:szCs w:val="24"/>
                <w:lang w:val="en-US" w:eastAsia="zh-CN"/>
              </w:rPr>
              <w:t>投料采用密闭收集，</w:t>
            </w:r>
            <w:r>
              <w:rPr>
                <w:rFonts w:hint="eastAsia"/>
                <w:sz w:val="24"/>
                <w:szCs w:val="24"/>
              </w:rPr>
              <w:t>调配、背胶以及烘干工段产生的废气</w:t>
            </w:r>
            <w:r>
              <w:rPr>
                <w:sz w:val="24"/>
                <w:szCs w:val="24"/>
              </w:rPr>
              <w:t>均采用集气罩进行收集。集气罩集气效率的高低取决于集气罩至污染源的距离及集气罩吸风在污染物发生点产生的控制风速。</w:t>
            </w:r>
          </w:p>
          <w:p w14:paraId="6045D5AF">
            <w:pPr>
              <w:pStyle w:val="2"/>
              <w:widowControl w:val="0"/>
              <w:spacing w:before="0" w:after="0" w:line="480" w:lineRule="exact"/>
              <w:ind w:right="0" w:firstLine="480" w:firstLineChars="200"/>
              <w:rPr>
                <w:sz w:val="24"/>
                <w:szCs w:val="24"/>
              </w:rPr>
            </w:pPr>
            <w:r>
              <w:rPr>
                <w:rFonts w:hint="eastAsia"/>
                <w:sz w:val="24"/>
                <w:szCs w:val="24"/>
                <w:lang w:val="en-US" w:eastAsia="zh-CN"/>
              </w:rPr>
              <w:t>①</w:t>
            </w:r>
            <w:r>
              <w:rPr>
                <w:sz w:val="24"/>
                <w:szCs w:val="24"/>
              </w:rPr>
              <w:t>废气产生区域上方设置负压集气罩，形式为上部伞形集气罩，上吸式废气集气罩设计相关技术要求如下：</w:t>
            </w:r>
          </w:p>
          <w:p w14:paraId="72237DA0">
            <w:pPr>
              <w:pStyle w:val="3"/>
              <w:numPr>
                <w:ilvl w:val="0"/>
                <w:numId w:val="0"/>
              </w:numPr>
              <w:jc w:val="center"/>
              <w:rPr>
                <w:color w:val="FF0000"/>
                <w:sz w:val="24"/>
              </w:rPr>
            </w:pPr>
            <w:r>
              <w:rPr>
                <w:color w:val="FF0000"/>
              </w:rPr>
              <w:drawing>
                <wp:inline distT="0" distB="0" distL="114300" distR="114300">
                  <wp:extent cx="2504440" cy="2484120"/>
                  <wp:effectExtent l="0" t="0" r="10160" b="11430"/>
                  <wp:docPr id="2"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9"/>
                          <pic:cNvPicPr>
                            <a:picLocks noChangeAspect="1"/>
                          </pic:cNvPicPr>
                        </pic:nvPicPr>
                        <pic:blipFill>
                          <a:blip r:embed="rId16"/>
                          <a:stretch>
                            <a:fillRect/>
                          </a:stretch>
                        </pic:blipFill>
                        <pic:spPr>
                          <a:xfrm>
                            <a:off x="0" y="0"/>
                            <a:ext cx="2504440" cy="2484120"/>
                          </a:xfrm>
                          <a:prstGeom prst="rect">
                            <a:avLst/>
                          </a:prstGeom>
                          <a:noFill/>
                          <a:ln>
                            <a:noFill/>
                          </a:ln>
                        </pic:spPr>
                      </pic:pic>
                    </a:graphicData>
                  </a:graphic>
                </wp:inline>
              </w:drawing>
            </w:r>
          </w:p>
          <w:p w14:paraId="56976846">
            <w:pPr>
              <w:pStyle w:val="2"/>
              <w:widowControl w:val="0"/>
              <w:spacing w:before="0" w:after="0" w:line="480" w:lineRule="exact"/>
              <w:ind w:right="0" w:firstLine="480" w:firstLineChars="200"/>
              <w:rPr>
                <w:sz w:val="24"/>
                <w:szCs w:val="24"/>
              </w:rPr>
            </w:pPr>
            <w:r>
              <w:rPr>
                <w:sz w:val="24"/>
                <w:szCs w:val="24"/>
              </w:rPr>
              <w:t>为避免横向气流影响，要求H尽可能小于或等于0.3a（a－罩口长边尺寸）。</w:t>
            </w:r>
          </w:p>
          <w:p w14:paraId="098816BB">
            <w:pPr>
              <w:pStyle w:val="2"/>
              <w:widowControl w:val="0"/>
              <w:spacing w:before="0" w:after="0" w:line="480" w:lineRule="exact"/>
              <w:ind w:right="0" w:firstLine="480" w:firstLineChars="200"/>
              <w:rPr>
                <w:sz w:val="24"/>
                <w:szCs w:val="24"/>
              </w:rPr>
            </w:pPr>
            <w:r>
              <w:rPr>
                <w:sz w:val="24"/>
                <w:szCs w:val="24"/>
              </w:rPr>
              <w:t>排风量计算公式如下：</w:t>
            </w:r>
          </w:p>
          <w:p w14:paraId="44DCBA7B">
            <w:pPr>
              <w:pStyle w:val="2"/>
              <w:widowControl w:val="0"/>
              <w:spacing w:before="0" w:after="0" w:line="480" w:lineRule="exact"/>
              <w:ind w:right="0" w:firstLine="480" w:firstLineChars="200"/>
              <w:jc w:val="center"/>
              <w:rPr>
                <w:sz w:val="24"/>
                <w:szCs w:val="24"/>
              </w:rPr>
            </w:pPr>
            <w:r>
              <w:rPr>
                <w:sz w:val="24"/>
                <w:szCs w:val="24"/>
              </w:rPr>
              <w:t>L=K×P×H×Vx</w:t>
            </w:r>
          </w:p>
          <w:p w14:paraId="62EAE383">
            <w:pPr>
              <w:pStyle w:val="2"/>
              <w:widowControl w:val="0"/>
              <w:spacing w:before="0" w:after="0" w:line="480" w:lineRule="exact"/>
              <w:ind w:right="0" w:firstLine="480" w:firstLineChars="200"/>
              <w:rPr>
                <w:sz w:val="24"/>
                <w:szCs w:val="24"/>
              </w:rPr>
            </w:pPr>
            <w:r>
              <w:rPr>
                <w:sz w:val="24"/>
                <w:szCs w:val="24"/>
              </w:rPr>
              <w:t>式中：L——罩口排风量，m</w:t>
            </w:r>
            <w:r>
              <w:rPr>
                <w:sz w:val="24"/>
                <w:szCs w:val="24"/>
                <w:vertAlign w:val="superscript"/>
              </w:rPr>
              <w:t>3</w:t>
            </w:r>
            <w:r>
              <w:rPr>
                <w:sz w:val="24"/>
                <w:szCs w:val="24"/>
              </w:rPr>
              <w:t>/s；</w:t>
            </w:r>
          </w:p>
          <w:p w14:paraId="682708D5">
            <w:pPr>
              <w:pStyle w:val="2"/>
              <w:widowControl w:val="0"/>
              <w:spacing w:before="0" w:after="0" w:line="480" w:lineRule="exact"/>
              <w:ind w:right="0" w:firstLine="480" w:firstLineChars="200"/>
              <w:rPr>
                <w:sz w:val="24"/>
                <w:szCs w:val="24"/>
              </w:rPr>
            </w:pPr>
            <w:r>
              <w:rPr>
                <w:sz w:val="24"/>
                <w:szCs w:val="24"/>
              </w:rPr>
              <w:t>K——考虑沿高度流速不均匀的安全系数，通常取K=1.4；</w:t>
            </w:r>
          </w:p>
          <w:p w14:paraId="3C8AB0F7">
            <w:pPr>
              <w:pStyle w:val="2"/>
              <w:widowControl w:val="0"/>
              <w:spacing w:before="0" w:after="0" w:line="480" w:lineRule="exact"/>
              <w:ind w:right="0" w:firstLine="480" w:firstLineChars="200"/>
              <w:rPr>
                <w:sz w:val="24"/>
                <w:szCs w:val="24"/>
              </w:rPr>
            </w:pPr>
            <w:r>
              <w:rPr>
                <w:sz w:val="24"/>
                <w:szCs w:val="24"/>
              </w:rPr>
              <w:t>P——罩口敞开面的周长，m；</w:t>
            </w:r>
          </w:p>
          <w:p w14:paraId="2FB3C88D">
            <w:pPr>
              <w:pStyle w:val="2"/>
              <w:widowControl w:val="0"/>
              <w:spacing w:before="0" w:after="0" w:line="480" w:lineRule="exact"/>
              <w:ind w:right="0" w:firstLine="480" w:firstLineChars="200"/>
              <w:rPr>
                <w:sz w:val="24"/>
                <w:szCs w:val="24"/>
              </w:rPr>
            </w:pPr>
            <w:r>
              <w:rPr>
                <w:sz w:val="24"/>
                <w:szCs w:val="24"/>
              </w:rPr>
              <w:t>H——罩口至有害物源的距离，m；</w:t>
            </w:r>
          </w:p>
          <w:p w14:paraId="1F219461">
            <w:pPr>
              <w:pStyle w:val="2"/>
              <w:widowControl w:val="0"/>
              <w:spacing w:before="0" w:after="0" w:line="480" w:lineRule="exact"/>
              <w:ind w:right="0" w:firstLine="480" w:firstLineChars="200"/>
              <w:rPr>
                <w:sz w:val="24"/>
                <w:szCs w:val="24"/>
              </w:rPr>
            </w:pPr>
            <w:r>
              <w:rPr>
                <w:sz w:val="24"/>
                <w:szCs w:val="24"/>
              </w:rPr>
              <w:t>Vx——边缘的控制风速，m/s。</w:t>
            </w:r>
          </w:p>
          <w:p w14:paraId="664607D5">
            <w:pPr>
              <w:pStyle w:val="2"/>
              <w:widowControl w:val="0"/>
              <w:spacing w:before="0" w:after="0" w:line="480" w:lineRule="exact"/>
              <w:ind w:right="0" w:firstLine="480" w:firstLineChars="200"/>
              <w:rPr>
                <w:sz w:val="24"/>
                <w:szCs w:val="24"/>
              </w:rPr>
            </w:pPr>
            <w:r>
              <w:rPr>
                <w:sz w:val="24"/>
                <w:szCs w:val="24"/>
              </w:rPr>
              <w:t>本项目集气罩距离控制点取0.3-0.5m，根据大气污染控制工程系统设计参数，以缓慢释放的气态物质，本次取0.</w:t>
            </w:r>
            <w:r>
              <w:rPr>
                <w:rFonts w:hint="eastAsia"/>
                <w:sz w:val="24"/>
                <w:szCs w:val="24"/>
              </w:rPr>
              <w:t>5</w:t>
            </w:r>
            <w:r>
              <w:rPr>
                <w:sz w:val="24"/>
                <w:szCs w:val="24"/>
              </w:rPr>
              <w:t>m/s。</w:t>
            </w:r>
          </w:p>
          <w:p w14:paraId="2D21B3AB">
            <w:pPr>
              <w:pStyle w:val="2"/>
              <w:widowControl w:val="0"/>
              <w:spacing w:before="0" w:after="0" w:line="480" w:lineRule="exact"/>
              <w:ind w:right="0"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②空间密闭换风排风量L（m3/h）的计算公式为：L=nVf</w:t>
            </w:r>
          </w:p>
          <w:p w14:paraId="73884BC1">
            <w:pPr>
              <w:pStyle w:val="2"/>
              <w:widowControl w:val="0"/>
              <w:spacing w:before="0" w:after="0" w:line="480" w:lineRule="exact"/>
              <w:ind w:right="0"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式中：</w:t>
            </w:r>
          </w:p>
          <w:p w14:paraId="2F1DE8B6">
            <w:pPr>
              <w:pStyle w:val="2"/>
              <w:widowControl w:val="0"/>
              <w:spacing w:before="0" w:after="0" w:line="480" w:lineRule="exact"/>
              <w:ind w:right="0"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n—换气次数，</w:t>
            </w:r>
            <w:r>
              <w:rPr>
                <w:rFonts w:hint="default" w:ascii="Times New Roman" w:hAnsi="Times New Roman" w:eastAsia="宋体" w:cs="Times New Roman"/>
                <w:sz w:val="24"/>
                <w:szCs w:val="24"/>
                <w:lang w:val="en-US" w:eastAsia="zh-CN"/>
              </w:rPr>
              <w:t>次</w:t>
            </w:r>
            <w:r>
              <w:rPr>
                <w:rFonts w:hint="default" w:ascii="Times New Roman" w:hAnsi="Times New Roman" w:eastAsia="宋体" w:cs="Times New Roman"/>
                <w:sz w:val="24"/>
                <w:szCs w:val="24"/>
                <w:lang w:val="zh-CN"/>
              </w:rPr>
              <w:t>/h；</w:t>
            </w:r>
          </w:p>
          <w:p w14:paraId="1DA744F6">
            <w:pPr>
              <w:pStyle w:val="2"/>
              <w:widowControl w:val="0"/>
              <w:spacing w:before="0" w:after="0" w:line="480" w:lineRule="exact"/>
              <w:ind w:right="0"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Vf—通风房间体积，m3。</w:t>
            </w:r>
          </w:p>
          <w:p w14:paraId="27A751DE">
            <w:pPr>
              <w:pStyle w:val="2"/>
              <w:widowControl w:val="0"/>
              <w:spacing w:before="0" w:after="0" w:line="480" w:lineRule="exact"/>
              <w:ind w:right="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w:t>
            </w:r>
            <w:r>
              <w:rPr>
                <w:rFonts w:ascii="Times New Roman" w:hAnsi="Times New Roman" w:eastAsia="宋体" w:cs="Times New Roman"/>
                <w:sz w:val="24"/>
                <w:szCs w:val="24"/>
              </w:rPr>
              <w:t>项目废气处理风量情况见下表：</w:t>
            </w:r>
          </w:p>
          <w:p w14:paraId="58FC832B">
            <w:pPr>
              <w:spacing w:line="480" w:lineRule="exact"/>
              <w:jc w:val="center"/>
              <w:rPr>
                <w:b/>
                <w:sz w:val="24"/>
              </w:rPr>
            </w:pPr>
            <w:r>
              <w:rPr>
                <w:b/>
                <w:sz w:val="24"/>
              </w:rPr>
              <w:t>表4-1</w:t>
            </w:r>
            <w:r>
              <w:rPr>
                <w:rFonts w:hint="eastAsia"/>
                <w:b/>
                <w:sz w:val="24"/>
                <w:lang w:val="en-US" w:eastAsia="zh-CN"/>
              </w:rPr>
              <w:t>2</w:t>
            </w:r>
            <w:r>
              <w:rPr>
                <w:b/>
                <w:sz w:val="24"/>
              </w:rPr>
              <w:t xml:space="preserve">  废气处理风量情况表</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80"/>
              <w:gridCol w:w="1754"/>
              <w:gridCol w:w="3686"/>
              <w:gridCol w:w="1167"/>
              <w:gridCol w:w="1060"/>
            </w:tblGrid>
            <w:tr w14:paraId="77ED9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715" w:type="pct"/>
                  <w:noWrap w:val="0"/>
                  <w:vAlign w:val="center"/>
                </w:tcPr>
                <w:p w14:paraId="38EC6444">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系统名称</w:t>
                  </w:r>
                </w:p>
              </w:tc>
              <w:tc>
                <w:tcPr>
                  <w:tcW w:w="980" w:type="pct"/>
                  <w:noWrap w:val="0"/>
                  <w:vAlign w:val="center"/>
                </w:tcPr>
                <w:p w14:paraId="3C2DAC9D">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处理对象</w:t>
                  </w:r>
                </w:p>
              </w:tc>
              <w:tc>
                <w:tcPr>
                  <w:tcW w:w="2059" w:type="pct"/>
                  <w:noWrap w:val="0"/>
                  <w:vAlign w:val="center"/>
                </w:tcPr>
                <w:p w14:paraId="2FB3B90C">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计算过程</w:t>
                  </w:r>
                </w:p>
              </w:tc>
              <w:tc>
                <w:tcPr>
                  <w:tcW w:w="652" w:type="pct"/>
                  <w:noWrap w:val="0"/>
                  <w:vAlign w:val="center"/>
                </w:tcPr>
                <w:p w14:paraId="0932D520">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L总</w:t>
                  </w:r>
                </w:p>
              </w:tc>
              <w:tc>
                <w:tcPr>
                  <w:tcW w:w="592" w:type="pct"/>
                  <w:noWrap w:val="0"/>
                  <w:vAlign w:val="center"/>
                </w:tcPr>
                <w:p w14:paraId="29A0A218">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处理风量</w:t>
                  </w:r>
                </w:p>
              </w:tc>
            </w:tr>
            <w:tr w14:paraId="34184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4" w:hRule="atLeast"/>
              </w:trPr>
              <w:tc>
                <w:tcPr>
                  <w:tcW w:w="715" w:type="pct"/>
                  <w:noWrap w:val="0"/>
                  <w:vAlign w:val="center"/>
                </w:tcPr>
                <w:p w14:paraId="47B7B596">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调配</w:t>
                  </w:r>
                </w:p>
              </w:tc>
              <w:tc>
                <w:tcPr>
                  <w:tcW w:w="980" w:type="pct"/>
                  <w:noWrap w:val="0"/>
                  <w:vAlign w:val="center"/>
                </w:tcPr>
                <w:p w14:paraId="46C2EA18">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调配废气</w:t>
                  </w:r>
                </w:p>
              </w:tc>
              <w:tc>
                <w:tcPr>
                  <w:tcW w:w="2059" w:type="pct"/>
                  <w:noWrap w:val="0"/>
                  <w:vAlign w:val="center"/>
                </w:tcPr>
                <w:p w14:paraId="6A631A77">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投料粉尘</w:t>
                  </w:r>
                  <w:r>
                    <w:rPr>
                      <w:rFonts w:hint="eastAsia"/>
                      <w:bCs/>
                      <w:color w:val="auto"/>
                      <w:spacing w:val="-4"/>
                      <w:szCs w:val="21"/>
                    </w:rPr>
                    <w:t>通过系统换风收集废气，</w:t>
                  </w:r>
                  <w:r>
                    <w:rPr>
                      <w:rFonts w:hint="eastAsia"/>
                      <w:bCs/>
                      <w:color w:val="auto"/>
                      <w:spacing w:val="-4"/>
                      <w:szCs w:val="21"/>
                      <w:lang w:val="en-US" w:eastAsia="zh-CN"/>
                    </w:rPr>
                    <w:t>每小时换风次数为20次，</w:t>
                  </w:r>
                  <w:r>
                    <w:rPr>
                      <w:rFonts w:hint="eastAsia"/>
                      <w:bCs/>
                      <w:color w:val="auto"/>
                      <w:spacing w:val="-4"/>
                      <w:szCs w:val="21"/>
                    </w:rPr>
                    <w:t>L=</w:t>
                  </w:r>
                  <w:r>
                    <w:rPr>
                      <w:rFonts w:hint="eastAsia"/>
                      <w:bCs/>
                      <w:color w:val="auto"/>
                      <w:spacing w:val="-4"/>
                      <w:szCs w:val="21"/>
                      <w:lang w:val="en-US" w:eastAsia="zh-CN"/>
                    </w:rPr>
                    <w:t>20*80</w:t>
                  </w:r>
                  <w:r>
                    <w:rPr>
                      <w:rFonts w:hint="eastAsia"/>
                      <w:bCs/>
                      <w:color w:val="auto"/>
                      <w:spacing w:val="-4"/>
                      <w:szCs w:val="21"/>
                    </w:rPr>
                    <w:t>=</w:t>
                  </w:r>
                  <w:r>
                    <w:rPr>
                      <w:rFonts w:hint="eastAsia"/>
                      <w:bCs/>
                      <w:color w:val="auto"/>
                      <w:spacing w:val="-4"/>
                      <w:szCs w:val="21"/>
                      <w:lang w:val="en-US" w:eastAsia="zh-CN"/>
                    </w:rPr>
                    <w:t>1600</w:t>
                  </w:r>
                  <w:r>
                    <w:rPr>
                      <w:bCs/>
                      <w:color w:val="auto"/>
                      <w:spacing w:val="-4"/>
                      <w:szCs w:val="21"/>
                    </w:rPr>
                    <w:t>m</w:t>
                  </w:r>
                  <w:r>
                    <w:rPr>
                      <w:bCs/>
                      <w:color w:val="auto"/>
                      <w:spacing w:val="-4"/>
                      <w:szCs w:val="21"/>
                      <w:vertAlign w:val="superscript"/>
                    </w:rPr>
                    <w:t>3</w:t>
                  </w:r>
                  <w:r>
                    <w:rPr>
                      <w:bCs/>
                      <w:color w:val="auto"/>
                      <w:spacing w:val="-4"/>
                      <w:szCs w:val="21"/>
                    </w:rPr>
                    <w:t>/h</w:t>
                  </w:r>
                </w:p>
              </w:tc>
              <w:tc>
                <w:tcPr>
                  <w:tcW w:w="652" w:type="pct"/>
                  <w:vMerge w:val="restart"/>
                  <w:noWrap w:val="0"/>
                  <w:vAlign w:val="center"/>
                </w:tcPr>
                <w:p w14:paraId="240BBF86">
                  <w:pPr>
                    <w:keepNext w:val="0"/>
                    <w:keepLines/>
                    <w:pageBreakBefore w:val="0"/>
                    <w:widowControl w:val="0"/>
                    <w:tabs>
                      <w:tab w:val="left" w:pos="960"/>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w:t>
                  </w:r>
                  <w:r>
                    <w:rPr>
                      <w:rFonts w:hint="eastAsia" w:cs="Times New Roman"/>
                      <w:color w:val="auto"/>
                      <w:lang w:val="en-US" w:eastAsia="zh-CN"/>
                    </w:rPr>
                    <w:t>457.6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592" w:type="pct"/>
                  <w:vMerge w:val="restart"/>
                  <w:noWrap w:val="0"/>
                  <w:vAlign w:val="center"/>
                </w:tcPr>
                <w:p w14:paraId="59EB069B">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10000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r>
            <w:tr w14:paraId="2830A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4" w:hRule="atLeast"/>
              </w:trPr>
              <w:tc>
                <w:tcPr>
                  <w:tcW w:w="715" w:type="pct"/>
                  <w:noWrap w:val="0"/>
                  <w:vAlign w:val="center"/>
                </w:tcPr>
                <w:p w14:paraId="6659986E">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lang w:val="en-US" w:eastAsia="zh-CN"/>
                    </w:rPr>
                  </w:pPr>
                  <w:r>
                    <w:rPr>
                      <w:rFonts w:hint="eastAsia" w:cs="Times New Roman"/>
                      <w:color w:val="auto"/>
                      <w:lang w:val="en-US" w:eastAsia="zh-CN"/>
                    </w:rPr>
                    <w:t>背胶</w:t>
                  </w:r>
                </w:p>
              </w:tc>
              <w:tc>
                <w:tcPr>
                  <w:tcW w:w="980" w:type="pct"/>
                  <w:noWrap w:val="0"/>
                  <w:vAlign w:val="center"/>
                </w:tcPr>
                <w:p w14:paraId="23626BA8">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lang w:val="en-US" w:eastAsia="zh-CN"/>
                    </w:rPr>
                  </w:pPr>
                  <w:r>
                    <w:rPr>
                      <w:rFonts w:hint="eastAsia" w:cs="Times New Roman"/>
                      <w:color w:val="auto"/>
                      <w:lang w:val="en-US" w:eastAsia="zh-CN"/>
                    </w:rPr>
                    <w:t>背胶废气</w:t>
                  </w:r>
                </w:p>
              </w:tc>
              <w:tc>
                <w:tcPr>
                  <w:tcW w:w="2059" w:type="pct"/>
                  <w:noWrap w:val="0"/>
                  <w:vAlign w:val="center"/>
                </w:tcPr>
                <w:p w14:paraId="6BECAA24">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lang w:val="en-US" w:eastAsia="zh-CN"/>
                    </w:rPr>
                  </w:pPr>
                  <w:r>
                    <w:rPr>
                      <w:rFonts w:hint="eastAsia"/>
                      <w:bCs/>
                      <w:color w:val="auto"/>
                      <w:spacing w:val="-4"/>
                      <w:szCs w:val="21"/>
                      <w:lang w:val="en-US" w:eastAsia="zh-CN"/>
                    </w:rPr>
                    <w:t>背胶工段</w:t>
                  </w:r>
                  <w:r>
                    <w:rPr>
                      <w:rFonts w:hint="eastAsia"/>
                      <w:bCs/>
                      <w:color w:val="auto"/>
                      <w:spacing w:val="-4"/>
                      <w:szCs w:val="21"/>
                    </w:rPr>
                    <w:t>通过</w:t>
                  </w:r>
                  <w:r>
                    <w:rPr>
                      <w:rFonts w:hint="eastAsia"/>
                      <w:bCs/>
                      <w:color w:val="auto"/>
                      <w:spacing w:val="-4"/>
                      <w:szCs w:val="21"/>
                      <w:lang w:val="en-US" w:eastAsia="zh-CN"/>
                    </w:rPr>
                    <w:t>集气罩</w:t>
                  </w:r>
                  <w:r>
                    <w:rPr>
                      <w:rFonts w:hint="eastAsia"/>
                      <w:bCs/>
                      <w:color w:val="auto"/>
                      <w:spacing w:val="-4"/>
                      <w:szCs w:val="21"/>
                    </w:rPr>
                    <w:t>收集废气，</w:t>
                  </w:r>
                  <w:r>
                    <w:rPr>
                      <w:rFonts w:hint="eastAsia" w:cs="Times New Roman"/>
                      <w:color w:val="auto"/>
                      <w:lang w:val="en-US" w:eastAsia="zh-CN"/>
                    </w:rPr>
                    <w:t>单个吸风罩规格为0.3m*0.3m，共设2只集气罩，则</w:t>
                  </w:r>
                  <w:r>
                    <w:rPr>
                      <w:rFonts w:hint="default" w:ascii="Times New Roman" w:hAnsi="Times New Roman" w:cs="Times New Roman"/>
                      <w:color w:val="auto"/>
                      <w:lang w:val="en-US" w:eastAsia="zh-CN"/>
                    </w:rPr>
                    <w:t>集气罩总周长P为</w:t>
                  </w:r>
                  <w:r>
                    <w:rPr>
                      <w:rFonts w:hint="eastAsia" w:cs="Times New Roman"/>
                      <w:color w:val="auto"/>
                      <w:lang w:val="en-US" w:eastAsia="zh-CN"/>
                    </w:rPr>
                    <w:t>2.4</w:t>
                  </w:r>
                  <w:r>
                    <w:rPr>
                      <w:rFonts w:hint="default" w:ascii="Times New Roman" w:hAnsi="Times New Roman" w:cs="Times New Roman"/>
                      <w:color w:val="auto"/>
                      <w:lang w:val="en-US" w:eastAsia="zh-CN"/>
                    </w:rPr>
                    <w:t>m，</w:t>
                  </w:r>
                  <w:r>
                    <w:rPr>
                      <w:rFonts w:hint="default" w:ascii="Times New Roman" w:hAnsi="Times New Roman" w:cs="Times New Roman"/>
                      <w:color w:val="auto"/>
                    </w:rPr>
                    <w:t>L=</w:t>
                  </w:r>
                  <w:r>
                    <w:rPr>
                      <w:rFonts w:hint="default" w:ascii="Times New Roman" w:hAnsi="Times New Roman" w:cs="Times New Roman"/>
                      <w:color w:val="auto"/>
                      <w:lang w:val="en-US" w:eastAsia="zh-CN"/>
                    </w:rPr>
                    <w:t>1.4*</w:t>
                  </w:r>
                  <w:r>
                    <w:rPr>
                      <w:rFonts w:hint="eastAsia" w:cs="Times New Roman"/>
                      <w:color w:val="auto"/>
                      <w:lang w:val="en-US" w:eastAsia="zh-CN"/>
                    </w:rPr>
                    <w:t>4.8</w:t>
                  </w:r>
                  <w:r>
                    <w:rPr>
                      <w:rFonts w:hint="default" w:ascii="Times New Roman" w:hAnsi="Times New Roman" w:cs="Times New Roman"/>
                      <w:color w:val="auto"/>
                      <w:lang w:val="en-US" w:eastAsia="zh-CN"/>
                    </w:rPr>
                    <w:t>*0.</w:t>
                  </w:r>
                  <w:r>
                    <w:rPr>
                      <w:rFonts w:hint="eastAsia" w:cs="Times New Roman"/>
                      <w:color w:val="auto"/>
                      <w:lang w:val="en-US" w:eastAsia="zh-CN"/>
                    </w:rPr>
                    <w:t>3</w:t>
                  </w:r>
                  <w:r>
                    <w:rPr>
                      <w:rFonts w:hint="default" w:ascii="Times New Roman" w:hAnsi="Times New Roman" w:cs="Times New Roman"/>
                      <w:color w:val="auto"/>
                      <w:lang w:val="en-US" w:eastAsia="zh-CN"/>
                    </w:rPr>
                    <w:t>*0.5*3600</w:t>
                  </w:r>
                  <w:r>
                    <w:rPr>
                      <w:rFonts w:hint="default" w:ascii="Times New Roman" w:hAnsi="Times New Roman" w:cs="Times New Roman"/>
                      <w:color w:val="auto"/>
                    </w:rPr>
                    <w:t>=</w:t>
                  </w:r>
                  <w:r>
                    <w:rPr>
                      <w:rFonts w:hint="eastAsia" w:cs="Times New Roman"/>
                      <w:color w:val="auto"/>
                      <w:lang w:val="en-US" w:eastAsia="zh-CN"/>
                    </w:rPr>
                    <w:t>2419.2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652" w:type="pct"/>
                  <w:vMerge w:val="continue"/>
                  <w:noWrap w:val="0"/>
                  <w:vAlign w:val="center"/>
                </w:tcPr>
                <w:p w14:paraId="37366EB3">
                  <w:pPr>
                    <w:keepNext w:val="0"/>
                    <w:keepLines/>
                    <w:pageBreakBefore w:val="0"/>
                    <w:widowControl w:val="0"/>
                    <w:tabs>
                      <w:tab w:val="left" w:pos="960"/>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lang w:val="en-US" w:eastAsia="zh-CN"/>
                    </w:rPr>
                  </w:pPr>
                </w:p>
              </w:tc>
              <w:tc>
                <w:tcPr>
                  <w:tcW w:w="592" w:type="pct"/>
                  <w:vMerge w:val="continue"/>
                  <w:noWrap w:val="0"/>
                  <w:vAlign w:val="center"/>
                </w:tcPr>
                <w:p w14:paraId="1C043DBB">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4"/>
                      <w:lang w:val="en-US" w:eastAsia="zh-CN" w:bidi="ar-SA"/>
                    </w:rPr>
                  </w:pPr>
                </w:p>
              </w:tc>
            </w:tr>
            <w:tr w14:paraId="723A0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4" w:hRule="atLeast"/>
              </w:trPr>
              <w:tc>
                <w:tcPr>
                  <w:tcW w:w="715" w:type="pct"/>
                  <w:noWrap w:val="0"/>
                  <w:vAlign w:val="center"/>
                </w:tcPr>
                <w:p w14:paraId="5AD9F1AB">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kern w:val="2"/>
                      <w:sz w:val="21"/>
                      <w:szCs w:val="24"/>
                      <w:lang w:val="en-US" w:eastAsia="zh-CN" w:bidi="ar-SA"/>
                    </w:rPr>
                  </w:pPr>
                  <w:r>
                    <w:rPr>
                      <w:rFonts w:hint="eastAsia" w:cs="Times New Roman"/>
                      <w:color w:val="auto"/>
                      <w:lang w:val="en-US" w:eastAsia="zh-CN"/>
                    </w:rPr>
                    <w:t>烘干、天然气燃烧</w:t>
                  </w:r>
                </w:p>
              </w:tc>
              <w:tc>
                <w:tcPr>
                  <w:tcW w:w="980" w:type="pct"/>
                  <w:noWrap w:val="0"/>
                  <w:vAlign w:val="center"/>
                </w:tcPr>
                <w:p w14:paraId="5312ACD3">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烘干废气</w:t>
                  </w:r>
                  <w:r>
                    <w:rPr>
                      <w:rFonts w:hint="eastAsia" w:cs="Times New Roman"/>
                      <w:color w:val="auto"/>
                      <w:lang w:val="en-US" w:eastAsia="zh-CN"/>
                    </w:rPr>
                    <w:t>、天然气燃烧废气</w:t>
                  </w:r>
                </w:p>
              </w:tc>
              <w:tc>
                <w:tcPr>
                  <w:tcW w:w="2059" w:type="pct"/>
                  <w:noWrap w:val="0"/>
                  <w:vAlign w:val="center"/>
                </w:tcPr>
                <w:p w14:paraId="1B07A36B">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kern w:val="2"/>
                      <w:sz w:val="21"/>
                      <w:szCs w:val="24"/>
                      <w:lang w:val="en-US" w:eastAsia="zh-CN" w:bidi="ar-SA"/>
                    </w:rPr>
                  </w:pPr>
                  <w:r>
                    <w:rPr>
                      <w:rFonts w:hint="eastAsia"/>
                      <w:bCs/>
                      <w:color w:val="auto"/>
                      <w:spacing w:val="-4"/>
                      <w:szCs w:val="21"/>
                      <w:lang w:val="en-US" w:eastAsia="zh-CN"/>
                    </w:rPr>
                    <w:t>烘干工段</w:t>
                  </w:r>
                  <w:r>
                    <w:rPr>
                      <w:rFonts w:hint="eastAsia"/>
                      <w:bCs/>
                      <w:color w:val="auto"/>
                      <w:spacing w:val="-4"/>
                      <w:szCs w:val="21"/>
                    </w:rPr>
                    <w:t>通过</w:t>
                  </w:r>
                  <w:r>
                    <w:rPr>
                      <w:rFonts w:hint="eastAsia"/>
                      <w:bCs/>
                      <w:color w:val="auto"/>
                      <w:spacing w:val="-4"/>
                      <w:szCs w:val="21"/>
                      <w:lang w:val="en-US" w:eastAsia="zh-CN"/>
                    </w:rPr>
                    <w:t>集气罩</w:t>
                  </w:r>
                  <w:r>
                    <w:rPr>
                      <w:rFonts w:hint="eastAsia"/>
                      <w:bCs/>
                      <w:color w:val="auto"/>
                      <w:spacing w:val="-4"/>
                      <w:szCs w:val="21"/>
                    </w:rPr>
                    <w:t>收集废气，</w:t>
                  </w:r>
                  <w:r>
                    <w:rPr>
                      <w:rFonts w:hint="eastAsia" w:cs="Times New Roman"/>
                      <w:color w:val="auto"/>
                      <w:lang w:val="en-US" w:eastAsia="zh-CN"/>
                    </w:rPr>
                    <w:t>单个吸风罩规格为0.3m*0.3m，共设4只集气罩，则</w:t>
                  </w:r>
                  <w:r>
                    <w:rPr>
                      <w:rFonts w:hint="default" w:ascii="Times New Roman" w:hAnsi="Times New Roman" w:cs="Times New Roman"/>
                      <w:color w:val="auto"/>
                      <w:lang w:val="en-US" w:eastAsia="zh-CN"/>
                    </w:rPr>
                    <w:t>集气罩总周长P为</w:t>
                  </w:r>
                  <w:r>
                    <w:rPr>
                      <w:rFonts w:hint="eastAsia" w:cs="Times New Roman"/>
                      <w:color w:val="auto"/>
                      <w:lang w:val="en-US" w:eastAsia="zh-CN"/>
                    </w:rPr>
                    <w:t>4.8</w:t>
                  </w:r>
                  <w:r>
                    <w:rPr>
                      <w:rFonts w:hint="default" w:ascii="Times New Roman" w:hAnsi="Times New Roman" w:cs="Times New Roman"/>
                      <w:color w:val="auto"/>
                      <w:lang w:val="en-US" w:eastAsia="zh-CN"/>
                    </w:rPr>
                    <w:t>m，</w:t>
                  </w:r>
                  <w:r>
                    <w:rPr>
                      <w:rFonts w:hint="default" w:ascii="Times New Roman" w:hAnsi="Times New Roman" w:cs="Times New Roman"/>
                      <w:color w:val="auto"/>
                    </w:rPr>
                    <w:t>L=</w:t>
                  </w:r>
                  <w:r>
                    <w:rPr>
                      <w:rFonts w:hint="default" w:ascii="Times New Roman" w:hAnsi="Times New Roman" w:cs="Times New Roman"/>
                      <w:color w:val="auto"/>
                      <w:lang w:val="en-US" w:eastAsia="zh-CN"/>
                    </w:rPr>
                    <w:t>1.4*</w:t>
                  </w:r>
                  <w:r>
                    <w:rPr>
                      <w:rFonts w:hint="eastAsia" w:cs="Times New Roman"/>
                      <w:color w:val="auto"/>
                      <w:lang w:val="en-US" w:eastAsia="zh-CN"/>
                    </w:rPr>
                    <w:t>4.8</w:t>
                  </w:r>
                  <w:r>
                    <w:rPr>
                      <w:rFonts w:hint="default" w:ascii="Times New Roman" w:hAnsi="Times New Roman" w:cs="Times New Roman"/>
                      <w:color w:val="auto"/>
                      <w:lang w:val="en-US" w:eastAsia="zh-CN"/>
                    </w:rPr>
                    <w:t>*0.</w:t>
                  </w:r>
                  <w:r>
                    <w:rPr>
                      <w:rFonts w:hint="eastAsia" w:cs="Times New Roman"/>
                      <w:color w:val="auto"/>
                      <w:lang w:val="en-US" w:eastAsia="zh-CN"/>
                    </w:rPr>
                    <w:t>3</w:t>
                  </w:r>
                  <w:r>
                    <w:rPr>
                      <w:rFonts w:hint="default" w:ascii="Times New Roman" w:hAnsi="Times New Roman" w:cs="Times New Roman"/>
                      <w:color w:val="auto"/>
                      <w:lang w:val="en-US" w:eastAsia="zh-CN"/>
                    </w:rPr>
                    <w:t>*0.5*3600</w:t>
                  </w:r>
                  <w:r>
                    <w:rPr>
                      <w:rFonts w:hint="default" w:ascii="Times New Roman" w:hAnsi="Times New Roman" w:cs="Times New Roman"/>
                      <w:color w:val="auto"/>
                    </w:rPr>
                    <w:t>=</w:t>
                  </w:r>
                  <w:r>
                    <w:rPr>
                      <w:rFonts w:hint="eastAsia" w:cs="Times New Roman"/>
                      <w:color w:val="auto"/>
                      <w:lang w:val="en-US" w:eastAsia="zh-CN"/>
                    </w:rPr>
                    <w:t>4838.4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652" w:type="pct"/>
                  <w:vMerge w:val="continue"/>
                  <w:noWrap w:val="0"/>
                  <w:vAlign w:val="center"/>
                </w:tcPr>
                <w:p w14:paraId="5834C8C0">
                  <w:pPr>
                    <w:keepNext w:val="0"/>
                    <w:keepLines/>
                    <w:pageBreakBefore w:val="0"/>
                    <w:widowControl w:val="0"/>
                    <w:tabs>
                      <w:tab w:val="left" w:pos="960"/>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4"/>
                      <w:lang w:val="en-US" w:eastAsia="zh-CN" w:bidi="ar-SA"/>
                    </w:rPr>
                  </w:pPr>
                </w:p>
              </w:tc>
              <w:tc>
                <w:tcPr>
                  <w:tcW w:w="592" w:type="pct"/>
                  <w:vMerge w:val="continue"/>
                  <w:noWrap w:val="0"/>
                  <w:vAlign w:val="center"/>
                </w:tcPr>
                <w:p w14:paraId="72DFE527">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4"/>
                      <w:lang w:val="en-US" w:eastAsia="zh-CN" w:bidi="ar-SA"/>
                    </w:rPr>
                  </w:pPr>
                </w:p>
              </w:tc>
            </w:tr>
            <w:tr w14:paraId="7F7B0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49" w:hRule="atLeast"/>
              </w:trPr>
              <w:tc>
                <w:tcPr>
                  <w:tcW w:w="715" w:type="pct"/>
                  <w:noWrap w:val="0"/>
                  <w:vAlign w:val="center"/>
                </w:tcPr>
                <w:p w14:paraId="129B04F4">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kern w:val="2"/>
                      <w:sz w:val="21"/>
                      <w:szCs w:val="24"/>
                      <w:lang w:val="en-US" w:eastAsia="zh-CN" w:bidi="ar-SA"/>
                    </w:rPr>
                  </w:pPr>
                  <w:r>
                    <w:rPr>
                      <w:rFonts w:hint="eastAsia" w:cs="Times New Roman"/>
                      <w:color w:val="auto"/>
                      <w:lang w:val="en-US" w:eastAsia="zh-CN"/>
                    </w:rPr>
                    <w:t>危废仓库</w:t>
                  </w:r>
                </w:p>
              </w:tc>
              <w:tc>
                <w:tcPr>
                  <w:tcW w:w="980" w:type="pct"/>
                  <w:noWrap w:val="0"/>
                  <w:vAlign w:val="center"/>
                </w:tcPr>
                <w:p w14:paraId="073910A9">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危废仓库废气</w:t>
                  </w:r>
                </w:p>
              </w:tc>
              <w:tc>
                <w:tcPr>
                  <w:tcW w:w="2059" w:type="pct"/>
                  <w:noWrap w:val="0"/>
                  <w:vAlign w:val="center"/>
                </w:tcPr>
                <w:p w14:paraId="7607373F">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kern w:val="2"/>
                      <w:sz w:val="21"/>
                      <w:szCs w:val="24"/>
                      <w:lang w:val="en-US" w:eastAsia="zh-CN" w:bidi="ar-SA"/>
                    </w:rPr>
                  </w:pPr>
                  <w:r>
                    <w:rPr>
                      <w:rFonts w:hint="eastAsia" w:ascii="Times New Roman" w:hAnsi="Times New Roman" w:cs="Times New Roman"/>
                      <w:color w:val="auto"/>
                      <w:lang w:val="en-US" w:eastAsia="zh-CN"/>
                    </w:rPr>
                    <w:t>投料粉尘</w:t>
                  </w:r>
                  <w:r>
                    <w:rPr>
                      <w:rFonts w:hint="eastAsia"/>
                      <w:bCs/>
                      <w:color w:val="auto"/>
                      <w:spacing w:val="-4"/>
                      <w:szCs w:val="21"/>
                    </w:rPr>
                    <w:t>通过系统换风收集废气，</w:t>
                  </w:r>
                  <w:r>
                    <w:rPr>
                      <w:rFonts w:hint="eastAsia"/>
                      <w:bCs/>
                      <w:color w:val="auto"/>
                      <w:spacing w:val="-4"/>
                      <w:szCs w:val="21"/>
                      <w:lang w:val="en-US" w:eastAsia="zh-CN"/>
                    </w:rPr>
                    <w:t>每小时换风次数为20次，</w:t>
                  </w:r>
                  <w:r>
                    <w:rPr>
                      <w:rFonts w:hint="eastAsia"/>
                      <w:bCs/>
                      <w:color w:val="auto"/>
                      <w:spacing w:val="-4"/>
                      <w:szCs w:val="21"/>
                    </w:rPr>
                    <w:t>L=</w:t>
                  </w:r>
                  <w:r>
                    <w:rPr>
                      <w:rFonts w:hint="eastAsia"/>
                      <w:bCs/>
                      <w:color w:val="auto"/>
                      <w:spacing w:val="-4"/>
                      <w:szCs w:val="21"/>
                      <w:lang w:val="en-US" w:eastAsia="zh-CN"/>
                    </w:rPr>
                    <w:t>20*30</w:t>
                  </w:r>
                  <w:r>
                    <w:rPr>
                      <w:rFonts w:hint="eastAsia"/>
                      <w:bCs/>
                      <w:color w:val="auto"/>
                      <w:spacing w:val="-4"/>
                      <w:szCs w:val="21"/>
                    </w:rPr>
                    <w:t>=</w:t>
                  </w:r>
                  <w:r>
                    <w:rPr>
                      <w:rFonts w:hint="eastAsia"/>
                      <w:bCs/>
                      <w:color w:val="auto"/>
                      <w:spacing w:val="-4"/>
                      <w:szCs w:val="21"/>
                      <w:lang w:val="en-US" w:eastAsia="zh-CN"/>
                    </w:rPr>
                    <w:t>600</w:t>
                  </w:r>
                  <w:r>
                    <w:rPr>
                      <w:bCs/>
                      <w:color w:val="auto"/>
                      <w:spacing w:val="-4"/>
                      <w:szCs w:val="21"/>
                    </w:rPr>
                    <w:t>m</w:t>
                  </w:r>
                  <w:r>
                    <w:rPr>
                      <w:bCs/>
                      <w:color w:val="auto"/>
                      <w:spacing w:val="-4"/>
                      <w:szCs w:val="21"/>
                      <w:vertAlign w:val="superscript"/>
                    </w:rPr>
                    <w:t>3</w:t>
                  </w:r>
                  <w:r>
                    <w:rPr>
                      <w:bCs/>
                      <w:color w:val="auto"/>
                      <w:spacing w:val="-4"/>
                      <w:szCs w:val="21"/>
                    </w:rPr>
                    <w:t>/h</w:t>
                  </w:r>
                </w:p>
              </w:tc>
              <w:tc>
                <w:tcPr>
                  <w:tcW w:w="652" w:type="pct"/>
                  <w:vMerge w:val="continue"/>
                  <w:noWrap w:val="0"/>
                  <w:vAlign w:val="center"/>
                </w:tcPr>
                <w:p w14:paraId="7EF70B63">
                  <w:pPr>
                    <w:keepNext w:val="0"/>
                    <w:keepLines/>
                    <w:pageBreakBefore w:val="0"/>
                    <w:widowControl w:val="0"/>
                    <w:tabs>
                      <w:tab w:val="left" w:pos="960"/>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4"/>
                      <w:lang w:val="en-US" w:eastAsia="zh-CN" w:bidi="ar-SA"/>
                    </w:rPr>
                  </w:pPr>
                </w:p>
              </w:tc>
              <w:tc>
                <w:tcPr>
                  <w:tcW w:w="592" w:type="pct"/>
                  <w:vMerge w:val="continue"/>
                  <w:noWrap w:val="0"/>
                  <w:vAlign w:val="center"/>
                </w:tcPr>
                <w:p w14:paraId="319E7CD7">
                  <w:pPr>
                    <w:keepNext w:val="0"/>
                    <w:keepLines/>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4"/>
                      <w:lang w:val="en-US" w:eastAsia="zh-CN" w:bidi="ar-SA"/>
                    </w:rPr>
                  </w:pPr>
                </w:p>
              </w:tc>
            </w:tr>
          </w:tbl>
          <w:p w14:paraId="61F11BDA">
            <w:pPr>
              <w:spacing w:line="480" w:lineRule="exact"/>
              <w:ind w:firstLine="480" w:firstLineChars="200"/>
              <w:rPr>
                <w:sz w:val="24"/>
              </w:rPr>
            </w:pPr>
            <w:r>
              <w:rPr>
                <w:sz w:val="24"/>
              </w:rPr>
              <w:t>根据上表，本项目</w:t>
            </w:r>
            <w:r>
              <w:rPr>
                <w:rFonts w:hint="eastAsia"/>
                <w:sz w:val="24"/>
                <w:lang w:val="en-US" w:eastAsia="zh-CN"/>
              </w:rPr>
              <w:t>投料过程中废气收集涉及风机风量</w:t>
            </w:r>
            <w:r>
              <w:rPr>
                <w:rFonts w:hint="eastAsia"/>
                <w:sz w:val="24"/>
              </w:rPr>
              <w:t>10000</w:t>
            </w:r>
            <w:r>
              <w:rPr>
                <w:sz w:val="24"/>
              </w:rPr>
              <w:t>m</w:t>
            </w:r>
            <w:r>
              <w:rPr>
                <w:sz w:val="24"/>
                <w:vertAlign w:val="superscript"/>
              </w:rPr>
              <w:t>3</w:t>
            </w:r>
            <w:r>
              <w:rPr>
                <w:sz w:val="24"/>
              </w:rPr>
              <w:t>/h</w:t>
            </w:r>
            <w:r>
              <w:rPr>
                <w:rFonts w:hint="eastAsia"/>
                <w:sz w:val="24"/>
                <w:lang w:eastAsia="zh-CN"/>
              </w:rPr>
              <w:t>，</w:t>
            </w:r>
            <w:r>
              <w:rPr>
                <w:rFonts w:hint="eastAsia"/>
                <w:sz w:val="24"/>
              </w:rPr>
              <w:t>调配、</w:t>
            </w:r>
            <w:r>
              <w:rPr>
                <w:sz w:val="24"/>
              </w:rPr>
              <w:t>背胶</w:t>
            </w:r>
            <w:r>
              <w:rPr>
                <w:rFonts w:hint="eastAsia"/>
                <w:sz w:val="24"/>
              </w:rPr>
              <w:t>、</w:t>
            </w:r>
            <w:r>
              <w:rPr>
                <w:sz w:val="24"/>
              </w:rPr>
              <w:t>烘干</w:t>
            </w:r>
            <w:r>
              <w:rPr>
                <w:rFonts w:hint="eastAsia"/>
                <w:sz w:val="24"/>
                <w:lang w:val="en-US" w:eastAsia="zh-CN"/>
              </w:rPr>
              <w:t>等</w:t>
            </w:r>
            <w:r>
              <w:rPr>
                <w:sz w:val="24"/>
              </w:rPr>
              <w:t>过程中废气收集设计风机风量</w:t>
            </w:r>
            <w:r>
              <w:rPr>
                <w:rFonts w:hint="eastAsia"/>
                <w:sz w:val="24"/>
              </w:rPr>
              <w:t>10000</w:t>
            </w:r>
            <w:r>
              <w:rPr>
                <w:sz w:val="24"/>
              </w:rPr>
              <w:t>m</w:t>
            </w:r>
            <w:r>
              <w:rPr>
                <w:sz w:val="24"/>
                <w:vertAlign w:val="superscript"/>
              </w:rPr>
              <w:t>3</w:t>
            </w:r>
            <w:r>
              <w:rPr>
                <w:sz w:val="24"/>
              </w:rPr>
              <w:t>/h满足废气收集的风量要求。</w:t>
            </w:r>
          </w:p>
          <w:p w14:paraId="79C65E99">
            <w:pPr>
              <w:spacing w:line="480" w:lineRule="exact"/>
              <w:ind w:firstLine="482" w:firstLineChars="200"/>
              <w:rPr>
                <w:b/>
                <w:sz w:val="24"/>
              </w:rPr>
            </w:pPr>
            <w:r>
              <w:rPr>
                <w:b/>
                <w:sz w:val="24"/>
              </w:rPr>
              <w:t>2）废气治理措施</w:t>
            </w:r>
          </w:p>
          <w:p w14:paraId="4A27FCB5">
            <w:pPr>
              <w:spacing w:line="480" w:lineRule="exact"/>
              <w:ind w:firstLine="480" w:firstLineChars="200"/>
              <w:rPr>
                <w:sz w:val="24"/>
              </w:rPr>
            </w:pPr>
            <w:r>
              <w:rPr>
                <w:sz w:val="24"/>
              </w:rPr>
              <w:t xml:space="preserve">参考《排污许可证申请与核发技术规范 </w:t>
            </w:r>
            <w:r>
              <w:rPr>
                <w:rFonts w:hint="eastAsia"/>
                <w:sz w:val="24"/>
              </w:rPr>
              <w:t>橡胶和塑料制品工业</w:t>
            </w:r>
            <w:r>
              <w:rPr>
                <w:sz w:val="24"/>
              </w:rPr>
              <w:t>》（HJ11</w:t>
            </w:r>
            <w:r>
              <w:rPr>
                <w:rFonts w:hint="eastAsia"/>
                <w:sz w:val="24"/>
              </w:rPr>
              <w:t>22</w:t>
            </w:r>
            <w:r>
              <w:rPr>
                <w:sz w:val="24"/>
              </w:rPr>
              <w:t>-2020）表A.</w:t>
            </w:r>
            <w:r>
              <w:rPr>
                <w:rFonts w:hint="eastAsia"/>
                <w:sz w:val="24"/>
              </w:rPr>
              <w:t>2</w:t>
            </w:r>
            <w:r>
              <w:rPr>
                <w:sz w:val="24"/>
              </w:rPr>
              <w:t>废气防治可行技术参考表，具体介绍如下：</w:t>
            </w:r>
          </w:p>
          <w:p w14:paraId="7B167F98">
            <w:pPr>
              <w:spacing w:line="480" w:lineRule="exact"/>
              <w:jc w:val="center"/>
              <w:rPr>
                <w:b/>
                <w:bCs/>
                <w:sz w:val="24"/>
              </w:rPr>
            </w:pPr>
            <w:r>
              <w:rPr>
                <w:b/>
                <w:bCs/>
                <w:sz w:val="24"/>
              </w:rPr>
              <w:t>表4-1</w:t>
            </w:r>
            <w:r>
              <w:rPr>
                <w:rFonts w:hint="eastAsia"/>
                <w:b/>
                <w:bCs/>
                <w:sz w:val="24"/>
                <w:lang w:val="en-US" w:eastAsia="zh-CN"/>
              </w:rPr>
              <w:t xml:space="preserve">3 </w:t>
            </w:r>
            <w:r>
              <w:rPr>
                <w:b/>
                <w:bCs/>
                <w:sz w:val="24"/>
              </w:rPr>
              <w:t xml:space="preserve"> </w:t>
            </w:r>
            <w:r>
              <w:rPr>
                <w:rFonts w:hint="eastAsia"/>
                <w:b/>
                <w:bCs/>
                <w:sz w:val="24"/>
              </w:rPr>
              <w:t>塑料制品工业排污单位</w:t>
            </w:r>
            <w:r>
              <w:rPr>
                <w:b/>
                <w:bCs/>
                <w:sz w:val="24"/>
              </w:rPr>
              <w:t>废气污染防治可行技术参照表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37"/>
              <w:gridCol w:w="1540"/>
              <w:gridCol w:w="1491"/>
              <w:gridCol w:w="2580"/>
            </w:tblGrid>
            <w:tr w14:paraId="2744F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4" w:type="pct"/>
                  <w:vAlign w:val="center"/>
                </w:tcPr>
                <w:p w14:paraId="2929F43D">
                  <w:pPr>
                    <w:jc w:val="center"/>
                    <w:rPr>
                      <w:b/>
                      <w:bCs/>
                      <w:szCs w:val="21"/>
                    </w:rPr>
                  </w:pPr>
                  <w:r>
                    <w:rPr>
                      <w:rFonts w:hint="eastAsia"/>
                      <w:b/>
                      <w:bCs/>
                      <w:szCs w:val="21"/>
                    </w:rPr>
                    <w:t>产排污环节</w:t>
                  </w:r>
                </w:p>
              </w:tc>
              <w:tc>
                <w:tcPr>
                  <w:tcW w:w="860" w:type="pct"/>
                  <w:vAlign w:val="center"/>
                </w:tcPr>
                <w:p w14:paraId="498B921D">
                  <w:pPr>
                    <w:jc w:val="center"/>
                    <w:rPr>
                      <w:b/>
                      <w:bCs/>
                      <w:szCs w:val="21"/>
                    </w:rPr>
                  </w:pPr>
                  <w:r>
                    <w:rPr>
                      <w:rFonts w:hint="eastAsia"/>
                      <w:b/>
                      <w:bCs/>
                      <w:szCs w:val="21"/>
                    </w:rPr>
                    <w:t>污染物种类</w:t>
                  </w:r>
                </w:p>
              </w:tc>
              <w:tc>
                <w:tcPr>
                  <w:tcW w:w="833" w:type="pct"/>
                  <w:vAlign w:val="center"/>
                </w:tcPr>
                <w:p w14:paraId="0A714718">
                  <w:pPr>
                    <w:jc w:val="center"/>
                    <w:rPr>
                      <w:b/>
                      <w:bCs/>
                      <w:szCs w:val="21"/>
                    </w:rPr>
                  </w:pPr>
                  <w:r>
                    <w:rPr>
                      <w:rFonts w:hint="eastAsia"/>
                      <w:b/>
                      <w:bCs/>
                      <w:szCs w:val="21"/>
                    </w:rPr>
                    <w:t>过程控制技术</w:t>
                  </w:r>
                </w:p>
              </w:tc>
              <w:tc>
                <w:tcPr>
                  <w:tcW w:w="1441" w:type="pct"/>
                  <w:vAlign w:val="center"/>
                </w:tcPr>
                <w:p w14:paraId="36C10E0E">
                  <w:pPr>
                    <w:jc w:val="center"/>
                    <w:rPr>
                      <w:b/>
                      <w:bCs/>
                      <w:szCs w:val="21"/>
                    </w:rPr>
                  </w:pPr>
                  <w:r>
                    <w:rPr>
                      <w:rFonts w:hint="eastAsia"/>
                      <w:b/>
                      <w:bCs/>
                      <w:szCs w:val="21"/>
                    </w:rPr>
                    <w:t>可行技术</w:t>
                  </w:r>
                </w:p>
              </w:tc>
            </w:tr>
            <w:tr w14:paraId="0012E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4" w:type="pct"/>
                  <w:vMerge w:val="restart"/>
                  <w:vAlign w:val="center"/>
                </w:tcPr>
                <w:p w14:paraId="1C4F3679">
                  <w:pPr>
                    <w:jc w:val="center"/>
                    <w:rPr>
                      <w:szCs w:val="21"/>
                    </w:rPr>
                  </w:pPr>
                  <w:r>
                    <w:rPr>
                      <w:szCs w:val="21"/>
                    </w:rPr>
                    <w:t>塑料薄膜制造，塑料板、管、型材制造，塑料丝、绳及编制品制造，泡沫塑料制造，塑料包装箱及容器制造，日用塑料制品制造，人造草坪制造，塑料零件及其他塑料制品制造废气</w:t>
                  </w:r>
                </w:p>
              </w:tc>
              <w:tc>
                <w:tcPr>
                  <w:tcW w:w="860" w:type="pct"/>
                  <w:vAlign w:val="center"/>
                </w:tcPr>
                <w:p w14:paraId="25E986D7">
                  <w:pPr>
                    <w:jc w:val="center"/>
                    <w:rPr>
                      <w:szCs w:val="21"/>
                    </w:rPr>
                  </w:pPr>
                  <w:r>
                    <w:rPr>
                      <w:rFonts w:hint="eastAsia"/>
                      <w:szCs w:val="21"/>
                    </w:rPr>
                    <w:t>颗粒物</w:t>
                  </w:r>
                </w:p>
              </w:tc>
              <w:tc>
                <w:tcPr>
                  <w:tcW w:w="833" w:type="pct"/>
                  <w:vMerge w:val="restart"/>
                  <w:vAlign w:val="center"/>
                </w:tcPr>
                <w:p w14:paraId="0AE6B981">
                  <w:pPr>
                    <w:jc w:val="center"/>
                    <w:rPr>
                      <w:szCs w:val="21"/>
                    </w:rPr>
                  </w:pPr>
                  <w:r>
                    <w:rPr>
                      <w:rFonts w:hint="eastAsia"/>
                      <w:szCs w:val="21"/>
                    </w:rPr>
                    <w:t>溶剂替代</w:t>
                  </w:r>
                </w:p>
                <w:p w14:paraId="506743B5">
                  <w:pPr>
                    <w:jc w:val="center"/>
                    <w:rPr>
                      <w:szCs w:val="21"/>
                    </w:rPr>
                  </w:pPr>
                  <w:r>
                    <w:rPr>
                      <w:rFonts w:hint="eastAsia"/>
                      <w:szCs w:val="21"/>
                    </w:rPr>
                    <w:t>密闭过程</w:t>
                  </w:r>
                </w:p>
                <w:p w14:paraId="249D5949">
                  <w:pPr>
                    <w:jc w:val="center"/>
                    <w:rPr>
                      <w:szCs w:val="21"/>
                    </w:rPr>
                  </w:pPr>
                  <w:r>
                    <w:rPr>
                      <w:rFonts w:hint="eastAsia"/>
                      <w:szCs w:val="21"/>
                    </w:rPr>
                    <w:t>密闭场所</w:t>
                  </w:r>
                </w:p>
                <w:p w14:paraId="437719E4">
                  <w:pPr>
                    <w:jc w:val="center"/>
                    <w:rPr>
                      <w:szCs w:val="21"/>
                    </w:rPr>
                  </w:pPr>
                  <w:r>
                    <w:rPr>
                      <w:rFonts w:hint="eastAsia"/>
                      <w:szCs w:val="21"/>
                    </w:rPr>
                    <w:t>局部收集</w:t>
                  </w:r>
                </w:p>
              </w:tc>
              <w:tc>
                <w:tcPr>
                  <w:tcW w:w="1441" w:type="pct"/>
                  <w:vAlign w:val="center"/>
                </w:tcPr>
                <w:p w14:paraId="4B290789">
                  <w:pPr>
                    <w:jc w:val="center"/>
                    <w:rPr>
                      <w:szCs w:val="21"/>
                    </w:rPr>
                  </w:pPr>
                  <w:r>
                    <w:rPr>
                      <w:rFonts w:hint="eastAsia"/>
                      <w:szCs w:val="21"/>
                    </w:rPr>
                    <w:t>袋式除尘；滤筒/滤芯除尘</w:t>
                  </w:r>
                </w:p>
              </w:tc>
            </w:tr>
            <w:tr w14:paraId="6A89D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4" w:type="pct"/>
                  <w:vMerge w:val="continue"/>
                  <w:vAlign w:val="center"/>
                </w:tcPr>
                <w:p w14:paraId="7011D998">
                  <w:pPr>
                    <w:jc w:val="center"/>
                  </w:pPr>
                </w:p>
              </w:tc>
              <w:tc>
                <w:tcPr>
                  <w:tcW w:w="860" w:type="pct"/>
                  <w:vAlign w:val="center"/>
                </w:tcPr>
                <w:p w14:paraId="77D582DE">
                  <w:pPr>
                    <w:jc w:val="center"/>
                    <w:rPr>
                      <w:szCs w:val="21"/>
                    </w:rPr>
                  </w:pPr>
                  <w:r>
                    <w:rPr>
                      <w:rFonts w:hint="eastAsia"/>
                      <w:szCs w:val="21"/>
                    </w:rPr>
                    <w:t>非甲烷总烃</w:t>
                  </w:r>
                </w:p>
              </w:tc>
              <w:tc>
                <w:tcPr>
                  <w:tcW w:w="833" w:type="pct"/>
                  <w:vMerge w:val="continue"/>
                  <w:vAlign w:val="center"/>
                </w:tcPr>
                <w:p w14:paraId="550A86CB">
                  <w:pPr>
                    <w:jc w:val="center"/>
                    <w:rPr>
                      <w:szCs w:val="21"/>
                    </w:rPr>
                  </w:pPr>
                </w:p>
              </w:tc>
              <w:tc>
                <w:tcPr>
                  <w:tcW w:w="1441" w:type="pct"/>
                  <w:vAlign w:val="center"/>
                </w:tcPr>
                <w:p w14:paraId="0FE1F53D">
                  <w:pPr>
                    <w:jc w:val="center"/>
                    <w:rPr>
                      <w:szCs w:val="21"/>
                    </w:rPr>
                  </w:pPr>
                  <w:r>
                    <w:rPr>
                      <w:szCs w:val="21"/>
                    </w:rPr>
                    <w:t>喷淋</w:t>
                  </w:r>
                  <w:r>
                    <w:rPr>
                      <w:rFonts w:hint="eastAsia"/>
                      <w:szCs w:val="21"/>
                    </w:rPr>
                    <w:t>；</w:t>
                  </w:r>
                  <w:r>
                    <w:rPr>
                      <w:szCs w:val="21"/>
                    </w:rPr>
                    <w:t>吸附</w:t>
                  </w:r>
                  <w:r>
                    <w:rPr>
                      <w:rFonts w:hint="eastAsia"/>
                      <w:szCs w:val="21"/>
                    </w:rPr>
                    <w:t>；</w:t>
                  </w:r>
                  <w:r>
                    <w:rPr>
                      <w:szCs w:val="21"/>
                    </w:rPr>
                    <w:t>吸附浓缩+热力燃烧/催化燃烧</w:t>
                  </w:r>
                </w:p>
              </w:tc>
            </w:tr>
            <w:tr w14:paraId="01CD4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4" w:type="pct"/>
                  <w:vAlign w:val="center"/>
                </w:tcPr>
                <w:p w14:paraId="4409A53E">
                  <w:pPr>
                    <w:jc w:val="center"/>
                    <w:rPr>
                      <w:szCs w:val="21"/>
                    </w:rPr>
                  </w:pPr>
                  <w:r>
                    <w:rPr>
                      <w:rFonts w:hint="eastAsia"/>
                      <w:szCs w:val="21"/>
                    </w:rPr>
                    <w:t>喷涂工序废气</w:t>
                  </w:r>
                </w:p>
              </w:tc>
              <w:tc>
                <w:tcPr>
                  <w:tcW w:w="860" w:type="pct"/>
                  <w:vAlign w:val="center"/>
                </w:tcPr>
                <w:p w14:paraId="411511FE">
                  <w:pPr>
                    <w:jc w:val="center"/>
                    <w:rPr>
                      <w:szCs w:val="21"/>
                    </w:rPr>
                  </w:pPr>
                  <w:r>
                    <w:rPr>
                      <w:rFonts w:hint="eastAsia"/>
                      <w:szCs w:val="21"/>
                    </w:rPr>
                    <w:t>颗粒物、非甲烷总烃、苯、甲苯、二甲苯</w:t>
                  </w:r>
                </w:p>
              </w:tc>
              <w:tc>
                <w:tcPr>
                  <w:tcW w:w="833" w:type="pct"/>
                  <w:vAlign w:val="center"/>
                </w:tcPr>
                <w:p w14:paraId="60600846">
                  <w:pPr>
                    <w:jc w:val="center"/>
                    <w:rPr>
                      <w:szCs w:val="21"/>
                    </w:rPr>
                  </w:pPr>
                  <w:r>
                    <w:rPr>
                      <w:rFonts w:hint="eastAsia"/>
                      <w:szCs w:val="21"/>
                    </w:rPr>
                    <w:t>密闭过程</w:t>
                  </w:r>
                </w:p>
                <w:p w14:paraId="5F2A5ED0">
                  <w:pPr>
                    <w:jc w:val="center"/>
                    <w:rPr>
                      <w:szCs w:val="21"/>
                    </w:rPr>
                  </w:pPr>
                  <w:r>
                    <w:rPr>
                      <w:rFonts w:hint="eastAsia"/>
                      <w:szCs w:val="21"/>
                    </w:rPr>
                    <w:t>密闭场所</w:t>
                  </w:r>
                </w:p>
                <w:p w14:paraId="7784354A">
                  <w:pPr>
                    <w:jc w:val="center"/>
                    <w:rPr>
                      <w:szCs w:val="21"/>
                    </w:rPr>
                  </w:pPr>
                  <w:r>
                    <w:rPr>
                      <w:rFonts w:hint="eastAsia"/>
                      <w:szCs w:val="21"/>
                    </w:rPr>
                    <w:t>局部收集</w:t>
                  </w:r>
                </w:p>
              </w:tc>
              <w:tc>
                <w:tcPr>
                  <w:tcW w:w="1441" w:type="pct"/>
                  <w:vAlign w:val="center"/>
                </w:tcPr>
                <w:p w14:paraId="25FD4F05">
                  <w:pPr>
                    <w:jc w:val="center"/>
                    <w:rPr>
                      <w:szCs w:val="21"/>
                    </w:rPr>
                  </w:pPr>
                  <w:r>
                    <w:rPr>
                      <w:szCs w:val="21"/>
                    </w:rPr>
                    <w:t>袋式除尘</w:t>
                  </w:r>
                  <w:r>
                    <w:rPr>
                      <w:rFonts w:hint="eastAsia"/>
                      <w:szCs w:val="21"/>
                    </w:rPr>
                    <w:t>；</w:t>
                  </w:r>
                  <w:r>
                    <w:rPr>
                      <w:szCs w:val="21"/>
                    </w:rPr>
                    <w:t>滤筒/滤芯除尘</w:t>
                  </w:r>
                  <w:r>
                    <w:rPr>
                      <w:rFonts w:hint="eastAsia"/>
                      <w:szCs w:val="21"/>
                    </w:rPr>
                    <w:t>；</w:t>
                  </w:r>
                  <w:r>
                    <w:rPr>
                      <w:szCs w:val="21"/>
                    </w:rPr>
                    <w:t>喷淋</w:t>
                  </w:r>
                  <w:r>
                    <w:rPr>
                      <w:rFonts w:hint="eastAsia"/>
                      <w:szCs w:val="21"/>
                    </w:rPr>
                    <w:t>；</w:t>
                  </w:r>
                  <w:r>
                    <w:rPr>
                      <w:szCs w:val="21"/>
                    </w:rPr>
                    <w:t>吸附</w:t>
                  </w:r>
                  <w:r>
                    <w:rPr>
                      <w:rFonts w:hint="eastAsia"/>
                      <w:szCs w:val="21"/>
                    </w:rPr>
                    <w:t>；</w:t>
                  </w:r>
                  <w:r>
                    <w:rPr>
                      <w:szCs w:val="21"/>
                    </w:rPr>
                    <w:t>吸附浓缩+热力燃烧/催化燃烧</w:t>
                  </w:r>
                </w:p>
              </w:tc>
            </w:tr>
          </w:tbl>
          <w:p w14:paraId="3AEEA71E">
            <w:pPr>
              <w:spacing w:line="480" w:lineRule="exact"/>
              <w:ind w:firstLine="480" w:firstLineChars="200"/>
              <w:rPr>
                <w:sz w:val="24"/>
              </w:rPr>
            </w:pPr>
            <w:r>
              <w:rPr>
                <w:rFonts w:hint="eastAsia"/>
                <w:sz w:val="24"/>
              </w:rPr>
              <w:t>本项目</w:t>
            </w:r>
            <w:r>
              <w:rPr>
                <w:rFonts w:hint="eastAsia"/>
                <w:sz w:val="24"/>
                <w:szCs w:val="22"/>
              </w:rPr>
              <w:t>车间调配、背胶及烘干</w:t>
            </w:r>
            <w:r>
              <w:rPr>
                <w:rFonts w:hint="eastAsia"/>
                <w:kern w:val="0"/>
                <w:sz w:val="24"/>
              </w:rPr>
              <w:t>工段</w:t>
            </w:r>
            <w:r>
              <w:rPr>
                <w:rFonts w:hint="eastAsia"/>
                <w:sz w:val="24"/>
                <w:szCs w:val="22"/>
              </w:rPr>
              <w:t>产生的有机废气采用活性炭吸附装置进行处理，投料工段产生的颗粒物采用布袋除尘器进行处理</w:t>
            </w:r>
            <w:r>
              <w:rPr>
                <w:sz w:val="24"/>
              </w:rPr>
              <w:t>；结合上表内容，项目选用的废气处理措施均为可行技术。</w:t>
            </w:r>
          </w:p>
          <w:p w14:paraId="708E0F47">
            <w:pPr>
              <w:spacing w:line="480" w:lineRule="exact"/>
              <w:ind w:firstLine="480" w:firstLineChars="200"/>
              <w:rPr>
                <w:bCs/>
                <w:color w:val="FF0000"/>
                <w:sz w:val="24"/>
              </w:rPr>
            </w:pPr>
            <w:r>
              <w:rPr>
                <w:rFonts w:hint="eastAsia"/>
                <w:bCs/>
                <w:sz w:val="24"/>
              </w:rPr>
              <w:t>本项目</w:t>
            </w:r>
            <w:r>
              <w:rPr>
                <w:bCs/>
                <w:sz w:val="24"/>
              </w:rPr>
              <w:t>共设置</w:t>
            </w:r>
            <w:r>
              <w:rPr>
                <w:rFonts w:hint="eastAsia"/>
                <w:bCs/>
                <w:sz w:val="24"/>
              </w:rPr>
              <w:t>1</w:t>
            </w:r>
            <w:r>
              <w:rPr>
                <w:bCs/>
                <w:sz w:val="24"/>
              </w:rPr>
              <w:t>套</w:t>
            </w:r>
            <w:r>
              <w:rPr>
                <w:rFonts w:hint="eastAsia"/>
                <w:bCs/>
                <w:sz w:val="24"/>
                <w:lang w:val="en-US" w:eastAsia="zh-CN"/>
              </w:rPr>
              <w:t>除水器+</w:t>
            </w:r>
            <w:r>
              <w:rPr>
                <w:bCs/>
                <w:sz w:val="24"/>
              </w:rPr>
              <w:t>二级活性炭吸附装置</w:t>
            </w:r>
            <w:r>
              <w:rPr>
                <w:rFonts w:hint="eastAsia"/>
                <w:bCs/>
                <w:sz w:val="24"/>
              </w:rPr>
              <w:t>、1套布袋除尘器</w:t>
            </w:r>
            <w:r>
              <w:rPr>
                <w:bCs/>
                <w:sz w:val="24"/>
              </w:rPr>
              <w:t>，具体情况见下表。</w:t>
            </w:r>
          </w:p>
          <w:p w14:paraId="14ECFE6C">
            <w:pPr>
              <w:spacing w:line="480" w:lineRule="exact"/>
              <w:jc w:val="center"/>
              <w:rPr>
                <w:b/>
                <w:bCs/>
                <w:sz w:val="24"/>
              </w:rPr>
            </w:pPr>
            <w:r>
              <w:rPr>
                <w:b/>
                <w:bCs/>
                <w:sz w:val="24"/>
              </w:rPr>
              <w:t>表4-</w:t>
            </w:r>
            <w:r>
              <w:rPr>
                <w:rFonts w:hint="eastAsia"/>
                <w:b/>
                <w:bCs/>
                <w:sz w:val="24"/>
              </w:rPr>
              <w:t>1</w:t>
            </w:r>
            <w:r>
              <w:rPr>
                <w:rFonts w:hint="eastAsia"/>
                <w:b/>
                <w:bCs/>
                <w:sz w:val="24"/>
                <w:lang w:val="en-US" w:eastAsia="zh-CN"/>
              </w:rPr>
              <w:t>4</w:t>
            </w:r>
            <w:r>
              <w:rPr>
                <w:b/>
                <w:bCs/>
                <w:sz w:val="24"/>
              </w:rPr>
              <w:t xml:space="preserve">  项目活性炭吸附装置参数一览表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3256"/>
              <w:gridCol w:w="4520"/>
            </w:tblGrid>
            <w:tr w14:paraId="7DAAA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Mar>
                    <w:top w:w="0" w:type="dxa"/>
                    <w:left w:w="0" w:type="dxa"/>
                    <w:bottom w:w="0" w:type="dxa"/>
                    <w:right w:w="0" w:type="dxa"/>
                  </w:tcMar>
                  <w:vAlign w:val="center"/>
                </w:tcPr>
                <w:p w14:paraId="62E930CD">
                  <w:pPr>
                    <w:pStyle w:val="2"/>
                    <w:spacing w:before="0" w:after="0" w:line="240" w:lineRule="auto"/>
                    <w:ind w:right="0"/>
                    <w:jc w:val="center"/>
                    <w:rPr>
                      <w:b/>
                      <w:bCs/>
                      <w:sz w:val="21"/>
                      <w:szCs w:val="21"/>
                    </w:rPr>
                  </w:pPr>
                  <w:r>
                    <w:rPr>
                      <w:b/>
                      <w:bCs/>
                      <w:sz w:val="21"/>
                      <w:szCs w:val="21"/>
                    </w:rPr>
                    <w:t>序号</w:t>
                  </w:r>
                </w:p>
              </w:tc>
              <w:tc>
                <w:tcPr>
                  <w:tcW w:w="1819" w:type="pct"/>
                  <w:tcMar>
                    <w:top w:w="0" w:type="dxa"/>
                    <w:left w:w="0" w:type="dxa"/>
                    <w:bottom w:w="0" w:type="dxa"/>
                    <w:right w:w="0" w:type="dxa"/>
                  </w:tcMar>
                  <w:vAlign w:val="center"/>
                </w:tcPr>
                <w:p w14:paraId="270211D3">
                  <w:pPr>
                    <w:pStyle w:val="2"/>
                    <w:spacing w:before="0" w:after="0" w:line="240" w:lineRule="auto"/>
                    <w:ind w:right="0"/>
                    <w:jc w:val="center"/>
                    <w:rPr>
                      <w:b/>
                      <w:bCs/>
                      <w:sz w:val="21"/>
                      <w:szCs w:val="21"/>
                    </w:rPr>
                  </w:pPr>
                  <w:r>
                    <w:rPr>
                      <w:b/>
                      <w:bCs/>
                      <w:sz w:val="21"/>
                      <w:szCs w:val="21"/>
                    </w:rPr>
                    <w:t>类别</w:t>
                  </w:r>
                </w:p>
              </w:tc>
              <w:tc>
                <w:tcPr>
                  <w:tcW w:w="2525" w:type="pct"/>
                  <w:tcMar>
                    <w:top w:w="0" w:type="dxa"/>
                    <w:left w:w="0" w:type="dxa"/>
                    <w:bottom w:w="0" w:type="dxa"/>
                    <w:right w:w="0" w:type="dxa"/>
                  </w:tcMar>
                  <w:vAlign w:val="center"/>
                </w:tcPr>
                <w:p w14:paraId="15728DF8">
                  <w:pPr>
                    <w:pStyle w:val="2"/>
                    <w:spacing w:before="0" w:after="0" w:line="240" w:lineRule="auto"/>
                    <w:ind w:right="0"/>
                    <w:jc w:val="center"/>
                    <w:rPr>
                      <w:b/>
                      <w:bCs/>
                      <w:sz w:val="21"/>
                      <w:szCs w:val="21"/>
                    </w:rPr>
                  </w:pPr>
                  <w:r>
                    <w:rPr>
                      <w:rFonts w:hint="eastAsia"/>
                      <w:b/>
                      <w:bCs/>
                      <w:sz w:val="21"/>
                      <w:szCs w:val="21"/>
                    </w:rPr>
                    <w:t>（二级活性炭吸附装置）</w:t>
                  </w:r>
                </w:p>
                <w:p w14:paraId="66BD0D0D">
                  <w:pPr>
                    <w:pStyle w:val="2"/>
                    <w:spacing w:before="0" w:after="0" w:line="240" w:lineRule="auto"/>
                    <w:ind w:right="0"/>
                    <w:jc w:val="center"/>
                    <w:rPr>
                      <w:b/>
                      <w:bCs/>
                      <w:sz w:val="21"/>
                      <w:szCs w:val="21"/>
                    </w:rPr>
                  </w:pPr>
                  <w:r>
                    <w:rPr>
                      <w:b/>
                      <w:bCs/>
                      <w:sz w:val="21"/>
                      <w:szCs w:val="21"/>
                    </w:rPr>
                    <w:t>技术参数</w:t>
                  </w:r>
                </w:p>
              </w:tc>
            </w:tr>
            <w:tr w14:paraId="320AB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Mar>
                    <w:top w:w="0" w:type="dxa"/>
                    <w:left w:w="0" w:type="dxa"/>
                    <w:bottom w:w="0" w:type="dxa"/>
                    <w:right w:w="0" w:type="dxa"/>
                  </w:tcMar>
                  <w:vAlign w:val="center"/>
                </w:tcPr>
                <w:p w14:paraId="15F48765">
                  <w:pPr>
                    <w:pStyle w:val="2"/>
                    <w:spacing w:before="0" w:after="0" w:line="240" w:lineRule="auto"/>
                    <w:ind w:right="0"/>
                    <w:jc w:val="center"/>
                    <w:rPr>
                      <w:sz w:val="21"/>
                      <w:szCs w:val="21"/>
                    </w:rPr>
                  </w:pPr>
                  <w:r>
                    <w:rPr>
                      <w:sz w:val="21"/>
                      <w:szCs w:val="21"/>
                    </w:rPr>
                    <w:t>1</w:t>
                  </w:r>
                </w:p>
              </w:tc>
              <w:tc>
                <w:tcPr>
                  <w:tcW w:w="1819" w:type="pct"/>
                  <w:tcMar>
                    <w:top w:w="0" w:type="dxa"/>
                    <w:left w:w="0" w:type="dxa"/>
                    <w:bottom w:w="0" w:type="dxa"/>
                    <w:right w:w="0" w:type="dxa"/>
                  </w:tcMar>
                  <w:vAlign w:val="center"/>
                </w:tcPr>
                <w:p w14:paraId="60FAF2D9">
                  <w:pPr>
                    <w:pStyle w:val="2"/>
                    <w:spacing w:before="0" w:after="0" w:line="240" w:lineRule="auto"/>
                    <w:ind w:right="0"/>
                    <w:jc w:val="center"/>
                    <w:rPr>
                      <w:sz w:val="21"/>
                      <w:szCs w:val="21"/>
                    </w:rPr>
                  </w:pPr>
                  <w:r>
                    <w:rPr>
                      <w:sz w:val="21"/>
                      <w:szCs w:val="21"/>
                    </w:rPr>
                    <w:t>处理风量</w:t>
                  </w:r>
                </w:p>
              </w:tc>
              <w:tc>
                <w:tcPr>
                  <w:tcW w:w="2525" w:type="pct"/>
                  <w:tcMar>
                    <w:top w:w="0" w:type="dxa"/>
                    <w:left w:w="0" w:type="dxa"/>
                    <w:bottom w:w="0" w:type="dxa"/>
                    <w:right w:w="0" w:type="dxa"/>
                  </w:tcMar>
                  <w:vAlign w:val="center"/>
                </w:tcPr>
                <w:p w14:paraId="164361C6">
                  <w:pPr>
                    <w:pStyle w:val="2"/>
                    <w:spacing w:before="0" w:after="0" w:line="240" w:lineRule="auto"/>
                    <w:ind w:right="0"/>
                    <w:jc w:val="center"/>
                    <w:rPr>
                      <w:color w:val="FF0000"/>
                      <w:sz w:val="21"/>
                      <w:szCs w:val="21"/>
                      <w:highlight w:val="yellow"/>
                    </w:rPr>
                  </w:pPr>
                  <w:r>
                    <w:rPr>
                      <w:rFonts w:hint="eastAsia"/>
                      <w:color w:val="auto"/>
                      <w:sz w:val="21"/>
                      <w:szCs w:val="21"/>
                      <w:highlight w:val="none"/>
                    </w:rPr>
                    <w:t>1</w:t>
                  </w:r>
                  <w:r>
                    <w:rPr>
                      <w:rFonts w:hint="eastAsia"/>
                      <w:color w:val="auto"/>
                      <w:sz w:val="21"/>
                      <w:szCs w:val="21"/>
                      <w:highlight w:val="none"/>
                      <w:lang w:val="en-US" w:eastAsia="zh-CN"/>
                    </w:rPr>
                    <w:t>00</w:t>
                  </w:r>
                  <w:r>
                    <w:rPr>
                      <w:color w:val="auto"/>
                      <w:sz w:val="21"/>
                      <w:szCs w:val="21"/>
                      <w:highlight w:val="none"/>
                    </w:rPr>
                    <w:t>00m</w:t>
                  </w:r>
                  <w:r>
                    <w:rPr>
                      <w:color w:val="auto"/>
                      <w:sz w:val="21"/>
                      <w:szCs w:val="21"/>
                      <w:highlight w:val="none"/>
                      <w:vertAlign w:val="superscript"/>
                    </w:rPr>
                    <w:t>3</w:t>
                  </w:r>
                  <w:r>
                    <w:rPr>
                      <w:color w:val="auto"/>
                      <w:sz w:val="21"/>
                      <w:szCs w:val="21"/>
                      <w:highlight w:val="none"/>
                    </w:rPr>
                    <w:t>/h</w:t>
                  </w:r>
                </w:p>
              </w:tc>
            </w:tr>
            <w:tr w14:paraId="64F45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Mar>
                    <w:top w:w="0" w:type="dxa"/>
                    <w:left w:w="0" w:type="dxa"/>
                    <w:bottom w:w="0" w:type="dxa"/>
                    <w:right w:w="0" w:type="dxa"/>
                  </w:tcMar>
                  <w:vAlign w:val="center"/>
                </w:tcPr>
                <w:p w14:paraId="5FC8294B">
                  <w:pPr>
                    <w:pStyle w:val="2"/>
                    <w:spacing w:before="0" w:after="0" w:line="240" w:lineRule="auto"/>
                    <w:ind w:right="0"/>
                    <w:jc w:val="center"/>
                    <w:rPr>
                      <w:sz w:val="21"/>
                      <w:szCs w:val="21"/>
                    </w:rPr>
                  </w:pPr>
                  <w:r>
                    <w:rPr>
                      <w:sz w:val="21"/>
                      <w:szCs w:val="21"/>
                    </w:rPr>
                    <w:t>2</w:t>
                  </w:r>
                </w:p>
              </w:tc>
              <w:tc>
                <w:tcPr>
                  <w:tcW w:w="1819" w:type="pct"/>
                  <w:tcMar>
                    <w:top w:w="0" w:type="dxa"/>
                    <w:left w:w="0" w:type="dxa"/>
                    <w:bottom w:w="0" w:type="dxa"/>
                    <w:right w:w="0" w:type="dxa"/>
                  </w:tcMar>
                  <w:vAlign w:val="center"/>
                </w:tcPr>
                <w:p w14:paraId="1CE4FAE4">
                  <w:pPr>
                    <w:pStyle w:val="2"/>
                    <w:spacing w:before="0" w:after="0" w:line="240" w:lineRule="auto"/>
                    <w:ind w:right="0"/>
                    <w:jc w:val="center"/>
                    <w:rPr>
                      <w:sz w:val="21"/>
                      <w:szCs w:val="21"/>
                    </w:rPr>
                  </w:pPr>
                  <w:r>
                    <w:rPr>
                      <w:sz w:val="21"/>
                      <w:szCs w:val="21"/>
                    </w:rPr>
                    <w:t>废气温度</w:t>
                  </w:r>
                </w:p>
              </w:tc>
              <w:tc>
                <w:tcPr>
                  <w:tcW w:w="2525" w:type="pct"/>
                  <w:tcMar>
                    <w:top w:w="0" w:type="dxa"/>
                    <w:left w:w="0" w:type="dxa"/>
                    <w:bottom w:w="0" w:type="dxa"/>
                    <w:right w:w="0" w:type="dxa"/>
                  </w:tcMar>
                  <w:vAlign w:val="center"/>
                </w:tcPr>
                <w:p w14:paraId="1779ABBC">
                  <w:pPr>
                    <w:pStyle w:val="2"/>
                    <w:spacing w:before="0" w:after="0" w:line="240" w:lineRule="auto"/>
                    <w:ind w:right="0"/>
                    <w:jc w:val="center"/>
                    <w:rPr>
                      <w:sz w:val="21"/>
                      <w:szCs w:val="21"/>
                    </w:rPr>
                  </w:pPr>
                  <w:r>
                    <w:rPr>
                      <w:rFonts w:hint="eastAsia" w:ascii="宋体" w:hAnsi="宋体" w:cs="宋体"/>
                      <w:sz w:val="21"/>
                      <w:szCs w:val="21"/>
                    </w:rPr>
                    <w:t>≤</w:t>
                  </w:r>
                  <w:r>
                    <w:rPr>
                      <w:sz w:val="21"/>
                      <w:szCs w:val="21"/>
                    </w:rPr>
                    <w:t>40℃</w:t>
                  </w:r>
                </w:p>
                <w:p w14:paraId="31BE19E6">
                  <w:pPr>
                    <w:pStyle w:val="2"/>
                    <w:spacing w:before="0" w:after="0" w:line="240" w:lineRule="auto"/>
                    <w:ind w:right="0"/>
                    <w:jc w:val="center"/>
                    <w:rPr>
                      <w:sz w:val="21"/>
                      <w:szCs w:val="21"/>
                    </w:rPr>
                  </w:pPr>
                  <w:r>
                    <w:rPr>
                      <w:sz w:val="21"/>
                      <w:szCs w:val="21"/>
                    </w:rPr>
                    <w:t>（最佳反应温度为25℃）</w:t>
                  </w:r>
                </w:p>
              </w:tc>
            </w:tr>
            <w:tr w14:paraId="4288D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Mar>
                    <w:top w:w="0" w:type="dxa"/>
                    <w:left w:w="0" w:type="dxa"/>
                    <w:bottom w:w="0" w:type="dxa"/>
                    <w:right w:w="0" w:type="dxa"/>
                  </w:tcMar>
                  <w:vAlign w:val="center"/>
                </w:tcPr>
                <w:p w14:paraId="0C6580C2">
                  <w:pPr>
                    <w:pStyle w:val="2"/>
                    <w:spacing w:before="0" w:after="0" w:line="240" w:lineRule="auto"/>
                    <w:ind w:right="0"/>
                    <w:jc w:val="center"/>
                    <w:rPr>
                      <w:sz w:val="21"/>
                      <w:szCs w:val="21"/>
                    </w:rPr>
                  </w:pPr>
                  <w:r>
                    <w:rPr>
                      <w:sz w:val="21"/>
                      <w:szCs w:val="21"/>
                    </w:rPr>
                    <w:t>3</w:t>
                  </w:r>
                </w:p>
              </w:tc>
              <w:tc>
                <w:tcPr>
                  <w:tcW w:w="1819" w:type="pct"/>
                  <w:tcMar>
                    <w:top w:w="0" w:type="dxa"/>
                    <w:left w:w="0" w:type="dxa"/>
                    <w:bottom w:w="0" w:type="dxa"/>
                    <w:right w:w="0" w:type="dxa"/>
                  </w:tcMar>
                  <w:vAlign w:val="center"/>
                </w:tcPr>
                <w:p w14:paraId="2D094EDF">
                  <w:pPr>
                    <w:pStyle w:val="2"/>
                    <w:spacing w:before="0" w:after="0" w:line="240" w:lineRule="auto"/>
                    <w:ind w:right="0"/>
                    <w:jc w:val="center"/>
                    <w:rPr>
                      <w:sz w:val="21"/>
                      <w:szCs w:val="21"/>
                    </w:rPr>
                  </w:pPr>
                  <w:r>
                    <w:rPr>
                      <w:sz w:val="21"/>
                      <w:szCs w:val="21"/>
                    </w:rPr>
                    <w:t>活性炭安装方式</w:t>
                  </w:r>
                </w:p>
              </w:tc>
              <w:tc>
                <w:tcPr>
                  <w:tcW w:w="2525" w:type="pct"/>
                  <w:tcMar>
                    <w:top w:w="0" w:type="dxa"/>
                    <w:left w:w="0" w:type="dxa"/>
                    <w:bottom w:w="0" w:type="dxa"/>
                    <w:right w:w="0" w:type="dxa"/>
                  </w:tcMar>
                  <w:vAlign w:val="center"/>
                </w:tcPr>
                <w:p w14:paraId="592383EC">
                  <w:pPr>
                    <w:pStyle w:val="2"/>
                    <w:spacing w:before="0" w:after="0" w:line="240" w:lineRule="auto"/>
                    <w:ind w:right="0"/>
                    <w:jc w:val="center"/>
                    <w:rPr>
                      <w:sz w:val="21"/>
                      <w:szCs w:val="21"/>
                    </w:rPr>
                  </w:pPr>
                  <w:r>
                    <w:rPr>
                      <w:sz w:val="21"/>
                      <w:szCs w:val="21"/>
                    </w:rPr>
                    <w:t>上装式</w:t>
                  </w:r>
                </w:p>
              </w:tc>
            </w:tr>
            <w:tr w14:paraId="18FA6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Mar>
                    <w:top w:w="0" w:type="dxa"/>
                    <w:left w:w="0" w:type="dxa"/>
                    <w:bottom w:w="0" w:type="dxa"/>
                    <w:right w:w="0" w:type="dxa"/>
                  </w:tcMar>
                  <w:vAlign w:val="center"/>
                </w:tcPr>
                <w:p w14:paraId="1697817F">
                  <w:pPr>
                    <w:pStyle w:val="2"/>
                    <w:spacing w:before="0" w:after="0" w:line="240" w:lineRule="auto"/>
                    <w:ind w:right="0"/>
                    <w:jc w:val="center"/>
                    <w:rPr>
                      <w:sz w:val="21"/>
                      <w:szCs w:val="21"/>
                    </w:rPr>
                  </w:pPr>
                  <w:r>
                    <w:rPr>
                      <w:sz w:val="21"/>
                      <w:szCs w:val="21"/>
                    </w:rPr>
                    <w:t>4</w:t>
                  </w:r>
                </w:p>
              </w:tc>
              <w:tc>
                <w:tcPr>
                  <w:tcW w:w="1819" w:type="pct"/>
                  <w:tcMar>
                    <w:top w:w="0" w:type="dxa"/>
                    <w:left w:w="0" w:type="dxa"/>
                    <w:bottom w:w="0" w:type="dxa"/>
                    <w:right w:w="0" w:type="dxa"/>
                  </w:tcMar>
                  <w:vAlign w:val="center"/>
                </w:tcPr>
                <w:p w14:paraId="4D4FB3D0">
                  <w:pPr>
                    <w:pStyle w:val="2"/>
                    <w:spacing w:before="0" w:after="0" w:line="240" w:lineRule="auto"/>
                    <w:ind w:right="0"/>
                    <w:jc w:val="center"/>
                    <w:rPr>
                      <w:sz w:val="21"/>
                      <w:szCs w:val="21"/>
                    </w:rPr>
                  </w:pPr>
                  <w:r>
                    <w:rPr>
                      <w:sz w:val="21"/>
                      <w:szCs w:val="21"/>
                    </w:rPr>
                    <w:t>设备主体尺寸</w:t>
                  </w:r>
                </w:p>
              </w:tc>
              <w:tc>
                <w:tcPr>
                  <w:tcW w:w="2525" w:type="pct"/>
                  <w:tcMar>
                    <w:top w:w="0" w:type="dxa"/>
                    <w:left w:w="0" w:type="dxa"/>
                    <w:bottom w:w="0" w:type="dxa"/>
                    <w:right w:w="0" w:type="dxa"/>
                  </w:tcMar>
                  <w:vAlign w:val="center"/>
                </w:tcPr>
                <w:p w14:paraId="05B201C4">
                  <w:pPr>
                    <w:pStyle w:val="2"/>
                    <w:spacing w:before="0" w:after="0" w:line="240" w:lineRule="auto"/>
                    <w:ind w:right="0"/>
                    <w:jc w:val="center"/>
                    <w:rPr>
                      <w:sz w:val="21"/>
                      <w:szCs w:val="21"/>
                    </w:rPr>
                  </w:pPr>
                  <w:r>
                    <w:rPr>
                      <w:sz w:val="21"/>
                      <w:szCs w:val="21"/>
                    </w:rPr>
                    <w:t>2.8m*1.8m*</w:t>
                  </w:r>
                  <w:r>
                    <w:rPr>
                      <w:rFonts w:hint="eastAsia"/>
                      <w:sz w:val="21"/>
                      <w:szCs w:val="21"/>
                    </w:rPr>
                    <w:t>1.8</w:t>
                  </w:r>
                  <w:r>
                    <w:rPr>
                      <w:sz w:val="21"/>
                      <w:szCs w:val="21"/>
                    </w:rPr>
                    <w:t>m</w:t>
                  </w:r>
                </w:p>
              </w:tc>
            </w:tr>
            <w:tr w14:paraId="5095F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Mar>
                    <w:top w:w="0" w:type="dxa"/>
                    <w:left w:w="0" w:type="dxa"/>
                    <w:bottom w:w="0" w:type="dxa"/>
                    <w:right w:w="0" w:type="dxa"/>
                  </w:tcMar>
                  <w:vAlign w:val="center"/>
                </w:tcPr>
                <w:p w14:paraId="5A929845">
                  <w:pPr>
                    <w:pStyle w:val="2"/>
                    <w:spacing w:before="0" w:after="0" w:line="240" w:lineRule="auto"/>
                    <w:ind w:right="0"/>
                    <w:jc w:val="center"/>
                    <w:rPr>
                      <w:sz w:val="21"/>
                      <w:szCs w:val="21"/>
                    </w:rPr>
                  </w:pPr>
                  <w:r>
                    <w:rPr>
                      <w:sz w:val="21"/>
                      <w:szCs w:val="21"/>
                    </w:rPr>
                    <w:t>5</w:t>
                  </w:r>
                </w:p>
              </w:tc>
              <w:tc>
                <w:tcPr>
                  <w:tcW w:w="1819" w:type="pct"/>
                  <w:tcMar>
                    <w:top w:w="0" w:type="dxa"/>
                    <w:left w:w="0" w:type="dxa"/>
                    <w:bottom w:w="0" w:type="dxa"/>
                    <w:right w:w="0" w:type="dxa"/>
                  </w:tcMar>
                  <w:vAlign w:val="center"/>
                </w:tcPr>
                <w:p w14:paraId="44E874D2">
                  <w:pPr>
                    <w:pStyle w:val="2"/>
                    <w:spacing w:before="0" w:after="0" w:line="240" w:lineRule="auto"/>
                    <w:ind w:right="0"/>
                    <w:jc w:val="center"/>
                    <w:rPr>
                      <w:rFonts w:hint="default" w:eastAsia="宋体"/>
                      <w:snapToGrid w:val="0"/>
                      <w:kern w:val="2"/>
                      <w:sz w:val="21"/>
                      <w:szCs w:val="21"/>
                      <w:lang w:val="en-US" w:eastAsia="zh-CN"/>
                    </w:rPr>
                  </w:pPr>
                  <w:r>
                    <w:rPr>
                      <w:rFonts w:hint="eastAsia"/>
                      <w:snapToGrid w:val="0"/>
                      <w:kern w:val="2"/>
                      <w:sz w:val="21"/>
                      <w:szCs w:val="21"/>
                      <w:lang w:val="en-US" w:eastAsia="zh-CN"/>
                    </w:rPr>
                    <w:t>抗压强度</w:t>
                  </w:r>
                </w:p>
              </w:tc>
              <w:tc>
                <w:tcPr>
                  <w:tcW w:w="2525" w:type="pct"/>
                  <w:tcMar>
                    <w:top w:w="0" w:type="dxa"/>
                    <w:left w:w="0" w:type="dxa"/>
                    <w:bottom w:w="0" w:type="dxa"/>
                    <w:right w:w="0" w:type="dxa"/>
                  </w:tcMar>
                  <w:vAlign w:val="center"/>
                </w:tcPr>
                <w:p w14:paraId="24D66964">
                  <w:pPr>
                    <w:pStyle w:val="2"/>
                    <w:spacing w:before="0" w:after="0" w:line="240" w:lineRule="auto"/>
                    <w:ind w:right="0"/>
                    <w:jc w:val="center"/>
                    <w:rPr>
                      <w:rFonts w:hint="default" w:eastAsia="宋体"/>
                      <w:snapToGrid w:val="0"/>
                      <w:kern w:val="2"/>
                      <w:sz w:val="21"/>
                      <w:szCs w:val="21"/>
                      <w:lang w:val="en-US" w:eastAsia="zh-CN"/>
                    </w:rPr>
                  </w:pPr>
                  <w:r>
                    <w:rPr>
                      <w:rFonts w:hint="eastAsia"/>
                      <w:snapToGrid w:val="0"/>
                      <w:kern w:val="2"/>
                      <w:sz w:val="21"/>
                      <w:szCs w:val="21"/>
                      <w:lang w:val="en-US" w:eastAsia="zh-CN"/>
                    </w:rPr>
                    <w:t>横向：0.9MPa/纵向：0.4MPa</w:t>
                  </w:r>
                </w:p>
              </w:tc>
            </w:tr>
            <w:tr w14:paraId="0E2D1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Mar>
                    <w:top w:w="0" w:type="dxa"/>
                    <w:left w:w="0" w:type="dxa"/>
                    <w:bottom w:w="0" w:type="dxa"/>
                    <w:right w:w="0" w:type="dxa"/>
                  </w:tcMar>
                  <w:vAlign w:val="center"/>
                </w:tcPr>
                <w:p w14:paraId="244A5860">
                  <w:pPr>
                    <w:pStyle w:val="2"/>
                    <w:spacing w:before="0" w:after="0" w:line="240" w:lineRule="auto"/>
                    <w:ind w:right="0"/>
                    <w:jc w:val="center"/>
                    <w:rPr>
                      <w:sz w:val="21"/>
                      <w:szCs w:val="21"/>
                    </w:rPr>
                  </w:pPr>
                  <w:r>
                    <w:rPr>
                      <w:sz w:val="21"/>
                      <w:szCs w:val="21"/>
                    </w:rPr>
                    <w:t>6</w:t>
                  </w:r>
                </w:p>
              </w:tc>
              <w:tc>
                <w:tcPr>
                  <w:tcW w:w="1819" w:type="pct"/>
                  <w:shd w:val="clear" w:color="auto" w:fill="auto"/>
                  <w:tcMar>
                    <w:top w:w="0" w:type="dxa"/>
                    <w:left w:w="0" w:type="dxa"/>
                    <w:bottom w:w="0" w:type="dxa"/>
                    <w:right w:w="0" w:type="dxa"/>
                  </w:tcMar>
                  <w:vAlign w:val="center"/>
                </w:tcPr>
                <w:p w14:paraId="532D0FC6">
                  <w:pPr>
                    <w:pStyle w:val="2"/>
                    <w:spacing w:before="0" w:after="0" w:line="240" w:lineRule="auto"/>
                    <w:ind w:right="0" w:rightChars="0"/>
                    <w:jc w:val="center"/>
                    <w:rPr>
                      <w:rFonts w:hint="default" w:ascii="Times New Roman" w:hAnsi="Times New Roman" w:eastAsia="宋体" w:cs="Times New Roman"/>
                      <w:snapToGrid w:val="0"/>
                      <w:kern w:val="2"/>
                      <w:sz w:val="21"/>
                      <w:szCs w:val="21"/>
                      <w:lang w:val="en-US" w:eastAsia="zh-CN" w:bidi="ar-SA"/>
                    </w:rPr>
                  </w:pPr>
                  <w:r>
                    <w:rPr>
                      <w:sz w:val="21"/>
                      <w:szCs w:val="21"/>
                    </w:rPr>
                    <w:t>活性炭种类</w:t>
                  </w:r>
                </w:p>
              </w:tc>
              <w:tc>
                <w:tcPr>
                  <w:tcW w:w="2525" w:type="pct"/>
                  <w:shd w:val="clear" w:color="auto" w:fill="auto"/>
                  <w:tcMar>
                    <w:top w:w="0" w:type="dxa"/>
                    <w:left w:w="0" w:type="dxa"/>
                    <w:bottom w:w="0" w:type="dxa"/>
                    <w:right w:w="0" w:type="dxa"/>
                  </w:tcMar>
                  <w:vAlign w:val="center"/>
                </w:tcPr>
                <w:p w14:paraId="02C301EA">
                  <w:pPr>
                    <w:pStyle w:val="2"/>
                    <w:spacing w:before="0" w:after="0" w:line="240" w:lineRule="auto"/>
                    <w:ind w:right="0" w:rightChars="0"/>
                    <w:jc w:val="center"/>
                    <w:rPr>
                      <w:rFonts w:hint="eastAsia" w:ascii="Times New Roman" w:hAnsi="Times New Roman" w:eastAsia="宋体" w:cs="Times New Roman"/>
                      <w:snapToGrid w:val="0"/>
                      <w:kern w:val="2"/>
                      <w:sz w:val="21"/>
                      <w:szCs w:val="21"/>
                      <w:lang w:val="en-US" w:eastAsia="zh-CN" w:bidi="ar-SA"/>
                    </w:rPr>
                  </w:pPr>
                  <w:r>
                    <w:rPr>
                      <w:sz w:val="21"/>
                      <w:szCs w:val="21"/>
                    </w:rPr>
                    <w:t>蜂窝活性炭</w:t>
                  </w:r>
                </w:p>
              </w:tc>
            </w:tr>
            <w:tr w14:paraId="06E82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shd w:val="clear" w:color="auto" w:fill="auto"/>
                  <w:tcMar>
                    <w:top w:w="0" w:type="dxa"/>
                    <w:left w:w="0" w:type="dxa"/>
                    <w:bottom w:w="0" w:type="dxa"/>
                    <w:right w:w="0" w:type="dxa"/>
                  </w:tcMar>
                  <w:vAlign w:val="center"/>
                </w:tcPr>
                <w:p w14:paraId="67B2E0EB">
                  <w:pPr>
                    <w:pStyle w:val="2"/>
                    <w:spacing w:before="0" w:after="0" w:line="240" w:lineRule="auto"/>
                    <w:ind w:right="0" w:rightChars="0"/>
                    <w:jc w:val="center"/>
                    <w:rPr>
                      <w:rFonts w:ascii="Times New Roman" w:hAnsi="Times New Roman" w:eastAsia="宋体" w:cs="Times New Roman"/>
                      <w:kern w:val="0"/>
                      <w:sz w:val="21"/>
                      <w:szCs w:val="21"/>
                      <w:lang w:val="en-US" w:eastAsia="zh-CN" w:bidi="ar-SA"/>
                    </w:rPr>
                  </w:pPr>
                  <w:r>
                    <w:rPr>
                      <w:sz w:val="21"/>
                      <w:szCs w:val="21"/>
                    </w:rPr>
                    <w:t>7</w:t>
                  </w:r>
                </w:p>
              </w:tc>
              <w:tc>
                <w:tcPr>
                  <w:tcW w:w="1819" w:type="pct"/>
                  <w:shd w:val="clear" w:color="auto" w:fill="auto"/>
                  <w:tcMar>
                    <w:top w:w="0" w:type="dxa"/>
                    <w:left w:w="0" w:type="dxa"/>
                    <w:bottom w:w="0" w:type="dxa"/>
                    <w:right w:w="0" w:type="dxa"/>
                  </w:tcMar>
                  <w:vAlign w:val="center"/>
                </w:tcPr>
                <w:p w14:paraId="57309920">
                  <w:pPr>
                    <w:pStyle w:val="2"/>
                    <w:spacing w:before="0" w:after="0" w:line="240" w:lineRule="auto"/>
                    <w:ind w:right="0" w:rightChars="0"/>
                    <w:jc w:val="center"/>
                    <w:rPr>
                      <w:rFonts w:ascii="Times New Roman" w:hAnsi="Times New Roman" w:eastAsia="宋体" w:cs="Times New Roman"/>
                      <w:kern w:val="0"/>
                      <w:sz w:val="21"/>
                      <w:szCs w:val="21"/>
                      <w:lang w:val="en-US" w:eastAsia="zh-CN" w:bidi="ar-SA"/>
                    </w:rPr>
                  </w:pPr>
                  <w:r>
                    <w:rPr>
                      <w:sz w:val="21"/>
                      <w:szCs w:val="21"/>
                    </w:rPr>
                    <w:t>活性炭碘值</w:t>
                  </w:r>
                </w:p>
              </w:tc>
              <w:tc>
                <w:tcPr>
                  <w:tcW w:w="2525" w:type="pct"/>
                  <w:shd w:val="clear" w:color="auto" w:fill="auto"/>
                  <w:tcMar>
                    <w:top w:w="0" w:type="dxa"/>
                    <w:left w:w="0" w:type="dxa"/>
                    <w:bottom w:w="0" w:type="dxa"/>
                    <w:right w:w="0" w:type="dxa"/>
                  </w:tcMar>
                  <w:vAlign w:val="center"/>
                </w:tcPr>
                <w:p w14:paraId="79BAB66C">
                  <w:pPr>
                    <w:pStyle w:val="2"/>
                    <w:spacing w:before="0" w:after="0" w:line="240" w:lineRule="auto"/>
                    <w:ind w:right="0" w:rightChars="0"/>
                    <w:jc w:val="center"/>
                    <w:rPr>
                      <w:rFonts w:hint="eastAsia" w:ascii="Times New Roman" w:hAnsi="Times New Roman" w:eastAsia="宋体" w:cs="Times New Roman"/>
                      <w:kern w:val="0"/>
                      <w:sz w:val="21"/>
                      <w:szCs w:val="21"/>
                      <w:lang w:val="en-US" w:eastAsia="zh-CN" w:bidi="ar-SA"/>
                    </w:rPr>
                  </w:pPr>
                  <w:r>
                    <w:rPr>
                      <w:rFonts w:hint="eastAsia"/>
                      <w:sz w:val="21"/>
                      <w:szCs w:val="21"/>
                    </w:rPr>
                    <w:t>（蜂窝）65</w:t>
                  </w:r>
                  <w:r>
                    <w:rPr>
                      <w:sz w:val="21"/>
                      <w:szCs w:val="21"/>
                    </w:rPr>
                    <w:t>0g/cm</w:t>
                  </w:r>
                  <w:r>
                    <w:rPr>
                      <w:sz w:val="21"/>
                      <w:szCs w:val="21"/>
                      <w:vertAlign w:val="superscript"/>
                    </w:rPr>
                    <w:t>3</w:t>
                  </w:r>
                </w:p>
              </w:tc>
            </w:tr>
            <w:tr w14:paraId="4347E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shd w:val="clear" w:color="auto" w:fill="auto"/>
                  <w:tcMar>
                    <w:top w:w="0" w:type="dxa"/>
                    <w:left w:w="0" w:type="dxa"/>
                    <w:bottom w:w="0" w:type="dxa"/>
                    <w:right w:w="0" w:type="dxa"/>
                  </w:tcMar>
                  <w:vAlign w:val="center"/>
                </w:tcPr>
                <w:p w14:paraId="3510DE2C">
                  <w:pPr>
                    <w:pStyle w:val="2"/>
                    <w:spacing w:before="0" w:after="0" w:line="240" w:lineRule="auto"/>
                    <w:ind w:right="0" w:rightChars="0"/>
                    <w:jc w:val="center"/>
                    <w:rPr>
                      <w:rFonts w:ascii="Times New Roman" w:hAnsi="Times New Roman" w:eastAsia="宋体" w:cs="Times New Roman"/>
                      <w:kern w:val="0"/>
                      <w:sz w:val="21"/>
                      <w:szCs w:val="21"/>
                      <w:lang w:val="en-US" w:eastAsia="zh-CN" w:bidi="ar-SA"/>
                    </w:rPr>
                  </w:pPr>
                  <w:r>
                    <w:rPr>
                      <w:sz w:val="21"/>
                      <w:szCs w:val="21"/>
                    </w:rPr>
                    <w:t>8</w:t>
                  </w:r>
                </w:p>
              </w:tc>
              <w:tc>
                <w:tcPr>
                  <w:tcW w:w="1819" w:type="pct"/>
                  <w:shd w:val="clear" w:color="auto" w:fill="auto"/>
                  <w:tcMar>
                    <w:top w:w="0" w:type="dxa"/>
                    <w:left w:w="0" w:type="dxa"/>
                    <w:bottom w:w="0" w:type="dxa"/>
                    <w:right w:w="0" w:type="dxa"/>
                  </w:tcMar>
                  <w:vAlign w:val="center"/>
                </w:tcPr>
                <w:p w14:paraId="57B1617D">
                  <w:pPr>
                    <w:pStyle w:val="2"/>
                    <w:spacing w:before="0" w:after="0" w:line="240" w:lineRule="auto"/>
                    <w:ind w:right="0" w:right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四氯化碳吸附率</w:t>
                  </w:r>
                </w:p>
              </w:tc>
              <w:tc>
                <w:tcPr>
                  <w:tcW w:w="2525" w:type="pct"/>
                  <w:shd w:val="clear" w:color="auto" w:fill="auto"/>
                  <w:tcMar>
                    <w:top w:w="0" w:type="dxa"/>
                    <w:left w:w="0" w:type="dxa"/>
                    <w:bottom w:w="0" w:type="dxa"/>
                    <w:right w:w="0" w:type="dxa"/>
                  </w:tcMar>
                  <w:vAlign w:val="center"/>
                </w:tcPr>
                <w:p w14:paraId="652A1AA3">
                  <w:pPr>
                    <w:pStyle w:val="2"/>
                    <w:spacing w:before="0" w:after="0" w:line="240" w:lineRule="auto"/>
                    <w:ind w:right="0" w:right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25%</w:t>
                  </w:r>
                </w:p>
              </w:tc>
            </w:tr>
            <w:tr w14:paraId="28967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shd w:val="clear" w:color="auto" w:fill="auto"/>
                  <w:tcMar>
                    <w:top w:w="0" w:type="dxa"/>
                    <w:left w:w="0" w:type="dxa"/>
                    <w:bottom w:w="0" w:type="dxa"/>
                    <w:right w:w="0" w:type="dxa"/>
                  </w:tcMar>
                  <w:vAlign w:val="center"/>
                </w:tcPr>
                <w:p w14:paraId="39FED187">
                  <w:pPr>
                    <w:pStyle w:val="2"/>
                    <w:spacing w:before="0" w:after="0" w:line="240" w:lineRule="auto"/>
                    <w:ind w:right="0" w:rightChars="0"/>
                    <w:jc w:val="center"/>
                    <w:rPr>
                      <w:rFonts w:ascii="Times New Roman" w:hAnsi="Times New Roman" w:eastAsia="宋体" w:cs="Times New Roman"/>
                      <w:kern w:val="0"/>
                      <w:sz w:val="21"/>
                      <w:szCs w:val="21"/>
                      <w:lang w:val="en-US" w:eastAsia="zh-CN" w:bidi="ar-SA"/>
                    </w:rPr>
                  </w:pPr>
                  <w:r>
                    <w:rPr>
                      <w:sz w:val="21"/>
                      <w:szCs w:val="21"/>
                    </w:rPr>
                    <w:t>9</w:t>
                  </w:r>
                </w:p>
              </w:tc>
              <w:tc>
                <w:tcPr>
                  <w:tcW w:w="1819" w:type="pct"/>
                  <w:shd w:val="clear" w:color="auto" w:fill="auto"/>
                  <w:tcMar>
                    <w:top w:w="0" w:type="dxa"/>
                    <w:left w:w="0" w:type="dxa"/>
                    <w:bottom w:w="0" w:type="dxa"/>
                    <w:right w:w="0" w:type="dxa"/>
                  </w:tcMar>
                  <w:vAlign w:val="center"/>
                </w:tcPr>
                <w:p w14:paraId="0563F866">
                  <w:pPr>
                    <w:pStyle w:val="2"/>
                    <w:spacing w:before="0" w:after="0" w:line="240" w:lineRule="auto"/>
                    <w:ind w:right="0" w:right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苯吸附率</w:t>
                  </w:r>
                </w:p>
              </w:tc>
              <w:tc>
                <w:tcPr>
                  <w:tcW w:w="2525" w:type="pct"/>
                  <w:shd w:val="clear" w:color="auto" w:fill="auto"/>
                  <w:tcMar>
                    <w:top w:w="0" w:type="dxa"/>
                    <w:left w:w="0" w:type="dxa"/>
                    <w:bottom w:w="0" w:type="dxa"/>
                    <w:right w:w="0" w:type="dxa"/>
                  </w:tcMar>
                  <w:vAlign w:val="center"/>
                </w:tcPr>
                <w:p w14:paraId="6635680E">
                  <w:pPr>
                    <w:pStyle w:val="2"/>
                    <w:spacing w:before="0" w:after="0" w:line="240" w:lineRule="auto"/>
                    <w:ind w:right="0" w:right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300mg/g</w:t>
                  </w:r>
                </w:p>
              </w:tc>
            </w:tr>
            <w:tr w14:paraId="74A2A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shd w:val="clear" w:color="auto" w:fill="auto"/>
                  <w:tcMar>
                    <w:top w:w="0" w:type="dxa"/>
                    <w:left w:w="0" w:type="dxa"/>
                    <w:bottom w:w="0" w:type="dxa"/>
                    <w:right w:w="0" w:type="dxa"/>
                  </w:tcMar>
                  <w:vAlign w:val="center"/>
                </w:tcPr>
                <w:p w14:paraId="741CC736">
                  <w:pPr>
                    <w:pStyle w:val="2"/>
                    <w:spacing w:before="0" w:after="0" w:line="240" w:lineRule="auto"/>
                    <w:ind w:right="0" w:rightChars="0"/>
                    <w:jc w:val="center"/>
                    <w:rPr>
                      <w:rFonts w:ascii="Times New Roman" w:hAnsi="Times New Roman" w:eastAsia="宋体" w:cs="Times New Roman"/>
                      <w:kern w:val="0"/>
                      <w:sz w:val="21"/>
                      <w:szCs w:val="21"/>
                      <w:lang w:val="en-US" w:eastAsia="zh-CN" w:bidi="ar-SA"/>
                    </w:rPr>
                  </w:pPr>
                  <w:r>
                    <w:rPr>
                      <w:sz w:val="21"/>
                      <w:szCs w:val="21"/>
                    </w:rPr>
                    <w:t>10</w:t>
                  </w:r>
                </w:p>
              </w:tc>
              <w:tc>
                <w:tcPr>
                  <w:tcW w:w="1819" w:type="pct"/>
                  <w:tcMar>
                    <w:top w:w="0" w:type="dxa"/>
                    <w:left w:w="0" w:type="dxa"/>
                    <w:bottom w:w="0" w:type="dxa"/>
                    <w:right w:w="0" w:type="dxa"/>
                  </w:tcMar>
                  <w:vAlign w:val="center"/>
                </w:tcPr>
                <w:p w14:paraId="0F134F31">
                  <w:pPr>
                    <w:pStyle w:val="2"/>
                    <w:spacing w:before="0" w:after="0" w:line="240" w:lineRule="auto"/>
                    <w:ind w:right="0"/>
                    <w:jc w:val="center"/>
                    <w:rPr>
                      <w:sz w:val="21"/>
                      <w:szCs w:val="21"/>
                    </w:rPr>
                  </w:pPr>
                  <w:r>
                    <w:rPr>
                      <w:sz w:val="21"/>
                      <w:szCs w:val="21"/>
                    </w:rPr>
                    <w:t>比表面积（m</w:t>
                  </w:r>
                  <w:r>
                    <w:rPr>
                      <w:sz w:val="21"/>
                      <w:szCs w:val="21"/>
                      <w:vertAlign w:val="superscript"/>
                    </w:rPr>
                    <w:t>2</w:t>
                  </w:r>
                  <w:r>
                    <w:rPr>
                      <w:sz w:val="21"/>
                      <w:szCs w:val="21"/>
                    </w:rPr>
                    <w:t>/g）</w:t>
                  </w:r>
                </w:p>
              </w:tc>
              <w:tc>
                <w:tcPr>
                  <w:tcW w:w="2525" w:type="pct"/>
                  <w:tcMar>
                    <w:top w:w="0" w:type="dxa"/>
                    <w:left w:w="0" w:type="dxa"/>
                    <w:bottom w:w="0" w:type="dxa"/>
                    <w:right w:w="0" w:type="dxa"/>
                  </w:tcMar>
                  <w:vAlign w:val="center"/>
                </w:tcPr>
                <w:p w14:paraId="72D1C5EB">
                  <w:pPr>
                    <w:pStyle w:val="2"/>
                    <w:spacing w:before="0" w:after="0" w:line="240" w:lineRule="auto"/>
                    <w:ind w:right="0"/>
                    <w:jc w:val="center"/>
                    <w:rPr>
                      <w:sz w:val="21"/>
                      <w:szCs w:val="21"/>
                    </w:rPr>
                  </w:pPr>
                  <w:r>
                    <w:rPr>
                      <w:rFonts w:hint="eastAsia"/>
                      <w:sz w:val="21"/>
                      <w:szCs w:val="21"/>
                      <w:lang w:val="en-US" w:eastAsia="zh-CN"/>
                    </w:rPr>
                    <w:t>≥</w:t>
                  </w:r>
                  <w:r>
                    <w:rPr>
                      <w:sz w:val="21"/>
                      <w:szCs w:val="21"/>
                    </w:rPr>
                    <w:t>7</w:t>
                  </w:r>
                  <w:r>
                    <w:rPr>
                      <w:rFonts w:hint="eastAsia"/>
                      <w:sz w:val="21"/>
                      <w:szCs w:val="21"/>
                      <w:lang w:val="en-US" w:eastAsia="zh-CN"/>
                    </w:rPr>
                    <w:t>5</w:t>
                  </w:r>
                  <w:r>
                    <w:rPr>
                      <w:sz w:val="21"/>
                      <w:szCs w:val="21"/>
                    </w:rPr>
                    <w:t>0</w:t>
                  </w:r>
                </w:p>
              </w:tc>
            </w:tr>
            <w:tr w14:paraId="538C5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shd w:val="clear" w:color="auto" w:fill="auto"/>
                  <w:tcMar>
                    <w:top w:w="0" w:type="dxa"/>
                    <w:left w:w="0" w:type="dxa"/>
                    <w:bottom w:w="0" w:type="dxa"/>
                    <w:right w:w="0" w:type="dxa"/>
                  </w:tcMar>
                  <w:vAlign w:val="center"/>
                </w:tcPr>
                <w:p w14:paraId="20048E78">
                  <w:pPr>
                    <w:pStyle w:val="2"/>
                    <w:spacing w:before="0" w:after="0" w:line="240" w:lineRule="auto"/>
                    <w:ind w:right="0" w:rightChars="0"/>
                    <w:jc w:val="center"/>
                    <w:rPr>
                      <w:rFonts w:ascii="Times New Roman" w:hAnsi="Times New Roman" w:eastAsia="宋体" w:cs="Times New Roman"/>
                      <w:kern w:val="0"/>
                      <w:sz w:val="21"/>
                      <w:szCs w:val="21"/>
                      <w:lang w:val="en-US" w:eastAsia="zh-CN" w:bidi="ar-SA"/>
                    </w:rPr>
                  </w:pPr>
                  <w:r>
                    <w:rPr>
                      <w:sz w:val="21"/>
                      <w:szCs w:val="21"/>
                    </w:rPr>
                    <w:t>11</w:t>
                  </w:r>
                </w:p>
              </w:tc>
              <w:tc>
                <w:tcPr>
                  <w:tcW w:w="1819" w:type="pct"/>
                  <w:tcMar>
                    <w:top w:w="0" w:type="dxa"/>
                    <w:left w:w="0" w:type="dxa"/>
                    <w:bottom w:w="0" w:type="dxa"/>
                    <w:right w:w="0" w:type="dxa"/>
                  </w:tcMar>
                  <w:vAlign w:val="center"/>
                </w:tcPr>
                <w:p w14:paraId="69DA5FBE">
                  <w:pPr>
                    <w:pStyle w:val="2"/>
                    <w:spacing w:before="0" w:after="0" w:line="240" w:lineRule="auto"/>
                    <w:ind w:right="0"/>
                    <w:jc w:val="center"/>
                    <w:rPr>
                      <w:sz w:val="21"/>
                      <w:szCs w:val="21"/>
                    </w:rPr>
                  </w:pPr>
                  <w:r>
                    <w:rPr>
                      <w:sz w:val="21"/>
                      <w:szCs w:val="21"/>
                    </w:rPr>
                    <w:t>孔面积（cm</w:t>
                  </w:r>
                  <w:r>
                    <w:rPr>
                      <w:sz w:val="21"/>
                      <w:szCs w:val="21"/>
                      <w:vertAlign w:val="superscript"/>
                    </w:rPr>
                    <w:t>3</w:t>
                  </w:r>
                  <w:r>
                    <w:rPr>
                      <w:sz w:val="21"/>
                      <w:szCs w:val="21"/>
                    </w:rPr>
                    <w:t>/g）</w:t>
                  </w:r>
                </w:p>
              </w:tc>
              <w:tc>
                <w:tcPr>
                  <w:tcW w:w="2525" w:type="pct"/>
                  <w:tcMar>
                    <w:top w:w="0" w:type="dxa"/>
                    <w:left w:w="0" w:type="dxa"/>
                    <w:bottom w:w="0" w:type="dxa"/>
                    <w:right w:w="0" w:type="dxa"/>
                  </w:tcMar>
                  <w:vAlign w:val="center"/>
                </w:tcPr>
                <w:p w14:paraId="7997E72B">
                  <w:pPr>
                    <w:pStyle w:val="2"/>
                    <w:spacing w:before="0" w:after="0" w:line="240" w:lineRule="auto"/>
                    <w:ind w:right="0"/>
                    <w:jc w:val="center"/>
                    <w:rPr>
                      <w:sz w:val="21"/>
                      <w:szCs w:val="21"/>
                    </w:rPr>
                  </w:pPr>
                  <w:r>
                    <w:rPr>
                      <w:sz w:val="21"/>
                      <w:szCs w:val="21"/>
                    </w:rPr>
                    <w:t>0.63</w:t>
                  </w:r>
                </w:p>
              </w:tc>
            </w:tr>
            <w:tr w14:paraId="40C3E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shd w:val="clear" w:color="auto" w:fill="auto"/>
                  <w:tcMar>
                    <w:top w:w="0" w:type="dxa"/>
                    <w:left w:w="0" w:type="dxa"/>
                    <w:bottom w:w="0" w:type="dxa"/>
                    <w:right w:w="0" w:type="dxa"/>
                  </w:tcMar>
                  <w:vAlign w:val="center"/>
                </w:tcPr>
                <w:p w14:paraId="495C2D36">
                  <w:pPr>
                    <w:pStyle w:val="2"/>
                    <w:spacing w:before="0" w:after="0" w:line="240" w:lineRule="auto"/>
                    <w:ind w:right="0" w:rightChars="0"/>
                    <w:jc w:val="center"/>
                    <w:rPr>
                      <w:rFonts w:ascii="Times New Roman" w:hAnsi="Times New Roman" w:eastAsia="宋体" w:cs="Times New Roman"/>
                      <w:kern w:val="0"/>
                      <w:sz w:val="21"/>
                      <w:szCs w:val="21"/>
                      <w:lang w:val="en-US" w:eastAsia="zh-CN" w:bidi="ar-SA"/>
                    </w:rPr>
                  </w:pPr>
                  <w:r>
                    <w:rPr>
                      <w:rFonts w:hint="eastAsia"/>
                      <w:sz w:val="21"/>
                      <w:szCs w:val="21"/>
                    </w:rPr>
                    <w:t>12</w:t>
                  </w:r>
                </w:p>
              </w:tc>
              <w:tc>
                <w:tcPr>
                  <w:tcW w:w="1819" w:type="pct"/>
                  <w:tcMar>
                    <w:top w:w="0" w:type="dxa"/>
                    <w:left w:w="0" w:type="dxa"/>
                    <w:bottom w:w="0" w:type="dxa"/>
                    <w:right w:w="0" w:type="dxa"/>
                  </w:tcMar>
                  <w:vAlign w:val="center"/>
                </w:tcPr>
                <w:p w14:paraId="703F4FA0">
                  <w:pPr>
                    <w:pStyle w:val="2"/>
                    <w:spacing w:before="0" w:after="0" w:line="240" w:lineRule="auto"/>
                    <w:ind w:right="0"/>
                    <w:jc w:val="center"/>
                    <w:rPr>
                      <w:sz w:val="21"/>
                      <w:szCs w:val="21"/>
                    </w:rPr>
                  </w:pPr>
                  <w:r>
                    <w:rPr>
                      <w:sz w:val="21"/>
                      <w:szCs w:val="21"/>
                    </w:rPr>
                    <w:t>设计停留时间（s）</w:t>
                  </w:r>
                </w:p>
              </w:tc>
              <w:tc>
                <w:tcPr>
                  <w:tcW w:w="2525" w:type="pct"/>
                  <w:tcMar>
                    <w:top w:w="0" w:type="dxa"/>
                    <w:left w:w="0" w:type="dxa"/>
                    <w:bottom w:w="0" w:type="dxa"/>
                    <w:right w:w="0" w:type="dxa"/>
                  </w:tcMar>
                  <w:vAlign w:val="center"/>
                </w:tcPr>
                <w:p w14:paraId="47DE9341">
                  <w:pPr>
                    <w:pStyle w:val="2"/>
                    <w:spacing w:before="0" w:after="0" w:line="240" w:lineRule="auto"/>
                    <w:ind w:right="0"/>
                    <w:jc w:val="center"/>
                    <w:rPr>
                      <w:sz w:val="21"/>
                      <w:szCs w:val="21"/>
                    </w:rPr>
                  </w:pPr>
                  <w:r>
                    <w:rPr>
                      <w:sz w:val="21"/>
                      <w:szCs w:val="21"/>
                    </w:rPr>
                    <w:t>5</w:t>
                  </w:r>
                </w:p>
              </w:tc>
            </w:tr>
            <w:tr w14:paraId="2C81F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Mar>
                    <w:top w:w="0" w:type="dxa"/>
                    <w:left w:w="0" w:type="dxa"/>
                    <w:bottom w:w="0" w:type="dxa"/>
                    <w:right w:w="0" w:type="dxa"/>
                  </w:tcMar>
                  <w:vAlign w:val="center"/>
                </w:tcPr>
                <w:p w14:paraId="379895BF">
                  <w:pPr>
                    <w:pStyle w:val="2"/>
                    <w:spacing w:before="0" w:after="0" w:line="240" w:lineRule="auto"/>
                    <w:ind w:right="0"/>
                    <w:jc w:val="center"/>
                    <w:rPr>
                      <w:rFonts w:hint="default" w:eastAsia="宋体"/>
                      <w:sz w:val="21"/>
                      <w:szCs w:val="21"/>
                      <w:lang w:val="en-US" w:eastAsia="zh-CN"/>
                    </w:rPr>
                  </w:pPr>
                  <w:r>
                    <w:rPr>
                      <w:rFonts w:hint="eastAsia"/>
                      <w:sz w:val="21"/>
                      <w:szCs w:val="21"/>
                      <w:lang w:val="en-US" w:eastAsia="zh-CN"/>
                    </w:rPr>
                    <w:t>13</w:t>
                  </w:r>
                </w:p>
              </w:tc>
              <w:tc>
                <w:tcPr>
                  <w:tcW w:w="1819" w:type="pct"/>
                  <w:tcMar>
                    <w:top w:w="0" w:type="dxa"/>
                    <w:left w:w="0" w:type="dxa"/>
                    <w:bottom w:w="0" w:type="dxa"/>
                    <w:right w:w="0" w:type="dxa"/>
                  </w:tcMar>
                  <w:vAlign w:val="center"/>
                </w:tcPr>
                <w:p w14:paraId="73B5A191">
                  <w:pPr>
                    <w:pStyle w:val="2"/>
                    <w:spacing w:before="0" w:after="0" w:line="240" w:lineRule="auto"/>
                    <w:ind w:right="0"/>
                    <w:jc w:val="center"/>
                    <w:rPr>
                      <w:sz w:val="21"/>
                      <w:szCs w:val="21"/>
                    </w:rPr>
                  </w:pPr>
                  <w:r>
                    <w:rPr>
                      <w:sz w:val="21"/>
                      <w:szCs w:val="21"/>
                    </w:rPr>
                    <w:t>填充量</w:t>
                  </w:r>
                </w:p>
              </w:tc>
              <w:tc>
                <w:tcPr>
                  <w:tcW w:w="2525" w:type="pct"/>
                  <w:tcMar>
                    <w:top w:w="0" w:type="dxa"/>
                    <w:left w:w="0" w:type="dxa"/>
                    <w:bottom w:w="0" w:type="dxa"/>
                    <w:right w:w="0" w:type="dxa"/>
                  </w:tcMar>
                  <w:vAlign w:val="center"/>
                </w:tcPr>
                <w:p w14:paraId="1A042812">
                  <w:pPr>
                    <w:pStyle w:val="2"/>
                    <w:spacing w:before="0" w:after="0" w:line="240" w:lineRule="auto"/>
                    <w:ind w:right="0"/>
                    <w:jc w:val="center"/>
                    <w:rPr>
                      <w:color w:val="FF0000"/>
                      <w:sz w:val="21"/>
                      <w:szCs w:val="21"/>
                      <w:highlight w:val="yellow"/>
                    </w:rPr>
                  </w:pPr>
                  <w:r>
                    <w:rPr>
                      <w:rFonts w:hint="eastAsia"/>
                      <w:color w:val="auto"/>
                      <w:sz w:val="21"/>
                      <w:szCs w:val="21"/>
                      <w:highlight w:val="none"/>
                    </w:rPr>
                    <w:t>1</w:t>
                  </w:r>
                  <w:r>
                    <w:rPr>
                      <w:color w:val="auto"/>
                      <w:sz w:val="21"/>
                      <w:szCs w:val="21"/>
                      <w:highlight w:val="none"/>
                    </w:rPr>
                    <w:t>吨</w:t>
                  </w:r>
                </w:p>
              </w:tc>
            </w:tr>
            <w:tr w14:paraId="7BF1C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Mar>
                    <w:top w:w="0" w:type="dxa"/>
                    <w:left w:w="0" w:type="dxa"/>
                    <w:bottom w:w="0" w:type="dxa"/>
                    <w:right w:w="0" w:type="dxa"/>
                  </w:tcMar>
                  <w:vAlign w:val="center"/>
                </w:tcPr>
                <w:p w14:paraId="123B429B">
                  <w:pPr>
                    <w:pStyle w:val="2"/>
                    <w:spacing w:before="0" w:after="0" w:line="240" w:lineRule="auto"/>
                    <w:ind w:right="0"/>
                    <w:jc w:val="center"/>
                    <w:rPr>
                      <w:rFonts w:hint="default" w:eastAsia="宋体"/>
                      <w:sz w:val="21"/>
                      <w:szCs w:val="21"/>
                      <w:lang w:val="en-US" w:eastAsia="zh-CN"/>
                    </w:rPr>
                  </w:pPr>
                  <w:r>
                    <w:rPr>
                      <w:rFonts w:hint="eastAsia"/>
                      <w:sz w:val="21"/>
                      <w:szCs w:val="21"/>
                      <w:lang w:val="en-US" w:eastAsia="zh-CN"/>
                    </w:rPr>
                    <w:t>14</w:t>
                  </w:r>
                </w:p>
              </w:tc>
              <w:tc>
                <w:tcPr>
                  <w:tcW w:w="1819" w:type="pct"/>
                  <w:tcMar>
                    <w:top w:w="0" w:type="dxa"/>
                    <w:left w:w="0" w:type="dxa"/>
                    <w:bottom w:w="0" w:type="dxa"/>
                    <w:right w:w="0" w:type="dxa"/>
                  </w:tcMar>
                  <w:vAlign w:val="center"/>
                </w:tcPr>
                <w:p w14:paraId="06770037">
                  <w:pPr>
                    <w:pStyle w:val="2"/>
                    <w:spacing w:before="0" w:after="0" w:line="240" w:lineRule="auto"/>
                    <w:ind w:right="0"/>
                    <w:jc w:val="center"/>
                    <w:rPr>
                      <w:snapToGrid w:val="0"/>
                      <w:kern w:val="2"/>
                      <w:sz w:val="21"/>
                      <w:szCs w:val="21"/>
                    </w:rPr>
                  </w:pPr>
                  <w:r>
                    <w:rPr>
                      <w:sz w:val="21"/>
                      <w:szCs w:val="21"/>
                    </w:rPr>
                    <w:t>设备阻力（pa）</w:t>
                  </w:r>
                </w:p>
              </w:tc>
              <w:tc>
                <w:tcPr>
                  <w:tcW w:w="2525" w:type="pct"/>
                  <w:tcMar>
                    <w:top w:w="0" w:type="dxa"/>
                    <w:left w:w="0" w:type="dxa"/>
                    <w:bottom w:w="0" w:type="dxa"/>
                    <w:right w:w="0" w:type="dxa"/>
                  </w:tcMar>
                  <w:vAlign w:val="center"/>
                </w:tcPr>
                <w:p w14:paraId="1E4FF189">
                  <w:pPr>
                    <w:pStyle w:val="2"/>
                    <w:spacing w:before="0" w:after="0" w:line="240" w:lineRule="auto"/>
                    <w:ind w:right="0"/>
                    <w:jc w:val="center"/>
                    <w:rPr>
                      <w:snapToGrid w:val="0"/>
                      <w:kern w:val="2"/>
                      <w:sz w:val="21"/>
                      <w:szCs w:val="21"/>
                    </w:rPr>
                  </w:pPr>
                  <w:r>
                    <w:rPr>
                      <w:sz w:val="21"/>
                      <w:szCs w:val="21"/>
                    </w:rPr>
                    <w:t>900~1000</w:t>
                  </w:r>
                </w:p>
              </w:tc>
            </w:tr>
            <w:tr w14:paraId="1A298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Mar>
                    <w:top w:w="0" w:type="dxa"/>
                    <w:left w:w="0" w:type="dxa"/>
                    <w:bottom w:w="0" w:type="dxa"/>
                    <w:right w:w="0" w:type="dxa"/>
                  </w:tcMar>
                  <w:vAlign w:val="center"/>
                </w:tcPr>
                <w:p w14:paraId="056DECA2">
                  <w:pPr>
                    <w:pStyle w:val="2"/>
                    <w:spacing w:before="0" w:after="0" w:line="240" w:lineRule="auto"/>
                    <w:ind w:right="0"/>
                    <w:jc w:val="center"/>
                    <w:rPr>
                      <w:rFonts w:hint="default" w:eastAsia="宋体"/>
                      <w:sz w:val="21"/>
                      <w:szCs w:val="21"/>
                      <w:lang w:val="en-US" w:eastAsia="zh-CN"/>
                    </w:rPr>
                  </w:pPr>
                  <w:r>
                    <w:rPr>
                      <w:rFonts w:hint="eastAsia"/>
                      <w:sz w:val="21"/>
                      <w:szCs w:val="21"/>
                      <w:lang w:val="en-US" w:eastAsia="zh-CN"/>
                    </w:rPr>
                    <w:t>15</w:t>
                  </w:r>
                </w:p>
              </w:tc>
              <w:tc>
                <w:tcPr>
                  <w:tcW w:w="1819" w:type="pct"/>
                  <w:tcMar>
                    <w:top w:w="0" w:type="dxa"/>
                    <w:left w:w="0" w:type="dxa"/>
                    <w:bottom w:w="0" w:type="dxa"/>
                    <w:right w:w="0" w:type="dxa"/>
                  </w:tcMar>
                  <w:vAlign w:val="center"/>
                </w:tcPr>
                <w:p w14:paraId="651BAB3C">
                  <w:pPr>
                    <w:pStyle w:val="2"/>
                    <w:spacing w:before="0" w:after="0" w:line="240" w:lineRule="auto"/>
                    <w:ind w:right="0"/>
                    <w:jc w:val="center"/>
                    <w:rPr>
                      <w:sz w:val="21"/>
                      <w:szCs w:val="21"/>
                    </w:rPr>
                  </w:pPr>
                  <w:r>
                    <w:rPr>
                      <w:rFonts w:hint="eastAsia"/>
                      <w:sz w:val="21"/>
                      <w:szCs w:val="21"/>
                    </w:rPr>
                    <w:t>更换周期</w:t>
                  </w:r>
                </w:p>
              </w:tc>
              <w:tc>
                <w:tcPr>
                  <w:tcW w:w="2525" w:type="pct"/>
                  <w:tcMar>
                    <w:top w:w="0" w:type="dxa"/>
                    <w:left w:w="0" w:type="dxa"/>
                    <w:bottom w:w="0" w:type="dxa"/>
                    <w:right w:w="0" w:type="dxa"/>
                  </w:tcMar>
                  <w:vAlign w:val="center"/>
                </w:tcPr>
                <w:p w14:paraId="71851953">
                  <w:pPr>
                    <w:pStyle w:val="2"/>
                    <w:spacing w:before="0" w:after="0" w:line="240" w:lineRule="auto"/>
                    <w:ind w:right="0"/>
                    <w:jc w:val="center"/>
                    <w:rPr>
                      <w:sz w:val="21"/>
                      <w:szCs w:val="21"/>
                    </w:rPr>
                  </w:pPr>
                  <w:r>
                    <w:rPr>
                      <w:rFonts w:hint="eastAsia"/>
                      <w:sz w:val="21"/>
                      <w:szCs w:val="21"/>
                      <w:lang w:val="en-US" w:eastAsia="zh-CN"/>
                    </w:rPr>
                    <w:t>60</w:t>
                  </w:r>
                  <w:r>
                    <w:rPr>
                      <w:rFonts w:hint="eastAsia"/>
                      <w:sz w:val="21"/>
                      <w:szCs w:val="21"/>
                    </w:rPr>
                    <w:t>天</w:t>
                  </w:r>
                </w:p>
              </w:tc>
            </w:tr>
            <w:tr w14:paraId="08EC1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tcMar>
                    <w:top w:w="0" w:type="dxa"/>
                    <w:left w:w="0" w:type="dxa"/>
                    <w:bottom w:w="0" w:type="dxa"/>
                    <w:right w:w="0" w:type="dxa"/>
                  </w:tcMar>
                  <w:vAlign w:val="center"/>
                </w:tcPr>
                <w:p w14:paraId="65C13037">
                  <w:pPr>
                    <w:pStyle w:val="2"/>
                    <w:spacing w:before="0" w:after="0" w:line="240" w:lineRule="auto"/>
                    <w:ind w:right="0"/>
                    <w:jc w:val="center"/>
                    <w:rPr>
                      <w:rFonts w:hint="default"/>
                      <w:sz w:val="21"/>
                      <w:szCs w:val="21"/>
                      <w:lang w:val="en-US" w:eastAsia="zh-CN"/>
                    </w:rPr>
                  </w:pPr>
                  <w:r>
                    <w:rPr>
                      <w:rFonts w:hint="eastAsia"/>
                      <w:sz w:val="21"/>
                      <w:szCs w:val="21"/>
                      <w:lang w:val="en-US" w:eastAsia="zh-CN"/>
                    </w:rPr>
                    <w:t>16</w:t>
                  </w:r>
                </w:p>
              </w:tc>
              <w:tc>
                <w:tcPr>
                  <w:tcW w:w="1819" w:type="pct"/>
                  <w:tcMar>
                    <w:top w:w="0" w:type="dxa"/>
                    <w:left w:w="0" w:type="dxa"/>
                    <w:bottom w:w="0" w:type="dxa"/>
                    <w:right w:w="0" w:type="dxa"/>
                  </w:tcMar>
                  <w:vAlign w:val="center"/>
                </w:tcPr>
                <w:p w14:paraId="07DD07B5">
                  <w:pPr>
                    <w:pStyle w:val="2"/>
                    <w:spacing w:before="0" w:after="0" w:line="240" w:lineRule="auto"/>
                    <w:ind w:right="0"/>
                    <w:jc w:val="center"/>
                    <w:rPr>
                      <w:rFonts w:hint="default" w:eastAsia="宋体"/>
                      <w:sz w:val="21"/>
                      <w:szCs w:val="21"/>
                      <w:lang w:val="en-US" w:eastAsia="zh-CN"/>
                    </w:rPr>
                  </w:pPr>
                  <w:r>
                    <w:rPr>
                      <w:rFonts w:hint="eastAsia"/>
                      <w:sz w:val="21"/>
                      <w:szCs w:val="21"/>
                      <w:lang w:val="en-US" w:eastAsia="zh-CN"/>
                    </w:rPr>
                    <w:t>入口温度要求</w:t>
                  </w:r>
                </w:p>
              </w:tc>
              <w:tc>
                <w:tcPr>
                  <w:tcW w:w="2525" w:type="pct"/>
                  <w:tcMar>
                    <w:top w:w="0" w:type="dxa"/>
                    <w:left w:w="0" w:type="dxa"/>
                    <w:bottom w:w="0" w:type="dxa"/>
                    <w:right w:w="0" w:type="dxa"/>
                  </w:tcMar>
                  <w:vAlign w:val="center"/>
                </w:tcPr>
                <w:p w14:paraId="3A709B85">
                  <w:pPr>
                    <w:pStyle w:val="2"/>
                    <w:spacing w:before="0" w:after="0" w:line="240" w:lineRule="auto"/>
                    <w:ind w:right="0"/>
                    <w:jc w:val="center"/>
                    <w:rPr>
                      <w:rFonts w:hint="default"/>
                      <w:sz w:val="21"/>
                      <w:szCs w:val="21"/>
                      <w:lang w:val="en-US" w:eastAsia="zh-CN"/>
                    </w:rPr>
                  </w:pPr>
                  <w:r>
                    <w:rPr>
                      <w:rFonts w:hint="eastAsia"/>
                      <w:sz w:val="21"/>
                      <w:szCs w:val="21"/>
                      <w:lang w:val="en-US" w:eastAsia="zh-CN"/>
                    </w:rPr>
                    <w:t>＜40℃</w:t>
                  </w:r>
                </w:p>
              </w:tc>
            </w:tr>
          </w:tbl>
          <w:p w14:paraId="185E179E">
            <w:pPr>
              <w:spacing w:line="480" w:lineRule="exact"/>
              <w:ind w:firstLine="480" w:firstLineChars="200"/>
              <w:rPr>
                <w:rFonts w:hint="default" w:ascii="Times New Roman" w:hAnsi="Times New Roman" w:eastAsia="宋体" w:cs="Times New Roman"/>
                <w:sz w:val="24"/>
                <w:szCs w:val="22"/>
              </w:rPr>
            </w:pPr>
            <w:r>
              <w:rPr>
                <w:rFonts w:hint="eastAsia" w:ascii="Times New Roman" w:hAnsi="Times New Roman" w:eastAsia="宋体" w:cs="Times New Roman"/>
                <w:sz w:val="24"/>
                <w:szCs w:val="22"/>
                <w:lang w:val="en-US" w:eastAsia="zh-CN"/>
              </w:rPr>
              <w:t>根据《省生态环境厅关于深入开展涉VOCs治理重点工作核查的通知》（苏环办[2022]218号）的要求：进入活性炭吸附设备的废气颗粒物含量和温度应分别低于1mg/m</w:t>
            </w:r>
            <w:r>
              <w:rPr>
                <w:rFonts w:hint="eastAsia" w:ascii="Times New Roman" w:hAnsi="Times New Roman" w:eastAsia="宋体" w:cs="Times New Roman"/>
                <w:sz w:val="24"/>
                <w:szCs w:val="22"/>
                <w:vertAlign w:val="superscript"/>
                <w:lang w:val="en-US" w:eastAsia="zh-CN"/>
              </w:rPr>
              <w:t>3</w:t>
            </w:r>
            <w:r>
              <w:rPr>
                <w:rFonts w:hint="eastAsia" w:ascii="Times New Roman" w:hAnsi="Times New Roman" w:eastAsia="宋体" w:cs="Times New Roman"/>
                <w:sz w:val="24"/>
                <w:szCs w:val="22"/>
                <w:lang w:val="en-US" w:eastAsia="zh-CN"/>
              </w:rPr>
              <w:t>和40℃，若颗粒物含量超过1mg/m</w:t>
            </w:r>
            <w:r>
              <w:rPr>
                <w:rFonts w:hint="eastAsia" w:ascii="Times New Roman" w:hAnsi="Times New Roman" w:eastAsia="宋体" w:cs="Times New Roman"/>
                <w:sz w:val="24"/>
                <w:szCs w:val="22"/>
                <w:vertAlign w:val="superscript"/>
                <w:lang w:val="en-US" w:eastAsia="zh-CN"/>
              </w:rPr>
              <w:t>3</w:t>
            </w:r>
            <w:r>
              <w:rPr>
                <w:rFonts w:hint="eastAsia" w:ascii="Times New Roman" w:hAnsi="Times New Roman" w:eastAsia="宋体" w:cs="Times New Roman"/>
                <w:sz w:val="24"/>
                <w:szCs w:val="22"/>
                <w:lang w:val="en-US" w:eastAsia="zh-CN"/>
              </w:rPr>
              <w:t>时，应先采用过滤或洗涤等方式进行预处理，本项目采用除水器+二级活性炭吸附脱附的方式处理废气，根据工程分析，进入TA002活性炭装置废气颗粒物含量</w:t>
            </w:r>
            <w:r>
              <w:rPr>
                <w:rFonts w:hint="eastAsia" w:cs="Times New Roman"/>
                <w:sz w:val="24"/>
                <w:szCs w:val="22"/>
                <w:lang w:val="en-US" w:eastAsia="zh-CN"/>
              </w:rPr>
              <w:t>低于1</w:t>
            </w:r>
            <w:r>
              <w:rPr>
                <w:rFonts w:hint="eastAsia" w:ascii="Times New Roman" w:hAnsi="Times New Roman" w:eastAsia="宋体" w:cs="Times New Roman"/>
                <w:sz w:val="24"/>
                <w:szCs w:val="22"/>
                <w:lang w:val="en-US" w:eastAsia="zh-CN"/>
              </w:rPr>
              <w:t>mg/m</w:t>
            </w:r>
            <w:r>
              <w:rPr>
                <w:rFonts w:hint="eastAsia" w:ascii="Times New Roman" w:hAnsi="Times New Roman" w:eastAsia="宋体" w:cs="Times New Roman"/>
                <w:sz w:val="24"/>
                <w:szCs w:val="22"/>
                <w:vertAlign w:val="superscript"/>
                <w:lang w:val="en-US" w:eastAsia="zh-CN"/>
              </w:rPr>
              <w:t>3</w:t>
            </w:r>
            <w:r>
              <w:rPr>
                <w:rFonts w:hint="eastAsia" w:ascii="Times New Roman" w:hAnsi="Times New Roman" w:eastAsia="宋体" w:cs="Times New Roman"/>
                <w:sz w:val="24"/>
                <w:szCs w:val="22"/>
                <w:lang w:val="en-US" w:eastAsia="zh-CN"/>
              </w:rPr>
              <w:t>。烘干废气初始温度为60-80℃，与调配废气、危废仓库废气混合降温后经过除水器再次进行一定程度降温，进入活性炭装置时可确保温度低于40℃。故本项目满足文件要求。</w:t>
            </w:r>
          </w:p>
          <w:p w14:paraId="274A0E9A">
            <w:pPr>
              <w:spacing w:line="480" w:lineRule="exact"/>
              <w:ind w:firstLine="482" w:firstLineChars="200"/>
              <w:rPr>
                <w:rFonts w:hint="eastAsia" w:ascii="Times New Roman" w:hAnsi="Times New Roman" w:eastAsia="宋体" w:cs="Times New Roman"/>
                <w:b/>
                <w:bCs/>
                <w:sz w:val="24"/>
                <w:szCs w:val="22"/>
              </w:rPr>
            </w:pPr>
            <w:r>
              <w:rPr>
                <w:rFonts w:hint="eastAsia" w:ascii="Times New Roman" w:hAnsi="Times New Roman" w:eastAsia="宋体" w:cs="Times New Roman"/>
                <w:b/>
                <w:bCs/>
                <w:sz w:val="24"/>
                <w:szCs w:val="22"/>
              </w:rPr>
              <w:t>活性炭吸附箱需满足《环境保护产品技术要求 工业废气吸附净化装置》（HJ/T 386-2007）中相关要求：</w:t>
            </w:r>
          </w:p>
          <w:p w14:paraId="5F1EFD7D">
            <w:pPr>
              <w:spacing w:line="480" w:lineRule="exact"/>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吸附装置应防火、防爆、防漏电和防泄漏；</w:t>
            </w:r>
          </w:p>
          <w:p w14:paraId="42EF928E">
            <w:pPr>
              <w:spacing w:line="480" w:lineRule="exact"/>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吸附装置主体的表面温度不高于60℃；</w:t>
            </w:r>
          </w:p>
          <w:p w14:paraId="7BD62BDF">
            <w:pPr>
              <w:spacing w:line="480" w:lineRule="exact"/>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吸附单元应设置温度指示、超温声光报警装置及应急处理系统；</w:t>
            </w:r>
          </w:p>
          <w:p w14:paraId="625E057E">
            <w:pPr>
              <w:spacing w:line="480" w:lineRule="exact"/>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吸附单元应设置压力指示和泄压装置，其性能应符合安全技术要求；</w:t>
            </w:r>
          </w:p>
          <w:p w14:paraId="20537655">
            <w:pPr>
              <w:spacing w:line="480" w:lineRule="exact"/>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污染物为易燃易爆气体时，应采用防爆风机和电机。</w:t>
            </w:r>
          </w:p>
          <w:p w14:paraId="45470D4E">
            <w:pPr>
              <w:spacing w:line="480" w:lineRule="exact"/>
              <w:jc w:val="center"/>
              <w:rPr>
                <w:b/>
                <w:sz w:val="24"/>
              </w:rPr>
            </w:pPr>
            <w:r>
              <w:rPr>
                <w:rFonts w:hint="eastAsia"/>
                <w:b/>
                <w:sz w:val="24"/>
              </w:rPr>
              <w:t>表4-1</w:t>
            </w:r>
            <w:r>
              <w:rPr>
                <w:rFonts w:hint="eastAsia"/>
                <w:b/>
                <w:sz w:val="24"/>
                <w:lang w:val="en-US" w:eastAsia="zh-CN"/>
              </w:rPr>
              <w:t>5</w:t>
            </w:r>
            <w:r>
              <w:rPr>
                <w:rFonts w:hint="eastAsia"/>
                <w:b/>
                <w:sz w:val="24"/>
              </w:rPr>
              <w:t xml:space="preserve">  粉尘处理装置设备参数</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689"/>
              <w:gridCol w:w="2493"/>
              <w:gridCol w:w="3480"/>
            </w:tblGrid>
            <w:tr w14:paraId="2834B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Align w:val="center"/>
                </w:tcPr>
                <w:p w14:paraId="51D65289">
                  <w:pPr>
                    <w:jc w:val="center"/>
                    <w:rPr>
                      <w:b/>
                      <w:bCs/>
                      <w:szCs w:val="21"/>
                    </w:rPr>
                  </w:pPr>
                  <w:r>
                    <w:rPr>
                      <w:b/>
                      <w:bCs/>
                      <w:szCs w:val="21"/>
                    </w:rPr>
                    <w:t>产污工段</w:t>
                  </w:r>
                </w:p>
              </w:tc>
              <w:tc>
                <w:tcPr>
                  <w:tcW w:w="943" w:type="pct"/>
                  <w:vAlign w:val="center"/>
                </w:tcPr>
                <w:p w14:paraId="26292C82">
                  <w:pPr>
                    <w:jc w:val="center"/>
                    <w:rPr>
                      <w:b/>
                      <w:bCs/>
                      <w:szCs w:val="21"/>
                    </w:rPr>
                  </w:pPr>
                  <w:r>
                    <w:rPr>
                      <w:b/>
                      <w:bCs/>
                      <w:szCs w:val="21"/>
                    </w:rPr>
                    <w:t>装置名称</w:t>
                  </w:r>
                </w:p>
              </w:tc>
              <w:tc>
                <w:tcPr>
                  <w:tcW w:w="1392" w:type="pct"/>
                  <w:vAlign w:val="center"/>
                </w:tcPr>
                <w:p w14:paraId="149D4FCB">
                  <w:pPr>
                    <w:jc w:val="center"/>
                    <w:rPr>
                      <w:b/>
                      <w:bCs/>
                      <w:szCs w:val="21"/>
                    </w:rPr>
                  </w:pPr>
                  <w:r>
                    <w:rPr>
                      <w:b/>
                      <w:bCs/>
                      <w:szCs w:val="21"/>
                    </w:rPr>
                    <w:t>项目</w:t>
                  </w:r>
                </w:p>
              </w:tc>
              <w:tc>
                <w:tcPr>
                  <w:tcW w:w="1943" w:type="pct"/>
                  <w:vAlign w:val="center"/>
                </w:tcPr>
                <w:p w14:paraId="720AED0B">
                  <w:pPr>
                    <w:jc w:val="center"/>
                    <w:rPr>
                      <w:b/>
                      <w:bCs/>
                      <w:szCs w:val="21"/>
                    </w:rPr>
                  </w:pPr>
                  <w:r>
                    <w:rPr>
                      <w:b/>
                      <w:bCs/>
                      <w:szCs w:val="21"/>
                    </w:rPr>
                    <w:t>技术指标</w:t>
                  </w:r>
                </w:p>
              </w:tc>
            </w:tr>
            <w:tr w14:paraId="5C519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restart"/>
                  <w:vAlign w:val="center"/>
                </w:tcPr>
                <w:p w14:paraId="0986C57D">
                  <w:pPr>
                    <w:jc w:val="center"/>
                    <w:rPr>
                      <w:szCs w:val="21"/>
                    </w:rPr>
                  </w:pPr>
                  <w:r>
                    <w:rPr>
                      <w:rFonts w:hint="eastAsia"/>
                      <w:szCs w:val="21"/>
                    </w:rPr>
                    <w:t>投料</w:t>
                  </w:r>
                </w:p>
              </w:tc>
              <w:tc>
                <w:tcPr>
                  <w:tcW w:w="943" w:type="pct"/>
                  <w:vMerge w:val="restart"/>
                  <w:vAlign w:val="center"/>
                </w:tcPr>
                <w:p w14:paraId="1253074F">
                  <w:pPr>
                    <w:jc w:val="center"/>
                    <w:rPr>
                      <w:rFonts w:hint="eastAsia" w:eastAsia="宋体"/>
                      <w:szCs w:val="21"/>
                      <w:lang w:eastAsia="zh-CN"/>
                    </w:rPr>
                  </w:pPr>
                  <w:r>
                    <w:rPr>
                      <w:rFonts w:hint="eastAsia"/>
                      <w:szCs w:val="21"/>
                      <w:lang w:eastAsia="zh-CN"/>
                    </w:rPr>
                    <w:t>布袋除尘器</w:t>
                  </w:r>
                </w:p>
              </w:tc>
              <w:tc>
                <w:tcPr>
                  <w:tcW w:w="1392" w:type="pct"/>
                  <w:shd w:val="clear" w:color="auto" w:fill="auto"/>
                  <w:vAlign w:val="center"/>
                </w:tcPr>
                <w:p w14:paraId="164C0C56">
                  <w:pPr>
                    <w:jc w:val="center"/>
                    <w:rPr>
                      <w:rFonts w:ascii="Times New Roman" w:hAnsi="Times New Roman" w:eastAsia="宋体" w:cs="Times New Roman"/>
                      <w:kern w:val="2"/>
                      <w:sz w:val="21"/>
                      <w:szCs w:val="21"/>
                      <w:lang w:val="en-US" w:eastAsia="zh-CN" w:bidi="ar-SA"/>
                    </w:rPr>
                  </w:pPr>
                  <w:r>
                    <w:rPr>
                      <w:szCs w:val="21"/>
                    </w:rPr>
                    <w:t>外壳材质</w:t>
                  </w:r>
                </w:p>
              </w:tc>
              <w:tc>
                <w:tcPr>
                  <w:tcW w:w="1943" w:type="pct"/>
                  <w:shd w:val="clear" w:color="auto" w:fill="auto"/>
                  <w:vAlign w:val="center"/>
                </w:tcPr>
                <w:p w14:paraId="7E820047">
                  <w:pPr>
                    <w:jc w:val="center"/>
                    <w:rPr>
                      <w:rFonts w:ascii="Times New Roman" w:hAnsi="Times New Roman" w:eastAsia="宋体" w:cs="Times New Roman"/>
                      <w:kern w:val="2"/>
                      <w:sz w:val="21"/>
                      <w:szCs w:val="21"/>
                      <w:lang w:val="en-US" w:eastAsia="zh-CN" w:bidi="ar-SA"/>
                    </w:rPr>
                  </w:pPr>
                  <w:r>
                    <w:rPr>
                      <w:szCs w:val="21"/>
                    </w:rPr>
                    <w:t>碳钢3mm</w:t>
                  </w:r>
                </w:p>
              </w:tc>
            </w:tr>
            <w:tr w14:paraId="619DE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continue"/>
                </w:tcPr>
                <w:p w14:paraId="411ED5A1">
                  <w:pPr>
                    <w:jc w:val="center"/>
                    <w:rPr>
                      <w:szCs w:val="21"/>
                    </w:rPr>
                  </w:pPr>
                </w:p>
              </w:tc>
              <w:tc>
                <w:tcPr>
                  <w:tcW w:w="943" w:type="pct"/>
                  <w:vMerge w:val="continue"/>
                </w:tcPr>
                <w:p w14:paraId="56F64DC4">
                  <w:pPr>
                    <w:jc w:val="center"/>
                    <w:rPr>
                      <w:szCs w:val="21"/>
                    </w:rPr>
                  </w:pPr>
                </w:p>
              </w:tc>
              <w:tc>
                <w:tcPr>
                  <w:tcW w:w="1392" w:type="pct"/>
                  <w:shd w:val="clear" w:color="auto" w:fill="auto"/>
                  <w:vAlign w:val="center"/>
                </w:tcPr>
                <w:p w14:paraId="42122E98">
                  <w:pPr>
                    <w:jc w:val="center"/>
                    <w:rPr>
                      <w:rFonts w:ascii="Times New Roman" w:hAnsi="Times New Roman" w:eastAsia="宋体" w:cs="Times New Roman"/>
                      <w:kern w:val="2"/>
                      <w:sz w:val="21"/>
                      <w:szCs w:val="21"/>
                      <w:lang w:val="en-US" w:eastAsia="zh-CN" w:bidi="ar-SA"/>
                    </w:rPr>
                  </w:pPr>
                  <w:r>
                    <w:rPr>
                      <w:szCs w:val="21"/>
                    </w:rPr>
                    <w:t>规格</w:t>
                  </w:r>
                </w:p>
              </w:tc>
              <w:tc>
                <w:tcPr>
                  <w:tcW w:w="1943" w:type="pct"/>
                  <w:shd w:val="clear" w:color="auto" w:fill="auto"/>
                  <w:vAlign w:val="center"/>
                </w:tcPr>
                <w:p w14:paraId="4E92679E">
                  <w:pPr>
                    <w:jc w:val="center"/>
                    <w:rPr>
                      <w:rFonts w:ascii="Times New Roman" w:hAnsi="Times New Roman" w:eastAsia="宋体" w:cs="Times New Roman"/>
                      <w:kern w:val="2"/>
                      <w:sz w:val="21"/>
                      <w:szCs w:val="21"/>
                      <w:lang w:val="en-US" w:eastAsia="zh-CN" w:bidi="ar-SA"/>
                    </w:rPr>
                  </w:pPr>
                  <w:r>
                    <w:rPr>
                      <w:rFonts w:hint="eastAsia"/>
                      <w:szCs w:val="21"/>
                    </w:rPr>
                    <w:t>19</w:t>
                  </w:r>
                  <w:r>
                    <w:rPr>
                      <w:szCs w:val="21"/>
                    </w:rPr>
                    <w:t>00×</w:t>
                  </w:r>
                  <w:r>
                    <w:rPr>
                      <w:rFonts w:hint="eastAsia"/>
                      <w:szCs w:val="21"/>
                    </w:rPr>
                    <w:t>17</w:t>
                  </w:r>
                  <w:r>
                    <w:rPr>
                      <w:szCs w:val="21"/>
                    </w:rPr>
                    <w:t>00×</w:t>
                  </w:r>
                  <w:r>
                    <w:rPr>
                      <w:rFonts w:hint="eastAsia"/>
                      <w:szCs w:val="21"/>
                    </w:rPr>
                    <w:t>48</w:t>
                  </w:r>
                  <w:r>
                    <w:rPr>
                      <w:szCs w:val="21"/>
                    </w:rPr>
                    <w:t>00mm</w:t>
                  </w:r>
                </w:p>
              </w:tc>
            </w:tr>
            <w:tr w14:paraId="3200D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continue"/>
                </w:tcPr>
                <w:p w14:paraId="02FB647E">
                  <w:pPr>
                    <w:jc w:val="center"/>
                    <w:rPr>
                      <w:szCs w:val="21"/>
                    </w:rPr>
                  </w:pPr>
                </w:p>
              </w:tc>
              <w:tc>
                <w:tcPr>
                  <w:tcW w:w="943" w:type="pct"/>
                  <w:vMerge w:val="continue"/>
                </w:tcPr>
                <w:p w14:paraId="014AE3B5">
                  <w:pPr>
                    <w:jc w:val="center"/>
                    <w:rPr>
                      <w:szCs w:val="21"/>
                    </w:rPr>
                  </w:pPr>
                </w:p>
              </w:tc>
              <w:tc>
                <w:tcPr>
                  <w:tcW w:w="1392" w:type="pct"/>
                  <w:shd w:val="clear" w:color="auto" w:fill="auto"/>
                  <w:vAlign w:val="center"/>
                </w:tcPr>
                <w:p w14:paraId="310E577F">
                  <w:pPr>
                    <w:jc w:val="center"/>
                    <w:rPr>
                      <w:rFonts w:ascii="Times New Roman" w:hAnsi="Times New Roman" w:eastAsia="宋体" w:cs="Times New Roman"/>
                      <w:kern w:val="2"/>
                      <w:sz w:val="21"/>
                      <w:szCs w:val="21"/>
                      <w:lang w:val="en-US" w:eastAsia="zh-CN" w:bidi="ar-SA"/>
                    </w:rPr>
                  </w:pPr>
                  <w:r>
                    <w:rPr>
                      <w:szCs w:val="21"/>
                    </w:rPr>
                    <w:t>材质</w:t>
                  </w:r>
                </w:p>
              </w:tc>
              <w:tc>
                <w:tcPr>
                  <w:tcW w:w="1943" w:type="pct"/>
                  <w:shd w:val="clear" w:color="auto" w:fill="auto"/>
                  <w:vAlign w:val="center"/>
                </w:tcPr>
                <w:p w14:paraId="0E3F6B37">
                  <w:pPr>
                    <w:jc w:val="center"/>
                    <w:rPr>
                      <w:rFonts w:ascii="Times New Roman" w:hAnsi="Times New Roman" w:eastAsia="宋体" w:cs="Times New Roman"/>
                      <w:kern w:val="2"/>
                      <w:sz w:val="21"/>
                      <w:szCs w:val="21"/>
                      <w:lang w:val="en-US" w:eastAsia="zh-CN" w:bidi="ar-SA"/>
                    </w:rPr>
                  </w:pPr>
                  <w:r>
                    <w:rPr>
                      <w:szCs w:val="21"/>
                    </w:rPr>
                    <w:t>涤纶针刺毡</w:t>
                  </w:r>
                </w:p>
              </w:tc>
            </w:tr>
            <w:tr w14:paraId="1384A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continue"/>
                </w:tcPr>
                <w:p w14:paraId="65AA0A55">
                  <w:pPr>
                    <w:jc w:val="center"/>
                    <w:rPr>
                      <w:szCs w:val="21"/>
                    </w:rPr>
                  </w:pPr>
                </w:p>
              </w:tc>
              <w:tc>
                <w:tcPr>
                  <w:tcW w:w="943" w:type="pct"/>
                  <w:vMerge w:val="continue"/>
                </w:tcPr>
                <w:p w14:paraId="475B4558">
                  <w:pPr>
                    <w:jc w:val="center"/>
                    <w:rPr>
                      <w:szCs w:val="21"/>
                    </w:rPr>
                  </w:pPr>
                </w:p>
              </w:tc>
              <w:tc>
                <w:tcPr>
                  <w:tcW w:w="1392" w:type="pct"/>
                  <w:shd w:val="clear" w:color="auto" w:fill="auto"/>
                  <w:vAlign w:val="center"/>
                </w:tcPr>
                <w:p w14:paraId="138016B1">
                  <w:pPr>
                    <w:jc w:val="center"/>
                    <w:rPr>
                      <w:rFonts w:ascii="Times New Roman" w:hAnsi="Times New Roman" w:eastAsia="宋体" w:cs="Times New Roman"/>
                      <w:kern w:val="2"/>
                      <w:sz w:val="21"/>
                      <w:szCs w:val="21"/>
                      <w:lang w:val="en-US" w:eastAsia="zh-CN" w:bidi="ar-SA"/>
                    </w:rPr>
                  </w:pPr>
                  <w:r>
                    <w:rPr>
                      <w:szCs w:val="21"/>
                    </w:rPr>
                    <w:t>滤袋数量</w:t>
                  </w:r>
                </w:p>
              </w:tc>
              <w:tc>
                <w:tcPr>
                  <w:tcW w:w="1943" w:type="pct"/>
                  <w:shd w:val="clear" w:color="auto" w:fill="auto"/>
                  <w:vAlign w:val="center"/>
                </w:tcPr>
                <w:p w14:paraId="33F32FFC">
                  <w:pPr>
                    <w:jc w:val="center"/>
                    <w:rPr>
                      <w:rFonts w:ascii="Times New Roman" w:hAnsi="Times New Roman" w:eastAsia="宋体" w:cs="Times New Roman"/>
                      <w:kern w:val="2"/>
                      <w:sz w:val="21"/>
                      <w:szCs w:val="21"/>
                      <w:lang w:val="en-US" w:eastAsia="zh-CN" w:bidi="ar-SA"/>
                    </w:rPr>
                  </w:pPr>
                  <w:r>
                    <w:rPr>
                      <w:rFonts w:hint="eastAsia"/>
                      <w:szCs w:val="21"/>
                    </w:rPr>
                    <w:t>64</w:t>
                  </w:r>
                  <w:r>
                    <w:rPr>
                      <w:szCs w:val="21"/>
                    </w:rPr>
                    <w:t>条</w:t>
                  </w:r>
                </w:p>
              </w:tc>
            </w:tr>
            <w:tr w14:paraId="69DA1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continue"/>
                </w:tcPr>
                <w:p w14:paraId="63D73E7D">
                  <w:pPr>
                    <w:jc w:val="center"/>
                    <w:rPr>
                      <w:szCs w:val="21"/>
                    </w:rPr>
                  </w:pPr>
                </w:p>
              </w:tc>
              <w:tc>
                <w:tcPr>
                  <w:tcW w:w="943" w:type="pct"/>
                  <w:vMerge w:val="continue"/>
                </w:tcPr>
                <w:p w14:paraId="53853566">
                  <w:pPr>
                    <w:jc w:val="center"/>
                    <w:rPr>
                      <w:szCs w:val="21"/>
                    </w:rPr>
                  </w:pPr>
                </w:p>
              </w:tc>
              <w:tc>
                <w:tcPr>
                  <w:tcW w:w="1392" w:type="pct"/>
                  <w:shd w:val="clear" w:color="auto" w:fill="auto"/>
                  <w:vAlign w:val="center"/>
                </w:tcPr>
                <w:p w14:paraId="385E6ACA">
                  <w:pPr>
                    <w:jc w:val="center"/>
                    <w:rPr>
                      <w:rFonts w:ascii="Times New Roman" w:hAnsi="Times New Roman" w:eastAsia="宋体" w:cs="Times New Roman"/>
                      <w:kern w:val="2"/>
                      <w:sz w:val="21"/>
                      <w:szCs w:val="21"/>
                      <w:lang w:val="en-US" w:eastAsia="zh-CN" w:bidi="ar-SA"/>
                    </w:rPr>
                  </w:pPr>
                  <w:r>
                    <w:rPr>
                      <w:szCs w:val="21"/>
                    </w:rPr>
                    <w:t>过滤面积</w:t>
                  </w:r>
                </w:p>
              </w:tc>
              <w:tc>
                <w:tcPr>
                  <w:tcW w:w="1943" w:type="pct"/>
                  <w:shd w:val="clear" w:color="auto" w:fill="auto"/>
                  <w:vAlign w:val="center"/>
                </w:tcPr>
                <w:p w14:paraId="19338DF8">
                  <w:pPr>
                    <w:jc w:val="center"/>
                    <w:rPr>
                      <w:rFonts w:ascii="Times New Roman" w:hAnsi="Times New Roman" w:eastAsia="宋体" w:cs="Times New Roman"/>
                      <w:kern w:val="2"/>
                      <w:sz w:val="21"/>
                      <w:szCs w:val="21"/>
                      <w:lang w:val="en-US" w:eastAsia="zh-CN" w:bidi="ar-SA"/>
                    </w:rPr>
                  </w:pPr>
                  <w:r>
                    <w:rPr>
                      <w:rFonts w:hint="eastAsia"/>
                      <w:szCs w:val="21"/>
                    </w:rPr>
                    <w:t>74</w:t>
                  </w:r>
                  <w:r>
                    <w:rPr>
                      <w:szCs w:val="21"/>
                    </w:rPr>
                    <w:t>m</w:t>
                  </w:r>
                  <w:r>
                    <w:rPr>
                      <w:szCs w:val="21"/>
                      <w:vertAlign w:val="superscript"/>
                    </w:rPr>
                    <w:t>2</w:t>
                  </w:r>
                </w:p>
              </w:tc>
            </w:tr>
          </w:tbl>
          <w:p w14:paraId="400274DD">
            <w:pPr>
              <w:spacing w:line="480" w:lineRule="exact"/>
              <w:ind w:firstLine="480" w:firstLineChars="200"/>
              <w:rPr>
                <w:bCs/>
                <w:sz w:val="24"/>
              </w:rPr>
            </w:pPr>
            <w:r>
              <w:rPr>
                <w:rFonts w:hint="eastAsia"/>
                <w:sz w:val="24"/>
                <w:szCs w:val="22"/>
              </w:rPr>
              <w:t>调配、背胶及烘干</w:t>
            </w:r>
            <w:r>
              <w:rPr>
                <w:rFonts w:hint="eastAsia"/>
                <w:kern w:val="0"/>
                <w:sz w:val="24"/>
              </w:rPr>
              <w:t>工段产生的有机</w:t>
            </w:r>
            <w:r>
              <w:rPr>
                <w:rFonts w:hint="eastAsia"/>
                <w:bCs/>
                <w:sz w:val="24"/>
              </w:rPr>
              <w:t>废气均为低浓度有机废气，经活性炭吸附处理后，尾气能够稳定达标排放。投料工段产生的颗粒物经</w:t>
            </w:r>
            <w:r>
              <w:rPr>
                <w:rFonts w:hint="eastAsia"/>
                <w:bCs/>
                <w:sz w:val="24"/>
                <w:lang w:eastAsia="zh-CN"/>
              </w:rPr>
              <w:t>布袋除尘器</w:t>
            </w:r>
            <w:r>
              <w:rPr>
                <w:rFonts w:hint="eastAsia"/>
                <w:bCs/>
                <w:sz w:val="24"/>
              </w:rPr>
              <w:t>处理后也可达标排放。</w:t>
            </w:r>
          </w:p>
          <w:p w14:paraId="394A1A40">
            <w:pPr>
              <w:pStyle w:val="92"/>
              <w:spacing w:line="480" w:lineRule="exact"/>
              <w:ind w:firstLine="482"/>
              <w:rPr>
                <w:b/>
                <w:bCs/>
                <w:sz w:val="24"/>
                <w:szCs w:val="24"/>
              </w:rPr>
            </w:pPr>
            <w:r>
              <w:rPr>
                <w:b/>
                <w:bCs/>
                <w:kern w:val="0"/>
                <w:sz w:val="24"/>
              </w:rPr>
              <w:t>3）</w:t>
            </w:r>
            <w:r>
              <w:rPr>
                <w:b/>
                <w:bCs/>
                <w:sz w:val="24"/>
                <w:szCs w:val="24"/>
              </w:rPr>
              <w:t>排气筒设置</w:t>
            </w:r>
          </w:p>
          <w:p w14:paraId="6ADDEC87">
            <w:pPr>
              <w:pStyle w:val="50"/>
              <w:spacing w:line="480" w:lineRule="exact"/>
              <w:ind w:firstLine="480"/>
              <w:rPr>
                <w:rFonts w:eastAsia="宋体"/>
                <w:sz w:val="24"/>
              </w:rPr>
            </w:pPr>
            <w:r>
              <w:rPr>
                <w:rFonts w:eastAsia="宋体"/>
                <w:sz w:val="24"/>
              </w:rPr>
              <w:t>废气收集系统：本项目生产过程中废气产生点较多，在生产线相应废气产生点均设有废气收集设施。废气的排放量根据企业生产要求，通过标配风机，准确控制废气处理量。此外，在生产线设计时，应进行详细风量、风管、压力、余量及阀门启闭计算，保证风量按生产线要求收集。必要时，应在生产线设置小型风机正压排风至主风管，确保风量的稳定性。</w:t>
            </w:r>
          </w:p>
          <w:p w14:paraId="5EC7EABB">
            <w:pPr>
              <w:pStyle w:val="50"/>
              <w:spacing w:line="480" w:lineRule="exact"/>
              <w:ind w:firstLine="480"/>
              <w:rPr>
                <w:rFonts w:eastAsia="宋体"/>
                <w:sz w:val="24"/>
              </w:rPr>
            </w:pPr>
            <w:r>
              <w:rPr>
                <w:rFonts w:eastAsia="宋体"/>
                <w:sz w:val="24"/>
              </w:rPr>
              <w:t>排气筒设置：由于废气产生点较多，不适合将单股废气单独处理排放，因此考虑在废气可以得到有效收集及处理的情况下，可以尽量减少排气筒的设置。全厂共设</w:t>
            </w:r>
            <w:r>
              <w:rPr>
                <w:rFonts w:hint="eastAsia" w:eastAsia="宋体"/>
                <w:sz w:val="24"/>
              </w:rPr>
              <w:t>1</w:t>
            </w:r>
            <w:r>
              <w:rPr>
                <w:rFonts w:eastAsia="宋体"/>
                <w:sz w:val="24"/>
              </w:rPr>
              <w:t>根排气筒，排气筒的设置已经尽可能考虑合并排放。</w:t>
            </w:r>
          </w:p>
          <w:p w14:paraId="3684F328">
            <w:pPr>
              <w:pStyle w:val="50"/>
              <w:spacing w:line="480" w:lineRule="exact"/>
              <w:ind w:firstLine="480"/>
              <w:rPr>
                <w:rFonts w:eastAsia="宋体"/>
                <w:sz w:val="24"/>
              </w:rPr>
            </w:pPr>
            <w:r>
              <w:rPr>
                <w:rFonts w:eastAsia="宋体"/>
                <w:sz w:val="24"/>
              </w:rPr>
              <w:t>根据经验数据及资料查阅，尾气从烟囱口排出的速度越大，扩散稀释的效果越好。但是速度超过30m/s，会发生笛音现象，所以尾气排放速度不能大于这个值。如果烟气流速过低，又会增加烟气对排气筒腐蚀的可能，也降低烟气的扩散稀释效果，参照《大气污染治理工程技术导则》（HJ2000-2010），排气筒出口流速宜取15m/s左右。</w:t>
            </w:r>
          </w:p>
          <w:p w14:paraId="25711C9A">
            <w:pPr>
              <w:pStyle w:val="50"/>
              <w:spacing w:line="480" w:lineRule="exact"/>
              <w:ind w:firstLine="480"/>
              <w:rPr>
                <w:rFonts w:eastAsia="宋体"/>
                <w:sz w:val="24"/>
              </w:rPr>
            </w:pPr>
            <w:r>
              <w:rPr>
                <w:rFonts w:eastAsia="宋体"/>
                <w:sz w:val="24"/>
              </w:rPr>
              <w:t>a排气筒高度</w:t>
            </w:r>
          </w:p>
          <w:p w14:paraId="7F62F5F7">
            <w:pPr>
              <w:pStyle w:val="50"/>
              <w:spacing w:line="480" w:lineRule="exact"/>
              <w:ind w:firstLine="480"/>
              <w:rPr>
                <w:rFonts w:eastAsia="宋体"/>
                <w:sz w:val="24"/>
              </w:rPr>
            </w:pPr>
            <w:r>
              <w:rPr>
                <w:rFonts w:hint="eastAsia" w:eastAsia="宋体"/>
                <w:sz w:val="24"/>
              </w:rPr>
              <w:t>根据《工业炉窑大气污染物排放标准》（DB32/3728-2020）</w:t>
            </w:r>
            <w:r>
              <w:rPr>
                <w:rFonts w:eastAsia="宋体"/>
                <w:sz w:val="24"/>
              </w:rPr>
              <w:t>：</w:t>
            </w:r>
            <w:r>
              <w:rPr>
                <w:rFonts w:hint="eastAsia" w:eastAsia="宋体"/>
                <w:sz w:val="24"/>
              </w:rPr>
              <w:t>“4.3.1工业炉窑排气筒高度应不低于15m，具体高度按通过审批、备案的环境影响评价文件要求确定。”</w:t>
            </w:r>
          </w:p>
          <w:p w14:paraId="12830383">
            <w:pPr>
              <w:pStyle w:val="50"/>
              <w:spacing w:line="480" w:lineRule="exact"/>
              <w:ind w:firstLine="480"/>
              <w:rPr>
                <w:rFonts w:eastAsia="宋体"/>
                <w:sz w:val="24"/>
              </w:rPr>
            </w:pPr>
            <w:r>
              <w:rPr>
                <w:rFonts w:eastAsia="宋体"/>
                <w:sz w:val="24"/>
              </w:rPr>
              <w:t>本项目排气筒高度均为15m，因此，本项目设置的排气筒高度满足相关标准要求。</w:t>
            </w:r>
          </w:p>
          <w:p w14:paraId="472A78F4">
            <w:pPr>
              <w:pStyle w:val="50"/>
              <w:spacing w:line="480" w:lineRule="exact"/>
              <w:ind w:firstLine="480"/>
              <w:rPr>
                <w:rFonts w:eastAsia="宋体"/>
                <w:sz w:val="24"/>
              </w:rPr>
            </w:pPr>
            <w:r>
              <w:rPr>
                <w:rFonts w:eastAsia="宋体"/>
                <w:sz w:val="24"/>
              </w:rPr>
              <w:t>b排气筒流速</w:t>
            </w:r>
          </w:p>
          <w:p w14:paraId="436F039B">
            <w:pPr>
              <w:pStyle w:val="50"/>
              <w:spacing w:line="480" w:lineRule="exact"/>
              <w:ind w:firstLine="480"/>
              <w:rPr>
                <w:rFonts w:eastAsia="宋体"/>
                <w:sz w:val="24"/>
              </w:rPr>
            </w:pPr>
            <w:r>
              <w:rPr>
                <w:rFonts w:eastAsia="宋体"/>
                <w:sz w:val="24"/>
              </w:rPr>
              <w:t>本项目建成后共设置</w:t>
            </w:r>
            <w:r>
              <w:rPr>
                <w:rFonts w:hint="eastAsia" w:eastAsia="宋体"/>
                <w:sz w:val="24"/>
              </w:rPr>
              <w:t>1</w:t>
            </w:r>
            <w:r>
              <w:rPr>
                <w:rFonts w:eastAsia="宋体"/>
                <w:sz w:val="24"/>
              </w:rPr>
              <w:t>根废气排气筒，排气筒的设置参数及排放速率见表4-1</w:t>
            </w:r>
            <w:r>
              <w:rPr>
                <w:rFonts w:hint="eastAsia" w:eastAsia="宋体"/>
                <w:sz w:val="24"/>
              </w:rPr>
              <w:t>6</w:t>
            </w:r>
            <w:r>
              <w:rPr>
                <w:rFonts w:eastAsia="宋体"/>
                <w:sz w:val="24"/>
              </w:rPr>
              <w:t>。</w:t>
            </w:r>
          </w:p>
          <w:p w14:paraId="14EA186B">
            <w:pPr>
              <w:pStyle w:val="2"/>
              <w:spacing w:before="0" w:after="0" w:line="480" w:lineRule="exact"/>
              <w:ind w:right="0"/>
              <w:jc w:val="center"/>
              <w:rPr>
                <w:b/>
                <w:kern w:val="2"/>
                <w:sz w:val="24"/>
                <w:szCs w:val="24"/>
              </w:rPr>
            </w:pPr>
            <w:r>
              <w:rPr>
                <w:b/>
                <w:kern w:val="2"/>
                <w:sz w:val="24"/>
                <w:szCs w:val="24"/>
              </w:rPr>
              <w:t>表4-1</w:t>
            </w:r>
            <w:r>
              <w:rPr>
                <w:rFonts w:hint="eastAsia"/>
                <w:b/>
                <w:kern w:val="2"/>
                <w:sz w:val="24"/>
                <w:szCs w:val="24"/>
                <w:lang w:val="en-US" w:eastAsia="zh-CN"/>
              </w:rPr>
              <w:t>6</w:t>
            </w:r>
            <w:r>
              <w:rPr>
                <w:b/>
                <w:kern w:val="2"/>
                <w:sz w:val="24"/>
                <w:szCs w:val="24"/>
              </w:rPr>
              <w:t xml:space="preserve">  本项目排气筒设置情况及排放参数表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24"/>
              <w:gridCol w:w="1569"/>
              <w:gridCol w:w="1664"/>
              <w:gridCol w:w="1501"/>
              <w:gridCol w:w="1487"/>
              <w:gridCol w:w="2107"/>
            </w:tblGrid>
            <w:tr w14:paraId="36CB4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8" w:type="pct"/>
                  <w:vAlign w:val="center"/>
                </w:tcPr>
                <w:p w14:paraId="73B782CE">
                  <w:pPr>
                    <w:jc w:val="center"/>
                    <w:rPr>
                      <w:b/>
                      <w:szCs w:val="21"/>
                    </w:rPr>
                  </w:pPr>
                  <w:r>
                    <w:rPr>
                      <w:b/>
                      <w:szCs w:val="21"/>
                    </w:rPr>
                    <w:t>编号</w:t>
                  </w:r>
                </w:p>
              </w:tc>
              <w:tc>
                <w:tcPr>
                  <w:tcW w:w="876" w:type="pct"/>
                  <w:vAlign w:val="center"/>
                </w:tcPr>
                <w:p w14:paraId="6222130B">
                  <w:pPr>
                    <w:jc w:val="center"/>
                    <w:rPr>
                      <w:b/>
                      <w:szCs w:val="21"/>
                    </w:rPr>
                  </w:pPr>
                  <w:r>
                    <w:rPr>
                      <w:b/>
                      <w:szCs w:val="21"/>
                    </w:rPr>
                    <w:t>排气筒高度（m）</w:t>
                  </w:r>
                </w:p>
              </w:tc>
              <w:tc>
                <w:tcPr>
                  <w:tcW w:w="929" w:type="pct"/>
                  <w:vAlign w:val="center"/>
                </w:tcPr>
                <w:p w14:paraId="504170BA">
                  <w:pPr>
                    <w:jc w:val="center"/>
                    <w:rPr>
                      <w:b/>
                      <w:szCs w:val="21"/>
                    </w:rPr>
                  </w:pPr>
                  <w:r>
                    <w:rPr>
                      <w:b/>
                      <w:szCs w:val="21"/>
                    </w:rPr>
                    <w:t>排气筒内径（m）</w:t>
                  </w:r>
                </w:p>
              </w:tc>
              <w:tc>
                <w:tcPr>
                  <w:tcW w:w="838" w:type="pct"/>
                  <w:vAlign w:val="center"/>
                </w:tcPr>
                <w:p w14:paraId="798E6057">
                  <w:pPr>
                    <w:jc w:val="center"/>
                    <w:rPr>
                      <w:b/>
                      <w:szCs w:val="21"/>
                    </w:rPr>
                  </w:pPr>
                  <w:r>
                    <w:rPr>
                      <w:b/>
                      <w:szCs w:val="21"/>
                    </w:rPr>
                    <w:t>设计排风量（m</w:t>
                  </w:r>
                  <w:r>
                    <w:rPr>
                      <w:b/>
                      <w:szCs w:val="21"/>
                      <w:vertAlign w:val="superscript"/>
                    </w:rPr>
                    <w:t>3</w:t>
                  </w:r>
                  <w:r>
                    <w:rPr>
                      <w:b/>
                      <w:szCs w:val="21"/>
                    </w:rPr>
                    <w:t>/h）</w:t>
                  </w:r>
                </w:p>
              </w:tc>
              <w:tc>
                <w:tcPr>
                  <w:tcW w:w="830" w:type="pct"/>
                  <w:vAlign w:val="center"/>
                </w:tcPr>
                <w:p w14:paraId="6612E276">
                  <w:pPr>
                    <w:jc w:val="center"/>
                    <w:rPr>
                      <w:b/>
                      <w:szCs w:val="21"/>
                    </w:rPr>
                  </w:pPr>
                  <w:r>
                    <w:rPr>
                      <w:b/>
                      <w:szCs w:val="21"/>
                    </w:rPr>
                    <w:t>烟气温度（℃）</w:t>
                  </w:r>
                </w:p>
              </w:tc>
              <w:tc>
                <w:tcPr>
                  <w:tcW w:w="1176" w:type="pct"/>
                  <w:vAlign w:val="center"/>
                </w:tcPr>
                <w:p w14:paraId="7D86C89E">
                  <w:pPr>
                    <w:jc w:val="center"/>
                    <w:rPr>
                      <w:b/>
                      <w:szCs w:val="21"/>
                    </w:rPr>
                  </w:pPr>
                  <w:r>
                    <w:rPr>
                      <w:b/>
                      <w:szCs w:val="21"/>
                    </w:rPr>
                    <w:t>烟气排放速率（m/s）</w:t>
                  </w:r>
                </w:p>
              </w:tc>
            </w:tr>
            <w:tr w14:paraId="495A9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8" w:type="pct"/>
                  <w:shd w:val="clear" w:color="auto" w:fill="auto"/>
                  <w:vAlign w:val="center"/>
                </w:tcPr>
                <w:p w14:paraId="3BA7083D">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DA001</w:t>
                  </w:r>
                </w:p>
              </w:tc>
              <w:tc>
                <w:tcPr>
                  <w:tcW w:w="876" w:type="pct"/>
                  <w:shd w:val="clear" w:color="auto" w:fill="auto"/>
                  <w:vAlign w:val="center"/>
                </w:tcPr>
                <w:p w14:paraId="6147DF8B">
                  <w:pPr>
                    <w:jc w:val="center"/>
                    <w:rPr>
                      <w:rFonts w:ascii="Times New Roman" w:hAnsi="Times New Roman" w:eastAsia="宋体" w:cs="Times New Roman"/>
                      <w:kern w:val="2"/>
                      <w:sz w:val="21"/>
                      <w:szCs w:val="21"/>
                      <w:lang w:val="en-US" w:eastAsia="zh-CN" w:bidi="ar-SA"/>
                    </w:rPr>
                  </w:pPr>
                  <w:r>
                    <w:rPr>
                      <w:szCs w:val="21"/>
                    </w:rPr>
                    <w:t>15</w:t>
                  </w:r>
                </w:p>
              </w:tc>
              <w:tc>
                <w:tcPr>
                  <w:tcW w:w="929" w:type="pct"/>
                  <w:shd w:val="clear" w:color="auto" w:fill="auto"/>
                  <w:vAlign w:val="center"/>
                </w:tcPr>
                <w:p w14:paraId="13EF67AF">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kern w:val="0"/>
                      <w:szCs w:val="21"/>
                      <w:lang w:bidi="ar"/>
                    </w:rPr>
                    <w:t>0.5</w:t>
                  </w:r>
                </w:p>
              </w:tc>
              <w:tc>
                <w:tcPr>
                  <w:tcW w:w="838" w:type="pct"/>
                  <w:shd w:val="clear" w:color="auto" w:fill="auto"/>
                  <w:vAlign w:val="center"/>
                </w:tcPr>
                <w:p w14:paraId="711D4E87">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kern w:val="0"/>
                      <w:szCs w:val="21"/>
                      <w:lang w:bidi="ar"/>
                    </w:rPr>
                    <w:t>10</w:t>
                  </w:r>
                  <w:r>
                    <w:rPr>
                      <w:kern w:val="0"/>
                      <w:szCs w:val="21"/>
                      <w:lang w:bidi="ar"/>
                    </w:rPr>
                    <w:t>000</w:t>
                  </w:r>
                </w:p>
              </w:tc>
              <w:tc>
                <w:tcPr>
                  <w:tcW w:w="830" w:type="pct"/>
                  <w:shd w:val="clear" w:color="auto" w:fill="auto"/>
                  <w:vAlign w:val="center"/>
                </w:tcPr>
                <w:p w14:paraId="0B4040D2">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kern w:val="0"/>
                      <w:szCs w:val="21"/>
                      <w:lang w:val="en-US" w:eastAsia="zh-CN" w:bidi="ar"/>
                    </w:rPr>
                    <w:t>35</w:t>
                  </w:r>
                </w:p>
              </w:tc>
              <w:tc>
                <w:tcPr>
                  <w:tcW w:w="1176" w:type="pct"/>
                  <w:shd w:val="clear" w:color="auto" w:fill="auto"/>
                  <w:vAlign w:val="center"/>
                </w:tcPr>
                <w:p w14:paraId="6707897C">
                  <w:pPr>
                    <w:widowControl/>
                    <w:jc w:val="center"/>
                    <w:textAlignment w:val="bottom"/>
                    <w:rPr>
                      <w:rFonts w:hint="eastAsia" w:ascii="Times New Roman" w:hAnsi="Times New Roman" w:eastAsia="宋体" w:cs="Times New Roman"/>
                      <w:kern w:val="2"/>
                      <w:sz w:val="21"/>
                      <w:szCs w:val="21"/>
                      <w:lang w:val="en-US" w:eastAsia="zh-CN" w:bidi="ar-SA"/>
                    </w:rPr>
                  </w:pPr>
                  <w:r>
                    <w:rPr>
                      <w:rFonts w:hint="eastAsia"/>
                      <w:kern w:val="0"/>
                      <w:szCs w:val="21"/>
                      <w:lang w:bidi="ar"/>
                    </w:rPr>
                    <w:t>14.15</w:t>
                  </w:r>
                </w:p>
              </w:tc>
            </w:tr>
          </w:tbl>
          <w:p w14:paraId="1C70679D">
            <w:pPr>
              <w:pStyle w:val="50"/>
              <w:spacing w:line="480" w:lineRule="exact"/>
              <w:ind w:firstLine="480"/>
              <w:rPr>
                <w:rFonts w:eastAsia="宋体"/>
                <w:sz w:val="24"/>
              </w:rPr>
            </w:pPr>
            <w:r>
              <w:rPr>
                <w:rFonts w:eastAsia="宋体"/>
                <w:sz w:val="24"/>
              </w:rPr>
              <w:t>由上表可见，本项目所有排气筒的流速为1</w:t>
            </w:r>
            <w:r>
              <w:rPr>
                <w:rFonts w:hint="eastAsia" w:eastAsia="宋体"/>
                <w:sz w:val="24"/>
              </w:rPr>
              <w:t>4.15</w:t>
            </w:r>
            <w:r>
              <w:rPr>
                <w:rFonts w:eastAsia="宋体"/>
                <w:sz w:val="24"/>
              </w:rPr>
              <w:t>m/s，基本能够满足出口流速在10</w:t>
            </w:r>
            <w:r>
              <w:rPr>
                <w:rFonts w:hint="eastAsia" w:eastAsia="宋体"/>
                <w:sz w:val="24"/>
              </w:rPr>
              <w:t>～</w:t>
            </w:r>
            <w:r>
              <w:rPr>
                <w:rFonts w:eastAsia="宋体"/>
                <w:sz w:val="24"/>
              </w:rPr>
              <w:t>15m/s左右的要求，风速合理。</w:t>
            </w:r>
          </w:p>
          <w:p w14:paraId="1F43C32F">
            <w:pPr>
              <w:pStyle w:val="92"/>
              <w:spacing w:line="480" w:lineRule="exact"/>
              <w:ind w:firstLine="480"/>
              <w:rPr>
                <w:sz w:val="24"/>
                <w:szCs w:val="24"/>
              </w:rPr>
            </w:pPr>
            <w:r>
              <w:rPr>
                <w:sz w:val="24"/>
                <w:szCs w:val="24"/>
              </w:rPr>
              <w:t>本项目排气筒采用碳钢材质，因此，从排气筒高度及风速、风量等角度论证，本项目排气筒的设置是合理的。</w:t>
            </w:r>
          </w:p>
          <w:p w14:paraId="05A3B10D">
            <w:pPr>
              <w:spacing w:line="480" w:lineRule="exact"/>
              <w:ind w:firstLine="480" w:firstLineChars="200"/>
              <w:rPr>
                <w:kern w:val="0"/>
                <w:sz w:val="24"/>
              </w:rPr>
            </w:pPr>
            <w:r>
              <w:rPr>
                <w:sz w:val="24"/>
              </w:rPr>
              <w:t>综上所述，本项目采用的废气处理工艺成熟、技术可靠、运行稳定、成本和运行费用均较低、经济合理，废气治理措施工艺、技术、经济可行。</w:t>
            </w:r>
          </w:p>
          <w:p w14:paraId="73CC046E">
            <w:pPr>
              <w:spacing w:line="480" w:lineRule="exact"/>
              <w:ind w:firstLine="480" w:firstLineChars="200"/>
              <w:rPr>
                <w:kern w:val="0"/>
                <w:sz w:val="24"/>
              </w:rPr>
            </w:pPr>
            <w:r>
              <w:rPr>
                <w:kern w:val="0"/>
                <w:sz w:val="24"/>
              </w:rPr>
              <w:t>（2）无组织废气</w:t>
            </w:r>
          </w:p>
          <w:p w14:paraId="74D2DF74">
            <w:pPr>
              <w:spacing w:line="480" w:lineRule="exact"/>
              <w:ind w:firstLine="480" w:firstLineChars="200"/>
              <w:rPr>
                <w:color w:val="FF0000"/>
                <w:sz w:val="24"/>
              </w:rPr>
            </w:pPr>
            <w:r>
              <w:rPr>
                <w:sz w:val="24"/>
              </w:rPr>
              <w:t>项目未捕集到的废气主要通过加强车间通风，并在车间外种植高大树木、花草等绿化方式来减少无组织废气对周围环境的影响，使无组织排放周界外浓度值均低于《大气污染物综合排放标准》（DB32/4041-2021）中表3标准。</w:t>
            </w:r>
          </w:p>
          <w:p w14:paraId="58D349C5">
            <w:pPr>
              <w:spacing w:line="480" w:lineRule="exact"/>
              <w:ind w:firstLine="480" w:firstLineChars="200"/>
              <w:rPr>
                <w:sz w:val="24"/>
              </w:rPr>
            </w:pPr>
            <w:r>
              <w:rPr>
                <w:sz w:val="24"/>
              </w:rPr>
              <w:t>建设单位可通过以下措施加强无组织废气控制：</w:t>
            </w:r>
          </w:p>
          <w:p w14:paraId="3CC1E24F">
            <w:pPr>
              <w:spacing w:line="480" w:lineRule="exact"/>
              <w:ind w:firstLine="480" w:firstLineChars="200"/>
              <w:rPr>
                <w:sz w:val="24"/>
              </w:rPr>
            </w:pPr>
            <w:r>
              <w:rPr>
                <w:sz w:val="24"/>
              </w:rPr>
              <w:t>A.尽量保持废气产生车间和操作间（室）的密闭，合理设计送排风系统，提高废气捕集率，尽量将废气收集集中处理。</w:t>
            </w:r>
          </w:p>
          <w:p w14:paraId="7513BF12">
            <w:pPr>
              <w:spacing w:line="480" w:lineRule="exact"/>
              <w:ind w:firstLine="480" w:firstLineChars="200"/>
              <w:rPr>
                <w:sz w:val="24"/>
              </w:rPr>
            </w:pPr>
            <w:r>
              <w:rPr>
                <w:sz w:val="24"/>
              </w:rPr>
              <w:t>B.加强生产管理，规范操作，使设备设施处于正常工作状态，减少生产、控制、输送等过程中的废气散发。</w:t>
            </w:r>
          </w:p>
          <w:p w14:paraId="11961598">
            <w:pPr>
              <w:spacing w:line="480" w:lineRule="exact"/>
              <w:ind w:firstLine="480" w:firstLineChars="200"/>
              <w:rPr>
                <w:sz w:val="24"/>
              </w:rPr>
            </w:pPr>
            <w:r>
              <w:rPr>
                <w:sz w:val="24"/>
              </w:rPr>
              <w:t>C.对收集废气的管道进行合理设计，尽可能提高废气的收集效率，减少无组织排放源强；同时加强管理，降低工作时间密闭操作间开、关门频率，尽量减少挥发性有机物</w:t>
            </w:r>
            <w:r>
              <w:rPr>
                <w:rFonts w:hint="eastAsia"/>
                <w:sz w:val="24"/>
              </w:rPr>
              <w:t>、颗粒物</w:t>
            </w:r>
            <w:r>
              <w:rPr>
                <w:sz w:val="24"/>
              </w:rPr>
              <w:t>的散逸。</w:t>
            </w:r>
          </w:p>
          <w:p w14:paraId="45C72C07">
            <w:pPr>
              <w:spacing w:line="480" w:lineRule="exact"/>
              <w:ind w:firstLine="480" w:firstLineChars="200"/>
              <w:rPr>
                <w:sz w:val="24"/>
              </w:rPr>
            </w:pPr>
            <w:r>
              <w:rPr>
                <w:sz w:val="24"/>
              </w:rPr>
              <w:t>D.加强车间整体通风换气，屋顶设置气窗或无动力风帽，四周墙壁高位设置壁式轴流风机，使车间内的无组织废气高处排放。</w:t>
            </w:r>
          </w:p>
          <w:p w14:paraId="04F0F126">
            <w:pPr>
              <w:spacing w:line="480" w:lineRule="exact"/>
              <w:ind w:firstLine="480" w:firstLineChars="200"/>
              <w:rPr>
                <w:sz w:val="24"/>
              </w:rPr>
            </w:pPr>
            <w:r>
              <w:rPr>
                <w:sz w:val="24"/>
              </w:rPr>
              <w:t>因此，本项目针对废气治理措施技术稳定可靠、经济可行。</w:t>
            </w:r>
          </w:p>
          <w:p w14:paraId="2A5FE1CC">
            <w:pPr>
              <w:spacing w:line="480" w:lineRule="exact"/>
              <w:ind w:firstLine="482" w:firstLineChars="200"/>
              <w:rPr>
                <w:b/>
                <w:sz w:val="24"/>
              </w:rPr>
            </w:pPr>
            <w:r>
              <w:rPr>
                <w:b/>
                <w:sz w:val="24"/>
              </w:rPr>
              <w:t>3、监测计划</w:t>
            </w:r>
          </w:p>
          <w:p w14:paraId="3B662248">
            <w:pPr>
              <w:spacing w:line="480" w:lineRule="exact"/>
              <w:ind w:firstLine="480" w:firstLineChars="200"/>
              <w:rPr>
                <w:b/>
                <w:bCs/>
                <w:kern w:val="0"/>
                <w:sz w:val="24"/>
              </w:rPr>
            </w:pPr>
            <w:r>
              <w:rPr>
                <w:sz w:val="24"/>
              </w:rPr>
              <w:t>参考</w:t>
            </w:r>
            <w:r>
              <w:rPr>
                <w:rFonts w:hint="eastAsia"/>
                <w:sz w:val="24"/>
              </w:rPr>
              <w:t>《排污单位自行监测技术指南 橡胶和塑料制品》（HJ 1207—2021）等文件中相关规定</w:t>
            </w:r>
            <w:r>
              <w:rPr>
                <w:sz w:val="24"/>
              </w:rPr>
              <w:t>，</w:t>
            </w:r>
            <w:r>
              <w:rPr>
                <w:kern w:val="0"/>
                <w:sz w:val="24"/>
              </w:rPr>
              <w:t>本项目建成后全厂废气监测要求见下表。</w:t>
            </w:r>
          </w:p>
          <w:p w14:paraId="583DEF75">
            <w:pPr>
              <w:spacing w:line="480" w:lineRule="exact"/>
              <w:jc w:val="center"/>
              <w:rPr>
                <w:b/>
                <w:bCs/>
                <w:kern w:val="0"/>
                <w:sz w:val="24"/>
              </w:rPr>
            </w:pPr>
            <w:r>
              <w:rPr>
                <w:b/>
                <w:bCs/>
                <w:kern w:val="0"/>
                <w:sz w:val="24"/>
              </w:rPr>
              <w:t>表4-1</w:t>
            </w:r>
            <w:r>
              <w:rPr>
                <w:rFonts w:hint="eastAsia"/>
                <w:b/>
                <w:bCs/>
                <w:kern w:val="0"/>
                <w:sz w:val="24"/>
                <w:lang w:val="en-US" w:eastAsia="zh-CN"/>
              </w:rPr>
              <w:t>7</w:t>
            </w:r>
            <w:r>
              <w:rPr>
                <w:b/>
                <w:bCs/>
                <w:kern w:val="0"/>
                <w:sz w:val="24"/>
              </w:rPr>
              <w:t xml:space="preserve">  监测计划表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26"/>
              <w:gridCol w:w="1423"/>
              <w:gridCol w:w="1419"/>
              <w:gridCol w:w="4127"/>
              <w:gridCol w:w="952"/>
            </w:tblGrid>
            <w:tr w14:paraId="0C016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Align w:val="center"/>
                </w:tcPr>
                <w:p w14:paraId="5B184A65">
                  <w:pPr>
                    <w:jc w:val="center"/>
                    <w:rPr>
                      <w:b/>
                      <w:szCs w:val="21"/>
                    </w:rPr>
                  </w:pPr>
                  <w:r>
                    <w:rPr>
                      <w:b/>
                      <w:szCs w:val="21"/>
                    </w:rPr>
                    <w:t>排放形式</w:t>
                  </w:r>
                </w:p>
              </w:tc>
              <w:tc>
                <w:tcPr>
                  <w:tcW w:w="795" w:type="pct"/>
                  <w:vAlign w:val="center"/>
                </w:tcPr>
                <w:p w14:paraId="4DEAFE4D">
                  <w:pPr>
                    <w:jc w:val="center"/>
                    <w:rPr>
                      <w:b/>
                      <w:szCs w:val="21"/>
                    </w:rPr>
                  </w:pPr>
                  <w:r>
                    <w:rPr>
                      <w:b/>
                      <w:szCs w:val="21"/>
                    </w:rPr>
                    <w:t>排气筒编号</w:t>
                  </w:r>
                </w:p>
              </w:tc>
              <w:tc>
                <w:tcPr>
                  <w:tcW w:w="793" w:type="pct"/>
                  <w:vAlign w:val="center"/>
                </w:tcPr>
                <w:p w14:paraId="4B2AA23E">
                  <w:pPr>
                    <w:jc w:val="center"/>
                    <w:rPr>
                      <w:b/>
                      <w:szCs w:val="21"/>
                    </w:rPr>
                  </w:pPr>
                  <w:r>
                    <w:rPr>
                      <w:b/>
                      <w:szCs w:val="21"/>
                    </w:rPr>
                    <w:t>排气筒名称</w:t>
                  </w:r>
                </w:p>
              </w:tc>
              <w:tc>
                <w:tcPr>
                  <w:tcW w:w="2306" w:type="pct"/>
                  <w:vAlign w:val="center"/>
                </w:tcPr>
                <w:p w14:paraId="3D9F0F4C">
                  <w:pPr>
                    <w:jc w:val="center"/>
                    <w:rPr>
                      <w:b/>
                      <w:szCs w:val="21"/>
                    </w:rPr>
                  </w:pPr>
                  <w:r>
                    <w:rPr>
                      <w:b/>
                      <w:szCs w:val="21"/>
                    </w:rPr>
                    <w:t>监测因子</w:t>
                  </w:r>
                </w:p>
              </w:tc>
              <w:tc>
                <w:tcPr>
                  <w:tcW w:w="532" w:type="pct"/>
                  <w:vAlign w:val="center"/>
                </w:tcPr>
                <w:p w14:paraId="1A1AAA3B">
                  <w:pPr>
                    <w:jc w:val="center"/>
                    <w:rPr>
                      <w:b/>
                      <w:szCs w:val="21"/>
                    </w:rPr>
                  </w:pPr>
                  <w:r>
                    <w:rPr>
                      <w:b/>
                      <w:szCs w:val="21"/>
                    </w:rPr>
                    <w:t>监测频次</w:t>
                  </w:r>
                </w:p>
              </w:tc>
            </w:tr>
            <w:tr w14:paraId="08FF1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Align w:val="center"/>
                </w:tcPr>
                <w:p w14:paraId="2D06A93E">
                  <w:pPr>
                    <w:jc w:val="center"/>
                    <w:rPr>
                      <w:szCs w:val="21"/>
                    </w:rPr>
                  </w:pPr>
                  <w:r>
                    <w:rPr>
                      <w:szCs w:val="21"/>
                    </w:rPr>
                    <w:t>有组织</w:t>
                  </w:r>
                </w:p>
              </w:tc>
              <w:tc>
                <w:tcPr>
                  <w:tcW w:w="795" w:type="pct"/>
                  <w:vAlign w:val="center"/>
                </w:tcPr>
                <w:p w14:paraId="73978504">
                  <w:pPr>
                    <w:jc w:val="center"/>
                    <w:rPr>
                      <w:szCs w:val="21"/>
                    </w:rPr>
                  </w:pPr>
                  <w:r>
                    <w:rPr>
                      <w:szCs w:val="21"/>
                    </w:rPr>
                    <w:t>DA00</w:t>
                  </w:r>
                  <w:r>
                    <w:rPr>
                      <w:rFonts w:hint="eastAsia"/>
                      <w:szCs w:val="21"/>
                    </w:rPr>
                    <w:t>1</w:t>
                  </w:r>
                </w:p>
              </w:tc>
              <w:tc>
                <w:tcPr>
                  <w:tcW w:w="793" w:type="pct"/>
                  <w:vAlign w:val="center"/>
                </w:tcPr>
                <w:p w14:paraId="16D6CDF6">
                  <w:pPr>
                    <w:jc w:val="center"/>
                    <w:rPr>
                      <w:szCs w:val="21"/>
                    </w:rPr>
                  </w:pPr>
                  <w:r>
                    <w:rPr>
                      <w:rFonts w:hint="eastAsia"/>
                      <w:szCs w:val="21"/>
                    </w:rPr>
                    <w:t>DA001</w:t>
                  </w:r>
                </w:p>
              </w:tc>
              <w:tc>
                <w:tcPr>
                  <w:tcW w:w="2306" w:type="pct"/>
                  <w:vAlign w:val="center"/>
                </w:tcPr>
                <w:p w14:paraId="49A8123C">
                  <w:pPr>
                    <w:jc w:val="center"/>
                    <w:rPr>
                      <w:szCs w:val="21"/>
                    </w:rPr>
                  </w:pPr>
                  <w:r>
                    <w:rPr>
                      <w:rFonts w:hint="eastAsia"/>
                      <w:szCs w:val="21"/>
                      <w:lang w:eastAsia="zh-CN"/>
                    </w:rPr>
                    <w:t>挥发性有机物</w:t>
                  </w:r>
                  <w:r>
                    <w:rPr>
                      <w:rFonts w:hint="eastAsia"/>
                      <w:szCs w:val="21"/>
                    </w:rPr>
                    <w:t>、NOx、SO</w:t>
                  </w:r>
                  <w:r>
                    <w:rPr>
                      <w:rFonts w:hint="eastAsia"/>
                      <w:szCs w:val="21"/>
                      <w:vertAlign w:val="subscript"/>
                    </w:rPr>
                    <w:t>2</w:t>
                  </w:r>
                  <w:r>
                    <w:rPr>
                      <w:rFonts w:hint="eastAsia"/>
                      <w:szCs w:val="21"/>
                    </w:rPr>
                    <w:t>、颗粒物</w:t>
                  </w:r>
                </w:p>
              </w:tc>
              <w:tc>
                <w:tcPr>
                  <w:tcW w:w="532" w:type="pct"/>
                  <w:vAlign w:val="center"/>
                </w:tcPr>
                <w:p w14:paraId="4FD066A8">
                  <w:pPr>
                    <w:jc w:val="center"/>
                    <w:rPr>
                      <w:szCs w:val="21"/>
                    </w:rPr>
                  </w:pPr>
                  <w:r>
                    <w:rPr>
                      <w:szCs w:val="21"/>
                    </w:rPr>
                    <w:t>1次/年</w:t>
                  </w:r>
                </w:p>
              </w:tc>
            </w:tr>
            <w:tr w14:paraId="1A9E4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restart"/>
                  <w:vAlign w:val="center"/>
                </w:tcPr>
                <w:p w14:paraId="3C914387">
                  <w:pPr>
                    <w:jc w:val="center"/>
                    <w:rPr>
                      <w:szCs w:val="21"/>
                    </w:rPr>
                  </w:pPr>
                  <w:r>
                    <w:rPr>
                      <w:szCs w:val="21"/>
                    </w:rPr>
                    <w:t>无组织</w:t>
                  </w:r>
                </w:p>
              </w:tc>
              <w:tc>
                <w:tcPr>
                  <w:tcW w:w="1588" w:type="pct"/>
                  <w:gridSpan w:val="2"/>
                  <w:vAlign w:val="center"/>
                </w:tcPr>
                <w:p w14:paraId="2BD8795F">
                  <w:pPr>
                    <w:jc w:val="center"/>
                    <w:rPr>
                      <w:szCs w:val="21"/>
                    </w:rPr>
                  </w:pPr>
                  <w:r>
                    <w:rPr>
                      <w:szCs w:val="21"/>
                    </w:rPr>
                    <w:t>厂界</w:t>
                  </w:r>
                </w:p>
              </w:tc>
              <w:tc>
                <w:tcPr>
                  <w:tcW w:w="2306" w:type="pct"/>
                  <w:vAlign w:val="center"/>
                </w:tcPr>
                <w:p w14:paraId="2AB4F77F">
                  <w:pPr>
                    <w:jc w:val="center"/>
                    <w:rPr>
                      <w:rFonts w:hint="default" w:eastAsia="宋体"/>
                      <w:szCs w:val="21"/>
                      <w:lang w:val="en-US" w:eastAsia="zh-CN"/>
                    </w:rPr>
                  </w:pPr>
                  <w:r>
                    <w:rPr>
                      <w:rFonts w:hint="eastAsia"/>
                      <w:szCs w:val="21"/>
                    </w:rPr>
                    <w:t>非甲烷总烃、颗粒物</w:t>
                  </w:r>
                </w:p>
              </w:tc>
              <w:tc>
                <w:tcPr>
                  <w:tcW w:w="532" w:type="pct"/>
                  <w:vAlign w:val="center"/>
                </w:tcPr>
                <w:p w14:paraId="7B878FA3">
                  <w:pPr>
                    <w:jc w:val="center"/>
                    <w:rPr>
                      <w:szCs w:val="21"/>
                    </w:rPr>
                  </w:pPr>
                  <w:r>
                    <w:rPr>
                      <w:rFonts w:hint="eastAsia"/>
                      <w:szCs w:val="21"/>
                    </w:rPr>
                    <w:t>1次/</w:t>
                  </w:r>
                  <w:r>
                    <w:rPr>
                      <w:szCs w:val="21"/>
                    </w:rPr>
                    <w:t>年</w:t>
                  </w:r>
                </w:p>
              </w:tc>
            </w:tr>
            <w:tr w14:paraId="1D10E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continue"/>
                  <w:vAlign w:val="center"/>
                </w:tcPr>
                <w:p w14:paraId="45C3BEA0">
                  <w:pPr>
                    <w:jc w:val="center"/>
                    <w:rPr>
                      <w:szCs w:val="21"/>
                    </w:rPr>
                  </w:pPr>
                </w:p>
              </w:tc>
              <w:tc>
                <w:tcPr>
                  <w:tcW w:w="1588" w:type="pct"/>
                  <w:gridSpan w:val="2"/>
                  <w:vAlign w:val="center"/>
                </w:tcPr>
                <w:p w14:paraId="0174D865">
                  <w:pPr>
                    <w:jc w:val="center"/>
                    <w:rPr>
                      <w:szCs w:val="21"/>
                    </w:rPr>
                  </w:pPr>
                  <w:r>
                    <w:rPr>
                      <w:szCs w:val="21"/>
                    </w:rPr>
                    <w:t>厂区内</w:t>
                  </w:r>
                </w:p>
              </w:tc>
              <w:tc>
                <w:tcPr>
                  <w:tcW w:w="2306" w:type="pct"/>
                  <w:vAlign w:val="center"/>
                </w:tcPr>
                <w:p w14:paraId="7A9E4D1D">
                  <w:pPr>
                    <w:jc w:val="center"/>
                    <w:rPr>
                      <w:color w:val="FF0000"/>
                      <w:szCs w:val="21"/>
                    </w:rPr>
                  </w:pPr>
                  <w:r>
                    <w:rPr>
                      <w:rFonts w:hint="eastAsia"/>
                      <w:color w:val="auto"/>
                      <w:szCs w:val="21"/>
                    </w:rPr>
                    <w:t>非甲烷总烃</w:t>
                  </w:r>
                  <w:r>
                    <w:rPr>
                      <w:rFonts w:hint="eastAsia"/>
                      <w:szCs w:val="21"/>
                    </w:rPr>
                    <w:t>、颗粒物</w:t>
                  </w:r>
                </w:p>
              </w:tc>
              <w:tc>
                <w:tcPr>
                  <w:tcW w:w="532" w:type="pct"/>
                  <w:vAlign w:val="center"/>
                </w:tcPr>
                <w:p w14:paraId="26015B1B">
                  <w:pPr>
                    <w:jc w:val="center"/>
                    <w:rPr>
                      <w:szCs w:val="21"/>
                    </w:rPr>
                  </w:pPr>
                  <w:r>
                    <w:rPr>
                      <w:rFonts w:hint="eastAsia"/>
                      <w:szCs w:val="21"/>
                    </w:rPr>
                    <w:t>1次/</w:t>
                  </w:r>
                  <w:r>
                    <w:rPr>
                      <w:szCs w:val="21"/>
                    </w:rPr>
                    <w:t>年</w:t>
                  </w:r>
                </w:p>
              </w:tc>
            </w:tr>
          </w:tbl>
          <w:p w14:paraId="2D55A3B0">
            <w:pPr>
              <w:spacing w:line="480" w:lineRule="exact"/>
              <w:ind w:firstLine="482" w:firstLineChars="200"/>
              <w:rPr>
                <w:b/>
                <w:bCs/>
                <w:sz w:val="24"/>
              </w:rPr>
            </w:pPr>
            <w:r>
              <w:rPr>
                <w:b/>
                <w:kern w:val="0"/>
                <w:sz w:val="24"/>
              </w:rPr>
              <w:t>4、</w:t>
            </w:r>
            <w:r>
              <w:rPr>
                <w:b/>
                <w:bCs/>
                <w:sz w:val="24"/>
              </w:rPr>
              <w:t>环境空气影响分析</w:t>
            </w:r>
          </w:p>
          <w:p w14:paraId="497558CD">
            <w:pPr>
              <w:pStyle w:val="2"/>
              <w:spacing w:before="0" w:after="0" w:line="480" w:lineRule="exact"/>
              <w:ind w:right="0" w:firstLine="480" w:firstLineChars="200"/>
              <w:rPr>
                <w:sz w:val="24"/>
                <w:szCs w:val="24"/>
              </w:rPr>
            </w:pPr>
            <w:r>
              <w:rPr>
                <w:sz w:val="24"/>
                <w:szCs w:val="24"/>
              </w:rPr>
              <w:t>本项目所在区域属于环境空气质量不达标</w:t>
            </w:r>
            <w:r>
              <w:rPr>
                <w:rFonts w:hint="eastAsia"/>
                <w:sz w:val="24"/>
                <w:szCs w:val="24"/>
              </w:rPr>
              <w:t>区域</w:t>
            </w:r>
            <w:r>
              <w:rPr>
                <w:sz w:val="24"/>
                <w:szCs w:val="24"/>
              </w:rPr>
              <w:t>，为改善大气环境质量，常州市印发、实施了多项改善大气环境质量、强化废气排放管控的方案和举措，在积极采取管控措施后，常州市环境空气质量将得到持续改善。</w:t>
            </w:r>
          </w:p>
          <w:p w14:paraId="35DC7D5A">
            <w:pPr>
              <w:spacing w:line="480" w:lineRule="exact"/>
              <w:ind w:firstLine="480" w:firstLineChars="200"/>
              <w:rPr>
                <w:b/>
                <w:bCs/>
                <w:kern w:val="0"/>
                <w:sz w:val="24"/>
              </w:rPr>
            </w:pPr>
            <w:r>
              <w:rPr>
                <w:sz w:val="24"/>
              </w:rPr>
              <w:t>项目采取了可行的污染治理措施治理本项目产生的大气污染物，废气排放浓度和速率均符合</w:t>
            </w:r>
            <w:r>
              <w:rPr>
                <w:rFonts w:hint="eastAsia"/>
                <w:sz w:val="24"/>
              </w:rPr>
              <w:t>《工业涂装工序大气污染物排放标准》（DB32/4439-2022）、《工业炉窑大气污染物排放标准》（DB32/3728-2020）</w:t>
            </w:r>
            <w:r>
              <w:rPr>
                <w:sz w:val="24"/>
              </w:rPr>
              <w:t>中相关标准</w:t>
            </w:r>
            <w:r>
              <w:rPr>
                <w:bCs/>
                <w:sz w:val="24"/>
              </w:rPr>
              <w:t>，无组织废气经过车间排风系统通风后排放量较小，因此，本项目废气排放对区域大气环境的影响较小，不会降低区域大气环境功能级别。</w:t>
            </w:r>
          </w:p>
          <w:p w14:paraId="66C1A71B">
            <w:pPr>
              <w:spacing w:line="480" w:lineRule="exact"/>
              <w:ind w:firstLine="482" w:firstLineChars="200"/>
              <w:rPr>
                <w:b/>
                <w:bCs/>
                <w:kern w:val="0"/>
                <w:sz w:val="24"/>
              </w:rPr>
            </w:pPr>
            <w:r>
              <w:rPr>
                <w:b/>
                <w:bCs/>
                <w:kern w:val="0"/>
                <w:sz w:val="24"/>
              </w:rPr>
              <w:t>5、卫生防护距离</w:t>
            </w:r>
          </w:p>
          <w:p w14:paraId="2E34A69A">
            <w:pPr>
              <w:spacing w:line="480" w:lineRule="exact"/>
              <w:ind w:firstLine="480" w:firstLineChars="200"/>
              <w:rPr>
                <w:sz w:val="24"/>
              </w:rPr>
            </w:pPr>
            <w:r>
              <w:rPr>
                <w:sz w:val="24"/>
              </w:rPr>
              <w:t>根据《大气有害物质无组织排放卫生防护距离推导技术导则》（GB/T39499-2020），各类工业企业卫生防护距离按下式计算：</w:t>
            </w:r>
          </w:p>
          <w:p w14:paraId="34E83C16">
            <w:pPr>
              <w:spacing w:line="480" w:lineRule="atLeast"/>
              <w:ind w:firstLine="200"/>
              <w:jc w:val="center"/>
              <w:rPr>
                <w:sz w:val="24"/>
              </w:rPr>
            </w:pPr>
            <w:r>
              <w:rPr>
                <w:sz w:val="24"/>
              </w:rPr>
              <w:drawing>
                <wp:inline distT="0" distB="0" distL="114300" distR="114300">
                  <wp:extent cx="2295525" cy="447675"/>
                  <wp:effectExtent l="0" t="0" r="0" b="8255"/>
                  <wp:docPr id="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3"/>
                          <pic:cNvPicPr>
                            <a:picLocks noChangeAspect="1"/>
                          </pic:cNvPicPr>
                        </pic:nvPicPr>
                        <pic:blipFill>
                          <a:blip r:embed="rId17"/>
                          <a:stretch>
                            <a:fillRect/>
                          </a:stretch>
                        </pic:blipFill>
                        <pic:spPr>
                          <a:xfrm>
                            <a:off x="0" y="0"/>
                            <a:ext cx="2295525" cy="447675"/>
                          </a:xfrm>
                          <a:prstGeom prst="rect">
                            <a:avLst/>
                          </a:prstGeom>
                          <a:noFill/>
                          <a:ln>
                            <a:noFill/>
                          </a:ln>
                        </pic:spPr>
                      </pic:pic>
                    </a:graphicData>
                  </a:graphic>
                </wp:inline>
              </w:drawing>
            </w:r>
          </w:p>
          <w:p w14:paraId="4C55DF2C">
            <w:pPr>
              <w:spacing w:line="480" w:lineRule="atLeast"/>
              <w:ind w:firstLine="480" w:firstLineChars="200"/>
              <w:rPr>
                <w:sz w:val="24"/>
              </w:rPr>
            </w:pPr>
            <w:r>
              <w:rPr>
                <w:sz w:val="24"/>
              </w:rPr>
              <w:t>式中：</w:t>
            </w:r>
          </w:p>
          <w:p w14:paraId="155F8A41">
            <w:pPr>
              <w:spacing w:line="480" w:lineRule="atLeast"/>
              <w:ind w:firstLine="480" w:firstLineChars="200"/>
              <w:rPr>
                <w:sz w:val="24"/>
              </w:rPr>
            </w:pPr>
            <w:r>
              <w:rPr>
                <w:sz w:val="24"/>
              </w:rPr>
              <w:drawing>
                <wp:inline distT="0" distB="0" distL="114300" distR="114300">
                  <wp:extent cx="209550" cy="238125"/>
                  <wp:effectExtent l="0" t="0" r="0" b="8255"/>
                  <wp:docPr id="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4"/>
                          <pic:cNvPicPr>
                            <a:picLocks noChangeAspect="1"/>
                          </pic:cNvPicPr>
                        </pic:nvPicPr>
                        <pic:blipFill>
                          <a:blip r:embed="rId18"/>
                          <a:stretch>
                            <a:fillRect/>
                          </a:stretch>
                        </pic:blipFill>
                        <pic:spPr>
                          <a:xfrm>
                            <a:off x="0" y="0"/>
                            <a:ext cx="209550" cy="238125"/>
                          </a:xfrm>
                          <a:prstGeom prst="rect">
                            <a:avLst/>
                          </a:prstGeom>
                          <a:noFill/>
                          <a:ln>
                            <a:noFill/>
                          </a:ln>
                        </pic:spPr>
                      </pic:pic>
                    </a:graphicData>
                  </a:graphic>
                </wp:inline>
              </w:drawing>
            </w:r>
            <w:r>
              <w:rPr>
                <w:sz w:val="24"/>
              </w:rPr>
              <w:t>——大气有害物质环境空气质量的标准限值，单位为毫克每立方米（mg/m</w:t>
            </w:r>
            <w:r>
              <w:rPr>
                <w:sz w:val="24"/>
                <w:vertAlign w:val="superscript"/>
              </w:rPr>
              <w:t>3</w:t>
            </w:r>
            <w:r>
              <w:rPr>
                <w:sz w:val="24"/>
              </w:rPr>
              <w:t>）；</w:t>
            </w:r>
          </w:p>
          <w:p w14:paraId="0D47AF57">
            <w:pPr>
              <w:spacing w:line="480" w:lineRule="atLeast"/>
              <w:ind w:firstLine="480" w:firstLineChars="200"/>
              <w:rPr>
                <w:sz w:val="24"/>
              </w:rPr>
            </w:pPr>
            <w:r>
              <w:rPr>
                <w:sz w:val="24"/>
              </w:rPr>
              <w:t>L——大气有害物质卫生防护距离初值，单位为米（m）；</w:t>
            </w:r>
          </w:p>
          <w:p w14:paraId="121E5A46">
            <w:pPr>
              <w:spacing w:line="480" w:lineRule="atLeast"/>
              <w:ind w:firstLine="480" w:firstLineChars="200"/>
              <w:rPr>
                <w:sz w:val="24"/>
              </w:rPr>
            </w:pPr>
            <w:r>
              <w:rPr>
                <w:sz w:val="24"/>
              </w:rPr>
              <w:t>r ——大气有害物质无组织排放源所在生产单元的等效半径，单位为米（m）；</w:t>
            </w:r>
          </w:p>
          <w:p w14:paraId="3179F5B7">
            <w:pPr>
              <w:spacing w:line="480" w:lineRule="atLeast"/>
              <w:ind w:firstLine="480" w:firstLineChars="200"/>
              <w:rPr>
                <w:sz w:val="24"/>
              </w:rPr>
            </w:pPr>
            <w:r>
              <w:rPr>
                <w:sz w:val="24"/>
              </w:rPr>
              <w:t>A、B、C、D——卫生防护距离初值计算系数，无因次，根据工业企业所在地区近5年平均风速及大气污染源构成类别从《大气有害物质无组织排放卫生防护距离推倒技术导则》（GB/T39499-2020）表1中查取；</w:t>
            </w:r>
          </w:p>
          <w:p w14:paraId="2ED42F7E">
            <w:pPr>
              <w:spacing w:line="480" w:lineRule="atLeast"/>
              <w:ind w:firstLine="480" w:firstLineChars="200"/>
              <w:rPr>
                <w:sz w:val="24"/>
              </w:rPr>
            </w:pPr>
            <w:r>
              <w:rPr>
                <w:sz w:val="24"/>
              </w:rPr>
              <w:drawing>
                <wp:inline distT="0" distB="0" distL="114300" distR="114300">
                  <wp:extent cx="190500" cy="238125"/>
                  <wp:effectExtent l="0" t="0" r="0" b="8255"/>
                  <wp:docPr id="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5"/>
                          <pic:cNvPicPr>
                            <a:picLocks noChangeAspect="1"/>
                          </pic:cNvPicPr>
                        </pic:nvPicPr>
                        <pic:blipFill>
                          <a:blip r:embed="rId19"/>
                          <a:stretch>
                            <a:fillRect/>
                          </a:stretch>
                        </pic:blipFill>
                        <pic:spPr>
                          <a:xfrm>
                            <a:off x="0" y="0"/>
                            <a:ext cx="190500" cy="238125"/>
                          </a:xfrm>
                          <a:prstGeom prst="rect">
                            <a:avLst/>
                          </a:prstGeom>
                          <a:noFill/>
                          <a:ln>
                            <a:noFill/>
                          </a:ln>
                        </pic:spPr>
                      </pic:pic>
                    </a:graphicData>
                  </a:graphic>
                </wp:inline>
              </w:drawing>
            </w:r>
            <w:r>
              <w:rPr>
                <w:sz w:val="24"/>
              </w:rPr>
              <w:t>——大气有害物质的无组织排放量，单位为千克每小时（kg/h）；</w:t>
            </w:r>
          </w:p>
          <w:p w14:paraId="1D2ECF97">
            <w:pPr>
              <w:snapToGrid w:val="0"/>
              <w:spacing w:line="480" w:lineRule="atLeast"/>
              <w:ind w:firstLine="480" w:firstLineChars="200"/>
              <w:rPr>
                <w:b/>
                <w:sz w:val="24"/>
              </w:rPr>
            </w:pPr>
            <w:r>
              <w:rPr>
                <w:sz w:val="24"/>
              </w:rPr>
              <w:t>卫生防护距离所用参数和计算结果见表4-1</w:t>
            </w:r>
            <w:r>
              <w:rPr>
                <w:rFonts w:hint="eastAsia"/>
                <w:sz w:val="24"/>
                <w:lang w:val="en-US" w:eastAsia="zh-CN"/>
              </w:rPr>
              <w:t>8</w:t>
            </w:r>
            <w:r>
              <w:rPr>
                <w:sz w:val="24"/>
              </w:rPr>
              <w:t>。</w:t>
            </w:r>
          </w:p>
          <w:p w14:paraId="27DE8D07">
            <w:pPr>
              <w:pStyle w:val="107"/>
              <w:spacing w:line="480" w:lineRule="atLeast"/>
              <w:rPr>
                <w:rFonts w:hAnsi="Times New Roman" w:eastAsia="宋体"/>
                <w:b/>
                <w:bCs/>
                <w:color w:val="auto"/>
                <w:sz w:val="24"/>
                <w:szCs w:val="24"/>
              </w:rPr>
            </w:pPr>
            <w:r>
              <w:rPr>
                <w:rFonts w:hAnsi="Times New Roman" w:eastAsia="宋体"/>
                <w:b/>
                <w:bCs/>
                <w:color w:val="auto"/>
                <w:sz w:val="24"/>
                <w:szCs w:val="24"/>
              </w:rPr>
              <w:t>表4</w:t>
            </w:r>
            <w:r>
              <w:rPr>
                <w:rFonts w:hAnsi="Times New Roman" w:eastAsia="宋体"/>
                <w:b/>
                <w:bCs/>
                <w:color w:val="auto"/>
                <w:sz w:val="24"/>
                <w:szCs w:val="24"/>
                <w:lang w:val="en-US"/>
              </w:rPr>
              <w:t>-1</w:t>
            </w:r>
            <w:r>
              <w:rPr>
                <w:rFonts w:hint="eastAsia" w:hAnsi="Times New Roman" w:eastAsia="宋体"/>
                <w:b/>
                <w:bCs/>
                <w:color w:val="auto"/>
                <w:sz w:val="24"/>
                <w:szCs w:val="24"/>
                <w:lang w:val="en-US" w:eastAsia="zh-CN"/>
              </w:rPr>
              <w:t>8</w:t>
            </w:r>
            <w:r>
              <w:rPr>
                <w:rFonts w:hAnsi="Times New Roman" w:eastAsia="宋体"/>
                <w:b/>
                <w:bCs/>
                <w:color w:val="auto"/>
                <w:sz w:val="24"/>
                <w:szCs w:val="24"/>
                <w:lang w:val="en-US"/>
              </w:rPr>
              <w:t xml:space="preserve">  </w:t>
            </w:r>
            <w:r>
              <w:rPr>
                <w:rFonts w:hAnsi="Times New Roman" w:eastAsia="宋体"/>
                <w:b/>
                <w:bCs/>
                <w:color w:val="auto"/>
                <w:sz w:val="24"/>
                <w:szCs w:val="24"/>
              </w:rPr>
              <w:t>卫生防护距离计算系数</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969"/>
              <w:gridCol w:w="847"/>
              <w:gridCol w:w="847"/>
              <w:gridCol w:w="850"/>
              <w:gridCol w:w="847"/>
              <w:gridCol w:w="847"/>
              <w:gridCol w:w="854"/>
              <w:gridCol w:w="847"/>
              <w:gridCol w:w="847"/>
              <w:gridCol w:w="650"/>
            </w:tblGrid>
            <w:tr w14:paraId="599B2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restart"/>
                  <w:vAlign w:val="center"/>
                </w:tcPr>
                <w:p w14:paraId="1FD50FB9">
                  <w:pPr>
                    <w:pStyle w:val="108"/>
                    <w:rPr>
                      <w:color w:val="auto"/>
                      <w:szCs w:val="21"/>
                    </w:rPr>
                  </w:pPr>
                  <w:r>
                    <w:rPr>
                      <w:color w:val="auto"/>
                      <w:szCs w:val="21"/>
                    </w:rPr>
                    <w:t>计</w:t>
                  </w:r>
                </w:p>
                <w:p w14:paraId="4BC8FF4D">
                  <w:pPr>
                    <w:pStyle w:val="108"/>
                    <w:rPr>
                      <w:color w:val="auto"/>
                      <w:szCs w:val="21"/>
                    </w:rPr>
                  </w:pPr>
                  <w:r>
                    <w:rPr>
                      <w:color w:val="auto"/>
                      <w:szCs w:val="21"/>
                    </w:rPr>
                    <w:t>算</w:t>
                  </w:r>
                </w:p>
                <w:p w14:paraId="78F717AB">
                  <w:pPr>
                    <w:pStyle w:val="108"/>
                    <w:rPr>
                      <w:color w:val="auto"/>
                      <w:szCs w:val="21"/>
                    </w:rPr>
                  </w:pPr>
                  <w:r>
                    <w:rPr>
                      <w:color w:val="auto"/>
                      <w:szCs w:val="21"/>
                    </w:rPr>
                    <w:t>系</w:t>
                  </w:r>
                </w:p>
                <w:p w14:paraId="3A53EE23">
                  <w:pPr>
                    <w:pStyle w:val="108"/>
                    <w:rPr>
                      <w:color w:val="auto"/>
                      <w:szCs w:val="21"/>
                    </w:rPr>
                  </w:pPr>
                  <w:r>
                    <w:rPr>
                      <w:color w:val="auto"/>
                      <w:szCs w:val="21"/>
                    </w:rPr>
                    <w:t>数</w:t>
                  </w:r>
                </w:p>
              </w:tc>
              <w:tc>
                <w:tcPr>
                  <w:tcW w:w="541" w:type="pct"/>
                  <w:vMerge w:val="restart"/>
                  <w:vAlign w:val="center"/>
                </w:tcPr>
                <w:p w14:paraId="40E387A9">
                  <w:pPr>
                    <w:pStyle w:val="108"/>
                    <w:rPr>
                      <w:color w:val="auto"/>
                      <w:szCs w:val="21"/>
                    </w:rPr>
                  </w:pPr>
                  <w:r>
                    <w:rPr>
                      <w:color w:val="auto"/>
                      <w:szCs w:val="21"/>
                    </w:rPr>
                    <w:t>5年平均风速</w:t>
                  </w:r>
                </w:p>
                <w:p w14:paraId="73D83B27">
                  <w:pPr>
                    <w:pStyle w:val="108"/>
                    <w:rPr>
                      <w:color w:val="auto"/>
                      <w:szCs w:val="21"/>
                    </w:rPr>
                  </w:pPr>
                  <w:r>
                    <w:rPr>
                      <w:color w:val="auto"/>
                      <w:szCs w:val="21"/>
                    </w:rPr>
                    <w:t>m/s</w:t>
                  </w:r>
                </w:p>
              </w:tc>
              <w:tc>
                <w:tcPr>
                  <w:tcW w:w="4151" w:type="pct"/>
                  <w:gridSpan w:val="9"/>
                  <w:vAlign w:val="center"/>
                </w:tcPr>
                <w:p w14:paraId="4962426D">
                  <w:pPr>
                    <w:pStyle w:val="108"/>
                    <w:rPr>
                      <w:color w:val="auto"/>
                      <w:szCs w:val="21"/>
                    </w:rPr>
                  </w:pPr>
                  <w:r>
                    <w:rPr>
                      <w:color w:val="auto"/>
                      <w:szCs w:val="21"/>
                    </w:rPr>
                    <w:t>卫生防护距离L，m</w:t>
                  </w:r>
                </w:p>
              </w:tc>
            </w:tr>
            <w:tr w14:paraId="3A908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continue"/>
                  <w:vAlign w:val="center"/>
                </w:tcPr>
                <w:p w14:paraId="2F6C4C8D">
                  <w:pPr>
                    <w:pStyle w:val="108"/>
                    <w:rPr>
                      <w:color w:val="auto"/>
                      <w:szCs w:val="21"/>
                    </w:rPr>
                  </w:pPr>
                </w:p>
              </w:tc>
              <w:tc>
                <w:tcPr>
                  <w:tcW w:w="541" w:type="pct"/>
                  <w:vMerge w:val="continue"/>
                  <w:vAlign w:val="center"/>
                </w:tcPr>
                <w:p w14:paraId="68C194F6">
                  <w:pPr>
                    <w:pStyle w:val="108"/>
                    <w:rPr>
                      <w:color w:val="auto"/>
                      <w:szCs w:val="21"/>
                    </w:rPr>
                  </w:pPr>
                </w:p>
              </w:tc>
              <w:tc>
                <w:tcPr>
                  <w:tcW w:w="1421" w:type="pct"/>
                  <w:gridSpan w:val="3"/>
                  <w:vAlign w:val="center"/>
                </w:tcPr>
                <w:p w14:paraId="657C961A">
                  <w:pPr>
                    <w:pStyle w:val="108"/>
                    <w:rPr>
                      <w:color w:val="auto"/>
                      <w:szCs w:val="21"/>
                    </w:rPr>
                  </w:pPr>
                  <w:r>
                    <w:rPr>
                      <w:color w:val="auto"/>
                      <w:szCs w:val="21"/>
                    </w:rPr>
                    <w:t>L≤1000</w:t>
                  </w:r>
                </w:p>
              </w:tc>
              <w:tc>
                <w:tcPr>
                  <w:tcW w:w="1423" w:type="pct"/>
                  <w:gridSpan w:val="3"/>
                  <w:vAlign w:val="center"/>
                </w:tcPr>
                <w:p w14:paraId="7797637F">
                  <w:pPr>
                    <w:pStyle w:val="108"/>
                    <w:rPr>
                      <w:color w:val="auto"/>
                      <w:szCs w:val="21"/>
                    </w:rPr>
                  </w:pPr>
                  <w:r>
                    <w:rPr>
                      <w:color w:val="auto"/>
                      <w:szCs w:val="21"/>
                    </w:rPr>
                    <w:t>1000</w:t>
                  </w:r>
                  <w:r>
                    <w:rPr>
                      <w:rFonts w:hint="eastAsia"/>
                      <w:color w:val="auto"/>
                      <w:szCs w:val="21"/>
                    </w:rPr>
                    <w:t>&lt;</w:t>
                  </w:r>
                  <w:r>
                    <w:rPr>
                      <w:color w:val="auto"/>
                      <w:szCs w:val="21"/>
                    </w:rPr>
                    <w:t>L≤2000</w:t>
                  </w:r>
                </w:p>
              </w:tc>
              <w:tc>
                <w:tcPr>
                  <w:tcW w:w="1307" w:type="pct"/>
                  <w:gridSpan w:val="3"/>
                  <w:vAlign w:val="center"/>
                </w:tcPr>
                <w:p w14:paraId="05D0E93D">
                  <w:pPr>
                    <w:pStyle w:val="108"/>
                    <w:rPr>
                      <w:color w:val="auto"/>
                      <w:szCs w:val="21"/>
                    </w:rPr>
                  </w:pPr>
                  <w:r>
                    <w:rPr>
                      <w:color w:val="auto"/>
                      <w:szCs w:val="21"/>
                    </w:rPr>
                    <w:t>L</w:t>
                  </w:r>
                  <w:r>
                    <w:rPr>
                      <w:rFonts w:hint="eastAsia"/>
                      <w:color w:val="auto"/>
                      <w:szCs w:val="21"/>
                    </w:rPr>
                    <w:t>&gt;</w:t>
                  </w:r>
                  <w:r>
                    <w:rPr>
                      <w:color w:val="auto"/>
                      <w:szCs w:val="21"/>
                    </w:rPr>
                    <w:t>2000</w:t>
                  </w:r>
                </w:p>
              </w:tc>
            </w:tr>
            <w:tr w14:paraId="71A72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continue"/>
                  <w:vAlign w:val="center"/>
                </w:tcPr>
                <w:p w14:paraId="55353D70">
                  <w:pPr>
                    <w:pStyle w:val="108"/>
                    <w:rPr>
                      <w:color w:val="auto"/>
                      <w:szCs w:val="21"/>
                    </w:rPr>
                  </w:pPr>
                </w:p>
              </w:tc>
              <w:tc>
                <w:tcPr>
                  <w:tcW w:w="541" w:type="pct"/>
                  <w:vMerge w:val="continue"/>
                  <w:vAlign w:val="center"/>
                </w:tcPr>
                <w:p w14:paraId="7682C47B">
                  <w:pPr>
                    <w:pStyle w:val="108"/>
                    <w:rPr>
                      <w:color w:val="auto"/>
                      <w:szCs w:val="21"/>
                    </w:rPr>
                  </w:pPr>
                </w:p>
              </w:tc>
              <w:tc>
                <w:tcPr>
                  <w:tcW w:w="4151" w:type="pct"/>
                  <w:gridSpan w:val="9"/>
                  <w:vAlign w:val="center"/>
                </w:tcPr>
                <w:p w14:paraId="11B897E0">
                  <w:pPr>
                    <w:pStyle w:val="108"/>
                    <w:rPr>
                      <w:color w:val="auto"/>
                      <w:szCs w:val="21"/>
                    </w:rPr>
                  </w:pPr>
                  <w:r>
                    <w:rPr>
                      <w:color w:val="auto"/>
                      <w:szCs w:val="21"/>
                    </w:rPr>
                    <w:t>工业大气污染源构成类别</w:t>
                  </w:r>
                </w:p>
              </w:tc>
            </w:tr>
            <w:tr w14:paraId="06794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continue"/>
                  <w:vAlign w:val="center"/>
                </w:tcPr>
                <w:p w14:paraId="33FC3A2E">
                  <w:pPr>
                    <w:pStyle w:val="108"/>
                    <w:rPr>
                      <w:color w:val="auto"/>
                      <w:szCs w:val="21"/>
                    </w:rPr>
                  </w:pPr>
                </w:p>
              </w:tc>
              <w:tc>
                <w:tcPr>
                  <w:tcW w:w="541" w:type="pct"/>
                  <w:vMerge w:val="continue"/>
                  <w:vAlign w:val="center"/>
                </w:tcPr>
                <w:p w14:paraId="6E50B460">
                  <w:pPr>
                    <w:pStyle w:val="108"/>
                    <w:rPr>
                      <w:color w:val="auto"/>
                      <w:szCs w:val="21"/>
                    </w:rPr>
                  </w:pPr>
                </w:p>
              </w:tc>
              <w:tc>
                <w:tcPr>
                  <w:tcW w:w="473" w:type="pct"/>
                  <w:vAlign w:val="center"/>
                </w:tcPr>
                <w:p w14:paraId="2924B386">
                  <w:pPr>
                    <w:pStyle w:val="108"/>
                    <w:rPr>
                      <w:color w:val="auto"/>
                      <w:szCs w:val="21"/>
                    </w:rPr>
                  </w:pPr>
                  <w:r>
                    <w:rPr>
                      <w:color w:val="auto"/>
                      <w:szCs w:val="21"/>
                    </w:rPr>
                    <w:t>Ⅰ</w:t>
                  </w:r>
                </w:p>
              </w:tc>
              <w:tc>
                <w:tcPr>
                  <w:tcW w:w="473" w:type="pct"/>
                  <w:vAlign w:val="center"/>
                </w:tcPr>
                <w:p w14:paraId="0007DDD8">
                  <w:pPr>
                    <w:pStyle w:val="108"/>
                    <w:rPr>
                      <w:color w:val="auto"/>
                      <w:szCs w:val="21"/>
                    </w:rPr>
                  </w:pPr>
                  <w:r>
                    <w:rPr>
                      <w:color w:val="auto"/>
                      <w:szCs w:val="21"/>
                    </w:rPr>
                    <w:t>Ⅱ</w:t>
                  </w:r>
                </w:p>
              </w:tc>
              <w:tc>
                <w:tcPr>
                  <w:tcW w:w="473" w:type="pct"/>
                  <w:vAlign w:val="center"/>
                </w:tcPr>
                <w:p w14:paraId="48D669DB">
                  <w:pPr>
                    <w:pStyle w:val="108"/>
                    <w:rPr>
                      <w:color w:val="auto"/>
                      <w:szCs w:val="21"/>
                    </w:rPr>
                  </w:pPr>
                  <w:r>
                    <w:rPr>
                      <w:color w:val="auto"/>
                      <w:szCs w:val="21"/>
                    </w:rPr>
                    <w:t>Ⅲ</w:t>
                  </w:r>
                </w:p>
              </w:tc>
              <w:tc>
                <w:tcPr>
                  <w:tcW w:w="473" w:type="pct"/>
                  <w:vAlign w:val="center"/>
                </w:tcPr>
                <w:p w14:paraId="64A7CDD9">
                  <w:pPr>
                    <w:pStyle w:val="108"/>
                    <w:rPr>
                      <w:color w:val="auto"/>
                      <w:szCs w:val="21"/>
                    </w:rPr>
                  </w:pPr>
                  <w:r>
                    <w:rPr>
                      <w:color w:val="auto"/>
                      <w:szCs w:val="21"/>
                    </w:rPr>
                    <w:t>Ⅰ</w:t>
                  </w:r>
                </w:p>
              </w:tc>
              <w:tc>
                <w:tcPr>
                  <w:tcW w:w="473" w:type="pct"/>
                  <w:vAlign w:val="center"/>
                </w:tcPr>
                <w:p w14:paraId="1490FCC3">
                  <w:pPr>
                    <w:pStyle w:val="108"/>
                    <w:rPr>
                      <w:color w:val="auto"/>
                      <w:szCs w:val="21"/>
                    </w:rPr>
                  </w:pPr>
                  <w:r>
                    <w:rPr>
                      <w:color w:val="auto"/>
                      <w:szCs w:val="21"/>
                    </w:rPr>
                    <w:t>Ⅱ</w:t>
                  </w:r>
                </w:p>
              </w:tc>
              <w:tc>
                <w:tcPr>
                  <w:tcW w:w="475" w:type="pct"/>
                  <w:vAlign w:val="center"/>
                </w:tcPr>
                <w:p w14:paraId="193D9325">
                  <w:pPr>
                    <w:pStyle w:val="108"/>
                    <w:rPr>
                      <w:color w:val="auto"/>
                      <w:szCs w:val="21"/>
                    </w:rPr>
                  </w:pPr>
                  <w:r>
                    <w:rPr>
                      <w:color w:val="auto"/>
                      <w:szCs w:val="21"/>
                    </w:rPr>
                    <w:t>Ⅲ</w:t>
                  </w:r>
                </w:p>
              </w:tc>
              <w:tc>
                <w:tcPr>
                  <w:tcW w:w="473" w:type="pct"/>
                  <w:vAlign w:val="center"/>
                </w:tcPr>
                <w:p w14:paraId="6A429ECC">
                  <w:pPr>
                    <w:pStyle w:val="108"/>
                    <w:rPr>
                      <w:color w:val="auto"/>
                      <w:szCs w:val="21"/>
                    </w:rPr>
                  </w:pPr>
                  <w:r>
                    <w:rPr>
                      <w:color w:val="auto"/>
                      <w:szCs w:val="21"/>
                    </w:rPr>
                    <w:t>Ⅰ</w:t>
                  </w:r>
                </w:p>
              </w:tc>
              <w:tc>
                <w:tcPr>
                  <w:tcW w:w="473" w:type="pct"/>
                  <w:vAlign w:val="center"/>
                </w:tcPr>
                <w:p w14:paraId="18D2E655">
                  <w:pPr>
                    <w:pStyle w:val="108"/>
                    <w:rPr>
                      <w:color w:val="auto"/>
                      <w:szCs w:val="21"/>
                    </w:rPr>
                  </w:pPr>
                  <w:r>
                    <w:rPr>
                      <w:color w:val="auto"/>
                      <w:szCs w:val="21"/>
                    </w:rPr>
                    <w:t>Ⅱ</w:t>
                  </w:r>
                </w:p>
              </w:tc>
              <w:tc>
                <w:tcPr>
                  <w:tcW w:w="359" w:type="pct"/>
                  <w:vAlign w:val="center"/>
                </w:tcPr>
                <w:p w14:paraId="6DDB05C5">
                  <w:pPr>
                    <w:pStyle w:val="108"/>
                    <w:rPr>
                      <w:color w:val="auto"/>
                      <w:szCs w:val="21"/>
                    </w:rPr>
                  </w:pPr>
                  <w:r>
                    <w:rPr>
                      <w:color w:val="auto"/>
                      <w:szCs w:val="21"/>
                    </w:rPr>
                    <w:t>Ⅲ</w:t>
                  </w:r>
                </w:p>
              </w:tc>
            </w:tr>
            <w:tr w14:paraId="16502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restart"/>
                  <w:vAlign w:val="center"/>
                </w:tcPr>
                <w:p w14:paraId="76AF6492">
                  <w:pPr>
                    <w:pStyle w:val="108"/>
                    <w:rPr>
                      <w:color w:val="auto"/>
                      <w:szCs w:val="21"/>
                    </w:rPr>
                  </w:pPr>
                  <w:r>
                    <w:rPr>
                      <w:color w:val="auto"/>
                      <w:szCs w:val="21"/>
                    </w:rPr>
                    <w:t>A</w:t>
                  </w:r>
                </w:p>
              </w:tc>
              <w:tc>
                <w:tcPr>
                  <w:tcW w:w="541" w:type="pct"/>
                  <w:vAlign w:val="center"/>
                </w:tcPr>
                <w:p w14:paraId="41B22F52">
                  <w:pPr>
                    <w:pStyle w:val="108"/>
                    <w:rPr>
                      <w:color w:val="auto"/>
                      <w:szCs w:val="21"/>
                    </w:rPr>
                  </w:pPr>
                  <w:r>
                    <w:rPr>
                      <w:rFonts w:hint="eastAsia"/>
                      <w:color w:val="auto"/>
                      <w:szCs w:val="21"/>
                    </w:rPr>
                    <w:t>&lt;</w:t>
                  </w:r>
                  <w:r>
                    <w:rPr>
                      <w:color w:val="auto"/>
                      <w:szCs w:val="21"/>
                    </w:rPr>
                    <w:t>2</w:t>
                  </w:r>
                </w:p>
              </w:tc>
              <w:tc>
                <w:tcPr>
                  <w:tcW w:w="473" w:type="pct"/>
                  <w:vAlign w:val="center"/>
                </w:tcPr>
                <w:p w14:paraId="6BCE4769">
                  <w:pPr>
                    <w:pStyle w:val="108"/>
                    <w:rPr>
                      <w:color w:val="auto"/>
                      <w:szCs w:val="21"/>
                    </w:rPr>
                  </w:pPr>
                  <w:r>
                    <w:rPr>
                      <w:color w:val="auto"/>
                      <w:szCs w:val="21"/>
                    </w:rPr>
                    <w:t>400</w:t>
                  </w:r>
                </w:p>
              </w:tc>
              <w:tc>
                <w:tcPr>
                  <w:tcW w:w="473" w:type="pct"/>
                  <w:vAlign w:val="center"/>
                </w:tcPr>
                <w:p w14:paraId="63967330">
                  <w:pPr>
                    <w:pStyle w:val="108"/>
                    <w:rPr>
                      <w:color w:val="auto"/>
                      <w:szCs w:val="21"/>
                    </w:rPr>
                  </w:pPr>
                  <w:r>
                    <w:rPr>
                      <w:color w:val="auto"/>
                      <w:szCs w:val="21"/>
                    </w:rPr>
                    <w:t>400</w:t>
                  </w:r>
                </w:p>
              </w:tc>
              <w:tc>
                <w:tcPr>
                  <w:tcW w:w="473" w:type="pct"/>
                  <w:vAlign w:val="center"/>
                </w:tcPr>
                <w:p w14:paraId="1DCDF5F2">
                  <w:pPr>
                    <w:pStyle w:val="108"/>
                    <w:rPr>
                      <w:color w:val="auto"/>
                      <w:szCs w:val="21"/>
                    </w:rPr>
                  </w:pPr>
                  <w:r>
                    <w:rPr>
                      <w:color w:val="auto"/>
                      <w:szCs w:val="21"/>
                    </w:rPr>
                    <w:t>400</w:t>
                  </w:r>
                </w:p>
              </w:tc>
              <w:tc>
                <w:tcPr>
                  <w:tcW w:w="473" w:type="pct"/>
                  <w:vAlign w:val="center"/>
                </w:tcPr>
                <w:p w14:paraId="016101E9">
                  <w:pPr>
                    <w:pStyle w:val="108"/>
                    <w:rPr>
                      <w:color w:val="auto"/>
                      <w:szCs w:val="21"/>
                    </w:rPr>
                  </w:pPr>
                  <w:r>
                    <w:rPr>
                      <w:color w:val="auto"/>
                      <w:szCs w:val="21"/>
                    </w:rPr>
                    <w:t>400</w:t>
                  </w:r>
                </w:p>
              </w:tc>
              <w:tc>
                <w:tcPr>
                  <w:tcW w:w="473" w:type="pct"/>
                  <w:vAlign w:val="center"/>
                </w:tcPr>
                <w:p w14:paraId="0192F594">
                  <w:pPr>
                    <w:pStyle w:val="108"/>
                    <w:rPr>
                      <w:color w:val="auto"/>
                      <w:szCs w:val="21"/>
                    </w:rPr>
                  </w:pPr>
                  <w:r>
                    <w:rPr>
                      <w:color w:val="auto"/>
                      <w:szCs w:val="21"/>
                    </w:rPr>
                    <w:t>400</w:t>
                  </w:r>
                </w:p>
              </w:tc>
              <w:tc>
                <w:tcPr>
                  <w:tcW w:w="475" w:type="pct"/>
                  <w:vAlign w:val="center"/>
                </w:tcPr>
                <w:p w14:paraId="7DE3EF80">
                  <w:pPr>
                    <w:pStyle w:val="108"/>
                    <w:rPr>
                      <w:color w:val="auto"/>
                      <w:szCs w:val="21"/>
                    </w:rPr>
                  </w:pPr>
                  <w:r>
                    <w:rPr>
                      <w:color w:val="auto"/>
                      <w:szCs w:val="21"/>
                    </w:rPr>
                    <w:t>400</w:t>
                  </w:r>
                </w:p>
              </w:tc>
              <w:tc>
                <w:tcPr>
                  <w:tcW w:w="473" w:type="pct"/>
                  <w:vAlign w:val="center"/>
                </w:tcPr>
                <w:p w14:paraId="2C680ACE">
                  <w:pPr>
                    <w:pStyle w:val="108"/>
                    <w:rPr>
                      <w:color w:val="auto"/>
                      <w:szCs w:val="21"/>
                    </w:rPr>
                  </w:pPr>
                  <w:r>
                    <w:rPr>
                      <w:color w:val="auto"/>
                      <w:szCs w:val="21"/>
                    </w:rPr>
                    <w:t>80</w:t>
                  </w:r>
                </w:p>
              </w:tc>
              <w:tc>
                <w:tcPr>
                  <w:tcW w:w="473" w:type="pct"/>
                  <w:vAlign w:val="center"/>
                </w:tcPr>
                <w:p w14:paraId="2E735163">
                  <w:pPr>
                    <w:pStyle w:val="108"/>
                    <w:rPr>
                      <w:color w:val="auto"/>
                      <w:szCs w:val="21"/>
                    </w:rPr>
                  </w:pPr>
                  <w:r>
                    <w:rPr>
                      <w:color w:val="auto"/>
                      <w:szCs w:val="21"/>
                    </w:rPr>
                    <w:t>80</w:t>
                  </w:r>
                </w:p>
              </w:tc>
              <w:tc>
                <w:tcPr>
                  <w:tcW w:w="359" w:type="pct"/>
                  <w:vAlign w:val="center"/>
                </w:tcPr>
                <w:p w14:paraId="1906008F">
                  <w:pPr>
                    <w:pStyle w:val="108"/>
                    <w:rPr>
                      <w:color w:val="auto"/>
                      <w:szCs w:val="21"/>
                    </w:rPr>
                  </w:pPr>
                  <w:r>
                    <w:rPr>
                      <w:color w:val="auto"/>
                      <w:szCs w:val="21"/>
                    </w:rPr>
                    <w:t>80</w:t>
                  </w:r>
                </w:p>
              </w:tc>
            </w:tr>
            <w:tr w14:paraId="44821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continue"/>
                  <w:vAlign w:val="center"/>
                </w:tcPr>
                <w:p w14:paraId="1CE54FD7">
                  <w:pPr>
                    <w:pStyle w:val="108"/>
                    <w:rPr>
                      <w:color w:val="auto"/>
                      <w:szCs w:val="21"/>
                    </w:rPr>
                  </w:pPr>
                </w:p>
              </w:tc>
              <w:tc>
                <w:tcPr>
                  <w:tcW w:w="541" w:type="pct"/>
                  <w:vAlign w:val="center"/>
                </w:tcPr>
                <w:p w14:paraId="24349F2F">
                  <w:pPr>
                    <w:pStyle w:val="108"/>
                    <w:rPr>
                      <w:color w:val="auto"/>
                      <w:szCs w:val="21"/>
                    </w:rPr>
                  </w:pPr>
                  <w:r>
                    <w:rPr>
                      <w:color w:val="auto"/>
                      <w:szCs w:val="21"/>
                    </w:rPr>
                    <w:t>2</w:t>
                  </w:r>
                  <w:r>
                    <w:rPr>
                      <w:rFonts w:hint="eastAsia"/>
                      <w:color w:val="auto"/>
                      <w:szCs w:val="21"/>
                    </w:rPr>
                    <w:t>~</w:t>
                  </w:r>
                  <w:r>
                    <w:rPr>
                      <w:color w:val="auto"/>
                      <w:szCs w:val="21"/>
                    </w:rPr>
                    <w:t>4</w:t>
                  </w:r>
                </w:p>
              </w:tc>
              <w:tc>
                <w:tcPr>
                  <w:tcW w:w="473" w:type="pct"/>
                  <w:vAlign w:val="center"/>
                </w:tcPr>
                <w:p w14:paraId="11CB8AC5">
                  <w:pPr>
                    <w:pStyle w:val="108"/>
                    <w:rPr>
                      <w:color w:val="auto"/>
                      <w:szCs w:val="21"/>
                    </w:rPr>
                  </w:pPr>
                  <w:r>
                    <w:rPr>
                      <w:color w:val="auto"/>
                      <w:szCs w:val="21"/>
                    </w:rPr>
                    <w:t>700</w:t>
                  </w:r>
                </w:p>
              </w:tc>
              <w:tc>
                <w:tcPr>
                  <w:tcW w:w="473" w:type="pct"/>
                  <w:vAlign w:val="center"/>
                </w:tcPr>
                <w:p w14:paraId="48975FFD">
                  <w:pPr>
                    <w:pStyle w:val="108"/>
                    <w:rPr>
                      <w:color w:val="auto"/>
                      <w:szCs w:val="21"/>
                    </w:rPr>
                  </w:pPr>
                  <w:r>
                    <w:rPr>
                      <w:color w:val="auto"/>
                      <w:szCs w:val="21"/>
                    </w:rPr>
                    <w:t>470</w:t>
                  </w:r>
                </w:p>
              </w:tc>
              <w:tc>
                <w:tcPr>
                  <w:tcW w:w="473" w:type="pct"/>
                  <w:vAlign w:val="center"/>
                </w:tcPr>
                <w:p w14:paraId="724A3E21">
                  <w:pPr>
                    <w:pStyle w:val="108"/>
                    <w:rPr>
                      <w:color w:val="auto"/>
                      <w:szCs w:val="21"/>
                    </w:rPr>
                  </w:pPr>
                  <w:r>
                    <w:rPr>
                      <w:color w:val="auto"/>
                      <w:szCs w:val="21"/>
                    </w:rPr>
                    <w:t>350</w:t>
                  </w:r>
                </w:p>
              </w:tc>
              <w:tc>
                <w:tcPr>
                  <w:tcW w:w="473" w:type="pct"/>
                  <w:vAlign w:val="center"/>
                </w:tcPr>
                <w:p w14:paraId="253E744C">
                  <w:pPr>
                    <w:pStyle w:val="108"/>
                    <w:rPr>
                      <w:color w:val="auto"/>
                      <w:szCs w:val="21"/>
                    </w:rPr>
                  </w:pPr>
                  <w:r>
                    <w:rPr>
                      <w:color w:val="auto"/>
                      <w:szCs w:val="21"/>
                    </w:rPr>
                    <w:t>700</w:t>
                  </w:r>
                </w:p>
              </w:tc>
              <w:tc>
                <w:tcPr>
                  <w:tcW w:w="473" w:type="pct"/>
                  <w:vAlign w:val="center"/>
                </w:tcPr>
                <w:p w14:paraId="68004845">
                  <w:pPr>
                    <w:pStyle w:val="108"/>
                    <w:rPr>
                      <w:color w:val="auto"/>
                      <w:szCs w:val="21"/>
                    </w:rPr>
                  </w:pPr>
                  <w:r>
                    <w:rPr>
                      <w:color w:val="auto"/>
                      <w:szCs w:val="21"/>
                    </w:rPr>
                    <w:t>470</w:t>
                  </w:r>
                </w:p>
              </w:tc>
              <w:tc>
                <w:tcPr>
                  <w:tcW w:w="475" w:type="pct"/>
                  <w:vAlign w:val="center"/>
                </w:tcPr>
                <w:p w14:paraId="6DE175E6">
                  <w:pPr>
                    <w:pStyle w:val="108"/>
                    <w:rPr>
                      <w:color w:val="auto"/>
                      <w:szCs w:val="21"/>
                    </w:rPr>
                  </w:pPr>
                  <w:r>
                    <w:rPr>
                      <w:color w:val="auto"/>
                      <w:szCs w:val="21"/>
                    </w:rPr>
                    <w:t>350</w:t>
                  </w:r>
                </w:p>
              </w:tc>
              <w:tc>
                <w:tcPr>
                  <w:tcW w:w="473" w:type="pct"/>
                  <w:vAlign w:val="center"/>
                </w:tcPr>
                <w:p w14:paraId="7D74FBE7">
                  <w:pPr>
                    <w:pStyle w:val="108"/>
                    <w:rPr>
                      <w:color w:val="auto"/>
                      <w:szCs w:val="21"/>
                    </w:rPr>
                  </w:pPr>
                  <w:r>
                    <w:rPr>
                      <w:color w:val="auto"/>
                      <w:szCs w:val="21"/>
                    </w:rPr>
                    <w:t>380</w:t>
                  </w:r>
                </w:p>
              </w:tc>
              <w:tc>
                <w:tcPr>
                  <w:tcW w:w="473" w:type="pct"/>
                  <w:vAlign w:val="center"/>
                </w:tcPr>
                <w:p w14:paraId="0BF0B6CC">
                  <w:pPr>
                    <w:pStyle w:val="108"/>
                    <w:rPr>
                      <w:color w:val="auto"/>
                      <w:szCs w:val="21"/>
                    </w:rPr>
                  </w:pPr>
                  <w:r>
                    <w:rPr>
                      <w:color w:val="auto"/>
                      <w:szCs w:val="21"/>
                    </w:rPr>
                    <w:t>250</w:t>
                  </w:r>
                </w:p>
              </w:tc>
              <w:tc>
                <w:tcPr>
                  <w:tcW w:w="359" w:type="pct"/>
                  <w:vAlign w:val="center"/>
                </w:tcPr>
                <w:p w14:paraId="2CA1568D">
                  <w:pPr>
                    <w:pStyle w:val="108"/>
                    <w:rPr>
                      <w:color w:val="auto"/>
                      <w:szCs w:val="21"/>
                    </w:rPr>
                  </w:pPr>
                  <w:r>
                    <w:rPr>
                      <w:color w:val="auto"/>
                      <w:szCs w:val="21"/>
                    </w:rPr>
                    <w:t>190</w:t>
                  </w:r>
                </w:p>
              </w:tc>
            </w:tr>
            <w:tr w14:paraId="15D24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continue"/>
                  <w:vAlign w:val="center"/>
                </w:tcPr>
                <w:p w14:paraId="4E1F82AC">
                  <w:pPr>
                    <w:pStyle w:val="108"/>
                    <w:rPr>
                      <w:color w:val="auto"/>
                      <w:szCs w:val="21"/>
                    </w:rPr>
                  </w:pPr>
                </w:p>
              </w:tc>
              <w:tc>
                <w:tcPr>
                  <w:tcW w:w="541" w:type="pct"/>
                  <w:vAlign w:val="center"/>
                </w:tcPr>
                <w:p w14:paraId="29E4DA40">
                  <w:pPr>
                    <w:pStyle w:val="108"/>
                    <w:rPr>
                      <w:color w:val="auto"/>
                      <w:szCs w:val="21"/>
                    </w:rPr>
                  </w:pPr>
                  <w:r>
                    <w:rPr>
                      <w:rFonts w:hint="eastAsia"/>
                      <w:color w:val="auto"/>
                      <w:szCs w:val="21"/>
                    </w:rPr>
                    <w:t>&gt;</w:t>
                  </w:r>
                  <w:r>
                    <w:rPr>
                      <w:color w:val="auto"/>
                      <w:szCs w:val="21"/>
                    </w:rPr>
                    <w:t>4</w:t>
                  </w:r>
                </w:p>
              </w:tc>
              <w:tc>
                <w:tcPr>
                  <w:tcW w:w="473" w:type="pct"/>
                  <w:vAlign w:val="center"/>
                </w:tcPr>
                <w:p w14:paraId="4B9593F4">
                  <w:pPr>
                    <w:pStyle w:val="108"/>
                    <w:rPr>
                      <w:color w:val="auto"/>
                      <w:szCs w:val="21"/>
                    </w:rPr>
                  </w:pPr>
                  <w:r>
                    <w:rPr>
                      <w:color w:val="auto"/>
                      <w:szCs w:val="21"/>
                    </w:rPr>
                    <w:t>530</w:t>
                  </w:r>
                </w:p>
              </w:tc>
              <w:tc>
                <w:tcPr>
                  <w:tcW w:w="473" w:type="pct"/>
                  <w:vAlign w:val="center"/>
                </w:tcPr>
                <w:p w14:paraId="4459D527">
                  <w:pPr>
                    <w:pStyle w:val="108"/>
                    <w:rPr>
                      <w:color w:val="auto"/>
                      <w:szCs w:val="21"/>
                    </w:rPr>
                  </w:pPr>
                  <w:r>
                    <w:rPr>
                      <w:color w:val="auto"/>
                      <w:szCs w:val="21"/>
                    </w:rPr>
                    <w:t>350</w:t>
                  </w:r>
                </w:p>
              </w:tc>
              <w:tc>
                <w:tcPr>
                  <w:tcW w:w="473" w:type="pct"/>
                  <w:vAlign w:val="center"/>
                </w:tcPr>
                <w:p w14:paraId="45530705">
                  <w:pPr>
                    <w:pStyle w:val="108"/>
                    <w:rPr>
                      <w:color w:val="auto"/>
                      <w:szCs w:val="21"/>
                    </w:rPr>
                  </w:pPr>
                  <w:r>
                    <w:rPr>
                      <w:color w:val="auto"/>
                      <w:szCs w:val="21"/>
                    </w:rPr>
                    <w:t>260</w:t>
                  </w:r>
                </w:p>
              </w:tc>
              <w:tc>
                <w:tcPr>
                  <w:tcW w:w="473" w:type="pct"/>
                  <w:vAlign w:val="center"/>
                </w:tcPr>
                <w:p w14:paraId="1D411A18">
                  <w:pPr>
                    <w:pStyle w:val="108"/>
                    <w:rPr>
                      <w:color w:val="auto"/>
                      <w:szCs w:val="21"/>
                    </w:rPr>
                  </w:pPr>
                  <w:r>
                    <w:rPr>
                      <w:color w:val="auto"/>
                      <w:szCs w:val="21"/>
                    </w:rPr>
                    <w:t>530</w:t>
                  </w:r>
                </w:p>
              </w:tc>
              <w:tc>
                <w:tcPr>
                  <w:tcW w:w="473" w:type="pct"/>
                  <w:vAlign w:val="center"/>
                </w:tcPr>
                <w:p w14:paraId="6592C4F0">
                  <w:pPr>
                    <w:pStyle w:val="108"/>
                    <w:rPr>
                      <w:color w:val="auto"/>
                      <w:szCs w:val="21"/>
                    </w:rPr>
                  </w:pPr>
                  <w:r>
                    <w:rPr>
                      <w:color w:val="auto"/>
                      <w:szCs w:val="21"/>
                    </w:rPr>
                    <w:t>350</w:t>
                  </w:r>
                </w:p>
              </w:tc>
              <w:tc>
                <w:tcPr>
                  <w:tcW w:w="475" w:type="pct"/>
                  <w:vAlign w:val="center"/>
                </w:tcPr>
                <w:p w14:paraId="4A9A0A32">
                  <w:pPr>
                    <w:pStyle w:val="108"/>
                    <w:rPr>
                      <w:color w:val="auto"/>
                      <w:szCs w:val="21"/>
                    </w:rPr>
                  </w:pPr>
                  <w:r>
                    <w:rPr>
                      <w:color w:val="auto"/>
                      <w:szCs w:val="21"/>
                    </w:rPr>
                    <w:t>260</w:t>
                  </w:r>
                </w:p>
              </w:tc>
              <w:tc>
                <w:tcPr>
                  <w:tcW w:w="473" w:type="pct"/>
                  <w:vAlign w:val="center"/>
                </w:tcPr>
                <w:p w14:paraId="1286064B">
                  <w:pPr>
                    <w:pStyle w:val="108"/>
                    <w:rPr>
                      <w:color w:val="auto"/>
                      <w:szCs w:val="21"/>
                    </w:rPr>
                  </w:pPr>
                  <w:r>
                    <w:rPr>
                      <w:color w:val="auto"/>
                      <w:szCs w:val="21"/>
                    </w:rPr>
                    <w:t>290</w:t>
                  </w:r>
                </w:p>
              </w:tc>
              <w:tc>
                <w:tcPr>
                  <w:tcW w:w="473" w:type="pct"/>
                  <w:vAlign w:val="center"/>
                </w:tcPr>
                <w:p w14:paraId="3AAC34D4">
                  <w:pPr>
                    <w:pStyle w:val="108"/>
                    <w:rPr>
                      <w:color w:val="auto"/>
                      <w:szCs w:val="21"/>
                    </w:rPr>
                  </w:pPr>
                  <w:r>
                    <w:rPr>
                      <w:color w:val="auto"/>
                      <w:szCs w:val="21"/>
                    </w:rPr>
                    <w:t>190</w:t>
                  </w:r>
                </w:p>
              </w:tc>
              <w:tc>
                <w:tcPr>
                  <w:tcW w:w="359" w:type="pct"/>
                  <w:vAlign w:val="center"/>
                </w:tcPr>
                <w:p w14:paraId="7B736AB9">
                  <w:pPr>
                    <w:pStyle w:val="108"/>
                    <w:rPr>
                      <w:color w:val="auto"/>
                      <w:szCs w:val="21"/>
                    </w:rPr>
                  </w:pPr>
                  <w:r>
                    <w:rPr>
                      <w:color w:val="auto"/>
                      <w:szCs w:val="21"/>
                    </w:rPr>
                    <w:t>140</w:t>
                  </w:r>
                </w:p>
              </w:tc>
            </w:tr>
            <w:tr w14:paraId="24DA6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restart"/>
                  <w:vAlign w:val="center"/>
                </w:tcPr>
                <w:p w14:paraId="3EF5C908">
                  <w:pPr>
                    <w:pStyle w:val="108"/>
                    <w:rPr>
                      <w:color w:val="auto"/>
                      <w:szCs w:val="21"/>
                    </w:rPr>
                  </w:pPr>
                  <w:r>
                    <w:rPr>
                      <w:color w:val="auto"/>
                      <w:szCs w:val="21"/>
                    </w:rPr>
                    <w:t>B</w:t>
                  </w:r>
                </w:p>
              </w:tc>
              <w:tc>
                <w:tcPr>
                  <w:tcW w:w="541" w:type="pct"/>
                  <w:vAlign w:val="center"/>
                </w:tcPr>
                <w:p w14:paraId="762E0095">
                  <w:pPr>
                    <w:pStyle w:val="108"/>
                    <w:rPr>
                      <w:color w:val="auto"/>
                      <w:szCs w:val="21"/>
                    </w:rPr>
                  </w:pPr>
                  <w:r>
                    <w:rPr>
                      <w:rFonts w:hint="eastAsia"/>
                      <w:color w:val="auto"/>
                      <w:szCs w:val="21"/>
                    </w:rPr>
                    <w:t>&lt;</w:t>
                  </w:r>
                  <w:r>
                    <w:rPr>
                      <w:color w:val="auto"/>
                      <w:szCs w:val="21"/>
                    </w:rPr>
                    <w:t>2</w:t>
                  </w:r>
                </w:p>
              </w:tc>
              <w:tc>
                <w:tcPr>
                  <w:tcW w:w="1421" w:type="pct"/>
                  <w:gridSpan w:val="3"/>
                  <w:vAlign w:val="center"/>
                </w:tcPr>
                <w:p w14:paraId="5DD95BAC">
                  <w:pPr>
                    <w:pStyle w:val="108"/>
                    <w:rPr>
                      <w:color w:val="auto"/>
                      <w:szCs w:val="21"/>
                    </w:rPr>
                  </w:pPr>
                  <w:r>
                    <w:rPr>
                      <w:color w:val="auto"/>
                      <w:szCs w:val="21"/>
                    </w:rPr>
                    <w:t>0.01</w:t>
                  </w:r>
                </w:p>
              </w:tc>
              <w:tc>
                <w:tcPr>
                  <w:tcW w:w="1423" w:type="pct"/>
                  <w:gridSpan w:val="3"/>
                  <w:vAlign w:val="center"/>
                </w:tcPr>
                <w:p w14:paraId="769EC5F3">
                  <w:pPr>
                    <w:pStyle w:val="108"/>
                    <w:rPr>
                      <w:color w:val="auto"/>
                      <w:szCs w:val="21"/>
                    </w:rPr>
                  </w:pPr>
                  <w:r>
                    <w:rPr>
                      <w:color w:val="auto"/>
                      <w:szCs w:val="21"/>
                    </w:rPr>
                    <w:t>0.015</w:t>
                  </w:r>
                </w:p>
              </w:tc>
              <w:tc>
                <w:tcPr>
                  <w:tcW w:w="1307" w:type="pct"/>
                  <w:gridSpan w:val="3"/>
                  <w:vAlign w:val="center"/>
                </w:tcPr>
                <w:p w14:paraId="441CEDC5">
                  <w:pPr>
                    <w:pStyle w:val="108"/>
                    <w:rPr>
                      <w:color w:val="auto"/>
                      <w:szCs w:val="21"/>
                    </w:rPr>
                  </w:pPr>
                  <w:r>
                    <w:rPr>
                      <w:color w:val="auto"/>
                      <w:szCs w:val="21"/>
                    </w:rPr>
                    <w:t>0.015</w:t>
                  </w:r>
                </w:p>
              </w:tc>
            </w:tr>
            <w:tr w14:paraId="2A372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continue"/>
                  <w:vAlign w:val="center"/>
                </w:tcPr>
                <w:p w14:paraId="69AF1D74">
                  <w:pPr>
                    <w:pStyle w:val="108"/>
                    <w:rPr>
                      <w:color w:val="auto"/>
                      <w:szCs w:val="21"/>
                    </w:rPr>
                  </w:pPr>
                </w:p>
              </w:tc>
              <w:tc>
                <w:tcPr>
                  <w:tcW w:w="541" w:type="pct"/>
                  <w:vAlign w:val="center"/>
                </w:tcPr>
                <w:p w14:paraId="7E09E7E5">
                  <w:pPr>
                    <w:pStyle w:val="108"/>
                    <w:rPr>
                      <w:color w:val="auto"/>
                      <w:szCs w:val="21"/>
                    </w:rPr>
                  </w:pPr>
                  <w:r>
                    <w:rPr>
                      <w:rFonts w:hint="eastAsia"/>
                      <w:color w:val="auto"/>
                      <w:szCs w:val="21"/>
                    </w:rPr>
                    <w:t>&gt;</w:t>
                  </w:r>
                  <w:r>
                    <w:rPr>
                      <w:color w:val="auto"/>
                      <w:szCs w:val="21"/>
                    </w:rPr>
                    <w:t>2</w:t>
                  </w:r>
                </w:p>
              </w:tc>
              <w:tc>
                <w:tcPr>
                  <w:tcW w:w="1421" w:type="pct"/>
                  <w:gridSpan w:val="3"/>
                  <w:vAlign w:val="center"/>
                </w:tcPr>
                <w:p w14:paraId="5D122697">
                  <w:pPr>
                    <w:pStyle w:val="108"/>
                    <w:rPr>
                      <w:color w:val="auto"/>
                      <w:szCs w:val="21"/>
                    </w:rPr>
                  </w:pPr>
                  <w:r>
                    <w:rPr>
                      <w:color w:val="auto"/>
                      <w:szCs w:val="21"/>
                    </w:rPr>
                    <w:t>0.021</w:t>
                  </w:r>
                </w:p>
              </w:tc>
              <w:tc>
                <w:tcPr>
                  <w:tcW w:w="1423" w:type="pct"/>
                  <w:gridSpan w:val="3"/>
                  <w:vAlign w:val="center"/>
                </w:tcPr>
                <w:p w14:paraId="1C5F4600">
                  <w:pPr>
                    <w:pStyle w:val="108"/>
                    <w:rPr>
                      <w:color w:val="auto"/>
                      <w:szCs w:val="21"/>
                    </w:rPr>
                  </w:pPr>
                  <w:r>
                    <w:rPr>
                      <w:color w:val="auto"/>
                      <w:szCs w:val="21"/>
                    </w:rPr>
                    <w:t>0.036</w:t>
                  </w:r>
                </w:p>
              </w:tc>
              <w:tc>
                <w:tcPr>
                  <w:tcW w:w="1307" w:type="pct"/>
                  <w:gridSpan w:val="3"/>
                  <w:vAlign w:val="center"/>
                </w:tcPr>
                <w:p w14:paraId="0E0D2AFF">
                  <w:pPr>
                    <w:pStyle w:val="108"/>
                    <w:rPr>
                      <w:color w:val="auto"/>
                      <w:szCs w:val="21"/>
                    </w:rPr>
                  </w:pPr>
                  <w:r>
                    <w:rPr>
                      <w:color w:val="auto"/>
                      <w:szCs w:val="21"/>
                    </w:rPr>
                    <w:t>0.036</w:t>
                  </w:r>
                </w:p>
              </w:tc>
            </w:tr>
            <w:tr w14:paraId="121F5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restart"/>
                  <w:vAlign w:val="center"/>
                </w:tcPr>
                <w:p w14:paraId="20CF6FC8">
                  <w:pPr>
                    <w:pStyle w:val="108"/>
                    <w:rPr>
                      <w:color w:val="auto"/>
                      <w:szCs w:val="21"/>
                    </w:rPr>
                  </w:pPr>
                  <w:r>
                    <w:rPr>
                      <w:color w:val="auto"/>
                      <w:szCs w:val="21"/>
                    </w:rPr>
                    <w:t>C</w:t>
                  </w:r>
                </w:p>
              </w:tc>
              <w:tc>
                <w:tcPr>
                  <w:tcW w:w="541" w:type="pct"/>
                  <w:vAlign w:val="center"/>
                </w:tcPr>
                <w:p w14:paraId="50FFFCBC">
                  <w:pPr>
                    <w:pStyle w:val="108"/>
                    <w:rPr>
                      <w:color w:val="auto"/>
                      <w:szCs w:val="21"/>
                    </w:rPr>
                  </w:pPr>
                  <w:r>
                    <w:rPr>
                      <w:rFonts w:hint="eastAsia"/>
                      <w:color w:val="auto"/>
                      <w:szCs w:val="21"/>
                    </w:rPr>
                    <w:t>&lt;</w:t>
                  </w:r>
                  <w:r>
                    <w:rPr>
                      <w:color w:val="auto"/>
                      <w:szCs w:val="21"/>
                    </w:rPr>
                    <w:t>2</w:t>
                  </w:r>
                </w:p>
              </w:tc>
              <w:tc>
                <w:tcPr>
                  <w:tcW w:w="1421" w:type="pct"/>
                  <w:gridSpan w:val="3"/>
                  <w:vAlign w:val="center"/>
                </w:tcPr>
                <w:p w14:paraId="078F912A">
                  <w:pPr>
                    <w:pStyle w:val="108"/>
                    <w:rPr>
                      <w:color w:val="auto"/>
                      <w:szCs w:val="21"/>
                    </w:rPr>
                  </w:pPr>
                  <w:r>
                    <w:rPr>
                      <w:color w:val="auto"/>
                      <w:szCs w:val="21"/>
                    </w:rPr>
                    <w:t>1.85</w:t>
                  </w:r>
                </w:p>
              </w:tc>
              <w:tc>
                <w:tcPr>
                  <w:tcW w:w="1423" w:type="pct"/>
                  <w:gridSpan w:val="3"/>
                  <w:vAlign w:val="center"/>
                </w:tcPr>
                <w:p w14:paraId="29C0BC12">
                  <w:pPr>
                    <w:pStyle w:val="108"/>
                    <w:rPr>
                      <w:color w:val="auto"/>
                      <w:szCs w:val="21"/>
                    </w:rPr>
                  </w:pPr>
                  <w:r>
                    <w:rPr>
                      <w:color w:val="auto"/>
                      <w:szCs w:val="21"/>
                    </w:rPr>
                    <w:t>1.79</w:t>
                  </w:r>
                </w:p>
              </w:tc>
              <w:tc>
                <w:tcPr>
                  <w:tcW w:w="1307" w:type="pct"/>
                  <w:gridSpan w:val="3"/>
                  <w:vAlign w:val="center"/>
                </w:tcPr>
                <w:p w14:paraId="61FBC0C6">
                  <w:pPr>
                    <w:pStyle w:val="108"/>
                    <w:rPr>
                      <w:color w:val="auto"/>
                      <w:szCs w:val="21"/>
                    </w:rPr>
                  </w:pPr>
                  <w:r>
                    <w:rPr>
                      <w:color w:val="auto"/>
                      <w:szCs w:val="21"/>
                    </w:rPr>
                    <w:t>1.79</w:t>
                  </w:r>
                </w:p>
              </w:tc>
            </w:tr>
            <w:tr w14:paraId="78951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continue"/>
                  <w:vAlign w:val="center"/>
                </w:tcPr>
                <w:p w14:paraId="580BC279">
                  <w:pPr>
                    <w:pStyle w:val="108"/>
                    <w:rPr>
                      <w:color w:val="auto"/>
                      <w:szCs w:val="21"/>
                    </w:rPr>
                  </w:pPr>
                </w:p>
              </w:tc>
              <w:tc>
                <w:tcPr>
                  <w:tcW w:w="541" w:type="pct"/>
                  <w:vAlign w:val="center"/>
                </w:tcPr>
                <w:p w14:paraId="56308D9F">
                  <w:pPr>
                    <w:pStyle w:val="108"/>
                    <w:rPr>
                      <w:color w:val="auto"/>
                      <w:szCs w:val="21"/>
                    </w:rPr>
                  </w:pPr>
                  <w:r>
                    <w:rPr>
                      <w:rFonts w:hint="eastAsia"/>
                      <w:color w:val="auto"/>
                      <w:szCs w:val="21"/>
                    </w:rPr>
                    <w:t>&gt;</w:t>
                  </w:r>
                  <w:r>
                    <w:rPr>
                      <w:color w:val="auto"/>
                      <w:szCs w:val="21"/>
                    </w:rPr>
                    <w:t>2</w:t>
                  </w:r>
                </w:p>
              </w:tc>
              <w:tc>
                <w:tcPr>
                  <w:tcW w:w="1421" w:type="pct"/>
                  <w:gridSpan w:val="3"/>
                  <w:vAlign w:val="center"/>
                </w:tcPr>
                <w:p w14:paraId="1FB5FBA8">
                  <w:pPr>
                    <w:pStyle w:val="108"/>
                    <w:rPr>
                      <w:color w:val="auto"/>
                      <w:szCs w:val="21"/>
                    </w:rPr>
                  </w:pPr>
                  <w:r>
                    <w:rPr>
                      <w:color w:val="auto"/>
                      <w:szCs w:val="21"/>
                    </w:rPr>
                    <w:t>1.85</w:t>
                  </w:r>
                </w:p>
              </w:tc>
              <w:tc>
                <w:tcPr>
                  <w:tcW w:w="1423" w:type="pct"/>
                  <w:gridSpan w:val="3"/>
                  <w:vAlign w:val="center"/>
                </w:tcPr>
                <w:p w14:paraId="23842F47">
                  <w:pPr>
                    <w:pStyle w:val="108"/>
                    <w:rPr>
                      <w:color w:val="auto"/>
                      <w:szCs w:val="21"/>
                    </w:rPr>
                  </w:pPr>
                  <w:r>
                    <w:rPr>
                      <w:color w:val="auto"/>
                      <w:szCs w:val="21"/>
                    </w:rPr>
                    <w:t>1.77</w:t>
                  </w:r>
                </w:p>
              </w:tc>
              <w:tc>
                <w:tcPr>
                  <w:tcW w:w="1307" w:type="pct"/>
                  <w:gridSpan w:val="3"/>
                  <w:vAlign w:val="center"/>
                </w:tcPr>
                <w:p w14:paraId="21168911">
                  <w:pPr>
                    <w:pStyle w:val="108"/>
                    <w:rPr>
                      <w:color w:val="auto"/>
                      <w:szCs w:val="21"/>
                    </w:rPr>
                  </w:pPr>
                  <w:r>
                    <w:rPr>
                      <w:color w:val="auto"/>
                      <w:szCs w:val="21"/>
                    </w:rPr>
                    <w:t>1.77</w:t>
                  </w:r>
                </w:p>
              </w:tc>
            </w:tr>
            <w:tr w14:paraId="2D3CC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restart"/>
                  <w:vAlign w:val="center"/>
                </w:tcPr>
                <w:p w14:paraId="0A69EF1E">
                  <w:pPr>
                    <w:pStyle w:val="108"/>
                    <w:rPr>
                      <w:color w:val="auto"/>
                      <w:szCs w:val="21"/>
                    </w:rPr>
                  </w:pPr>
                  <w:r>
                    <w:rPr>
                      <w:color w:val="auto"/>
                      <w:szCs w:val="21"/>
                    </w:rPr>
                    <w:t>D</w:t>
                  </w:r>
                </w:p>
              </w:tc>
              <w:tc>
                <w:tcPr>
                  <w:tcW w:w="541" w:type="pct"/>
                  <w:vAlign w:val="center"/>
                </w:tcPr>
                <w:p w14:paraId="1D06FA4A">
                  <w:pPr>
                    <w:pStyle w:val="108"/>
                    <w:rPr>
                      <w:color w:val="auto"/>
                      <w:szCs w:val="21"/>
                    </w:rPr>
                  </w:pPr>
                  <w:r>
                    <w:rPr>
                      <w:rFonts w:hint="eastAsia"/>
                      <w:color w:val="auto"/>
                      <w:szCs w:val="21"/>
                    </w:rPr>
                    <w:t>&lt;</w:t>
                  </w:r>
                  <w:r>
                    <w:rPr>
                      <w:color w:val="auto"/>
                      <w:szCs w:val="21"/>
                    </w:rPr>
                    <w:t>2</w:t>
                  </w:r>
                </w:p>
              </w:tc>
              <w:tc>
                <w:tcPr>
                  <w:tcW w:w="1421" w:type="pct"/>
                  <w:gridSpan w:val="3"/>
                  <w:vAlign w:val="center"/>
                </w:tcPr>
                <w:p w14:paraId="2FBC98B0">
                  <w:pPr>
                    <w:pStyle w:val="108"/>
                    <w:rPr>
                      <w:color w:val="auto"/>
                      <w:szCs w:val="21"/>
                    </w:rPr>
                  </w:pPr>
                  <w:r>
                    <w:rPr>
                      <w:color w:val="auto"/>
                      <w:szCs w:val="21"/>
                    </w:rPr>
                    <w:t>0.78</w:t>
                  </w:r>
                </w:p>
              </w:tc>
              <w:tc>
                <w:tcPr>
                  <w:tcW w:w="1423" w:type="pct"/>
                  <w:gridSpan w:val="3"/>
                  <w:vAlign w:val="center"/>
                </w:tcPr>
                <w:p w14:paraId="713A6D6E">
                  <w:pPr>
                    <w:pStyle w:val="108"/>
                    <w:rPr>
                      <w:color w:val="auto"/>
                      <w:szCs w:val="21"/>
                    </w:rPr>
                  </w:pPr>
                  <w:r>
                    <w:rPr>
                      <w:color w:val="auto"/>
                      <w:szCs w:val="21"/>
                    </w:rPr>
                    <w:t>0.78</w:t>
                  </w:r>
                </w:p>
              </w:tc>
              <w:tc>
                <w:tcPr>
                  <w:tcW w:w="1307" w:type="pct"/>
                  <w:gridSpan w:val="3"/>
                  <w:vAlign w:val="center"/>
                </w:tcPr>
                <w:p w14:paraId="6984F877">
                  <w:pPr>
                    <w:pStyle w:val="108"/>
                    <w:rPr>
                      <w:color w:val="auto"/>
                      <w:szCs w:val="21"/>
                    </w:rPr>
                  </w:pPr>
                  <w:r>
                    <w:rPr>
                      <w:color w:val="auto"/>
                      <w:szCs w:val="21"/>
                    </w:rPr>
                    <w:t>0.57</w:t>
                  </w:r>
                </w:p>
              </w:tc>
            </w:tr>
            <w:tr w14:paraId="15EF2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 w:type="pct"/>
                  <w:vMerge w:val="continue"/>
                  <w:vAlign w:val="center"/>
                </w:tcPr>
                <w:p w14:paraId="10EFC0BB">
                  <w:pPr>
                    <w:pStyle w:val="108"/>
                    <w:rPr>
                      <w:color w:val="auto"/>
                      <w:szCs w:val="21"/>
                    </w:rPr>
                  </w:pPr>
                </w:p>
              </w:tc>
              <w:tc>
                <w:tcPr>
                  <w:tcW w:w="541" w:type="pct"/>
                  <w:vAlign w:val="center"/>
                </w:tcPr>
                <w:p w14:paraId="58C177C2">
                  <w:pPr>
                    <w:pStyle w:val="108"/>
                    <w:rPr>
                      <w:color w:val="auto"/>
                      <w:szCs w:val="21"/>
                    </w:rPr>
                  </w:pPr>
                  <w:r>
                    <w:rPr>
                      <w:rFonts w:hint="eastAsia"/>
                      <w:color w:val="auto"/>
                      <w:szCs w:val="21"/>
                    </w:rPr>
                    <w:t>&gt;</w:t>
                  </w:r>
                  <w:r>
                    <w:rPr>
                      <w:color w:val="auto"/>
                      <w:szCs w:val="21"/>
                    </w:rPr>
                    <w:t>2</w:t>
                  </w:r>
                </w:p>
              </w:tc>
              <w:tc>
                <w:tcPr>
                  <w:tcW w:w="1421" w:type="pct"/>
                  <w:gridSpan w:val="3"/>
                  <w:vAlign w:val="center"/>
                </w:tcPr>
                <w:p w14:paraId="111C45AA">
                  <w:pPr>
                    <w:pStyle w:val="108"/>
                    <w:rPr>
                      <w:color w:val="auto"/>
                      <w:szCs w:val="21"/>
                    </w:rPr>
                  </w:pPr>
                  <w:r>
                    <w:rPr>
                      <w:color w:val="auto"/>
                      <w:szCs w:val="21"/>
                    </w:rPr>
                    <w:t>0.84</w:t>
                  </w:r>
                </w:p>
              </w:tc>
              <w:tc>
                <w:tcPr>
                  <w:tcW w:w="1423" w:type="pct"/>
                  <w:gridSpan w:val="3"/>
                  <w:vAlign w:val="center"/>
                </w:tcPr>
                <w:p w14:paraId="04A94BB9">
                  <w:pPr>
                    <w:pStyle w:val="108"/>
                    <w:rPr>
                      <w:color w:val="auto"/>
                      <w:szCs w:val="21"/>
                    </w:rPr>
                  </w:pPr>
                  <w:r>
                    <w:rPr>
                      <w:color w:val="auto"/>
                      <w:szCs w:val="21"/>
                    </w:rPr>
                    <w:t>0.84</w:t>
                  </w:r>
                </w:p>
              </w:tc>
              <w:tc>
                <w:tcPr>
                  <w:tcW w:w="1307" w:type="pct"/>
                  <w:gridSpan w:val="3"/>
                  <w:vAlign w:val="center"/>
                </w:tcPr>
                <w:p w14:paraId="6DCABE30">
                  <w:pPr>
                    <w:pStyle w:val="108"/>
                    <w:rPr>
                      <w:color w:val="auto"/>
                      <w:szCs w:val="21"/>
                    </w:rPr>
                  </w:pPr>
                  <w:r>
                    <w:rPr>
                      <w:color w:val="auto"/>
                      <w:szCs w:val="21"/>
                    </w:rPr>
                    <w:t>0.76</w:t>
                  </w:r>
                </w:p>
              </w:tc>
            </w:tr>
          </w:tbl>
          <w:p w14:paraId="1336B759">
            <w:pPr>
              <w:snapToGrid w:val="0"/>
              <w:ind w:firstLine="422" w:firstLineChars="200"/>
              <w:jc w:val="left"/>
              <w:rPr>
                <w:b/>
                <w:szCs w:val="21"/>
              </w:rPr>
            </w:pPr>
            <w:r>
              <w:rPr>
                <w:b/>
                <w:szCs w:val="21"/>
              </w:rPr>
              <w:t>注：</w:t>
            </w:r>
          </w:p>
          <w:p w14:paraId="35248FF9">
            <w:pPr>
              <w:snapToGrid w:val="0"/>
              <w:ind w:firstLine="422" w:firstLineChars="200"/>
              <w:jc w:val="left"/>
              <w:rPr>
                <w:b/>
                <w:szCs w:val="21"/>
              </w:rPr>
            </w:pPr>
            <w:r>
              <w:rPr>
                <w:b/>
                <w:szCs w:val="21"/>
              </w:rPr>
              <w:t>1）工业企业大气污染源构成分为三类：</w:t>
            </w:r>
          </w:p>
          <w:p w14:paraId="56B4179A">
            <w:pPr>
              <w:snapToGrid w:val="0"/>
              <w:ind w:firstLine="422" w:firstLineChars="200"/>
              <w:jc w:val="left"/>
              <w:rPr>
                <w:b/>
                <w:szCs w:val="21"/>
              </w:rPr>
            </w:pPr>
            <w:r>
              <w:rPr>
                <w:b/>
                <w:szCs w:val="21"/>
              </w:rPr>
              <w:t>I类：与无组织排放源共存的排放同种有害气体的排气筒的排放量，大于标准规定的允许排放量的三分之一者。</w:t>
            </w:r>
          </w:p>
          <w:p w14:paraId="55FA481C">
            <w:pPr>
              <w:snapToGrid w:val="0"/>
              <w:ind w:firstLine="422" w:firstLineChars="200"/>
              <w:jc w:val="left"/>
              <w:rPr>
                <w:b/>
                <w:szCs w:val="21"/>
              </w:rPr>
            </w:pPr>
            <w:r>
              <w:rPr>
                <w:b/>
                <w:szCs w:val="21"/>
              </w:rPr>
              <w:t>Ⅱ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14:paraId="7DAD39DA">
            <w:pPr>
              <w:snapToGrid w:val="0"/>
              <w:ind w:firstLine="422" w:firstLineChars="200"/>
              <w:jc w:val="left"/>
              <w:rPr>
                <w:b/>
                <w:szCs w:val="21"/>
              </w:rPr>
            </w:pPr>
            <w:r>
              <w:rPr>
                <w:b/>
                <w:szCs w:val="21"/>
              </w:rPr>
              <w:t>Ⅲ类：无排放同种有害物质的排气筒与无组织排放源共存，且无组织排放的有害物质的容许浓度是按慢性反应指标确定者。</w:t>
            </w:r>
          </w:p>
          <w:p w14:paraId="3CC875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根据《大气有害物质无组织排放卫生防护距离推导技术导则》（GB/T39499-2020）：不同行业及生产工艺产生无组织排放的特征大气有害物质差别较大。在选取特征大气有害物质时，应首先考虑其对人体健康损害毒性特点，并根据目标行业企业的产品产量及其原辅材料、工艺特征、中间产物、产排污特点等具体情况，确定单个大气有害物质的无组织排放及等标排放</w:t>
            </w:r>
            <w:r>
              <w:rPr>
                <w:rFonts w:hint="default" w:ascii="Times New Roman" w:hAnsi="Times New Roman" w:eastAsia="宋体" w:cs="Times New Roman"/>
                <w:color w:val="auto"/>
                <w:kern w:val="0"/>
                <w:sz w:val="24"/>
                <w:szCs w:val="24"/>
                <w:lang w:val="en-US" w:eastAsia="zh-CN"/>
              </w:rPr>
              <w:t>量</w:t>
            </w:r>
            <w:r>
              <w:rPr>
                <w:rFonts w:hint="default" w:ascii="Times New Roman" w:hAnsi="Times New Roman" w:eastAsia="宋体" w:cs="Times New Roman"/>
                <w:color w:val="auto"/>
                <w:kern w:val="0"/>
                <w:sz w:val="24"/>
                <w:szCs w:val="24"/>
                <w:lang w:eastAsia="zh-CN"/>
              </w:rPr>
              <w:t>（Q</w:t>
            </w:r>
            <w:r>
              <w:rPr>
                <w:rFonts w:hint="default" w:ascii="Times New Roman" w:hAnsi="Times New Roman" w:eastAsia="宋体" w:cs="Times New Roman"/>
                <w:color w:val="auto"/>
                <w:kern w:val="0"/>
                <w:sz w:val="24"/>
                <w:szCs w:val="24"/>
                <w:vertAlign w:val="subscript"/>
                <w:lang w:val="en-US" w:eastAsia="zh-CN"/>
              </w:rPr>
              <w:t>c</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C</w:t>
            </w:r>
            <w:r>
              <w:rPr>
                <w:rFonts w:hint="default" w:ascii="Times New Roman" w:hAnsi="Times New Roman" w:eastAsia="宋体" w:cs="Times New Roman"/>
                <w:color w:val="auto"/>
                <w:kern w:val="0"/>
                <w:sz w:val="24"/>
                <w:szCs w:val="24"/>
                <w:vertAlign w:val="subscript"/>
                <w:lang w:eastAsia="zh-CN"/>
              </w:rPr>
              <w:t>m</w:t>
            </w:r>
            <w:r>
              <w:rPr>
                <w:rFonts w:hint="default" w:ascii="Times New Roman" w:hAnsi="Times New Roman" w:eastAsia="宋体" w:cs="Times New Roman"/>
                <w:color w:val="auto"/>
                <w:kern w:val="0"/>
                <w:sz w:val="24"/>
                <w:szCs w:val="24"/>
                <w:lang w:eastAsia="zh-CN"/>
              </w:rPr>
              <w:t>），最终确定卫生防护距离相关的主要特征大气有害物质1种～2种。</w:t>
            </w:r>
          </w:p>
          <w:p w14:paraId="086048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当目标企业无组织排放存在多种有毒有害污染物时，基于单个污染物的等标排放量计算结果，优先择等标排放量最大的污染物为企业无组织排放的主要特征大气有害物质。当前两种污染物的等标排放量相差在10％以内时，需要同时选择这两种特征大气有害物质分别计算卫生防护距离初值。详细计算结果见下表。</w:t>
            </w:r>
          </w:p>
          <w:p w14:paraId="1D188C9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表4-</w:t>
            </w:r>
            <w:r>
              <w:rPr>
                <w:rFonts w:hint="eastAsia" w:ascii="Times New Roman" w:hAnsi="Times New Roman" w:eastAsia="宋体" w:cs="Times New Roman"/>
                <w:b/>
                <w:color w:val="auto"/>
                <w:kern w:val="2"/>
                <w:sz w:val="24"/>
                <w:szCs w:val="24"/>
                <w:lang w:val="en-US" w:eastAsia="zh-CN" w:bidi="ar-SA"/>
              </w:rPr>
              <w:t>19</w:t>
            </w:r>
            <w:r>
              <w:rPr>
                <w:rFonts w:hint="default" w:ascii="Times New Roman" w:hAnsi="Times New Roman" w:eastAsia="宋体" w:cs="Times New Roman"/>
                <w:b/>
                <w:color w:val="auto"/>
                <w:kern w:val="2"/>
                <w:sz w:val="24"/>
                <w:szCs w:val="24"/>
                <w:lang w:val="en-US" w:eastAsia="zh-CN" w:bidi="ar-SA"/>
              </w:rPr>
              <w:t xml:space="preserve">  等标排放量计算值</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2661"/>
              <w:gridCol w:w="1746"/>
              <w:gridCol w:w="2412"/>
              <w:gridCol w:w="1291"/>
            </w:tblGrid>
            <w:tr w14:paraId="67105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8" w:type="pct"/>
                  <w:tcBorders>
                    <w:tl2br w:val="nil"/>
                    <w:tr2bl w:val="nil"/>
                  </w:tcBorders>
                  <w:noWrap w:val="0"/>
                  <w:vAlign w:val="center"/>
                </w:tcPr>
                <w:p w14:paraId="1A5EDC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面源名称</w:t>
                  </w:r>
                </w:p>
              </w:tc>
              <w:tc>
                <w:tcPr>
                  <w:tcW w:w="1486" w:type="pct"/>
                  <w:tcBorders>
                    <w:tl2br w:val="nil"/>
                    <w:tr2bl w:val="nil"/>
                  </w:tcBorders>
                  <w:noWrap w:val="0"/>
                  <w:vAlign w:val="center"/>
                </w:tcPr>
                <w:p w14:paraId="031FB5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污染物名称</w:t>
                  </w:r>
                </w:p>
              </w:tc>
              <w:tc>
                <w:tcPr>
                  <w:tcW w:w="975" w:type="pct"/>
                  <w:tcBorders>
                    <w:tl2br w:val="nil"/>
                    <w:tr2bl w:val="nil"/>
                  </w:tcBorders>
                  <w:noWrap w:val="0"/>
                  <w:vAlign w:val="center"/>
                </w:tcPr>
                <w:p w14:paraId="48DD7B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无组织排放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kg/h</w:t>
                  </w:r>
                </w:p>
              </w:tc>
              <w:tc>
                <w:tcPr>
                  <w:tcW w:w="1347" w:type="pct"/>
                  <w:tcBorders>
                    <w:tl2br w:val="nil"/>
                    <w:tr2bl w:val="nil"/>
                  </w:tcBorders>
                  <w:noWrap w:val="0"/>
                  <w:vAlign w:val="center"/>
                </w:tcPr>
                <w:p w14:paraId="7EE34B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环境空气质量标准限值mg/m</w:t>
                  </w:r>
                  <w:r>
                    <w:rPr>
                      <w:rFonts w:hint="default" w:ascii="Times New Roman" w:hAnsi="Times New Roman" w:eastAsia="宋体" w:cs="Times New Roman"/>
                      <w:color w:val="auto"/>
                      <w:sz w:val="21"/>
                      <w:szCs w:val="21"/>
                      <w:vertAlign w:val="superscript"/>
                    </w:rPr>
                    <w:t>3</w:t>
                  </w:r>
                </w:p>
              </w:tc>
              <w:tc>
                <w:tcPr>
                  <w:tcW w:w="721" w:type="pct"/>
                  <w:tcBorders>
                    <w:tl2br w:val="nil"/>
                    <w:tr2bl w:val="nil"/>
                  </w:tcBorders>
                  <w:noWrap w:val="0"/>
                  <w:vAlign w:val="center"/>
                </w:tcPr>
                <w:p w14:paraId="1893EA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计算结果</w:t>
                  </w:r>
                </w:p>
              </w:tc>
            </w:tr>
            <w:tr w14:paraId="7D382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8" w:type="pct"/>
                  <w:vMerge w:val="restart"/>
                  <w:tcBorders>
                    <w:tl2br w:val="nil"/>
                    <w:tr2bl w:val="nil"/>
                  </w:tcBorders>
                  <w:noWrap w:val="0"/>
                  <w:vAlign w:val="center"/>
                </w:tcPr>
                <w:p w14:paraId="764181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生产车间</w:t>
                  </w:r>
                </w:p>
              </w:tc>
              <w:tc>
                <w:tcPr>
                  <w:tcW w:w="1486" w:type="pct"/>
                  <w:tcBorders>
                    <w:tl2br w:val="nil"/>
                    <w:tr2bl w:val="nil"/>
                  </w:tcBorders>
                  <w:noWrap w:val="0"/>
                  <w:vAlign w:val="center"/>
                </w:tcPr>
                <w:p w14:paraId="1D5BC2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非甲烷总烃</w:t>
                  </w:r>
                </w:p>
              </w:tc>
              <w:tc>
                <w:tcPr>
                  <w:tcW w:w="975" w:type="pct"/>
                  <w:tcBorders>
                    <w:tl2br w:val="nil"/>
                    <w:tr2bl w:val="nil"/>
                  </w:tcBorders>
                  <w:noWrap w:val="0"/>
                  <w:vAlign w:val="center"/>
                </w:tcPr>
                <w:p w14:paraId="73A5DA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0.0101</w:t>
                  </w:r>
                </w:p>
              </w:tc>
              <w:tc>
                <w:tcPr>
                  <w:tcW w:w="1347" w:type="pct"/>
                  <w:tcBorders>
                    <w:tl2br w:val="nil"/>
                    <w:tr2bl w:val="nil"/>
                  </w:tcBorders>
                  <w:noWrap w:val="0"/>
                  <w:vAlign w:val="center"/>
                </w:tcPr>
                <w:p w14:paraId="07D701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721" w:type="pct"/>
                  <w:tcBorders>
                    <w:tl2br w:val="nil"/>
                    <w:tr2bl w:val="nil"/>
                  </w:tcBorders>
                  <w:noWrap w:val="0"/>
                  <w:vAlign w:val="center"/>
                </w:tcPr>
                <w:p w14:paraId="4CF399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0.00505</w:t>
                  </w:r>
                </w:p>
              </w:tc>
            </w:tr>
            <w:tr w14:paraId="4ABE5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8" w:type="pct"/>
                  <w:vMerge w:val="continue"/>
                  <w:tcBorders>
                    <w:tl2br w:val="nil"/>
                    <w:tr2bl w:val="nil"/>
                  </w:tcBorders>
                  <w:noWrap w:val="0"/>
                  <w:vAlign w:val="center"/>
                </w:tcPr>
                <w:p w14:paraId="142BD7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c>
                <w:tcPr>
                  <w:tcW w:w="1486" w:type="pct"/>
                  <w:tcBorders>
                    <w:tl2br w:val="nil"/>
                    <w:tr2bl w:val="nil"/>
                  </w:tcBorders>
                  <w:noWrap w:val="0"/>
                  <w:vAlign w:val="center"/>
                </w:tcPr>
                <w:p w14:paraId="0C7733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975" w:type="pct"/>
                  <w:tcBorders>
                    <w:tl2br w:val="nil"/>
                    <w:tr2bl w:val="nil"/>
                  </w:tcBorders>
                  <w:noWrap w:val="0"/>
                  <w:vAlign w:val="center"/>
                </w:tcPr>
                <w:p w14:paraId="3239C1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0.0255</w:t>
                  </w:r>
                </w:p>
              </w:tc>
              <w:tc>
                <w:tcPr>
                  <w:tcW w:w="1347" w:type="pct"/>
                  <w:tcBorders>
                    <w:tl2br w:val="nil"/>
                    <w:tr2bl w:val="nil"/>
                  </w:tcBorders>
                  <w:noWrap w:val="0"/>
                  <w:vAlign w:val="center"/>
                </w:tcPr>
                <w:p w14:paraId="1066EB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5</w:t>
                  </w:r>
                </w:p>
              </w:tc>
              <w:tc>
                <w:tcPr>
                  <w:tcW w:w="721" w:type="pct"/>
                  <w:tcBorders>
                    <w:tl2br w:val="nil"/>
                    <w:tr2bl w:val="nil"/>
                  </w:tcBorders>
                  <w:noWrap w:val="0"/>
                  <w:vAlign w:val="center"/>
                </w:tcPr>
                <w:p w14:paraId="609E63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0.0567</w:t>
                  </w:r>
                </w:p>
              </w:tc>
            </w:tr>
          </w:tbl>
          <w:p w14:paraId="54471E53">
            <w:pPr>
              <w:pStyle w:val="14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由上表计算结果可知本项目生产车间排放的多种污染物等标排放量相差不在10%内，因此选择等标排放量最大的污染物作为对应车间无组织排放的主要特征大气有害物质。本项目生产车间主要特征大气有害物质为颗粒物，本报告生产车间主要以颗粒物为主要污染物设置卫生防护距离。项目卫生防护距离所用参数和计算结果见</w:t>
            </w:r>
            <w:r>
              <w:rPr>
                <w:rFonts w:hint="eastAsia" w:eastAsia="宋体" w:cs="Times New Roman"/>
                <w:b w:val="0"/>
                <w:color w:val="auto"/>
                <w:kern w:val="0"/>
                <w:sz w:val="24"/>
                <w:szCs w:val="24"/>
                <w:lang w:val="en-US" w:eastAsia="zh-CN" w:bidi="ar-SA"/>
              </w:rPr>
              <w:t>下</w:t>
            </w:r>
            <w:r>
              <w:rPr>
                <w:rFonts w:hint="default" w:ascii="Times New Roman" w:hAnsi="Times New Roman" w:eastAsia="宋体" w:cs="Times New Roman"/>
                <w:b w:val="0"/>
                <w:color w:val="auto"/>
                <w:kern w:val="0"/>
                <w:sz w:val="24"/>
                <w:szCs w:val="24"/>
                <w:lang w:val="en-US" w:eastAsia="zh-CN" w:bidi="ar-SA"/>
              </w:rPr>
              <w:t>表。</w:t>
            </w:r>
          </w:p>
          <w:p w14:paraId="1133B9F3">
            <w:pPr>
              <w:pStyle w:val="1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4"/>
                <w:szCs w:val="24"/>
                <w:lang w:val="en-US" w:eastAsia="zh-CN"/>
              </w:rPr>
              <w:t>表</w:t>
            </w:r>
            <w:r>
              <w:rPr>
                <w:rFonts w:hint="eastAsia" w:eastAsia="宋体" w:cs="Times New Roman"/>
                <w:color w:val="auto"/>
                <w:sz w:val="24"/>
                <w:szCs w:val="24"/>
                <w:lang w:val="en-US" w:eastAsia="zh-CN"/>
              </w:rPr>
              <w:t>4-20</w:t>
            </w:r>
            <w:r>
              <w:rPr>
                <w:rFonts w:hint="default" w:ascii="Times New Roman" w:hAnsi="Times New Roman" w:eastAsia="宋体" w:cs="Times New Roman"/>
                <w:color w:val="auto"/>
                <w:sz w:val="24"/>
                <w:szCs w:val="24"/>
                <w:lang w:val="en-US" w:eastAsia="zh-CN"/>
              </w:rPr>
              <w:t xml:space="preserve">  卫生防护距离计算结果表</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702"/>
              <w:gridCol w:w="702"/>
              <w:gridCol w:w="559"/>
              <w:gridCol w:w="732"/>
              <w:gridCol w:w="616"/>
              <w:gridCol w:w="616"/>
              <w:gridCol w:w="985"/>
              <w:gridCol w:w="702"/>
              <w:gridCol w:w="852"/>
              <w:gridCol w:w="732"/>
              <w:gridCol w:w="979"/>
            </w:tblGrid>
            <w:tr w14:paraId="00867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29" w:type="pct"/>
                  <w:noWrap w:val="0"/>
                  <w:vAlign w:val="center"/>
                </w:tcPr>
                <w:p w14:paraId="7A7233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面源</w:t>
                  </w:r>
                </w:p>
                <w:p w14:paraId="0CEC81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392" w:type="pct"/>
                  <w:noWrap w:val="0"/>
                  <w:vAlign w:val="center"/>
                </w:tcPr>
                <w:p w14:paraId="20BCDA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污染物名称</w:t>
                  </w:r>
                </w:p>
              </w:tc>
              <w:tc>
                <w:tcPr>
                  <w:tcW w:w="392" w:type="pct"/>
                  <w:noWrap w:val="0"/>
                  <w:vAlign w:val="center"/>
                </w:tcPr>
                <w:p w14:paraId="6ADCFE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平均风速(m/s)</w:t>
                  </w:r>
                </w:p>
              </w:tc>
              <w:tc>
                <w:tcPr>
                  <w:tcW w:w="312" w:type="pct"/>
                  <w:noWrap w:val="0"/>
                  <w:vAlign w:val="center"/>
                </w:tcPr>
                <w:p w14:paraId="1F394D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t>
                  </w:r>
                </w:p>
              </w:tc>
              <w:tc>
                <w:tcPr>
                  <w:tcW w:w="409" w:type="pct"/>
                  <w:noWrap w:val="0"/>
                  <w:vAlign w:val="center"/>
                </w:tcPr>
                <w:p w14:paraId="736543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w:t>
                  </w:r>
                </w:p>
              </w:tc>
              <w:tc>
                <w:tcPr>
                  <w:tcW w:w="344" w:type="pct"/>
                  <w:noWrap w:val="0"/>
                  <w:vAlign w:val="center"/>
                </w:tcPr>
                <w:p w14:paraId="05849C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w:t>
                  </w:r>
                </w:p>
              </w:tc>
              <w:tc>
                <w:tcPr>
                  <w:tcW w:w="344" w:type="pct"/>
                  <w:noWrap w:val="0"/>
                  <w:vAlign w:val="center"/>
                </w:tcPr>
                <w:p w14:paraId="7374AD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w:t>
                  </w:r>
                </w:p>
              </w:tc>
              <w:tc>
                <w:tcPr>
                  <w:tcW w:w="550" w:type="pct"/>
                  <w:noWrap w:val="0"/>
                  <w:vAlign w:val="center"/>
                </w:tcPr>
                <w:p w14:paraId="4E64BC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Cm</w:t>
                  </w:r>
                </w:p>
                <w:p w14:paraId="59B49C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392" w:type="pct"/>
                  <w:noWrap w:val="0"/>
                  <w:vAlign w:val="center"/>
                </w:tcPr>
                <w:p w14:paraId="6FD50C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R(m)</w:t>
                  </w:r>
                </w:p>
              </w:tc>
              <w:tc>
                <w:tcPr>
                  <w:tcW w:w="476" w:type="pct"/>
                  <w:noWrap w:val="0"/>
                  <w:vAlign w:val="center"/>
                </w:tcPr>
                <w:p w14:paraId="0E378B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Qc</w:t>
                  </w:r>
                </w:p>
                <w:p w14:paraId="19CECC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(kg/h)</w:t>
                  </w:r>
                </w:p>
              </w:tc>
              <w:tc>
                <w:tcPr>
                  <w:tcW w:w="409" w:type="pct"/>
                  <w:noWrap w:val="0"/>
                  <w:vAlign w:val="center"/>
                </w:tcPr>
                <w:p w14:paraId="118296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L(m)</w:t>
                  </w:r>
                </w:p>
              </w:tc>
              <w:tc>
                <w:tcPr>
                  <w:tcW w:w="547" w:type="pct"/>
                  <w:noWrap w:val="0"/>
                  <w:vAlign w:val="center"/>
                </w:tcPr>
                <w:p w14:paraId="28313B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卫生防护距离（m）</w:t>
                  </w:r>
                </w:p>
              </w:tc>
            </w:tr>
            <w:tr w14:paraId="3CBAC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29" w:type="pct"/>
                  <w:noWrap w:val="0"/>
                  <w:vAlign w:val="center"/>
                </w:tcPr>
                <w:p w14:paraId="696FE2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生产车间</w:t>
                  </w:r>
                </w:p>
              </w:tc>
              <w:tc>
                <w:tcPr>
                  <w:tcW w:w="392" w:type="pct"/>
                  <w:noWrap w:val="0"/>
                  <w:vAlign w:val="center"/>
                </w:tcPr>
                <w:p w14:paraId="625E9B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392" w:type="pct"/>
                  <w:noWrap w:val="0"/>
                  <w:vAlign w:val="center"/>
                </w:tcPr>
                <w:p w14:paraId="0773CC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312" w:type="pct"/>
                  <w:noWrap w:val="0"/>
                  <w:vAlign w:val="center"/>
                </w:tcPr>
                <w:p w14:paraId="298A92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470</w:t>
                  </w:r>
                </w:p>
              </w:tc>
              <w:tc>
                <w:tcPr>
                  <w:tcW w:w="409" w:type="pct"/>
                  <w:noWrap w:val="0"/>
                  <w:vAlign w:val="center"/>
                </w:tcPr>
                <w:p w14:paraId="181C1E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0.021</w:t>
                  </w:r>
                </w:p>
              </w:tc>
              <w:tc>
                <w:tcPr>
                  <w:tcW w:w="344" w:type="pct"/>
                  <w:noWrap w:val="0"/>
                  <w:vAlign w:val="center"/>
                </w:tcPr>
                <w:p w14:paraId="4D6176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1.85</w:t>
                  </w:r>
                </w:p>
              </w:tc>
              <w:tc>
                <w:tcPr>
                  <w:tcW w:w="344" w:type="pct"/>
                  <w:noWrap w:val="0"/>
                  <w:vAlign w:val="center"/>
                </w:tcPr>
                <w:p w14:paraId="6D9E48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0.84</w:t>
                  </w:r>
                </w:p>
              </w:tc>
              <w:tc>
                <w:tcPr>
                  <w:tcW w:w="550" w:type="pct"/>
                  <w:noWrap w:val="0"/>
                  <w:vAlign w:val="center"/>
                </w:tcPr>
                <w:p w14:paraId="2A1C9B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5</w:t>
                  </w:r>
                </w:p>
              </w:tc>
              <w:tc>
                <w:tcPr>
                  <w:tcW w:w="392" w:type="pct"/>
                  <w:noWrap w:val="0"/>
                  <w:vAlign w:val="center"/>
                </w:tcPr>
                <w:p w14:paraId="60DA2E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25.24</w:t>
                  </w:r>
                </w:p>
              </w:tc>
              <w:tc>
                <w:tcPr>
                  <w:tcW w:w="476" w:type="pct"/>
                  <w:noWrap w:val="0"/>
                  <w:vAlign w:val="center"/>
                </w:tcPr>
                <w:p w14:paraId="5206C9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0.0255</w:t>
                  </w:r>
                </w:p>
              </w:tc>
              <w:tc>
                <w:tcPr>
                  <w:tcW w:w="409" w:type="pct"/>
                  <w:noWrap w:val="0"/>
                  <w:vAlign w:val="center"/>
                </w:tcPr>
                <w:p w14:paraId="3F36A5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2.433</w:t>
                  </w:r>
                </w:p>
              </w:tc>
              <w:tc>
                <w:tcPr>
                  <w:tcW w:w="547" w:type="pct"/>
                  <w:noWrap w:val="0"/>
                  <w:vAlign w:val="center"/>
                </w:tcPr>
                <w:p w14:paraId="7C4798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bl>
          <w:p w14:paraId="05D7DB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eastAsia="zh-CN"/>
              </w:rPr>
              <w:t>根据卫生防护距离的制定原则，全厂确定以生产车间外扩</w:t>
            </w:r>
            <w:r>
              <w:rPr>
                <w:rFonts w:hint="default" w:ascii="Times New Roman" w:hAnsi="Times New Roman" w:eastAsia="宋体" w:cs="Times New Roman"/>
                <w:color w:val="auto"/>
                <w:kern w:val="0"/>
                <w:sz w:val="24"/>
                <w:szCs w:val="24"/>
                <w:lang w:val="en-US" w:eastAsia="zh-CN"/>
              </w:rPr>
              <w:t>50</w:t>
            </w:r>
            <w:r>
              <w:rPr>
                <w:rFonts w:hint="default" w:ascii="Times New Roman" w:hAnsi="Times New Roman" w:eastAsia="宋体" w:cs="Times New Roman"/>
                <w:color w:val="auto"/>
                <w:kern w:val="0"/>
                <w:sz w:val="24"/>
                <w:szCs w:val="24"/>
                <w:lang w:eastAsia="zh-CN"/>
              </w:rPr>
              <w:t>米形成的包络线设置为卫生防护距离。经调查，卫生防护距离范围内无环境敏感点，符合卫生防护距离要求。</w:t>
            </w:r>
          </w:p>
          <w:p w14:paraId="4239F164">
            <w:pPr>
              <w:spacing w:line="480" w:lineRule="exact"/>
              <w:ind w:firstLine="482" w:firstLineChars="200"/>
              <w:rPr>
                <w:b/>
                <w:bCs/>
                <w:kern w:val="0"/>
                <w:sz w:val="24"/>
              </w:rPr>
            </w:pPr>
            <w:r>
              <w:rPr>
                <w:b/>
                <w:bCs/>
                <w:kern w:val="0"/>
                <w:sz w:val="24"/>
              </w:rPr>
              <w:t>三、噪声</w:t>
            </w:r>
          </w:p>
          <w:p w14:paraId="43EE5C46">
            <w:pPr>
              <w:spacing w:line="480" w:lineRule="exact"/>
              <w:ind w:firstLine="482" w:firstLineChars="200"/>
              <w:jc w:val="left"/>
              <w:rPr>
                <w:b/>
                <w:bCs/>
                <w:sz w:val="24"/>
              </w:rPr>
            </w:pPr>
            <w:r>
              <w:rPr>
                <w:b/>
                <w:bCs/>
                <w:sz w:val="24"/>
              </w:rPr>
              <w:t>1、噪声源强</w:t>
            </w:r>
          </w:p>
          <w:p w14:paraId="2A56C631">
            <w:pPr>
              <w:pStyle w:val="136"/>
              <w:spacing w:line="360" w:lineRule="auto"/>
              <w:ind w:firstLine="482"/>
              <w:rPr>
                <w:rFonts w:eastAsia="宋体"/>
                <w:b/>
              </w:rPr>
            </w:pPr>
            <w:r>
              <w:rPr>
                <w:rFonts w:eastAsia="宋体"/>
                <w:b/>
              </w:rPr>
              <w:t>（1）本项目主要声源及强度</w:t>
            </w:r>
          </w:p>
          <w:p w14:paraId="5DFE1AB1">
            <w:pPr>
              <w:snapToGrid w:val="0"/>
              <w:spacing w:line="360" w:lineRule="auto"/>
              <w:ind w:left="63" w:leftChars="30" w:right="63" w:rightChars="30" w:firstLine="480" w:firstLineChars="200"/>
              <w:rPr>
                <w:sz w:val="24"/>
              </w:rPr>
            </w:pPr>
            <w:r>
              <w:rPr>
                <w:sz w:val="24"/>
              </w:rPr>
              <w:t>根据工程分析，本项目运营期噪声主要来源于</w:t>
            </w:r>
            <w:r>
              <w:rPr>
                <w:rFonts w:hint="eastAsia"/>
                <w:sz w:val="24"/>
                <w:lang w:val="en-US" w:eastAsia="zh-CN"/>
              </w:rPr>
              <w:t>混合机、簇绒</w:t>
            </w:r>
            <w:r>
              <w:rPr>
                <w:sz w:val="24"/>
              </w:rPr>
              <w:t>机等机械设备等运行时发出的噪声，噪声介于70-80dB(A)之间。</w:t>
            </w:r>
          </w:p>
          <w:p w14:paraId="7852F0C8">
            <w:pPr>
              <w:ind w:firstLine="482" w:firstLineChars="200"/>
              <w:jc w:val="center"/>
              <w:rPr>
                <w:b/>
                <w:sz w:val="24"/>
              </w:rPr>
            </w:pPr>
            <w:r>
              <w:rPr>
                <w:b/>
                <w:sz w:val="24"/>
              </w:rPr>
              <w:t>表4-</w:t>
            </w:r>
            <w:r>
              <w:rPr>
                <w:rFonts w:hint="eastAsia"/>
                <w:b/>
                <w:sz w:val="24"/>
                <w:lang w:val="en-US" w:eastAsia="zh-CN"/>
              </w:rPr>
              <w:t>21</w:t>
            </w:r>
            <w:r>
              <w:rPr>
                <w:b/>
                <w:sz w:val="24"/>
              </w:rPr>
              <w:t xml:space="preserve">  工业企业室内噪声源强调查清单（单位：dB(A)）</w:t>
            </w:r>
          </w:p>
          <w:tbl>
            <w:tblPr>
              <w:tblStyle w:val="27"/>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6"/>
              <w:gridCol w:w="465"/>
              <w:gridCol w:w="702"/>
              <w:gridCol w:w="2102"/>
              <w:gridCol w:w="757"/>
              <w:gridCol w:w="450"/>
              <w:gridCol w:w="290"/>
              <w:gridCol w:w="289"/>
              <w:gridCol w:w="204"/>
              <w:gridCol w:w="221"/>
              <w:gridCol w:w="246"/>
              <w:gridCol w:w="607"/>
              <w:gridCol w:w="334"/>
              <w:gridCol w:w="631"/>
              <w:gridCol w:w="920"/>
              <w:gridCol w:w="488"/>
            </w:tblGrid>
            <w:tr w14:paraId="770C9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1" w:type="pct"/>
                  <w:vMerge w:val="restart"/>
                  <w:noWrap w:val="0"/>
                  <w:vAlign w:val="center"/>
                </w:tcPr>
                <w:p w14:paraId="532AC88E">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序号</w:t>
                  </w:r>
                </w:p>
              </w:tc>
              <w:tc>
                <w:tcPr>
                  <w:tcW w:w="261" w:type="pct"/>
                  <w:vMerge w:val="restart"/>
                  <w:noWrap w:val="0"/>
                  <w:vAlign w:val="center"/>
                </w:tcPr>
                <w:p w14:paraId="7AC97C88">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建筑物名称</w:t>
                  </w:r>
                </w:p>
              </w:tc>
              <w:tc>
                <w:tcPr>
                  <w:tcW w:w="393" w:type="pct"/>
                  <w:vMerge w:val="restart"/>
                  <w:noWrap w:val="0"/>
                  <w:vAlign w:val="center"/>
                </w:tcPr>
                <w:p w14:paraId="77F9B5E8">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声源名称</w:t>
                  </w:r>
                </w:p>
              </w:tc>
              <w:tc>
                <w:tcPr>
                  <w:tcW w:w="1177" w:type="pct"/>
                  <w:vMerge w:val="restart"/>
                  <w:noWrap w:val="0"/>
                  <w:vAlign w:val="center"/>
                </w:tcPr>
                <w:p w14:paraId="051D8CE0">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型号</w:t>
                  </w:r>
                </w:p>
              </w:tc>
              <w:tc>
                <w:tcPr>
                  <w:tcW w:w="424" w:type="pct"/>
                  <w:noWrap w:val="0"/>
                  <w:vAlign w:val="center"/>
                </w:tcPr>
                <w:p w14:paraId="3990457C">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声源源强</w:t>
                  </w:r>
                </w:p>
              </w:tc>
              <w:tc>
                <w:tcPr>
                  <w:tcW w:w="252" w:type="pct"/>
                  <w:vMerge w:val="restart"/>
                  <w:noWrap w:val="0"/>
                  <w:vAlign w:val="center"/>
                </w:tcPr>
                <w:p w14:paraId="136B4DDD">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声源控制措施</w:t>
                  </w:r>
                </w:p>
              </w:tc>
              <w:tc>
                <w:tcPr>
                  <w:tcW w:w="438" w:type="pct"/>
                  <w:gridSpan w:val="3"/>
                  <w:noWrap w:val="0"/>
                  <w:vAlign w:val="center"/>
                </w:tcPr>
                <w:p w14:paraId="63EF659D">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空间相对位置/m</w:t>
                  </w:r>
                </w:p>
              </w:tc>
              <w:tc>
                <w:tcPr>
                  <w:tcW w:w="261" w:type="pct"/>
                  <w:gridSpan w:val="2"/>
                  <w:noWrap w:val="0"/>
                  <w:vAlign w:val="center"/>
                </w:tcPr>
                <w:p w14:paraId="03E0E68D">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距室内边界距离</w:t>
                  </w:r>
                </w:p>
              </w:tc>
              <w:tc>
                <w:tcPr>
                  <w:tcW w:w="340" w:type="pct"/>
                  <w:vMerge w:val="restart"/>
                  <w:noWrap w:val="0"/>
                  <w:vAlign w:val="center"/>
                </w:tcPr>
                <w:p w14:paraId="671F68F8">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室内边界声级/dB（A）</w:t>
                  </w:r>
                </w:p>
              </w:tc>
              <w:tc>
                <w:tcPr>
                  <w:tcW w:w="187" w:type="pct"/>
                  <w:vMerge w:val="restart"/>
                  <w:noWrap w:val="0"/>
                  <w:vAlign w:val="center"/>
                </w:tcPr>
                <w:p w14:paraId="70CA580B">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运行时段</w:t>
                  </w:r>
                </w:p>
              </w:tc>
              <w:tc>
                <w:tcPr>
                  <w:tcW w:w="353" w:type="pct"/>
                  <w:vMerge w:val="restart"/>
                  <w:noWrap w:val="0"/>
                  <w:vAlign w:val="center"/>
                </w:tcPr>
                <w:p w14:paraId="104158CE">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建筑物</w:t>
                  </w:r>
                </w:p>
                <w:p w14:paraId="19A830D9">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插入损失/dB（A）</w:t>
                  </w:r>
                </w:p>
              </w:tc>
              <w:tc>
                <w:tcPr>
                  <w:tcW w:w="788" w:type="pct"/>
                  <w:gridSpan w:val="2"/>
                  <w:noWrap w:val="0"/>
                  <w:vAlign w:val="center"/>
                </w:tcPr>
                <w:p w14:paraId="1F9770B2">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建筑物外噪声</w:t>
                  </w:r>
                </w:p>
              </w:tc>
            </w:tr>
            <w:tr w14:paraId="2C08D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62582809">
                  <w:pPr>
                    <w:pStyle w:val="63"/>
                    <w:ind w:firstLine="0" w:firstLineChars="0"/>
                    <w:rPr>
                      <w:rFonts w:hint="eastAsia" w:ascii="Times New Roman" w:hAnsi="Times New Roman" w:eastAsia="宋体" w:cs="Times New Roman"/>
                      <w:b/>
                      <w:bCs w:val="0"/>
                      <w:szCs w:val="21"/>
                      <w:lang w:bidi="ar"/>
                    </w:rPr>
                  </w:pPr>
                </w:p>
              </w:tc>
              <w:tc>
                <w:tcPr>
                  <w:tcW w:w="261" w:type="pct"/>
                  <w:vMerge w:val="continue"/>
                  <w:noWrap w:val="0"/>
                  <w:vAlign w:val="center"/>
                </w:tcPr>
                <w:p w14:paraId="13A54133">
                  <w:pPr>
                    <w:pStyle w:val="63"/>
                    <w:ind w:firstLine="0" w:firstLineChars="0"/>
                    <w:rPr>
                      <w:rFonts w:hint="eastAsia" w:ascii="Times New Roman" w:hAnsi="Times New Roman" w:eastAsia="宋体" w:cs="Times New Roman"/>
                      <w:b/>
                      <w:bCs w:val="0"/>
                      <w:szCs w:val="21"/>
                      <w:lang w:bidi="ar"/>
                    </w:rPr>
                  </w:pPr>
                </w:p>
              </w:tc>
              <w:tc>
                <w:tcPr>
                  <w:tcW w:w="393" w:type="pct"/>
                  <w:vMerge w:val="continue"/>
                  <w:noWrap w:val="0"/>
                  <w:vAlign w:val="center"/>
                </w:tcPr>
                <w:p w14:paraId="4E569B5F">
                  <w:pPr>
                    <w:pStyle w:val="63"/>
                    <w:ind w:firstLine="0" w:firstLineChars="0"/>
                    <w:rPr>
                      <w:rFonts w:hint="eastAsia" w:ascii="Times New Roman" w:hAnsi="Times New Roman" w:eastAsia="宋体" w:cs="Times New Roman"/>
                      <w:b/>
                      <w:bCs w:val="0"/>
                      <w:szCs w:val="21"/>
                      <w:lang w:bidi="ar"/>
                    </w:rPr>
                  </w:pPr>
                </w:p>
              </w:tc>
              <w:tc>
                <w:tcPr>
                  <w:tcW w:w="1177" w:type="pct"/>
                  <w:vMerge w:val="continue"/>
                  <w:noWrap w:val="0"/>
                  <w:vAlign w:val="center"/>
                </w:tcPr>
                <w:p w14:paraId="2AC362A9">
                  <w:pPr>
                    <w:pStyle w:val="63"/>
                    <w:ind w:firstLine="0" w:firstLineChars="0"/>
                    <w:rPr>
                      <w:rFonts w:hint="eastAsia" w:ascii="Times New Roman" w:hAnsi="Times New Roman" w:eastAsia="宋体" w:cs="Times New Roman"/>
                      <w:b/>
                      <w:bCs w:val="0"/>
                      <w:szCs w:val="21"/>
                      <w:lang w:bidi="ar"/>
                    </w:rPr>
                  </w:pPr>
                </w:p>
              </w:tc>
              <w:tc>
                <w:tcPr>
                  <w:tcW w:w="424" w:type="pct"/>
                  <w:noWrap w:val="0"/>
                  <w:vAlign w:val="center"/>
                </w:tcPr>
                <w:p w14:paraId="4EACCACA">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声功率级/dB（A）</w:t>
                  </w:r>
                </w:p>
              </w:tc>
              <w:tc>
                <w:tcPr>
                  <w:tcW w:w="252" w:type="pct"/>
                  <w:vMerge w:val="continue"/>
                  <w:noWrap w:val="0"/>
                  <w:vAlign w:val="center"/>
                </w:tcPr>
                <w:p w14:paraId="7C1F07C3">
                  <w:pPr>
                    <w:pStyle w:val="63"/>
                    <w:ind w:firstLine="0" w:firstLineChars="0"/>
                    <w:rPr>
                      <w:rFonts w:hint="eastAsia" w:ascii="Times New Roman" w:hAnsi="Times New Roman" w:eastAsia="宋体" w:cs="Times New Roman"/>
                      <w:b/>
                      <w:bCs w:val="0"/>
                      <w:szCs w:val="21"/>
                      <w:lang w:bidi="ar"/>
                    </w:rPr>
                  </w:pPr>
                </w:p>
              </w:tc>
              <w:tc>
                <w:tcPr>
                  <w:tcW w:w="162" w:type="pct"/>
                  <w:noWrap w:val="0"/>
                  <w:vAlign w:val="center"/>
                </w:tcPr>
                <w:p w14:paraId="5794980B">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X</w:t>
                  </w:r>
                </w:p>
              </w:tc>
              <w:tc>
                <w:tcPr>
                  <w:tcW w:w="162" w:type="pct"/>
                  <w:noWrap w:val="0"/>
                  <w:vAlign w:val="center"/>
                </w:tcPr>
                <w:p w14:paraId="7DAECCA9">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Y</w:t>
                  </w:r>
                </w:p>
              </w:tc>
              <w:tc>
                <w:tcPr>
                  <w:tcW w:w="114" w:type="pct"/>
                  <w:noWrap w:val="0"/>
                  <w:vAlign w:val="center"/>
                </w:tcPr>
                <w:p w14:paraId="3FB529C8">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Z</w:t>
                  </w:r>
                </w:p>
              </w:tc>
              <w:tc>
                <w:tcPr>
                  <w:tcW w:w="123" w:type="pct"/>
                  <w:noWrap w:val="0"/>
                  <w:vAlign w:val="center"/>
                </w:tcPr>
                <w:p w14:paraId="548A6BA9">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方向</w:t>
                  </w:r>
                </w:p>
              </w:tc>
              <w:tc>
                <w:tcPr>
                  <w:tcW w:w="137" w:type="pct"/>
                  <w:noWrap w:val="0"/>
                  <w:vAlign w:val="center"/>
                </w:tcPr>
                <w:p w14:paraId="47C40434">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距离</w:t>
                  </w:r>
                </w:p>
              </w:tc>
              <w:tc>
                <w:tcPr>
                  <w:tcW w:w="340" w:type="pct"/>
                  <w:vMerge w:val="continue"/>
                  <w:noWrap w:val="0"/>
                  <w:vAlign w:val="center"/>
                </w:tcPr>
                <w:p w14:paraId="2DB029EB">
                  <w:pPr>
                    <w:pStyle w:val="63"/>
                    <w:ind w:firstLine="0" w:firstLineChars="0"/>
                    <w:rPr>
                      <w:rFonts w:hint="eastAsia" w:ascii="Times New Roman" w:hAnsi="Times New Roman" w:eastAsia="宋体" w:cs="Times New Roman"/>
                      <w:b/>
                      <w:bCs w:val="0"/>
                      <w:szCs w:val="21"/>
                      <w:lang w:bidi="ar"/>
                    </w:rPr>
                  </w:pPr>
                </w:p>
              </w:tc>
              <w:tc>
                <w:tcPr>
                  <w:tcW w:w="187" w:type="pct"/>
                  <w:vMerge w:val="continue"/>
                  <w:noWrap w:val="0"/>
                  <w:vAlign w:val="center"/>
                </w:tcPr>
                <w:p w14:paraId="1E05ED63">
                  <w:pPr>
                    <w:pStyle w:val="63"/>
                    <w:ind w:firstLine="0" w:firstLineChars="0"/>
                    <w:rPr>
                      <w:rFonts w:hint="eastAsia" w:ascii="Times New Roman" w:hAnsi="Times New Roman" w:eastAsia="宋体" w:cs="Times New Roman"/>
                      <w:b/>
                      <w:bCs w:val="0"/>
                      <w:szCs w:val="21"/>
                      <w:lang w:bidi="ar"/>
                    </w:rPr>
                  </w:pPr>
                </w:p>
              </w:tc>
              <w:tc>
                <w:tcPr>
                  <w:tcW w:w="353" w:type="pct"/>
                  <w:vMerge w:val="continue"/>
                  <w:noWrap w:val="0"/>
                  <w:vAlign w:val="center"/>
                </w:tcPr>
                <w:p w14:paraId="4C2F5745">
                  <w:pPr>
                    <w:pStyle w:val="63"/>
                    <w:ind w:firstLine="0" w:firstLineChars="0"/>
                    <w:rPr>
                      <w:rFonts w:hint="eastAsia" w:ascii="Times New Roman" w:hAnsi="Times New Roman" w:eastAsia="宋体" w:cs="Times New Roman"/>
                      <w:b/>
                      <w:bCs w:val="0"/>
                      <w:szCs w:val="21"/>
                      <w:lang w:bidi="ar"/>
                    </w:rPr>
                  </w:pPr>
                </w:p>
              </w:tc>
              <w:tc>
                <w:tcPr>
                  <w:tcW w:w="515" w:type="pct"/>
                  <w:noWrap w:val="0"/>
                  <w:vAlign w:val="center"/>
                </w:tcPr>
                <w:p w14:paraId="58A06236">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声压级/dB（A）</w:t>
                  </w:r>
                </w:p>
              </w:tc>
              <w:tc>
                <w:tcPr>
                  <w:tcW w:w="272" w:type="pct"/>
                  <w:noWrap w:val="0"/>
                  <w:vAlign w:val="center"/>
                </w:tcPr>
                <w:p w14:paraId="599E03EC">
                  <w:pPr>
                    <w:pStyle w:val="63"/>
                    <w:ind w:firstLine="0" w:firstLineChars="0"/>
                    <w:rPr>
                      <w:rFonts w:hint="eastAsia" w:ascii="Times New Roman" w:hAnsi="Times New Roman" w:eastAsia="宋体" w:cs="Times New Roman"/>
                      <w:b/>
                      <w:bCs w:val="0"/>
                      <w:szCs w:val="21"/>
                      <w:lang w:bidi="ar"/>
                    </w:rPr>
                  </w:pPr>
                  <w:r>
                    <w:rPr>
                      <w:rFonts w:hint="eastAsia" w:ascii="Times New Roman" w:hAnsi="Times New Roman" w:eastAsia="宋体" w:cs="Times New Roman"/>
                      <w:b/>
                      <w:bCs w:val="0"/>
                      <w:szCs w:val="21"/>
                      <w:lang w:bidi="ar"/>
                    </w:rPr>
                    <w:t>建筑物外距离</w:t>
                  </w:r>
                </w:p>
              </w:tc>
            </w:tr>
            <w:tr w14:paraId="0E0D1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restart"/>
                  <w:noWrap w:val="0"/>
                  <w:vAlign w:val="center"/>
                </w:tcPr>
                <w:p w14:paraId="26AADF36">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c>
                <w:tcPr>
                  <w:tcW w:w="261" w:type="pct"/>
                  <w:vMerge w:val="restart"/>
                  <w:noWrap w:val="0"/>
                  <w:vAlign w:val="center"/>
                </w:tcPr>
                <w:p w14:paraId="1AF3F15D">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val="en-US" w:eastAsia="zh-CN" w:bidi="ar"/>
                    </w:rPr>
                    <w:t>生产</w:t>
                  </w:r>
                  <w:r>
                    <w:rPr>
                      <w:rFonts w:hint="eastAsia" w:ascii="Times New Roman" w:hAnsi="Times New Roman" w:eastAsia="宋体" w:cs="Times New Roman"/>
                      <w:bCs/>
                      <w:szCs w:val="21"/>
                      <w:lang w:bidi="ar"/>
                    </w:rPr>
                    <w:t>车间</w:t>
                  </w:r>
                </w:p>
              </w:tc>
              <w:tc>
                <w:tcPr>
                  <w:tcW w:w="393" w:type="pct"/>
                  <w:vMerge w:val="restart"/>
                  <w:noWrap w:val="0"/>
                  <w:vAlign w:val="center"/>
                </w:tcPr>
                <w:p w14:paraId="2DF134D1">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搅拌罐</w:t>
                  </w:r>
                  <w:r>
                    <w:rPr>
                      <w:rFonts w:hint="eastAsia" w:ascii="Times New Roman" w:hAnsi="Times New Roman" w:eastAsia="宋体" w:cs="Times New Roman"/>
                      <w:bCs/>
                      <w:szCs w:val="21"/>
                      <w:lang w:val="en-US" w:eastAsia="zh-CN" w:bidi="ar"/>
                    </w:rPr>
                    <w:t>1</w:t>
                  </w:r>
                </w:p>
              </w:tc>
              <w:tc>
                <w:tcPr>
                  <w:tcW w:w="1177" w:type="pct"/>
                  <w:vMerge w:val="restart"/>
                  <w:noWrap w:val="0"/>
                  <w:vAlign w:val="center"/>
                </w:tcPr>
                <w:p w14:paraId="6ED46F9D">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3t</w:t>
                  </w:r>
                </w:p>
              </w:tc>
              <w:tc>
                <w:tcPr>
                  <w:tcW w:w="424" w:type="pct"/>
                  <w:vMerge w:val="restart"/>
                  <w:noWrap w:val="0"/>
                  <w:vAlign w:val="center"/>
                </w:tcPr>
                <w:p w14:paraId="5660E030">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70</w:t>
                  </w:r>
                </w:p>
              </w:tc>
              <w:tc>
                <w:tcPr>
                  <w:tcW w:w="252" w:type="pct"/>
                  <w:vMerge w:val="restart"/>
                  <w:noWrap w:val="0"/>
                  <w:vAlign w:val="center"/>
                </w:tcPr>
                <w:p w14:paraId="5AFAD975">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设备基础减震、软连接、隔声罩</w:t>
                  </w:r>
                </w:p>
              </w:tc>
              <w:tc>
                <w:tcPr>
                  <w:tcW w:w="162" w:type="pct"/>
                  <w:vMerge w:val="restart"/>
                  <w:noWrap w:val="0"/>
                  <w:vAlign w:val="center"/>
                </w:tcPr>
                <w:p w14:paraId="1ACE189F">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w:t>
                  </w:r>
                  <w:r>
                    <w:rPr>
                      <w:rFonts w:hint="eastAsia" w:ascii="Times New Roman" w:hAnsi="Times New Roman" w:eastAsia="宋体" w:cs="Times New Roman"/>
                      <w:bCs/>
                      <w:szCs w:val="21"/>
                      <w:lang w:val="en-US" w:eastAsia="zh-CN" w:bidi="ar"/>
                    </w:rPr>
                    <w:t>10</w:t>
                  </w:r>
                </w:p>
              </w:tc>
              <w:tc>
                <w:tcPr>
                  <w:tcW w:w="162" w:type="pct"/>
                  <w:vMerge w:val="restart"/>
                  <w:noWrap w:val="0"/>
                  <w:vAlign w:val="center"/>
                </w:tcPr>
                <w:p w14:paraId="2E72EF7C">
                  <w:pPr>
                    <w:pStyle w:val="63"/>
                    <w:ind w:firstLine="0" w:firstLineChars="0"/>
                    <w:rPr>
                      <w:rFonts w:hint="eastAsia" w:ascii="Times New Roman" w:hAnsi="Times New Roman" w:eastAsia="宋体" w:cs="Times New Roman"/>
                      <w:bCs/>
                      <w:szCs w:val="21"/>
                      <w:lang w:eastAsia="zh-CN" w:bidi="ar"/>
                    </w:rPr>
                  </w:pPr>
                  <w:r>
                    <w:rPr>
                      <w:rFonts w:hint="eastAsia" w:ascii="Times New Roman" w:hAnsi="Times New Roman" w:eastAsia="宋体" w:cs="Times New Roman"/>
                      <w:bCs/>
                      <w:szCs w:val="21"/>
                      <w:lang w:val="en-US" w:eastAsia="zh-CN" w:bidi="ar"/>
                    </w:rPr>
                    <w:t>5</w:t>
                  </w:r>
                </w:p>
              </w:tc>
              <w:tc>
                <w:tcPr>
                  <w:tcW w:w="114" w:type="pct"/>
                  <w:vMerge w:val="restart"/>
                  <w:noWrap w:val="0"/>
                  <w:vAlign w:val="center"/>
                </w:tcPr>
                <w:p w14:paraId="24B23348">
                  <w:pPr>
                    <w:pStyle w:val="63"/>
                    <w:ind w:firstLine="0" w:firstLineChars="0"/>
                    <w:rPr>
                      <w:rFonts w:hint="eastAsia" w:ascii="Times New Roman" w:hAnsi="Times New Roman" w:eastAsia="宋体" w:cs="Times New Roman"/>
                      <w:bCs/>
                      <w:szCs w:val="21"/>
                      <w:lang w:eastAsia="zh-CN" w:bidi="ar"/>
                    </w:rPr>
                  </w:pPr>
                  <w:r>
                    <w:rPr>
                      <w:rFonts w:hint="eastAsia" w:ascii="Times New Roman" w:hAnsi="Times New Roman" w:eastAsia="宋体" w:cs="Times New Roman"/>
                      <w:bCs/>
                      <w:szCs w:val="21"/>
                      <w:lang w:val="en-US" w:eastAsia="zh-CN" w:bidi="ar"/>
                    </w:rPr>
                    <w:t>1</w:t>
                  </w:r>
                </w:p>
              </w:tc>
              <w:tc>
                <w:tcPr>
                  <w:tcW w:w="123" w:type="pct"/>
                  <w:noWrap w:val="0"/>
                  <w:vAlign w:val="center"/>
                </w:tcPr>
                <w:p w14:paraId="04785C23">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东</w:t>
                  </w:r>
                </w:p>
              </w:tc>
              <w:tc>
                <w:tcPr>
                  <w:tcW w:w="137" w:type="pct"/>
                  <w:noWrap w:val="0"/>
                  <w:vAlign w:val="center"/>
                </w:tcPr>
                <w:p w14:paraId="3E0CC2A2">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15</w:t>
                  </w:r>
                </w:p>
              </w:tc>
              <w:tc>
                <w:tcPr>
                  <w:tcW w:w="340" w:type="pct"/>
                  <w:noWrap w:val="0"/>
                  <w:vAlign w:val="center"/>
                </w:tcPr>
                <w:p w14:paraId="517B8DBF">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45.5</w:t>
                  </w:r>
                </w:p>
              </w:tc>
              <w:tc>
                <w:tcPr>
                  <w:tcW w:w="187" w:type="pct"/>
                  <w:vMerge w:val="restart"/>
                  <w:noWrap w:val="0"/>
                  <w:vAlign w:val="center"/>
                </w:tcPr>
                <w:p w14:paraId="6CC39678">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生产时段连续</w:t>
                  </w:r>
                </w:p>
              </w:tc>
              <w:tc>
                <w:tcPr>
                  <w:tcW w:w="353" w:type="pct"/>
                  <w:vMerge w:val="restart"/>
                  <w:noWrap w:val="0"/>
                  <w:vAlign w:val="center"/>
                </w:tcPr>
                <w:p w14:paraId="4EAB4D98">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26</w:t>
                  </w:r>
                </w:p>
              </w:tc>
              <w:tc>
                <w:tcPr>
                  <w:tcW w:w="515" w:type="pct"/>
                  <w:noWrap w:val="0"/>
                  <w:vAlign w:val="center"/>
                </w:tcPr>
                <w:p w14:paraId="09534779">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19.5</w:t>
                  </w:r>
                </w:p>
              </w:tc>
              <w:tc>
                <w:tcPr>
                  <w:tcW w:w="272" w:type="pct"/>
                  <w:vMerge w:val="restart"/>
                  <w:noWrap w:val="0"/>
                  <w:vAlign w:val="center"/>
                </w:tcPr>
                <w:p w14:paraId="6BFF1D4F">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r>
            <w:tr w14:paraId="5CE55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152D7DB1">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3DC37EB3">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14D6F7C8">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327055D3">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095A73A9">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606D5342">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C05AED1">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3E0A69F7">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3AA89D4C">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02E11F73">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南</w:t>
                  </w:r>
                </w:p>
              </w:tc>
              <w:tc>
                <w:tcPr>
                  <w:tcW w:w="137" w:type="pct"/>
                  <w:noWrap w:val="0"/>
                  <w:vAlign w:val="center"/>
                </w:tcPr>
                <w:p w14:paraId="7CFDDCEB">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60</w:t>
                  </w:r>
                </w:p>
              </w:tc>
              <w:tc>
                <w:tcPr>
                  <w:tcW w:w="340" w:type="pct"/>
                  <w:noWrap w:val="0"/>
                  <w:vAlign w:val="center"/>
                </w:tcPr>
                <w:p w14:paraId="3621AD19">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39.7</w:t>
                  </w:r>
                </w:p>
              </w:tc>
              <w:tc>
                <w:tcPr>
                  <w:tcW w:w="187" w:type="pct"/>
                  <w:vMerge w:val="continue"/>
                  <w:noWrap w:val="0"/>
                  <w:vAlign w:val="center"/>
                </w:tcPr>
                <w:p w14:paraId="443B92DB">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36FDDE9E">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01CAFB23">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13.7</w:t>
                  </w:r>
                </w:p>
              </w:tc>
              <w:tc>
                <w:tcPr>
                  <w:tcW w:w="272" w:type="pct"/>
                  <w:vMerge w:val="continue"/>
                  <w:noWrap w:val="0"/>
                  <w:vAlign w:val="center"/>
                </w:tcPr>
                <w:p w14:paraId="158BEEA6">
                  <w:pPr>
                    <w:pStyle w:val="63"/>
                    <w:ind w:firstLine="0" w:firstLineChars="0"/>
                    <w:rPr>
                      <w:rFonts w:hint="eastAsia" w:ascii="Times New Roman" w:hAnsi="Times New Roman" w:eastAsia="宋体" w:cs="Times New Roman"/>
                      <w:bCs/>
                      <w:szCs w:val="21"/>
                      <w:lang w:bidi="ar"/>
                    </w:rPr>
                  </w:pPr>
                </w:p>
              </w:tc>
            </w:tr>
            <w:tr w14:paraId="3EF07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21E5320D">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3B983CCD">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4BCFD0CB">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2517BF5E">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47F91A72">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70EE0E3B">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47C9FC51">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7C2D574D">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323B37DC">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2AC0C231">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西</w:t>
                  </w:r>
                </w:p>
              </w:tc>
              <w:tc>
                <w:tcPr>
                  <w:tcW w:w="137" w:type="pct"/>
                  <w:noWrap w:val="0"/>
                  <w:vAlign w:val="center"/>
                </w:tcPr>
                <w:p w14:paraId="2674998A">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29</w:t>
                  </w:r>
                </w:p>
              </w:tc>
              <w:tc>
                <w:tcPr>
                  <w:tcW w:w="340" w:type="pct"/>
                  <w:noWrap w:val="0"/>
                  <w:vAlign w:val="center"/>
                </w:tcPr>
                <w:p w14:paraId="7643735B">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41.8</w:t>
                  </w:r>
                </w:p>
              </w:tc>
              <w:tc>
                <w:tcPr>
                  <w:tcW w:w="187" w:type="pct"/>
                  <w:vMerge w:val="continue"/>
                  <w:noWrap w:val="0"/>
                  <w:vAlign w:val="center"/>
                </w:tcPr>
                <w:p w14:paraId="4C317C35">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5AF26D3F">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2AD6FDD2">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15.8</w:t>
                  </w:r>
                </w:p>
              </w:tc>
              <w:tc>
                <w:tcPr>
                  <w:tcW w:w="272" w:type="pct"/>
                  <w:vMerge w:val="continue"/>
                  <w:noWrap w:val="0"/>
                  <w:vAlign w:val="center"/>
                </w:tcPr>
                <w:p w14:paraId="0E1E5932">
                  <w:pPr>
                    <w:pStyle w:val="63"/>
                    <w:ind w:firstLine="0" w:firstLineChars="0"/>
                    <w:rPr>
                      <w:rFonts w:hint="eastAsia" w:ascii="Times New Roman" w:hAnsi="Times New Roman" w:eastAsia="宋体" w:cs="Times New Roman"/>
                      <w:bCs/>
                      <w:szCs w:val="21"/>
                      <w:lang w:bidi="ar"/>
                    </w:rPr>
                  </w:pPr>
                </w:p>
              </w:tc>
            </w:tr>
            <w:tr w14:paraId="2EBC8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4DF9E498">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4E4A4B5B">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43CBE4AE">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27E1AA84">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497C96F5">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50C124D7">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C1CF1E6">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5738355E">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1F859415">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455E059C">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北</w:t>
                  </w:r>
                </w:p>
              </w:tc>
              <w:tc>
                <w:tcPr>
                  <w:tcW w:w="137" w:type="pct"/>
                  <w:noWrap w:val="0"/>
                  <w:vAlign w:val="center"/>
                </w:tcPr>
                <w:p w14:paraId="24CA6CF4">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7</w:t>
                  </w:r>
                </w:p>
              </w:tc>
              <w:tc>
                <w:tcPr>
                  <w:tcW w:w="340" w:type="pct"/>
                  <w:noWrap w:val="0"/>
                  <w:vAlign w:val="center"/>
                </w:tcPr>
                <w:p w14:paraId="51FD901B">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51.4</w:t>
                  </w:r>
                </w:p>
              </w:tc>
              <w:tc>
                <w:tcPr>
                  <w:tcW w:w="187" w:type="pct"/>
                  <w:vMerge w:val="continue"/>
                  <w:noWrap w:val="0"/>
                  <w:vAlign w:val="center"/>
                </w:tcPr>
                <w:p w14:paraId="08DFF774">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6D960A58">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2A0ED86A">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25.4</w:t>
                  </w:r>
                </w:p>
              </w:tc>
              <w:tc>
                <w:tcPr>
                  <w:tcW w:w="272" w:type="pct"/>
                  <w:vMerge w:val="continue"/>
                  <w:noWrap w:val="0"/>
                  <w:vAlign w:val="center"/>
                </w:tcPr>
                <w:p w14:paraId="47399446">
                  <w:pPr>
                    <w:pStyle w:val="63"/>
                    <w:ind w:firstLine="0" w:firstLineChars="0"/>
                    <w:rPr>
                      <w:rFonts w:hint="eastAsia" w:ascii="Times New Roman" w:hAnsi="Times New Roman" w:eastAsia="宋体" w:cs="Times New Roman"/>
                      <w:bCs/>
                      <w:szCs w:val="21"/>
                      <w:lang w:bidi="ar"/>
                    </w:rPr>
                  </w:pPr>
                </w:p>
              </w:tc>
            </w:tr>
            <w:tr w14:paraId="25D0B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restart"/>
                  <w:noWrap w:val="0"/>
                  <w:vAlign w:val="center"/>
                </w:tcPr>
                <w:p w14:paraId="6FEB6B5A">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2</w:t>
                  </w:r>
                </w:p>
              </w:tc>
              <w:tc>
                <w:tcPr>
                  <w:tcW w:w="261" w:type="pct"/>
                  <w:vMerge w:val="continue"/>
                  <w:noWrap w:val="0"/>
                  <w:vAlign w:val="center"/>
                </w:tcPr>
                <w:p w14:paraId="1AC4586E">
                  <w:pPr>
                    <w:pStyle w:val="63"/>
                    <w:ind w:firstLine="0" w:firstLineChars="0"/>
                    <w:rPr>
                      <w:rFonts w:hint="eastAsia" w:ascii="Times New Roman" w:hAnsi="Times New Roman" w:eastAsia="宋体" w:cs="Times New Roman"/>
                      <w:bCs/>
                      <w:szCs w:val="21"/>
                      <w:lang w:bidi="ar"/>
                    </w:rPr>
                  </w:pPr>
                </w:p>
              </w:tc>
              <w:tc>
                <w:tcPr>
                  <w:tcW w:w="393" w:type="pct"/>
                  <w:vMerge w:val="restart"/>
                  <w:noWrap w:val="0"/>
                  <w:vAlign w:val="center"/>
                </w:tcPr>
                <w:p w14:paraId="2EC9F74C">
                  <w:pPr>
                    <w:pStyle w:val="63"/>
                    <w:ind w:firstLine="0" w:firstLineChars="0"/>
                    <w:rPr>
                      <w:rFonts w:hint="default" w:ascii="Times New Roman" w:hAnsi="Times New Roman" w:eastAsia="宋体" w:cs="Times New Roman"/>
                      <w:bCs/>
                      <w:szCs w:val="21"/>
                      <w:lang w:val="en-US" w:bidi="ar"/>
                    </w:rPr>
                  </w:pPr>
                  <w:r>
                    <w:rPr>
                      <w:rFonts w:hint="eastAsia" w:ascii="Times New Roman" w:hAnsi="Times New Roman" w:eastAsia="宋体" w:cs="Times New Roman"/>
                      <w:bCs/>
                      <w:szCs w:val="21"/>
                      <w:lang w:bidi="ar"/>
                    </w:rPr>
                    <w:t>搅拌罐</w:t>
                  </w:r>
                  <w:r>
                    <w:rPr>
                      <w:rFonts w:hint="eastAsia" w:ascii="Times New Roman" w:hAnsi="Times New Roman" w:eastAsia="宋体" w:cs="Times New Roman"/>
                      <w:bCs/>
                      <w:szCs w:val="21"/>
                      <w:lang w:val="en-US" w:eastAsia="zh-CN" w:bidi="ar"/>
                    </w:rPr>
                    <w:t>2</w:t>
                  </w:r>
                </w:p>
              </w:tc>
              <w:tc>
                <w:tcPr>
                  <w:tcW w:w="1177" w:type="pct"/>
                  <w:vMerge w:val="restart"/>
                  <w:noWrap w:val="0"/>
                  <w:vAlign w:val="center"/>
                </w:tcPr>
                <w:p w14:paraId="24EF23E1">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3t</w:t>
                  </w:r>
                </w:p>
              </w:tc>
              <w:tc>
                <w:tcPr>
                  <w:tcW w:w="424" w:type="pct"/>
                  <w:vMerge w:val="restart"/>
                  <w:noWrap w:val="0"/>
                  <w:vAlign w:val="center"/>
                </w:tcPr>
                <w:p w14:paraId="0ED8F98E">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70</w:t>
                  </w:r>
                </w:p>
              </w:tc>
              <w:tc>
                <w:tcPr>
                  <w:tcW w:w="252" w:type="pct"/>
                  <w:vMerge w:val="continue"/>
                  <w:noWrap w:val="0"/>
                  <w:vAlign w:val="center"/>
                </w:tcPr>
                <w:p w14:paraId="25012DF7">
                  <w:pPr>
                    <w:pStyle w:val="63"/>
                    <w:ind w:firstLine="0" w:firstLineChars="0"/>
                    <w:rPr>
                      <w:rFonts w:hint="eastAsia" w:ascii="Times New Roman" w:hAnsi="Times New Roman" w:eastAsia="宋体" w:cs="Times New Roman"/>
                      <w:bCs/>
                      <w:szCs w:val="21"/>
                      <w:lang w:bidi="ar"/>
                    </w:rPr>
                  </w:pPr>
                </w:p>
              </w:tc>
              <w:tc>
                <w:tcPr>
                  <w:tcW w:w="162" w:type="pct"/>
                  <w:vMerge w:val="restart"/>
                  <w:noWrap w:val="0"/>
                  <w:vAlign w:val="center"/>
                </w:tcPr>
                <w:p w14:paraId="6EB093F8">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w:t>
                  </w:r>
                  <w:r>
                    <w:rPr>
                      <w:rFonts w:hint="eastAsia" w:ascii="Times New Roman" w:hAnsi="Times New Roman" w:eastAsia="宋体" w:cs="Times New Roman"/>
                      <w:bCs/>
                      <w:szCs w:val="21"/>
                      <w:lang w:val="en-US" w:eastAsia="zh-CN" w:bidi="ar"/>
                    </w:rPr>
                    <w:t>10</w:t>
                  </w:r>
                </w:p>
              </w:tc>
              <w:tc>
                <w:tcPr>
                  <w:tcW w:w="162" w:type="pct"/>
                  <w:vMerge w:val="restart"/>
                  <w:noWrap w:val="0"/>
                  <w:vAlign w:val="center"/>
                </w:tcPr>
                <w:p w14:paraId="0DAFDDF6">
                  <w:pPr>
                    <w:pStyle w:val="63"/>
                    <w:ind w:firstLine="0" w:firstLineChars="0"/>
                    <w:rPr>
                      <w:rFonts w:hint="eastAsia" w:ascii="Times New Roman" w:hAnsi="Times New Roman" w:eastAsia="宋体" w:cs="Times New Roman"/>
                      <w:bCs/>
                      <w:szCs w:val="21"/>
                      <w:lang w:eastAsia="zh-CN" w:bidi="ar"/>
                    </w:rPr>
                  </w:pPr>
                  <w:r>
                    <w:rPr>
                      <w:rFonts w:hint="eastAsia" w:ascii="Times New Roman" w:hAnsi="Times New Roman" w:eastAsia="宋体" w:cs="Times New Roman"/>
                      <w:bCs/>
                      <w:szCs w:val="21"/>
                      <w:lang w:val="en-US" w:eastAsia="zh-CN" w:bidi="ar"/>
                    </w:rPr>
                    <w:t>4</w:t>
                  </w:r>
                </w:p>
              </w:tc>
              <w:tc>
                <w:tcPr>
                  <w:tcW w:w="114" w:type="pct"/>
                  <w:vMerge w:val="restart"/>
                  <w:noWrap w:val="0"/>
                  <w:vAlign w:val="center"/>
                </w:tcPr>
                <w:p w14:paraId="79E7A4AA">
                  <w:pPr>
                    <w:pStyle w:val="63"/>
                    <w:ind w:firstLine="0" w:firstLineChars="0"/>
                    <w:rPr>
                      <w:rFonts w:hint="eastAsia" w:ascii="Times New Roman" w:hAnsi="Times New Roman" w:eastAsia="宋体" w:cs="Times New Roman"/>
                      <w:bCs/>
                      <w:szCs w:val="21"/>
                      <w:lang w:eastAsia="zh-CN" w:bidi="ar"/>
                    </w:rPr>
                  </w:pPr>
                  <w:r>
                    <w:rPr>
                      <w:rFonts w:hint="eastAsia" w:ascii="Times New Roman" w:hAnsi="Times New Roman" w:eastAsia="宋体" w:cs="Times New Roman"/>
                      <w:bCs/>
                      <w:szCs w:val="21"/>
                      <w:lang w:val="en-US" w:eastAsia="zh-CN" w:bidi="ar"/>
                    </w:rPr>
                    <w:t>1</w:t>
                  </w:r>
                </w:p>
              </w:tc>
              <w:tc>
                <w:tcPr>
                  <w:tcW w:w="123" w:type="pct"/>
                  <w:noWrap w:val="0"/>
                  <w:vAlign w:val="center"/>
                </w:tcPr>
                <w:p w14:paraId="2939B4DA">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东</w:t>
                  </w:r>
                </w:p>
              </w:tc>
              <w:tc>
                <w:tcPr>
                  <w:tcW w:w="137" w:type="pct"/>
                  <w:noWrap w:val="0"/>
                  <w:vAlign w:val="center"/>
                </w:tcPr>
                <w:p w14:paraId="614CC625">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15</w:t>
                  </w:r>
                </w:p>
              </w:tc>
              <w:tc>
                <w:tcPr>
                  <w:tcW w:w="340" w:type="pct"/>
                  <w:noWrap w:val="0"/>
                  <w:vAlign w:val="center"/>
                </w:tcPr>
                <w:p w14:paraId="5E1C3B1D">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45.5</w:t>
                  </w:r>
                </w:p>
              </w:tc>
              <w:tc>
                <w:tcPr>
                  <w:tcW w:w="187" w:type="pct"/>
                  <w:vMerge w:val="continue"/>
                  <w:noWrap w:val="0"/>
                  <w:vAlign w:val="center"/>
                </w:tcPr>
                <w:p w14:paraId="1EEDF82C">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1F1FF25F">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2161EBE4">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19.5</w:t>
                  </w:r>
                </w:p>
              </w:tc>
              <w:tc>
                <w:tcPr>
                  <w:tcW w:w="272" w:type="pct"/>
                  <w:vMerge w:val="restart"/>
                  <w:noWrap w:val="0"/>
                  <w:vAlign w:val="center"/>
                </w:tcPr>
                <w:p w14:paraId="1033035C">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r>
            <w:tr w14:paraId="39924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64B4A235">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62BFCC61">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26CC8368">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19B2780E">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33EDAE9F">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5A66300C">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063FD208">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3221ED9D">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4850027D">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48BEC0DD">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南</w:t>
                  </w:r>
                </w:p>
              </w:tc>
              <w:tc>
                <w:tcPr>
                  <w:tcW w:w="137" w:type="pct"/>
                  <w:noWrap w:val="0"/>
                  <w:vAlign w:val="center"/>
                </w:tcPr>
                <w:p w14:paraId="1CA847BE">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9</w:t>
                  </w:r>
                </w:p>
              </w:tc>
              <w:tc>
                <w:tcPr>
                  <w:tcW w:w="340" w:type="pct"/>
                  <w:noWrap w:val="0"/>
                  <w:vAlign w:val="center"/>
                </w:tcPr>
                <w:p w14:paraId="35CCC0E7">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49.3</w:t>
                  </w:r>
                </w:p>
              </w:tc>
              <w:tc>
                <w:tcPr>
                  <w:tcW w:w="187" w:type="pct"/>
                  <w:vMerge w:val="continue"/>
                  <w:noWrap w:val="0"/>
                  <w:vAlign w:val="center"/>
                </w:tcPr>
                <w:p w14:paraId="28882171">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51DA0264">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33558B57">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23.3</w:t>
                  </w:r>
                </w:p>
              </w:tc>
              <w:tc>
                <w:tcPr>
                  <w:tcW w:w="272" w:type="pct"/>
                  <w:vMerge w:val="continue"/>
                  <w:noWrap w:val="0"/>
                  <w:vAlign w:val="center"/>
                </w:tcPr>
                <w:p w14:paraId="42610888">
                  <w:pPr>
                    <w:pStyle w:val="63"/>
                    <w:ind w:firstLine="0" w:firstLineChars="0"/>
                    <w:rPr>
                      <w:rFonts w:hint="eastAsia" w:ascii="Times New Roman" w:hAnsi="Times New Roman" w:eastAsia="宋体" w:cs="Times New Roman"/>
                      <w:bCs/>
                      <w:szCs w:val="21"/>
                      <w:lang w:bidi="ar"/>
                    </w:rPr>
                  </w:pPr>
                </w:p>
              </w:tc>
            </w:tr>
            <w:tr w14:paraId="313B9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71861156">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1988A117">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2912209B">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2656BA34">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39F24B52">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5D5D4708">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36CFF052">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7C373C4">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6C1124D3">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5436B866">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西</w:t>
                  </w:r>
                </w:p>
              </w:tc>
              <w:tc>
                <w:tcPr>
                  <w:tcW w:w="137" w:type="pct"/>
                  <w:noWrap w:val="0"/>
                  <w:vAlign w:val="center"/>
                </w:tcPr>
                <w:p w14:paraId="7C9FB35F">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29</w:t>
                  </w:r>
                </w:p>
              </w:tc>
              <w:tc>
                <w:tcPr>
                  <w:tcW w:w="340" w:type="pct"/>
                  <w:noWrap w:val="0"/>
                  <w:vAlign w:val="center"/>
                </w:tcPr>
                <w:p w14:paraId="1BC5466B">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48.7</w:t>
                  </w:r>
                </w:p>
              </w:tc>
              <w:tc>
                <w:tcPr>
                  <w:tcW w:w="187" w:type="pct"/>
                  <w:vMerge w:val="continue"/>
                  <w:noWrap w:val="0"/>
                  <w:vAlign w:val="center"/>
                </w:tcPr>
                <w:p w14:paraId="53A512B9">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1D2AA7C9">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70039F27">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22.7</w:t>
                  </w:r>
                </w:p>
              </w:tc>
              <w:tc>
                <w:tcPr>
                  <w:tcW w:w="272" w:type="pct"/>
                  <w:vMerge w:val="continue"/>
                  <w:noWrap w:val="0"/>
                  <w:vAlign w:val="center"/>
                </w:tcPr>
                <w:p w14:paraId="0820007E">
                  <w:pPr>
                    <w:pStyle w:val="63"/>
                    <w:ind w:firstLine="0" w:firstLineChars="0"/>
                    <w:rPr>
                      <w:rFonts w:hint="eastAsia" w:ascii="Times New Roman" w:hAnsi="Times New Roman" w:eastAsia="宋体" w:cs="Times New Roman"/>
                      <w:bCs/>
                      <w:szCs w:val="21"/>
                      <w:lang w:bidi="ar"/>
                    </w:rPr>
                  </w:pPr>
                </w:p>
              </w:tc>
            </w:tr>
            <w:tr w14:paraId="2AB82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58E4CA59">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02E83BF2">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33550F64">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5CABDF7B">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1C1436CC">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67C7157B">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1407CB56">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25970AB4">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74BE0649">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58F81725">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北</w:t>
                  </w:r>
                </w:p>
              </w:tc>
              <w:tc>
                <w:tcPr>
                  <w:tcW w:w="137" w:type="pct"/>
                  <w:noWrap w:val="0"/>
                  <w:vAlign w:val="center"/>
                </w:tcPr>
                <w:p w14:paraId="2781AE4C">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58</w:t>
                  </w:r>
                </w:p>
              </w:tc>
              <w:tc>
                <w:tcPr>
                  <w:tcW w:w="340" w:type="pct"/>
                  <w:noWrap w:val="0"/>
                  <w:vAlign w:val="center"/>
                </w:tcPr>
                <w:p w14:paraId="06B958BA">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39.7</w:t>
                  </w:r>
                </w:p>
              </w:tc>
              <w:tc>
                <w:tcPr>
                  <w:tcW w:w="187" w:type="pct"/>
                  <w:vMerge w:val="continue"/>
                  <w:noWrap w:val="0"/>
                  <w:vAlign w:val="center"/>
                </w:tcPr>
                <w:p w14:paraId="2296AA88">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0A2D36B9">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173B5BEF">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13.7</w:t>
                  </w:r>
                </w:p>
              </w:tc>
              <w:tc>
                <w:tcPr>
                  <w:tcW w:w="272" w:type="pct"/>
                  <w:vMerge w:val="continue"/>
                  <w:noWrap w:val="0"/>
                  <w:vAlign w:val="center"/>
                </w:tcPr>
                <w:p w14:paraId="2E88ECB8">
                  <w:pPr>
                    <w:pStyle w:val="63"/>
                    <w:ind w:firstLine="0" w:firstLineChars="0"/>
                    <w:rPr>
                      <w:rFonts w:hint="eastAsia" w:ascii="Times New Roman" w:hAnsi="Times New Roman" w:eastAsia="宋体" w:cs="Times New Roman"/>
                      <w:bCs/>
                      <w:szCs w:val="21"/>
                      <w:lang w:bidi="ar"/>
                    </w:rPr>
                  </w:pPr>
                </w:p>
              </w:tc>
            </w:tr>
            <w:tr w14:paraId="182B9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restart"/>
                  <w:noWrap w:val="0"/>
                  <w:vAlign w:val="center"/>
                </w:tcPr>
                <w:p w14:paraId="23915885">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3</w:t>
                  </w:r>
                </w:p>
              </w:tc>
              <w:tc>
                <w:tcPr>
                  <w:tcW w:w="261" w:type="pct"/>
                  <w:vMerge w:val="continue"/>
                  <w:noWrap w:val="0"/>
                  <w:vAlign w:val="center"/>
                </w:tcPr>
                <w:p w14:paraId="5C30AC84">
                  <w:pPr>
                    <w:pStyle w:val="63"/>
                    <w:ind w:firstLine="0" w:firstLineChars="0"/>
                    <w:rPr>
                      <w:rFonts w:hint="eastAsia" w:ascii="Times New Roman" w:hAnsi="Times New Roman" w:eastAsia="宋体" w:cs="Times New Roman"/>
                      <w:bCs/>
                      <w:szCs w:val="21"/>
                      <w:lang w:bidi="ar"/>
                    </w:rPr>
                  </w:pPr>
                </w:p>
              </w:tc>
              <w:tc>
                <w:tcPr>
                  <w:tcW w:w="393" w:type="pct"/>
                  <w:vMerge w:val="restart"/>
                  <w:noWrap w:val="0"/>
                  <w:vAlign w:val="center"/>
                </w:tcPr>
                <w:p w14:paraId="0BEAE764">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搅拌罐</w:t>
                  </w:r>
                  <w:r>
                    <w:rPr>
                      <w:rFonts w:hint="eastAsia" w:ascii="Times New Roman" w:hAnsi="Times New Roman" w:eastAsia="宋体" w:cs="Times New Roman"/>
                      <w:bCs/>
                      <w:szCs w:val="21"/>
                      <w:lang w:val="en-US" w:eastAsia="zh-CN" w:bidi="ar"/>
                    </w:rPr>
                    <w:t>3</w:t>
                  </w:r>
                </w:p>
              </w:tc>
              <w:tc>
                <w:tcPr>
                  <w:tcW w:w="1177" w:type="pct"/>
                  <w:vMerge w:val="restart"/>
                  <w:noWrap w:val="0"/>
                  <w:vAlign w:val="center"/>
                </w:tcPr>
                <w:p w14:paraId="3046FF34">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3t</w:t>
                  </w:r>
                </w:p>
              </w:tc>
              <w:tc>
                <w:tcPr>
                  <w:tcW w:w="424" w:type="pct"/>
                  <w:vMerge w:val="restart"/>
                  <w:noWrap w:val="0"/>
                  <w:vAlign w:val="center"/>
                </w:tcPr>
                <w:p w14:paraId="3867B70D">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val="en-US" w:eastAsia="zh-CN" w:bidi="ar"/>
                    </w:rPr>
                    <w:t>75</w:t>
                  </w:r>
                </w:p>
              </w:tc>
              <w:tc>
                <w:tcPr>
                  <w:tcW w:w="252" w:type="pct"/>
                  <w:vMerge w:val="continue"/>
                  <w:noWrap w:val="0"/>
                  <w:vAlign w:val="center"/>
                </w:tcPr>
                <w:p w14:paraId="2DD3BD75">
                  <w:pPr>
                    <w:pStyle w:val="63"/>
                    <w:ind w:firstLine="0" w:firstLineChars="0"/>
                    <w:rPr>
                      <w:rFonts w:hint="eastAsia" w:ascii="Times New Roman" w:hAnsi="Times New Roman" w:eastAsia="宋体" w:cs="Times New Roman"/>
                      <w:bCs/>
                      <w:szCs w:val="21"/>
                      <w:lang w:bidi="ar"/>
                    </w:rPr>
                  </w:pPr>
                </w:p>
              </w:tc>
              <w:tc>
                <w:tcPr>
                  <w:tcW w:w="162" w:type="pct"/>
                  <w:vMerge w:val="restart"/>
                  <w:noWrap w:val="0"/>
                  <w:vAlign w:val="center"/>
                </w:tcPr>
                <w:p w14:paraId="75929611">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val="en-US" w:eastAsia="zh-CN" w:bidi="ar"/>
                    </w:rPr>
                    <w:t>-10</w:t>
                  </w:r>
                </w:p>
              </w:tc>
              <w:tc>
                <w:tcPr>
                  <w:tcW w:w="162" w:type="pct"/>
                  <w:vMerge w:val="restart"/>
                  <w:noWrap w:val="0"/>
                  <w:vAlign w:val="center"/>
                </w:tcPr>
                <w:p w14:paraId="0C6FDAA7">
                  <w:pPr>
                    <w:pStyle w:val="63"/>
                    <w:ind w:firstLine="0" w:firstLineChars="0"/>
                    <w:rPr>
                      <w:rFonts w:hint="eastAsia" w:ascii="Times New Roman" w:hAnsi="Times New Roman" w:eastAsia="宋体" w:cs="Times New Roman"/>
                      <w:bCs/>
                      <w:szCs w:val="21"/>
                      <w:lang w:eastAsia="zh-CN" w:bidi="ar"/>
                    </w:rPr>
                  </w:pPr>
                  <w:r>
                    <w:rPr>
                      <w:rFonts w:hint="eastAsia" w:ascii="Times New Roman" w:hAnsi="Times New Roman" w:eastAsia="宋体" w:cs="Times New Roman"/>
                      <w:bCs/>
                      <w:szCs w:val="21"/>
                      <w:lang w:val="en-US" w:eastAsia="zh-CN" w:bidi="ar"/>
                    </w:rPr>
                    <w:t>3</w:t>
                  </w:r>
                </w:p>
              </w:tc>
              <w:tc>
                <w:tcPr>
                  <w:tcW w:w="114" w:type="pct"/>
                  <w:vMerge w:val="restart"/>
                  <w:noWrap w:val="0"/>
                  <w:vAlign w:val="center"/>
                </w:tcPr>
                <w:p w14:paraId="74C35D29">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c>
                <w:tcPr>
                  <w:tcW w:w="123" w:type="pct"/>
                  <w:noWrap w:val="0"/>
                  <w:vAlign w:val="center"/>
                </w:tcPr>
                <w:p w14:paraId="159C1603">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东</w:t>
                  </w:r>
                </w:p>
              </w:tc>
              <w:tc>
                <w:tcPr>
                  <w:tcW w:w="137" w:type="pct"/>
                  <w:noWrap w:val="0"/>
                  <w:vAlign w:val="center"/>
                </w:tcPr>
                <w:p w14:paraId="59D22AD9">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23</w:t>
                  </w:r>
                </w:p>
              </w:tc>
              <w:tc>
                <w:tcPr>
                  <w:tcW w:w="340" w:type="pct"/>
                  <w:noWrap w:val="0"/>
                  <w:vAlign w:val="center"/>
                </w:tcPr>
                <w:p w14:paraId="1877E7AE">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47.9</w:t>
                  </w:r>
                </w:p>
              </w:tc>
              <w:tc>
                <w:tcPr>
                  <w:tcW w:w="187" w:type="pct"/>
                  <w:vMerge w:val="continue"/>
                  <w:noWrap w:val="0"/>
                  <w:vAlign w:val="center"/>
                </w:tcPr>
                <w:p w14:paraId="4B6DC1B2">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3A910DA6">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42DCCAC6">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21.9</w:t>
                  </w:r>
                </w:p>
              </w:tc>
              <w:tc>
                <w:tcPr>
                  <w:tcW w:w="272" w:type="pct"/>
                  <w:vMerge w:val="restart"/>
                  <w:noWrap w:val="0"/>
                  <w:vAlign w:val="center"/>
                </w:tcPr>
                <w:p w14:paraId="6683FFE2">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r>
            <w:tr w14:paraId="0AC8F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018018FF">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76B48301">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09192D60">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4C57DE3E">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2AEDB79F">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037473EB">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53BC29D3">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4B098D65">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31FFF682">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74CFC573">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南</w:t>
                  </w:r>
                </w:p>
              </w:tc>
              <w:tc>
                <w:tcPr>
                  <w:tcW w:w="137" w:type="pct"/>
                  <w:noWrap w:val="0"/>
                  <w:vAlign w:val="center"/>
                </w:tcPr>
                <w:p w14:paraId="52DDD36D">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60</w:t>
                  </w:r>
                </w:p>
              </w:tc>
              <w:tc>
                <w:tcPr>
                  <w:tcW w:w="340" w:type="pct"/>
                  <w:noWrap w:val="0"/>
                  <w:vAlign w:val="center"/>
                </w:tcPr>
                <w:p w14:paraId="5C2655D7">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44.7</w:t>
                  </w:r>
                </w:p>
              </w:tc>
              <w:tc>
                <w:tcPr>
                  <w:tcW w:w="187" w:type="pct"/>
                  <w:vMerge w:val="continue"/>
                  <w:noWrap w:val="0"/>
                  <w:vAlign w:val="center"/>
                </w:tcPr>
                <w:p w14:paraId="52689650">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0F0A80CE">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1BEAE804">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18.7</w:t>
                  </w:r>
                </w:p>
              </w:tc>
              <w:tc>
                <w:tcPr>
                  <w:tcW w:w="272" w:type="pct"/>
                  <w:vMerge w:val="continue"/>
                  <w:noWrap w:val="0"/>
                  <w:vAlign w:val="center"/>
                </w:tcPr>
                <w:p w14:paraId="427A6983">
                  <w:pPr>
                    <w:pStyle w:val="63"/>
                    <w:ind w:firstLine="0" w:firstLineChars="0"/>
                    <w:rPr>
                      <w:rFonts w:hint="eastAsia" w:ascii="Times New Roman" w:hAnsi="Times New Roman" w:eastAsia="宋体" w:cs="Times New Roman"/>
                      <w:bCs/>
                      <w:szCs w:val="21"/>
                      <w:lang w:bidi="ar"/>
                    </w:rPr>
                  </w:pPr>
                </w:p>
              </w:tc>
            </w:tr>
            <w:tr w14:paraId="1B108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0CC6A9AA">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4D53CAEA">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36AD2D1B">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2EABFCBB">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2632335F">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4DC91069">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09A96325">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30F54EF0">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714A4F3E">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7FE4A052">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西</w:t>
                  </w:r>
                </w:p>
              </w:tc>
              <w:tc>
                <w:tcPr>
                  <w:tcW w:w="137" w:type="pct"/>
                  <w:noWrap w:val="0"/>
                  <w:vAlign w:val="center"/>
                </w:tcPr>
                <w:p w14:paraId="1768AF92">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20</w:t>
                  </w:r>
                </w:p>
              </w:tc>
              <w:tc>
                <w:tcPr>
                  <w:tcW w:w="340" w:type="pct"/>
                  <w:noWrap w:val="0"/>
                  <w:vAlign w:val="center"/>
                </w:tcPr>
                <w:p w14:paraId="569BF3A6">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48.7</w:t>
                  </w:r>
                </w:p>
              </w:tc>
              <w:tc>
                <w:tcPr>
                  <w:tcW w:w="187" w:type="pct"/>
                  <w:vMerge w:val="continue"/>
                  <w:noWrap w:val="0"/>
                  <w:vAlign w:val="center"/>
                </w:tcPr>
                <w:p w14:paraId="660CAABB">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5BB8EE7D">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2DA76AA3">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22.7</w:t>
                  </w:r>
                </w:p>
              </w:tc>
              <w:tc>
                <w:tcPr>
                  <w:tcW w:w="272" w:type="pct"/>
                  <w:vMerge w:val="continue"/>
                  <w:noWrap w:val="0"/>
                  <w:vAlign w:val="center"/>
                </w:tcPr>
                <w:p w14:paraId="1ECB9343">
                  <w:pPr>
                    <w:pStyle w:val="63"/>
                    <w:ind w:firstLine="0" w:firstLineChars="0"/>
                    <w:rPr>
                      <w:rFonts w:hint="eastAsia" w:ascii="Times New Roman" w:hAnsi="Times New Roman" w:eastAsia="宋体" w:cs="Times New Roman"/>
                      <w:bCs/>
                      <w:szCs w:val="21"/>
                      <w:lang w:bidi="ar"/>
                    </w:rPr>
                  </w:pPr>
                </w:p>
              </w:tc>
            </w:tr>
            <w:tr w14:paraId="62C5D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6FC420EC">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00F9EEA6">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2969F440">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77F3F8AB">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50C93E83">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146271A3">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79524DAF">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53A3E97A">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4E0B4A34">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000880B2">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北</w:t>
                  </w:r>
                </w:p>
              </w:tc>
              <w:tc>
                <w:tcPr>
                  <w:tcW w:w="137" w:type="pct"/>
                  <w:noWrap w:val="0"/>
                  <w:vAlign w:val="center"/>
                </w:tcPr>
                <w:p w14:paraId="60A0286B">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7</w:t>
                  </w:r>
                </w:p>
              </w:tc>
              <w:tc>
                <w:tcPr>
                  <w:tcW w:w="340" w:type="pct"/>
                  <w:noWrap w:val="0"/>
                  <w:vAlign w:val="center"/>
                </w:tcPr>
                <w:p w14:paraId="5BBAF658">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56.4</w:t>
                  </w:r>
                </w:p>
              </w:tc>
              <w:tc>
                <w:tcPr>
                  <w:tcW w:w="187" w:type="pct"/>
                  <w:vMerge w:val="continue"/>
                  <w:noWrap w:val="0"/>
                  <w:vAlign w:val="center"/>
                </w:tcPr>
                <w:p w14:paraId="628D6C96">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62D441BC">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4E51E8BA">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30.4</w:t>
                  </w:r>
                </w:p>
              </w:tc>
              <w:tc>
                <w:tcPr>
                  <w:tcW w:w="272" w:type="pct"/>
                  <w:vMerge w:val="continue"/>
                  <w:noWrap w:val="0"/>
                  <w:vAlign w:val="center"/>
                </w:tcPr>
                <w:p w14:paraId="0665A19F">
                  <w:pPr>
                    <w:pStyle w:val="63"/>
                    <w:ind w:firstLine="0" w:firstLineChars="0"/>
                    <w:rPr>
                      <w:rFonts w:hint="eastAsia" w:ascii="Times New Roman" w:hAnsi="Times New Roman" w:eastAsia="宋体" w:cs="Times New Roman"/>
                      <w:bCs/>
                      <w:szCs w:val="21"/>
                      <w:lang w:bidi="ar"/>
                    </w:rPr>
                  </w:pPr>
                </w:p>
              </w:tc>
            </w:tr>
            <w:tr w14:paraId="685FD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restart"/>
                  <w:noWrap w:val="0"/>
                  <w:vAlign w:val="center"/>
                </w:tcPr>
                <w:p w14:paraId="4DA232CD">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4</w:t>
                  </w:r>
                </w:p>
              </w:tc>
              <w:tc>
                <w:tcPr>
                  <w:tcW w:w="261" w:type="pct"/>
                  <w:vMerge w:val="continue"/>
                  <w:noWrap w:val="0"/>
                  <w:vAlign w:val="center"/>
                </w:tcPr>
                <w:p w14:paraId="32E6ACBC">
                  <w:pPr>
                    <w:pStyle w:val="63"/>
                    <w:ind w:firstLine="0" w:firstLineChars="0"/>
                    <w:rPr>
                      <w:rFonts w:hint="eastAsia" w:ascii="Times New Roman" w:hAnsi="Times New Roman" w:eastAsia="宋体" w:cs="Times New Roman"/>
                      <w:bCs/>
                      <w:szCs w:val="21"/>
                      <w:lang w:bidi="ar"/>
                    </w:rPr>
                  </w:pPr>
                </w:p>
              </w:tc>
              <w:tc>
                <w:tcPr>
                  <w:tcW w:w="393" w:type="pct"/>
                  <w:vMerge w:val="restart"/>
                  <w:noWrap w:val="0"/>
                  <w:vAlign w:val="center"/>
                </w:tcPr>
                <w:p w14:paraId="0EB507E1">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搅拌罐</w:t>
                  </w:r>
                  <w:r>
                    <w:rPr>
                      <w:rFonts w:hint="eastAsia" w:ascii="Times New Roman" w:hAnsi="Times New Roman" w:eastAsia="宋体" w:cs="Times New Roman"/>
                      <w:bCs/>
                      <w:szCs w:val="21"/>
                      <w:lang w:val="en-US" w:eastAsia="zh-CN" w:bidi="ar"/>
                    </w:rPr>
                    <w:t>4</w:t>
                  </w:r>
                </w:p>
              </w:tc>
              <w:tc>
                <w:tcPr>
                  <w:tcW w:w="1177" w:type="pct"/>
                  <w:vMerge w:val="restart"/>
                  <w:noWrap w:val="0"/>
                  <w:vAlign w:val="center"/>
                </w:tcPr>
                <w:p w14:paraId="7EFFAA02">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3t</w:t>
                  </w:r>
                </w:p>
              </w:tc>
              <w:tc>
                <w:tcPr>
                  <w:tcW w:w="424" w:type="pct"/>
                  <w:vMerge w:val="restart"/>
                  <w:noWrap w:val="0"/>
                  <w:vAlign w:val="center"/>
                </w:tcPr>
                <w:p w14:paraId="38AF9A0D">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80</w:t>
                  </w:r>
                </w:p>
              </w:tc>
              <w:tc>
                <w:tcPr>
                  <w:tcW w:w="252" w:type="pct"/>
                  <w:vMerge w:val="continue"/>
                  <w:noWrap w:val="0"/>
                  <w:vAlign w:val="center"/>
                </w:tcPr>
                <w:p w14:paraId="3E0C34AE">
                  <w:pPr>
                    <w:pStyle w:val="63"/>
                    <w:ind w:firstLine="0" w:firstLineChars="0"/>
                    <w:rPr>
                      <w:rFonts w:hint="eastAsia" w:ascii="Times New Roman" w:hAnsi="Times New Roman" w:eastAsia="宋体" w:cs="Times New Roman"/>
                      <w:bCs/>
                      <w:szCs w:val="21"/>
                      <w:lang w:bidi="ar"/>
                    </w:rPr>
                  </w:pPr>
                </w:p>
              </w:tc>
              <w:tc>
                <w:tcPr>
                  <w:tcW w:w="162" w:type="pct"/>
                  <w:vMerge w:val="restart"/>
                  <w:noWrap w:val="0"/>
                  <w:vAlign w:val="center"/>
                </w:tcPr>
                <w:p w14:paraId="67697410">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val="en-US" w:eastAsia="zh-CN" w:bidi="ar"/>
                    </w:rPr>
                    <w:t>-10</w:t>
                  </w:r>
                </w:p>
              </w:tc>
              <w:tc>
                <w:tcPr>
                  <w:tcW w:w="162" w:type="pct"/>
                  <w:vMerge w:val="restart"/>
                  <w:noWrap w:val="0"/>
                  <w:vAlign w:val="center"/>
                </w:tcPr>
                <w:p w14:paraId="3A446721">
                  <w:pPr>
                    <w:pStyle w:val="63"/>
                    <w:ind w:firstLine="0" w:firstLineChars="0"/>
                    <w:rPr>
                      <w:rFonts w:hint="eastAsia" w:ascii="Times New Roman" w:hAnsi="Times New Roman" w:eastAsia="宋体" w:cs="Times New Roman"/>
                      <w:bCs/>
                      <w:szCs w:val="21"/>
                      <w:lang w:eastAsia="zh-CN" w:bidi="ar"/>
                    </w:rPr>
                  </w:pPr>
                  <w:r>
                    <w:rPr>
                      <w:rFonts w:hint="eastAsia" w:ascii="Times New Roman" w:hAnsi="Times New Roman" w:eastAsia="宋体" w:cs="Times New Roman"/>
                      <w:bCs/>
                      <w:szCs w:val="21"/>
                      <w:lang w:val="en-US" w:eastAsia="zh-CN" w:bidi="ar"/>
                    </w:rPr>
                    <w:t>2</w:t>
                  </w:r>
                </w:p>
              </w:tc>
              <w:tc>
                <w:tcPr>
                  <w:tcW w:w="114" w:type="pct"/>
                  <w:vMerge w:val="restart"/>
                  <w:noWrap w:val="0"/>
                  <w:vAlign w:val="center"/>
                </w:tcPr>
                <w:p w14:paraId="43CCC18D">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c>
                <w:tcPr>
                  <w:tcW w:w="123" w:type="pct"/>
                  <w:noWrap w:val="0"/>
                  <w:vAlign w:val="center"/>
                </w:tcPr>
                <w:p w14:paraId="02260BFE">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东</w:t>
                  </w:r>
                </w:p>
              </w:tc>
              <w:tc>
                <w:tcPr>
                  <w:tcW w:w="137" w:type="pct"/>
                  <w:noWrap w:val="0"/>
                  <w:vAlign w:val="center"/>
                </w:tcPr>
                <w:p w14:paraId="1E187853">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23</w:t>
                  </w:r>
                </w:p>
              </w:tc>
              <w:tc>
                <w:tcPr>
                  <w:tcW w:w="340" w:type="pct"/>
                  <w:noWrap w:val="0"/>
                  <w:vAlign w:val="center"/>
                </w:tcPr>
                <w:p w14:paraId="6481BAC2">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52.9</w:t>
                  </w:r>
                </w:p>
              </w:tc>
              <w:tc>
                <w:tcPr>
                  <w:tcW w:w="187" w:type="pct"/>
                  <w:vMerge w:val="continue"/>
                  <w:noWrap w:val="0"/>
                  <w:vAlign w:val="center"/>
                </w:tcPr>
                <w:p w14:paraId="35FBD372">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47C45000">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14D3E932">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26.9</w:t>
                  </w:r>
                </w:p>
              </w:tc>
              <w:tc>
                <w:tcPr>
                  <w:tcW w:w="272" w:type="pct"/>
                  <w:vMerge w:val="restart"/>
                  <w:noWrap w:val="0"/>
                  <w:vAlign w:val="center"/>
                </w:tcPr>
                <w:p w14:paraId="194A05CA">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r>
            <w:tr w14:paraId="0D22D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35A98D93">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3F350724">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508186A6">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0D040265">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15F4BFB0">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32F417E5">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07487CEE">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5C7C2F2A">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22683D3D">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27F3BA0C">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南</w:t>
                  </w:r>
                </w:p>
              </w:tc>
              <w:tc>
                <w:tcPr>
                  <w:tcW w:w="137" w:type="pct"/>
                  <w:noWrap w:val="0"/>
                  <w:vAlign w:val="center"/>
                </w:tcPr>
                <w:p w14:paraId="6F7F4AA8">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10</w:t>
                  </w:r>
                </w:p>
              </w:tc>
              <w:tc>
                <w:tcPr>
                  <w:tcW w:w="340" w:type="pct"/>
                  <w:noWrap w:val="0"/>
                  <w:vAlign w:val="center"/>
                </w:tcPr>
                <w:p w14:paraId="3983B710">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58.5</w:t>
                  </w:r>
                </w:p>
              </w:tc>
              <w:tc>
                <w:tcPr>
                  <w:tcW w:w="187" w:type="pct"/>
                  <w:vMerge w:val="continue"/>
                  <w:noWrap w:val="0"/>
                  <w:vAlign w:val="center"/>
                </w:tcPr>
                <w:p w14:paraId="0D6C4A69">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51A70A52">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66CA6959">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32.5</w:t>
                  </w:r>
                </w:p>
              </w:tc>
              <w:tc>
                <w:tcPr>
                  <w:tcW w:w="272" w:type="pct"/>
                  <w:vMerge w:val="continue"/>
                  <w:noWrap w:val="0"/>
                  <w:vAlign w:val="center"/>
                </w:tcPr>
                <w:p w14:paraId="04A8151E">
                  <w:pPr>
                    <w:pStyle w:val="63"/>
                    <w:ind w:firstLine="0" w:firstLineChars="0"/>
                    <w:rPr>
                      <w:rFonts w:hint="eastAsia" w:ascii="Times New Roman" w:hAnsi="Times New Roman" w:eastAsia="宋体" w:cs="Times New Roman"/>
                      <w:bCs/>
                      <w:szCs w:val="21"/>
                      <w:lang w:bidi="ar"/>
                    </w:rPr>
                  </w:pPr>
                </w:p>
              </w:tc>
            </w:tr>
            <w:tr w14:paraId="25629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339EFE83">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31D33287">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514D405C">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524A39C2">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562C868F">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0BD5E26C">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1A41EB8C">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29FEEB33">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47D9896D">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490585FC">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西</w:t>
                  </w:r>
                </w:p>
              </w:tc>
              <w:tc>
                <w:tcPr>
                  <w:tcW w:w="137" w:type="pct"/>
                  <w:noWrap w:val="0"/>
                  <w:vAlign w:val="center"/>
                </w:tcPr>
                <w:p w14:paraId="6E5B0A4A">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20</w:t>
                  </w:r>
                </w:p>
              </w:tc>
              <w:tc>
                <w:tcPr>
                  <w:tcW w:w="340" w:type="pct"/>
                  <w:noWrap w:val="0"/>
                  <w:vAlign w:val="center"/>
                </w:tcPr>
                <w:p w14:paraId="5327B69D">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53.7</w:t>
                  </w:r>
                </w:p>
              </w:tc>
              <w:tc>
                <w:tcPr>
                  <w:tcW w:w="187" w:type="pct"/>
                  <w:vMerge w:val="continue"/>
                  <w:noWrap w:val="0"/>
                  <w:vAlign w:val="center"/>
                </w:tcPr>
                <w:p w14:paraId="6A2A9146">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3DC1410B">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1F19240D">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27.7</w:t>
                  </w:r>
                </w:p>
              </w:tc>
              <w:tc>
                <w:tcPr>
                  <w:tcW w:w="272" w:type="pct"/>
                  <w:vMerge w:val="continue"/>
                  <w:noWrap w:val="0"/>
                  <w:vAlign w:val="center"/>
                </w:tcPr>
                <w:p w14:paraId="0E6D465B">
                  <w:pPr>
                    <w:pStyle w:val="63"/>
                    <w:ind w:firstLine="0" w:firstLineChars="0"/>
                    <w:rPr>
                      <w:rFonts w:hint="eastAsia" w:ascii="Times New Roman" w:hAnsi="Times New Roman" w:eastAsia="宋体" w:cs="Times New Roman"/>
                      <w:bCs/>
                      <w:szCs w:val="21"/>
                      <w:lang w:bidi="ar"/>
                    </w:rPr>
                  </w:pPr>
                </w:p>
              </w:tc>
            </w:tr>
            <w:tr w14:paraId="541D1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475F7033">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58AEB246">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0219FC02">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1084F3AE">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41F76E03">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1AD17D39">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71F167F1">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73D50881">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1B99FC3A">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34BA4D8A">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北</w:t>
                  </w:r>
                </w:p>
              </w:tc>
              <w:tc>
                <w:tcPr>
                  <w:tcW w:w="137" w:type="pct"/>
                  <w:noWrap w:val="0"/>
                  <w:vAlign w:val="center"/>
                </w:tcPr>
                <w:p w14:paraId="40167857">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57</w:t>
                  </w:r>
                </w:p>
              </w:tc>
              <w:tc>
                <w:tcPr>
                  <w:tcW w:w="340" w:type="pct"/>
                  <w:noWrap w:val="0"/>
                  <w:vAlign w:val="center"/>
                </w:tcPr>
                <w:p w14:paraId="4BF581D6">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49.8</w:t>
                  </w:r>
                </w:p>
              </w:tc>
              <w:tc>
                <w:tcPr>
                  <w:tcW w:w="187" w:type="pct"/>
                  <w:vMerge w:val="continue"/>
                  <w:noWrap w:val="0"/>
                  <w:vAlign w:val="center"/>
                </w:tcPr>
                <w:p w14:paraId="75CA11B1">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78432866">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61998DAB">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23.8</w:t>
                  </w:r>
                </w:p>
              </w:tc>
              <w:tc>
                <w:tcPr>
                  <w:tcW w:w="272" w:type="pct"/>
                  <w:vMerge w:val="continue"/>
                  <w:noWrap w:val="0"/>
                  <w:vAlign w:val="center"/>
                </w:tcPr>
                <w:p w14:paraId="450233F6">
                  <w:pPr>
                    <w:pStyle w:val="63"/>
                    <w:ind w:firstLine="0" w:firstLineChars="0"/>
                    <w:rPr>
                      <w:rFonts w:hint="eastAsia" w:ascii="Times New Roman" w:hAnsi="Times New Roman" w:eastAsia="宋体" w:cs="Times New Roman"/>
                      <w:bCs/>
                      <w:szCs w:val="21"/>
                      <w:lang w:bidi="ar"/>
                    </w:rPr>
                  </w:pPr>
                </w:p>
              </w:tc>
            </w:tr>
            <w:tr w14:paraId="7D515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restart"/>
                  <w:noWrap w:val="0"/>
                  <w:vAlign w:val="center"/>
                </w:tcPr>
                <w:p w14:paraId="3C49523F">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5</w:t>
                  </w:r>
                </w:p>
              </w:tc>
              <w:tc>
                <w:tcPr>
                  <w:tcW w:w="261" w:type="pct"/>
                  <w:vMerge w:val="continue"/>
                  <w:noWrap w:val="0"/>
                  <w:vAlign w:val="center"/>
                </w:tcPr>
                <w:p w14:paraId="2FA88789">
                  <w:pPr>
                    <w:pStyle w:val="63"/>
                    <w:ind w:firstLine="0" w:firstLineChars="0"/>
                    <w:rPr>
                      <w:rFonts w:hint="eastAsia" w:ascii="Times New Roman" w:hAnsi="Times New Roman" w:eastAsia="宋体" w:cs="Times New Roman"/>
                      <w:bCs/>
                      <w:szCs w:val="21"/>
                      <w:lang w:bidi="ar"/>
                    </w:rPr>
                  </w:pPr>
                </w:p>
              </w:tc>
              <w:tc>
                <w:tcPr>
                  <w:tcW w:w="393" w:type="pct"/>
                  <w:vMerge w:val="restart"/>
                  <w:noWrap w:val="0"/>
                  <w:vAlign w:val="center"/>
                </w:tcPr>
                <w:p w14:paraId="40DC7033">
                  <w:pPr>
                    <w:pStyle w:val="63"/>
                    <w:ind w:firstLine="0" w:firstLineChars="0"/>
                    <w:rPr>
                      <w:rFonts w:hint="default" w:ascii="Times New Roman" w:hAnsi="Times New Roman" w:eastAsia="宋体" w:cs="Times New Roman"/>
                      <w:bCs/>
                      <w:szCs w:val="21"/>
                      <w:lang w:val="en-US" w:bidi="ar"/>
                    </w:rPr>
                  </w:pPr>
                  <w:r>
                    <w:rPr>
                      <w:rFonts w:hint="eastAsia" w:ascii="Times New Roman" w:hAnsi="Times New Roman" w:eastAsia="宋体" w:cs="Times New Roman"/>
                      <w:bCs/>
                      <w:szCs w:val="21"/>
                      <w:lang w:val="en-US" w:eastAsia="zh-CN" w:bidi="ar"/>
                    </w:rPr>
                    <w:t>涂布机1</w:t>
                  </w:r>
                </w:p>
              </w:tc>
              <w:tc>
                <w:tcPr>
                  <w:tcW w:w="1177" w:type="pct"/>
                  <w:vMerge w:val="restart"/>
                  <w:noWrap w:val="0"/>
                  <w:vAlign w:val="center"/>
                </w:tcPr>
                <w:p w14:paraId="35089A95">
                  <w:pPr>
                    <w:pStyle w:val="63"/>
                    <w:ind w:firstLine="0" w:firstLineChars="0"/>
                    <w:rPr>
                      <w:rFonts w:hint="eastAsia" w:ascii="Times New Roman" w:hAnsi="Times New Roman" w:eastAsia="宋体" w:cs="Times New Roman"/>
                      <w:bCs/>
                      <w:szCs w:val="21"/>
                      <w:lang w:bidi="ar"/>
                    </w:rPr>
                  </w:pPr>
                  <w:r>
                    <w:rPr>
                      <w:rFonts w:hint="eastAsia"/>
                      <w:bCs/>
                      <w:szCs w:val="21"/>
                      <w:lang w:val="en-US" w:eastAsia="zh-CN" w:bidi="ar"/>
                    </w:rPr>
                    <w:t>宽幅2m，处理能力6m/min</w:t>
                  </w:r>
                </w:p>
              </w:tc>
              <w:tc>
                <w:tcPr>
                  <w:tcW w:w="424" w:type="pct"/>
                  <w:vMerge w:val="restart"/>
                  <w:noWrap w:val="0"/>
                  <w:vAlign w:val="center"/>
                </w:tcPr>
                <w:p w14:paraId="313426F3">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85</w:t>
                  </w:r>
                </w:p>
              </w:tc>
              <w:tc>
                <w:tcPr>
                  <w:tcW w:w="252" w:type="pct"/>
                  <w:vMerge w:val="continue"/>
                  <w:noWrap w:val="0"/>
                  <w:vAlign w:val="center"/>
                </w:tcPr>
                <w:p w14:paraId="51F1218F">
                  <w:pPr>
                    <w:pStyle w:val="63"/>
                    <w:ind w:firstLine="0" w:firstLineChars="0"/>
                    <w:rPr>
                      <w:rFonts w:hint="eastAsia" w:ascii="Times New Roman" w:hAnsi="Times New Roman" w:eastAsia="宋体" w:cs="Times New Roman"/>
                      <w:bCs/>
                      <w:szCs w:val="21"/>
                      <w:lang w:bidi="ar"/>
                    </w:rPr>
                  </w:pPr>
                </w:p>
              </w:tc>
              <w:tc>
                <w:tcPr>
                  <w:tcW w:w="162" w:type="pct"/>
                  <w:vMerge w:val="restart"/>
                  <w:noWrap w:val="0"/>
                  <w:vAlign w:val="center"/>
                </w:tcPr>
                <w:p w14:paraId="5994E78B">
                  <w:pPr>
                    <w:pStyle w:val="63"/>
                    <w:ind w:firstLine="0" w:firstLineChars="0"/>
                    <w:rPr>
                      <w:rFonts w:hint="eastAsia" w:ascii="Times New Roman" w:hAnsi="Times New Roman" w:eastAsia="宋体" w:cs="Times New Roman"/>
                      <w:bCs/>
                      <w:szCs w:val="21"/>
                      <w:lang w:eastAsia="zh-CN" w:bidi="ar"/>
                    </w:rPr>
                  </w:pPr>
                  <w:r>
                    <w:rPr>
                      <w:rFonts w:hint="eastAsia" w:ascii="Times New Roman" w:hAnsi="Times New Roman" w:eastAsia="宋体" w:cs="Times New Roman"/>
                      <w:bCs/>
                      <w:szCs w:val="21"/>
                      <w:lang w:bidi="ar"/>
                    </w:rPr>
                    <w:t>-</w:t>
                  </w:r>
                  <w:r>
                    <w:rPr>
                      <w:rFonts w:hint="eastAsia" w:ascii="Times New Roman" w:hAnsi="Times New Roman" w:eastAsia="宋体" w:cs="Times New Roman"/>
                      <w:bCs/>
                      <w:szCs w:val="21"/>
                      <w:lang w:val="en-US" w:eastAsia="zh-CN" w:bidi="ar"/>
                    </w:rPr>
                    <w:t>7</w:t>
                  </w:r>
                </w:p>
              </w:tc>
              <w:tc>
                <w:tcPr>
                  <w:tcW w:w="162" w:type="pct"/>
                  <w:vMerge w:val="restart"/>
                  <w:noWrap w:val="0"/>
                  <w:vAlign w:val="center"/>
                </w:tcPr>
                <w:p w14:paraId="45F1329D">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2</w:t>
                  </w:r>
                </w:p>
              </w:tc>
              <w:tc>
                <w:tcPr>
                  <w:tcW w:w="114" w:type="pct"/>
                  <w:vMerge w:val="restart"/>
                  <w:noWrap w:val="0"/>
                  <w:vAlign w:val="center"/>
                </w:tcPr>
                <w:p w14:paraId="6CF5C440">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c>
                <w:tcPr>
                  <w:tcW w:w="123" w:type="pct"/>
                  <w:noWrap w:val="0"/>
                  <w:vAlign w:val="center"/>
                </w:tcPr>
                <w:p w14:paraId="0A3118E1">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东</w:t>
                  </w:r>
                </w:p>
              </w:tc>
              <w:tc>
                <w:tcPr>
                  <w:tcW w:w="137" w:type="pct"/>
                  <w:noWrap w:val="0"/>
                  <w:vAlign w:val="center"/>
                </w:tcPr>
                <w:p w14:paraId="37DBFC8F">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34</w:t>
                  </w:r>
                </w:p>
              </w:tc>
              <w:tc>
                <w:tcPr>
                  <w:tcW w:w="340" w:type="pct"/>
                  <w:noWrap w:val="0"/>
                  <w:vAlign w:val="center"/>
                </w:tcPr>
                <w:p w14:paraId="6BDC86E9">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56.1</w:t>
                  </w:r>
                </w:p>
              </w:tc>
              <w:tc>
                <w:tcPr>
                  <w:tcW w:w="187" w:type="pct"/>
                  <w:vMerge w:val="continue"/>
                  <w:noWrap w:val="0"/>
                  <w:vAlign w:val="center"/>
                </w:tcPr>
                <w:p w14:paraId="6B5C653B">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71209AC8">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2AB59DDF">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30.1</w:t>
                  </w:r>
                </w:p>
              </w:tc>
              <w:tc>
                <w:tcPr>
                  <w:tcW w:w="272" w:type="pct"/>
                  <w:vMerge w:val="restart"/>
                  <w:noWrap w:val="0"/>
                  <w:vAlign w:val="center"/>
                </w:tcPr>
                <w:p w14:paraId="70D5EFAF">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r>
            <w:tr w14:paraId="56756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7BCFDCDA">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5EBA0CC4">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7E2A511D">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29C5BC73">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625B95FB">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1413546E">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031405E">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7CD9B554">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45EB373F">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7249661D">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南</w:t>
                  </w:r>
                </w:p>
              </w:tc>
              <w:tc>
                <w:tcPr>
                  <w:tcW w:w="137" w:type="pct"/>
                  <w:noWrap w:val="0"/>
                  <w:vAlign w:val="center"/>
                </w:tcPr>
                <w:p w14:paraId="4AD1DE6A">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38</w:t>
                  </w:r>
                </w:p>
              </w:tc>
              <w:tc>
                <w:tcPr>
                  <w:tcW w:w="340" w:type="pct"/>
                  <w:noWrap w:val="0"/>
                  <w:vAlign w:val="center"/>
                </w:tcPr>
                <w:p w14:paraId="1EE33EAB">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55.8</w:t>
                  </w:r>
                </w:p>
              </w:tc>
              <w:tc>
                <w:tcPr>
                  <w:tcW w:w="187" w:type="pct"/>
                  <w:vMerge w:val="continue"/>
                  <w:noWrap w:val="0"/>
                  <w:vAlign w:val="center"/>
                </w:tcPr>
                <w:p w14:paraId="46154F70">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2BFA0074">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78F85BE8">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29.8</w:t>
                  </w:r>
                </w:p>
              </w:tc>
              <w:tc>
                <w:tcPr>
                  <w:tcW w:w="272" w:type="pct"/>
                  <w:vMerge w:val="continue"/>
                  <w:noWrap w:val="0"/>
                  <w:vAlign w:val="center"/>
                </w:tcPr>
                <w:p w14:paraId="3ED781B7">
                  <w:pPr>
                    <w:pStyle w:val="63"/>
                    <w:ind w:firstLine="0" w:firstLineChars="0"/>
                    <w:rPr>
                      <w:rFonts w:hint="eastAsia" w:ascii="Times New Roman" w:hAnsi="Times New Roman" w:eastAsia="宋体" w:cs="Times New Roman"/>
                      <w:bCs/>
                      <w:szCs w:val="21"/>
                      <w:lang w:bidi="ar"/>
                    </w:rPr>
                  </w:pPr>
                </w:p>
              </w:tc>
            </w:tr>
            <w:tr w14:paraId="75387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4B523DDF">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6E938E45">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505C7835">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3A7780AC">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2D5E2CD8">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023B7928">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F3AB990">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E5F13D6">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69CBC874">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53D057D3">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西</w:t>
                  </w:r>
                </w:p>
              </w:tc>
              <w:tc>
                <w:tcPr>
                  <w:tcW w:w="137" w:type="pct"/>
                  <w:noWrap w:val="0"/>
                  <w:vAlign w:val="center"/>
                </w:tcPr>
                <w:p w14:paraId="4023E34E">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10</w:t>
                  </w:r>
                </w:p>
              </w:tc>
              <w:tc>
                <w:tcPr>
                  <w:tcW w:w="340" w:type="pct"/>
                  <w:noWrap w:val="0"/>
                  <w:vAlign w:val="center"/>
                </w:tcPr>
                <w:p w14:paraId="34E54956">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63.5</w:t>
                  </w:r>
                </w:p>
              </w:tc>
              <w:tc>
                <w:tcPr>
                  <w:tcW w:w="187" w:type="pct"/>
                  <w:vMerge w:val="continue"/>
                  <w:noWrap w:val="0"/>
                  <w:vAlign w:val="center"/>
                </w:tcPr>
                <w:p w14:paraId="4BC3654B">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2B522F2C">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6D75A2CF">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37.5</w:t>
                  </w:r>
                </w:p>
              </w:tc>
              <w:tc>
                <w:tcPr>
                  <w:tcW w:w="272" w:type="pct"/>
                  <w:vMerge w:val="continue"/>
                  <w:noWrap w:val="0"/>
                  <w:vAlign w:val="center"/>
                </w:tcPr>
                <w:p w14:paraId="688C9A10">
                  <w:pPr>
                    <w:pStyle w:val="63"/>
                    <w:ind w:firstLine="0" w:firstLineChars="0"/>
                    <w:rPr>
                      <w:rFonts w:hint="eastAsia" w:ascii="Times New Roman" w:hAnsi="Times New Roman" w:eastAsia="宋体" w:cs="Times New Roman"/>
                      <w:bCs/>
                      <w:szCs w:val="21"/>
                      <w:lang w:bidi="ar"/>
                    </w:rPr>
                  </w:pPr>
                </w:p>
              </w:tc>
            </w:tr>
            <w:tr w14:paraId="6E76D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4B60D0CA">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7648FD2E">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04E86928">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73075B14">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6A24EEFD">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0B1B3557">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69B4585">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1DD98799">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44F43175">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375A7C3D">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北</w:t>
                  </w:r>
                </w:p>
              </w:tc>
              <w:tc>
                <w:tcPr>
                  <w:tcW w:w="137" w:type="pct"/>
                  <w:noWrap w:val="0"/>
                  <w:vAlign w:val="center"/>
                </w:tcPr>
                <w:p w14:paraId="43F883BE">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28</w:t>
                  </w:r>
                </w:p>
              </w:tc>
              <w:tc>
                <w:tcPr>
                  <w:tcW w:w="340" w:type="pct"/>
                  <w:noWrap w:val="0"/>
                  <w:vAlign w:val="center"/>
                </w:tcPr>
                <w:p w14:paraId="277C0DD9">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56.9</w:t>
                  </w:r>
                </w:p>
              </w:tc>
              <w:tc>
                <w:tcPr>
                  <w:tcW w:w="187" w:type="pct"/>
                  <w:vMerge w:val="continue"/>
                  <w:noWrap w:val="0"/>
                  <w:vAlign w:val="center"/>
                </w:tcPr>
                <w:p w14:paraId="25886753">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62DF41DB">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2CBCE08A">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30.9</w:t>
                  </w:r>
                </w:p>
              </w:tc>
              <w:tc>
                <w:tcPr>
                  <w:tcW w:w="272" w:type="pct"/>
                  <w:vMerge w:val="continue"/>
                  <w:noWrap w:val="0"/>
                  <w:vAlign w:val="center"/>
                </w:tcPr>
                <w:p w14:paraId="4CF4388D">
                  <w:pPr>
                    <w:pStyle w:val="63"/>
                    <w:ind w:firstLine="0" w:firstLineChars="0"/>
                    <w:rPr>
                      <w:rFonts w:hint="eastAsia" w:ascii="Times New Roman" w:hAnsi="Times New Roman" w:eastAsia="宋体" w:cs="Times New Roman"/>
                      <w:bCs/>
                      <w:szCs w:val="21"/>
                      <w:lang w:bidi="ar"/>
                    </w:rPr>
                  </w:pPr>
                </w:p>
              </w:tc>
            </w:tr>
            <w:tr w14:paraId="04EFB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restart"/>
                  <w:noWrap w:val="0"/>
                  <w:vAlign w:val="center"/>
                </w:tcPr>
                <w:p w14:paraId="4898C1C8">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6</w:t>
                  </w:r>
                </w:p>
              </w:tc>
              <w:tc>
                <w:tcPr>
                  <w:tcW w:w="261" w:type="pct"/>
                  <w:vMerge w:val="continue"/>
                  <w:noWrap w:val="0"/>
                  <w:vAlign w:val="center"/>
                </w:tcPr>
                <w:p w14:paraId="337AC9FB">
                  <w:pPr>
                    <w:pStyle w:val="63"/>
                    <w:ind w:firstLine="0" w:firstLineChars="0"/>
                    <w:rPr>
                      <w:rFonts w:hint="eastAsia" w:ascii="Times New Roman" w:hAnsi="Times New Roman" w:eastAsia="宋体" w:cs="Times New Roman"/>
                      <w:bCs/>
                      <w:szCs w:val="21"/>
                      <w:lang w:bidi="ar"/>
                    </w:rPr>
                  </w:pPr>
                </w:p>
              </w:tc>
              <w:tc>
                <w:tcPr>
                  <w:tcW w:w="393" w:type="pct"/>
                  <w:vMerge w:val="restart"/>
                  <w:noWrap w:val="0"/>
                  <w:vAlign w:val="center"/>
                </w:tcPr>
                <w:p w14:paraId="19FBB982">
                  <w:pPr>
                    <w:pStyle w:val="63"/>
                    <w:ind w:firstLine="0" w:firstLineChars="0"/>
                    <w:rPr>
                      <w:rFonts w:hint="default" w:ascii="Times New Roman" w:hAnsi="Times New Roman" w:eastAsia="宋体" w:cs="Times New Roman"/>
                      <w:bCs/>
                      <w:szCs w:val="21"/>
                      <w:lang w:val="en-US" w:bidi="ar"/>
                    </w:rPr>
                  </w:pPr>
                  <w:r>
                    <w:rPr>
                      <w:rFonts w:hint="eastAsia" w:ascii="Times New Roman" w:hAnsi="Times New Roman" w:eastAsia="宋体" w:cs="Times New Roman"/>
                      <w:bCs/>
                      <w:szCs w:val="21"/>
                      <w:lang w:val="en-US" w:eastAsia="zh-CN" w:bidi="ar"/>
                    </w:rPr>
                    <w:t>涂布机2</w:t>
                  </w:r>
                </w:p>
              </w:tc>
              <w:tc>
                <w:tcPr>
                  <w:tcW w:w="1177" w:type="pct"/>
                  <w:vMerge w:val="restart"/>
                  <w:noWrap w:val="0"/>
                  <w:vAlign w:val="center"/>
                </w:tcPr>
                <w:p w14:paraId="1826CF67">
                  <w:pPr>
                    <w:pStyle w:val="63"/>
                    <w:ind w:firstLine="0" w:firstLineChars="0"/>
                    <w:rPr>
                      <w:rFonts w:hint="eastAsia" w:ascii="Times New Roman" w:hAnsi="Times New Roman" w:eastAsia="宋体" w:cs="Times New Roman"/>
                      <w:bCs/>
                      <w:szCs w:val="21"/>
                      <w:lang w:bidi="ar"/>
                    </w:rPr>
                  </w:pPr>
                  <w:r>
                    <w:rPr>
                      <w:rFonts w:hint="eastAsia"/>
                      <w:bCs/>
                      <w:szCs w:val="21"/>
                      <w:lang w:val="en-US" w:eastAsia="zh-CN" w:bidi="ar"/>
                    </w:rPr>
                    <w:t>宽幅2m，处理能力6m/min</w:t>
                  </w:r>
                </w:p>
              </w:tc>
              <w:tc>
                <w:tcPr>
                  <w:tcW w:w="424" w:type="pct"/>
                  <w:vMerge w:val="restart"/>
                  <w:noWrap w:val="0"/>
                  <w:vAlign w:val="center"/>
                </w:tcPr>
                <w:p w14:paraId="3A01EA6A">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75</w:t>
                  </w:r>
                </w:p>
              </w:tc>
              <w:tc>
                <w:tcPr>
                  <w:tcW w:w="252" w:type="pct"/>
                  <w:vMerge w:val="continue"/>
                  <w:noWrap w:val="0"/>
                  <w:vAlign w:val="center"/>
                </w:tcPr>
                <w:p w14:paraId="65E1C126">
                  <w:pPr>
                    <w:pStyle w:val="63"/>
                    <w:ind w:firstLine="0" w:firstLineChars="0"/>
                    <w:rPr>
                      <w:rFonts w:hint="eastAsia" w:ascii="Times New Roman" w:hAnsi="Times New Roman" w:eastAsia="宋体" w:cs="Times New Roman"/>
                      <w:bCs/>
                      <w:szCs w:val="21"/>
                      <w:lang w:bidi="ar"/>
                    </w:rPr>
                  </w:pPr>
                </w:p>
              </w:tc>
              <w:tc>
                <w:tcPr>
                  <w:tcW w:w="162" w:type="pct"/>
                  <w:vMerge w:val="restart"/>
                  <w:noWrap w:val="0"/>
                  <w:vAlign w:val="center"/>
                </w:tcPr>
                <w:p w14:paraId="4E66AB00">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-7</w:t>
                  </w:r>
                </w:p>
              </w:tc>
              <w:tc>
                <w:tcPr>
                  <w:tcW w:w="162" w:type="pct"/>
                  <w:vMerge w:val="restart"/>
                  <w:noWrap w:val="0"/>
                  <w:vAlign w:val="center"/>
                </w:tcPr>
                <w:p w14:paraId="7A39EC2B">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w:t>
                  </w:r>
                </w:p>
              </w:tc>
              <w:tc>
                <w:tcPr>
                  <w:tcW w:w="114" w:type="pct"/>
                  <w:vMerge w:val="restart"/>
                  <w:noWrap w:val="0"/>
                  <w:vAlign w:val="center"/>
                </w:tcPr>
                <w:p w14:paraId="5124424B">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w:t>
                  </w:r>
                </w:p>
              </w:tc>
              <w:tc>
                <w:tcPr>
                  <w:tcW w:w="123" w:type="pct"/>
                  <w:noWrap w:val="0"/>
                  <w:vAlign w:val="center"/>
                </w:tcPr>
                <w:p w14:paraId="5BFD03AA">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东</w:t>
                  </w:r>
                </w:p>
              </w:tc>
              <w:tc>
                <w:tcPr>
                  <w:tcW w:w="137" w:type="pct"/>
                  <w:noWrap w:val="0"/>
                  <w:vAlign w:val="center"/>
                </w:tcPr>
                <w:p w14:paraId="490094B5">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38</w:t>
                  </w:r>
                </w:p>
              </w:tc>
              <w:tc>
                <w:tcPr>
                  <w:tcW w:w="340" w:type="pct"/>
                  <w:noWrap w:val="0"/>
                  <w:vAlign w:val="center"/>
                </w:tcPr>
                <w:p w14:paraId="26F13156">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45.8</w:t>
                  </w:r>
                </w:p>
              </w:tc>
              <w:tc>
                <w:tcPr>
                  <w:tcW w:w="187" w:type="pct"/>
                  <w:vMerge w:val="continue"/>
                  <w:noWrap w:val="0"/>
                  <w:vAlign w:val="center"/>
                </w:tcPr>
                <w:p w14:paraId="214FE336">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55F7DAF0">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451A74E1">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19.8</w:t>
                  </w:r>
                </w:p>
              </w:tc>
              <w:tc>
                <w:tcPr>
                  <w:tcW w:w="272" w:type="pct"/>
                  <w:vMerge w:val="restart"/>
                  <w:noWrap w:val="0"/>
                  <w:vAlign w:val="center"/>
                </w:tcPr>
                <w:p w14:paraId="4DAA8605">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r>
            <w:tr w14:paraId="2C135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447CF713">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08D3B584">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101208D2">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5A57FF49">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749DCEF4">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48EA40F0">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7BCDEE99">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E0679E1">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029F8D85">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4EEA21CF">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南</w:t>
                  </w:r>
                </w:p>
              </w:tc>
              <w:tc>
                <w:tcPr>
                  <w:tcW w:w="137" w:type="pct"/>
                  <w:noWrap w:val="0"/>
                  <w:vAlign w:val="center"/>
                </w:tcPr>
                <w:p w14:paraId="509E9D15">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37</w:t>
                  </w:r>
                </w:p>
              </w:tc>
              <w:tc>
                <w:tcPr>
                  <w:tcW w:w="340" w:type="pct"/>
                  <w:noWrap w:val="0"/>
                  <w:vAlign w:val="center"/>
                </w:tcPr>
                <w:p w14:paraId="7FA37B79">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45.8</w:t>
                  </w:r>
                </w:p>
              </w:tc>
              <w:tc>
                <w:tcPr>
                  <w:tcW w:w="187" w:type="pct"/>
                  <w:vMerge w:val="continue"/>
                  <w:noWrap w:val="0"/>
                  <w:vAlign w:val="center"/>
                </w:tcPr>
                <w:p w14:paraId="28E29240">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35CCDBA7">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26C38633">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19.8</w:t>
                  </w:r>
                </w:p>
              </w:tc>
              <w:tc>
                <w:tcPr>
                  <w:tcW w:w="272" w:type="pct"/>
                  <w:vMerge w:val="continue"/>
                  <w:noWrap w:val="0"/>
                  <w:vAlign w:val="center"/>
                </w:tcPr>
                <w:p w14:paraId="5A37462B">
                  <w:pPr>
                    <w:pStyle w:val="63"/>
                    <w:ind w:firstLine="0" w:firstLineChars="0"/>
                    <w:rPr>
                      <w:rFonts w:hint="eastAsia" w:ascii="Times New Roman" w:hAnsi="Times New Roman" w:eastAsia="宋体" w:cs="Times New Roman"/>
                      <w:bCs/>
                      <w:szCs w:val="21"/>
                      <w:lang w:bidi="ar"/>
                    </w:rPr>
                  </w:pPr>
                </w:p>
              </w:tc>
            </w:tr>
            <w:tr w14:paraId="2F574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75890932">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5A75F631">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1B9CECB0">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7121FD8D">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7C5DD670">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5CCC07D7">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1BE58F7E">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AEEE383">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6AA3F8D1">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05EF6CCC">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西</w:t>
                  </w:r>
                </w:p>
              </w:tc>
              <w:tc>
                <w:tcPr>
                  <w:tcW w:w="137" w:type="pct"/>
                  <w:noWrap w:val="0"/>
                  <w:vAlign w:val="center"/>
                </w:tcPr>
                <w:p w14:paraId="2BFF16A7">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6</w:t>
                  </w:r>
                </w:p>
              </w:tc>
              <w:tc>
                <w:tcPr>
                  <w:tcW w:w="340" w:type="pct"/>
                  <w:noWrap w:val="0"/>
                  <w:vAlign w:val="center"/>
                </w:tcPr>
                <w:p w14:paraId="3455BCD2">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57.7</w:t>
                  </w:r>
                </w:p>
              </w:tc>
              <w:tc>
                <w:tcPr>
                  <w:tcW w:w="187" w:type="pct"/>
                  <w:vMerge w:val="continue"/>
                  <w:noWrap w:val="0"/>
                  <w:vAlign w:val="center"/>
                </w:tcPr>
                <w:p w14:paraId="559C7A1A">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7EDF5AD8">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2FBC2EC0">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31.7</w:t>
                  </w:r>
                </w:p>
              </w:tc>
              <w:tc>
                <w:tcPr>
                  <w:tcW w:w="272" w:type="pct"/>
                  <w:vMerge w:val="continue"/>
                  <w:noWrap w:val="0"/>
                  <w:vAlign w:val="center"/>
                </w:tcPr>
                <w:p w14:paraId="4E5E2E45">
                  <w:pPr>
                    <w:pStyle w:val="63"/>
                    <w:ind w:firstLine="0" w:firstLineChars="0"/>
                    <w:rPr>
                      <w:rFonts w:hint="eastAsia" w:ascii="Times New Roman" w:hAnsi="Times New Roman" w:eastAsia="宋体" w:cs="Times New Roman"/>
                      <w:bCs/>
                      <w:szCs w:val="21"/>
                      <w:lang w:bidi="ar"/>
                    </w:rPr>
                  </w:pPr>
                </w:p>
              </w:tc>
            </w:tr>
            <w:tr w14:paraId="1956F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6BFBE1AA">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60613210">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5C9C4859">
                  <w:pPr>
                    <w:pStyle w:val="63"/>
                    <w:ind w:firstLine="0" w:firstLineChars="0"/>
                    <w:rPr>
                      <w:rFonts w:hint="eastAsia" w:ascii="Times New Roman" w:hAnsi="Times New Roman" w:eastAsia="宋体" w:cs="Times New Roman"/>
                      <w:bCs/>
                      <w:szCs w:val="21"/>
                      <w:lang w:val="en-US" w:eastAsia="zh-CN" w:bidi="ar"/>
                    </w:rPr>
                  </w:pPr>
                </w:p>
              </w:tc>
              <w:tc>
                <w:tcPr>
                  <w:tcW w:w="1177" w:type="pct"/>
                  <w:vMerge w:val="continue"/>
                  <w:noWrap w:val="0"/>
                  <w:vAlign w:val="center"/>
                </w:tcPr>
                <w:p w14:paraId="612EA7EF">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5F48BCF9">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77A4F71E">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2CB65532">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4667242E">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6BF36D0A">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5CFE2976">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北</w:t>
                  </w:r>
                </w:p>
              </w:tc>
              <w:tc>
                <w:tcPr>
                  <w:tcW w:w="137" w:type="pct"/>
                  <w:noWrap w:val="0"/>
                  <w:vAlign w:val="center"/>
                </w:tcPr>
                <w:p w14:paraId="0EBE7F56">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30</w:t>
                  </w:r>
                </w:p>
              </w:tc>
              <w:tc>
                <w:tcPr>
                  <w:tcW w:w="340" w:type="pct"/>
                  <w:noWrap w:val="0"/>
                  <w:vAlign w:val="center"/>
                </w:tcPr>
                <w:p w14:paraId="3D33C569">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46.6</w:t>
                  </w:r>
                </w:p>
              </w:tc>
              <w:tc>
                <w:tcPr>
                  <w:tcW w:w="187" w:type="pct"/>
                  <w:vMerge w:val="continue"/>
                  <w:noWrap w:val="0"/>
                  <w:vAlign w:val="center"/>
                </w:tcPr>
                <w:p w14:paraId="09A32A70">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02E97B2F">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7A191E0D">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20.6</w:t>
                  </w:r>
                </w:p>
              </w:tc>
              <w:tc>
                <w:tcPr>
                  <w:tcW w:w="272" w:type="pct"/>
                  <w:vMerge w:val="continue"/>
                  <w:noWrap w:val="0"/>
                  <w:vAlign w:val="center"/>
                </w:tcPr>
                <w:p w14:paraId="39735D40">
                  <w:pPr>
                    <w:pStyle w:val="63"/>
                    <w:ind w:firstLine="0" w:firstLineChars="0"/>
                    <w:rPr>
                      <w:rFonts w:hint="eastAsia" w:ascii="Times New Roman" w:hAnsi="Times New Roman" w:eastAsia="宋体" w:cs="Times New Roman"/>
                      <w:bCs/>
                      <w:szCs w:val="21"/>
                      <w:lang w:bidi="ar"/>
                    </w:rPr>
                  </w:pPr>
                </w:p>
              </w:tc>
            </w:tr>
            <w:tr w14:paraId="52C6E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restart"/>
                  <w:noWrap w:val="0"/>
                  <w:vAlign w:val="center"/>
                </w:tcPr>
                <w:p w14:paraId="45EAE3B7">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7</w:t>
                  </w:r>
                </w:p>
              </w:tc>
              <w:tc>
                <w:tcPr>
                  <w:tcW w:w="261" w:type="pct"/>
                  <w:vMerge w:val="continue"/>
                  <w:noWrap w:val="0"/>
                  <w:vAlign w:val="center"/>
                </w:tcPr>
                <w:p w14:paraId="28172490">
                  <w:pPr>
                    <w:pStyle w:val="63"/>
                    <w:ind w:firstLine="0" w:firstLineChars="0"/>
                    <w:rPr>
                      <w:rFonts w:hint="eastAsia" w:ascii="Times New Roman" w:hAnsi="Times New Roman" w:eastAsia="宋体" w:cs="Times New Roman"/>
                      <w:bCs/>
                      <w:szCs w:val="21"/>
                      <w:lang w:bidi="ar"/>
                    </w:rPr>
                  </w:pPr>
                </w:p>
              </w:tc>
              <w:tc>
                <w:tcPr>
                  <w:tcW w:w="393" w:type="pct"/>
                  <w:vMerge w:val="restart"/>
                  <w:noWrap w:val="0"/>
                  <w:vAlign w:val="center"/>
                </w:tcPr>
                <w:p w14:paraId="4AE596DA">
                  <w:pPr>
                    <w:pStyle w:val="63"/>
                    <w:ind w:firstLine="0" w:firstLineChars="0"/>
                    <w:rPr>
                      <w:rFonts w:hint="eastAsia" w:ascii="Times New Roman" w:hAnsi="Times New Roman" w:eastAsia="宋体" w:cs="Times New Roman"/>
                      <w:bCs/>
                      <w:szCs w:val="21"/>
                      <w:lang w:val="en-US" w:eastAsia="zh-CN" w:bidi="ar"/>
                    </w:rPr>
                  </w:pPr>
                  <w:r>
                    <w:rPr>
                      <w:rFonts w:hint="eastAsia"/>
                      <w:bCs/>
                      <w:szCs w:val="21"/>
                      <w:lang w:bidi="ar"/>
                    </w:rPr>
                    <w:t>草坪簇绒机</w:t>
                  </w:r>
                  <w:r>
                    <w:rPr>
                      <w:rFonts w:hint="eastAsia"/>
                      <w:bCs/>
                      <w:szCs w:val="21"/>
                      <w:lang w:val="en-US" w:eastAsia="zh-CN" w:bidi="ar"/>
                    </w:rPr>
                    <w:t>1</w:t>
                  </w:r>
                </w:p>
              </w:tc>
              <w:tc>
                <w:tcPr>
                  <w:tcW w:w="1177" w:type="pct"/>
                  <w:vMerge w:val="restart"/>
                  <w:noWrap w:val="0"/>
                  <w:vAlign w:val="center"/>
                </w:tcPr>
                <w:p w14:paraId="09202850">
                  <w:pPr>
                    <w:pStyle w:val="63"/>
                    <w:ind w:firstLine="0" w:firstLineChars="0"/>
                    <w:rPr>
                      <w:rFonts w:hint="eastAsia" w:ascii="Times New Roman" w:hAnsi="Times New Roman" w:eastAsia="宋体" w:cs="Times New Roman"/>
                      <w:bCs/>
                      <w:szCs w:val="21"/>
                      <w:lang w:bidi="ar"/>
                    </w:rPr>
                  </w:pPr>
                  <w:r>
                    <w:rPr>
                      <w:rFonts w:hint="eastAsia"/>
                      <w:bCs/>
                      <w:szCs w:val="21"/>
                      <w:lang w:bidi="ar"/>
                    </w:rPr>
                    <w:t>CCR-G00C-YB</w:t>
                  </w:r>
                </w:p>
              </w:tc>
              <w:tc>
                <w:tcPr>
                  <w:tcW w:w="424" w:type="pct"/>
                  <w:vMerge w:val="restart"/>
                  <w:noWrap w:val="0"/>
                  <w:vAlign w:val="center"/>
                </w:tcPr>
                <w:p w14:paraId="556D36F7">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75</w:t>
                  </w:r>
                </w:p>
              </w:tc>
              <w:tc>
                <w:tcPr>
                  <w:tcW w:w="252" w:type="pct"/>
                  <w:vMerge w:val="continue"/>
                  <w:noWrap w:val="0"/>
                  <w:vAlign w:val="center"/>
                </w:tcPr>
                <w:p w14:paraId="614C9AEA">
                  <w:pPr>
                    <w:pStyle w:val="63"/>
                    <w:ind w:firstLine="0" w:firstLineChars="0"/>
                    <w:rPr>
                      <w:rFonts w:hint="eastAsia" w:ascii="Times New Roman" w:hAnsi="Times New Roman" w:eastAsia="宋体" w:cs="Times New Roman"/>
                      <w:bCs/>
                      <w:szCs w:val="21"/>
                      <w:lang w:bidi="ar"/>
                    </w:rPr>
                  </w:pPr>
                </w:p>
              </w:tc>
              <w:tc>
                <w:tcPr>
                  <w:tcW w:w="162" w:type="pct"/>
                  <w:vMerge w:val="restart"/>
                  <w:noWrap w:val="0"/>
                  <w:vAlign w:val="center"/>
                </w:tcPr>
                <w:p w14:paraId="04EA44E8">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w:t>
                  </w:r>
                </w:p>
              </w:tc>
              <w:tc>
                <w:tcPr>
                  <w:tcW w:w="162" w:type="pct"/>
                  <w:vMerge w:val="restart"/>
                  <w:noWrap w:val="0"/>
                  <w:vAlign w:val="center"/>
                </w:tcPr>
                <w:p w14:paraId="02F8A27A">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w:t>
                  </w:r>
                </w:p>
              </w:tc>
              <w:tc>
                <w:tcPr>
                  <w:tcW w:w="114" w:type="pct"/>
                  <w:vMerge w:val="restart"/>
                  <w:noWrap w:val="0"/>
                  <w:vAlign w:val="center"/>
                </w:tcPr>
                <w:p w14:paraId="6C864CAC">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w:t>
                  </w:r>
                </w:p>
              </w:tc>
              <w:tc>
                <w:tcPr>
                  <w:tcW w:w="123" w:type="pct"/>
                  <w:noWrap w:val="0"/>
                  <w:vAlign w:val="center"/>
                </w:tcPr>
                <w:p w14:paraId="29329DE5">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东</w:t>
                  </w:r>
                </w:p>
              </w:tc>
              <w:tc>
                <w:tcPr>
                  <w:tcW w:w="137" w:type="pct"/>
                  <w:noWrap w:val="0"/>
                  <w:vAlign w:val="center"/>
                </w:tcPr>
                <w:p w14:paraId="1548D127">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27</w:t>
                  </w:r>
                </w:p>
              </w:tc>
              <w:tc>
                <w:tcPr>
                  <w:tcW w:w="340" w:type="pct"/>
                  <w:noWrap w:val="0"/>
                  <w:vAlign w:val="center"/>
                </w:tcPr>
                <w:p w14:paraId="3694F354">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57.1</w:t>
                  </w:r>
                </w:p>
              </w:tc>
              <w:tc>
                <w:tcPr>
                  <w:tcW w:w="187" w:type="pct"/>
                  <w:vMerge w:val="continue"/>
                  <w:noWrap w:val="0"/>
                  <w:vAlign w:val="center"/>
                </w:tcPr>
                <w:p w14:paraId="152B2438">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1B48D5E0">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75792F2F">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31.1</w:t>
                  </w:r>
                </w:p>
              </w:tc>
              <w:tc>
                <w:tcPr>
                  <w:tcW w:w="272" w:type="pct"/>
                  <w:vMerge w:val="restart"/>
                  <w:noWrap w:val="0"/>
                  <w:vAlign w:val="center"/>
                </w:tcPr>
                <w:p w14:paraId="6EF2EFFF">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r>
            <w:tr w14:paraId="3226A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4A9F41BC">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67ED723D">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24734384">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2B84461D">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66138C8C">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0A41B0D8">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3A1354DA">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29AA4209">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662E56C8">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2BAB163F">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南</w:t>
                  </w:r>
                </w:p>
              </w:tc>
              <w:tc>
                <w:tcPr>
                  <w:tcW w:w="137" w:type="pct"/>
                  <w:noWrap w:val="0"/>
                  <w:vAlign w:val="center"/>
                </w:tcPr>
                <w:p w14:paraId="3EBA54B1">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15</w:t>
                  </w:r>
                </w:p>
              </w:tc>
              <w:tc>
                <w:tcPr>
                  <w:tcW w:w="340" w:type="pct"/>
                  <w:noWrap w:val="0"/>
                  <w:vAlign w:val="center"/>
                </w:tcPr>
                <w:p w14:paraId="35950CF4">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60.5</w:t>
                  </w:r>
                </w:p>
              </w:tc>
              <w:tc>
                <w:tcPr>
                  <w:tcW w:w="187" w:type="pct"/>
                  <w:vMerge w:val="continue"/>
                  <w:noWrap w:val="0"/>
                  <w:vAlign w:val="center"/>
                </w:tcPr>
                <w:p w14:paraId="618A7E2C">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0B576FF8">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30054661">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34.5</w:t>
                  </w:r>
                </w:p>
              </w:tc>
              <w:tc>
                <w:tcPr>
                  <w:tcW w:w="272" w:type="pct"/>
                  <w:vMerge w:val="continue"/>
                  <w:noWrap w:val="0"/>
                  <w:vAlign w:val="center"/>
                </w:tcPr>
                <w:p w14:paraId="1882E7B4">
                  <w:pPr>
                    <w:pStyle w:val="63"/>
                    <w:ind w:firstLine="0" w:firstLineChars="0"/>
                    <w:rPr>
                      <w:rFonts w:hint="eastAsia" w:ascii="Times New Roman" w:hAnsi="Times New Roman" w:eastAsia="宋体" w:cs="Times New Roman"/>
                      <w:bCs/>
                      <w:szCs w:val="21"/>
                      <w:lang w:bidi="ar"/>
                    </w:rPr>
                  </w:pPr>
                </w:p>
              </w:tc>
            </w:tr>
            <w:tr w14:paraId="6178F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4150FB8E">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632A2472">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53203ECE">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5715C7B5">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636F51F2">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1D8EA188">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34F543A3">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79C6CEEC">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25CD1EFA">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095D552C">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西</w:t>
                  </w:r>
                </w:p>
              </w:tc>
              <w:tc>
                <w:tcPr>
                  <w:tcW w:w="137" w:type="pct"/>
                  <w:noWrap w:val="0"/>
                  <w:vAlign w:val="center"/>
                </w:tcPr>
                <w:p w14:paraId="017F8E06">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18</w:t>
                  </w:r>
                </w:p>
              </w:tc>
              <w:tc>
                <w:tcPr>
                  <w:tcW w:w="340" w:type="pct"/>
                  <w:noWrap w:val="0"/>
                  <w:vAlign w:val="center"/>
                </w:tcPr>
                <w:p w14:paraId="3A2DF153">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59.3</w:t>
                  </w:r>
                </w:p>
              </w:tc>
              <w:tc>
                <w:tcPr>
                  <w:tcW w:w="187" w:type="pct"/>
                  <w:vMerge w:val="continue"/>
                  <w:noWrap w:val="0"/>
                  <w:vAlign w:val="center"/>
                </w:tcPr>
                <w:p w14:paraId="71CFBFD2">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0EA1ED46">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54141310">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33.3</w:t>
                  </w:r>
                </w:p>
              </w:tc>
              <w:tc>
                <w:tcPr>
                  <w:tcW w:w="272" w:type="pct"/>
                  <w:vMerge w:val="continue"/>
                  <w:noWrap w:val="0"/>
                  <w:vAlign w:val="center"/>
                </w:tcPr>
                <w:p w14:paraId="33F57B28">
                  <w:pPr>
                    <w:pStyle w:val="63"/>
                    <w:ind w:firstLine="0" w:firstLineChars="0"/>
                    <w:rPr>
                      <w:rFonts w:hint="eastAsia" w:ascii="Times New Roman" w:hAnsi="Times New Roman" w:eastAsia="宋体" w:cs="Times New Roman"/>
                      <w:bCs/>
                      <w:szCs w:val="21"/>
                      <w:lang w:bidi="ar"/>
                    </w:rPr>
                  </w:pPr>
                </w:p>
              </w:tc>
            </w:tr>
            <w:tr w14:paraId="5B973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77F9A272">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1572DA64">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1767243F">
                  <w:pPr>
                    <w:pStyle w:val="63"/>
                    <w:ind w:firstLine="0" w:firstLineChars="0"/>
                    <w:rPr>
                      <w:rFonts w:hint="eastAsia" w:ascii="Times New Roman" w:hAnsi="Times New Roman" w:eastAsia="宋体" w:cs="Times New Roman"/>
                      <w:bCs/>
                      <w:szCs w:val="21"/>
                      <w:lang w:val="en-US" w:eastAsia="zh-CN" w:bidi="ar"/>
                    </w:rPr>
                  </w:pPr>
                </w:p>
              </w:tc>
              <w:tc>
                <w:tcPr>
                  <w:tcW w:w="1177" w:type="pct"/>
                  <w:vMerge w:val="continue"/>
                  <w:noWrap w:val="0"/>
                  <w:vAlign w:val="center"/>
                </w:tcPr>
                <w:p w14:paraId="449B88F6">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5D435790">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30B7B7CF">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50FA309C">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0E2E34D2">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1F1227A4">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429C42B4">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北</w:t>
                  </w:r>
                </w:p>
              </w:tc>
              <w:tc>
                <w:tcPr>
                  <w:tcW w:w="137" w:type="pct"/>
                  <w:noWrap w:val="0"/>
                  <w:vAlign w:val="center"/>
                </w:tcPr>
                <w:p w14:paraId="09C8064B">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18</w:t>
                  </w:r>
                </w:p>
              </w:tc>
              <w:tc>
                <w:tcPr>
                  <w:tcW w:w="340" w:type="pct"/>
                  <w:noWrap w:val="0"/>
                  <w:vAlign w:val="center"/>
                </w:tcPr>
                <w:p w14:paraId="788988B6">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59.3</w:t>
                  </w:r>
                </w:p>
              </w:tc>
              <w:tc>
                <w:tcPr>
                  <w:tcW w:w="187" w:type="pct"/>
                  <w:vMerge w:val="continue"/>
                  <w:noWrap w:val="0"/>
                  <w:vAlign w:val="center"/>
                </w:tcPr>
                <w:p w14:paraId="1980CB87">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4D94A7B3">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117D8253">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33.3</w:t>
                  </w:r>
                </w:p>
              </w:tc>
              <w:tc>
                <w:tcPr>
                  <w:tcW w:w="272" w:type="pct"/>
                  <w:vMerge w:val="continue"/>
                  <w:noWrap w:val="0"/>
                  <w:vAlign w:val="center"/>
                </w:tcPr>
                <w:p w14:paraId="7303A9A4">
                  <w:pPr>
                    <w:pStyle w:val="63"/>
                    <w:ind w:firstLine="0" w:firstLineChars="0"/>
                    <w:rPr>
                      <w:rFonts w:hint="eastAsia" w:ascii="Times New Roman" w:hAnsi="Times New Roman" w:eastAsia="宋体" w:cs="Times New Roman"/>
                      <w:bCs/>
                      <w:szCs w:val="21"/>
                      <w:lang w:bidi="ar"/>
                    </w:rPr>
                  </w:pPr>
                </w:p>
              </w:tc>
            </w:tr>
            <w:tr w14:paraId="00F9F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restart"/>
                  <w:noWrap w:val="0"/>
                  <w:vAlign w:val="center"/>
                </w:tcPr>
                <w:p w14:paraId="71D9F7BD">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w:t>
                  </w:r>
                </w:p>
              </w:tc>
              <w:tc>
                <w:tcPr>
                  <w:tcW w:w="261" w:type="pct"/>
                  <w:vMerge w:val="continue"/>
                  <w:noWrap w:val="0"/>
                  <w:vAlign w:val="center"/>
                </w:tcPr>
                <w:p w14:paraId="718355E7">
                  <w:pPr>
                    <w:pStyle w:val="63"/>
                    <w:ind w:firstLine="0" w:firstLineChars="0"/>
                    <w:rPr>
                      <w:rFonts w:hint="eastAsia" w:ascii="Times New Roman" w:hAnsi="Times New Roman" w:eastAsia="宋体" w:cs="Times New Roman"/>
                      <w:bCs/>
                      <w:szCs w:val="21"/>
                      <w:lang w:bidi="ar"/>
                    </w:rPr>
                  </w:pPr>
                </w:p>
              </w:tc>
              <w:tc>
                <w:tcPr>
                  <w:tcW w:w="393" w:type="pct"/>
                  <w:vMerge w:val="restart"/>
                  <w:noWrap w:val="0"/>
                  <w:vAlign w:val="center"/>
                </w:tcPr>
                <w:p w14:paraId="74E5861C">
                  <w:pPr>
                    <w:pStyle w:val="63"/>
                    <w:ind w:firstLine="0" w:firstLineChars="0"/>
                    <w:rPr>
                      <w:rFonts w:hint="eastAsia" w:ascii="Times New Roman" w:hAnsi="Times New Roman" w:eastAsia="宋体" w:cs="Times New Roman"/>
                      <w:bCs/>
                      <w:szCs w:val="21"/>
                      <w:lang w:val="en-US" w:eastAsia="zh-CN" w:bidi="ar"/>
                    </w:rPr>
                  </w:pPr>
                  <w:r>
                    <w:rPr>
                      <w:rFonts w:hint="eastAsia"/>
                      <w:bCs/>
                      <w:szCs w:val="21"/>
                      <w:lang w:bidi="ar"/>
                    </w:rPr>
                    <w:t>草坪簇绒机</w:t>
                  </w:r>
                  <w:r>
                    <w:rPr>
                      <w:rFonts w:hint="eastAsia"/>
                      <w:bCs/>
                      <w:szCs w:val="21"/>
                      <w:lang w:val="en-US" w:eastAsia="zh-CN" w:bidi="ar"/>
                    </w:rPr>
                    <w:t>2</w:t>
                  </w:r>
                </w:p>
              </w:tc>
              <w:tc>
                <w:tcPr>
                  <w:tcW w:w="1177" w:type="pct"/>
                  <w:vMerge w:val="restart"/>
                  <w:noWrap w:val="0"/>
                  <w:vAlign w:val="center"/>
                </w:tcPr>
                <w:p w14:paraId="6149221B">
                  <w:pPr>
                    <w:pStyle w:val="63"/>
                    <w:ind w:firstLine="0" w:firstLineChars="0"/>
                    <w:rPr>
                      <w:rFonts w:hint="eastAsia" w:ascii="Times New Roman" w:hAnsi="Times New Roman" w:eastAsia="宋体" w:cs="Times New Roman"/>
                      <w:bCs/>
                      <w:szCs w:val="21"/>
                      <w:lang w:bidi="ar"/>
                    </w:rPr>
                  </w:pPr>
                  <w:r>
                    <w:rPr>
                      <w:rFonts w:hint="eastAsia"/>
                      <w:bCs/>
                      <w:szCs w:val="21"/>
                      <w:lang w:bidi="ar"/>
                    </w:rPr>
                    <w:t>CCR-G00C-YB</w:t>
                  </w:r>
                </w:p>
              </w:tc>
              <w:tc>
                <w:tcPr>
                  <w:tcW w:w="424" w:type="pct"/>
                  <w:vMerge w:val="restart"/>
                  <w:noWrap w:val="0"/>
                  <w:vAlign w:val="center"/>
                </w:tcPr>
                <w:p w14:paraId="4E6D2F87">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80</w:t>
                  </w:r>
                </w:p>
              </w:tc>
              <w:tc>
                <w:tcPr>
                  <w:tcW w:w="252" w:type="pct"/>
                  <w:vMerge w:val="continue"/>
                  <w:noWrap w:val="0"/>
                  <w:vAlign w:val="center"/>
                </w:tcPr>
                <w:p w14:paraId="4AA81491">
                  <w:pPr>
                    <w:pStyle w:val="63"/>
                    <w:ind w:firstLine="0" w:firstLineChars="0"/>
                    <w:rPr>
                      <w:rFonts w:hint="eastAsia" w:ascii="Times New Roman" w:hAnsi="Times New Roman" w:eastAsia="宋体" w:cs="Times New Roman"/>
                      <w:bCs/>
                      <w:szCs w:val="21"/>
                      <w:lang w:bidi="ar"/>
                    </w:rPr>
                  </w:pPr>
                </w:p>
              </w:tc>
              <w:tc>
                <w:tcPr>
                  <w:tcW w:w="162" w:type="pct"/>
                  <w:vMerge w:val="restart"/>
                  <w:noWrap w:val="0"/>
                  <w:vAlign w:val="center"/>
                </w:tcPr>
                <w:p w14:paraId="12221AC0">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w:t>
                  </w:r>
                </w:p>
              </w:tc>
              <w:tc>
                <w:tcPr>
                  <w:tcW w:w="162" w:type="pct"/>
                  <w:vMerge w:val="restart"/>
                  <w:noWrap w:val="0"/>
                  <w:vAlign w:val="center"/>
                </w:tcPr>
                <w:p w14:paraId="073D3669">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w:t>
                  </w:r>
                </w:p>
              </w:tc>
              <w:tc>
                <w:tcPr>
                  <w:tcW w:w="114" w:type="pct"/>
                  <w:vMerge w:val="restart"/>
                  <w:noWrap w:val="0"/>
                  <w:vAlign w:val="center"/>
                </w:tcPr>
                <w:p w14:paraId="30BEF090">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w:t>
                  </w:r>
                </w:p>
              </w:tc>
              <w:tc>
                <w:tcPr>
                  <w:tcW w:w="123" w:type="pct"/>
                  <w:noWrap w:val="0"/>
                  <w:vAlign w:val="center"/>
                </w:tcPr>
                <w:p w14:paraId="06CBB578">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东</w:t>
                  </w:r>
                </w:p>
              </w:tc>
              <w:tc>
                <w:tcPr>
                  <w:tcW w:w="137" w:type="pct"/>
                  <w:noWrap w:val="0"/>
                  <w:vAlign w:val="center"/>
                </w:tcPr>
                <w:p w14:paraId="7531A1BE">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20</w:t>
                  </w:r>
                </w:p>
              </w:tc>
              <w:tc>
                <w:tcPr>
                  <w:tcW w:w="340" w:type="pct"/>
                  <w:noWrap w:val="0"/>
                  <w:vAlign w:val="center"/>
                </w:tcPr>
                <w:p w14:paraId="1548F96A">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58.7</w:t>
                  </w:r>
                </w:p>
              </w:tc>
              <w:tc>
                <w:tcPr>
                  <w:tcW w:w="187" w:type="pct"/>
                  <w:vMerge w:val="continue"/>
                  <w:noWrap w:val="0"/>
                  <w:vAlign w:val="center"/>
                </w:tcPr>
                <w:p w14:paraId="6A3A7DB3">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08483D8C">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7DC32E41">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32.7</w:t>
                  </w:r>
                </w:p>
              </w:tc>
              <w:tc>
                <w:tcPr>
                  <w:tcW w:w="272" w:type="pct"/>
                  <w:vMerge w:val="restart"/>
                  <w:noWrap w:val="0"/>
                  <w:vAlign w:val="center"/>
                </w:tcPr>
                <w:p w14:paraId="46D1AB89">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r>
            <w:tr w14:paraId="16289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7D25076C">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31B73438">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61C7AF34">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306790A4">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38DEF807">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30CDF1C7">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569A4D48">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0655B1E4">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4CBA0AFF">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1D380639">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南</w:t>
                  </w:r>
                </w:p>
              </w:tc>
              <w:tc>
                <w:tcPr>
                  <w:tcW w:w="137" w:type="pct"/>
                  <w:noWrap w:val="0"/>
                  <w:vAlign w:val="center"/>
                </w:tcPr>
                <w:p w14:paraId="44A7C640">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18</w:t>
                  </w:r>
                </w:p>
              </w:tc>
              <w:tc>
                <w:tcPr>
                  <w:tcW w:w="340" w:type="pct"/>
                  <w:noWrap w:val="0"/>
                  <w:vAlign w:val="center"/>
                </w:tcPr>
                <w:p w14:paraId="09DB3F07">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59.3</w:t>
                  </w:r>
                </w:p>
              </w:tc>
              <w:tc>
                <w:tcPr>
                  <w:tcW w:w="187" w:type="pct"/>
                  <w:vMerge w:val="continue"/>
                  <w:noWrap w:val="0"/>
                  <w:vAlign w:val="center"/>
                </w:tcPr>
                <w:p w14:paraId="10B8B610">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3D1AA390">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4F7CDC3D">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33.3</w:t>
                  </w:r>
                </w:p>
              </w:tc>
              <w:tc>
                <w:tcPr>
                  <w:tcW w:w="272" w:type="pct"/>
                  <w:vMerge w:val="continue"/>
                  <w:noWrap w:val="0"/>
                  <w:vAlign w:val="center"/>
                </w:tcPr>
                <w:p w14:paraId="2FBA060E">
                  <w:pPr>
                    <w:pStyle w:val="63"/>
                    <w:ind w:firstLine="0" w:firstLineChars="0"/>
                    <w:rPr>
                      <w:rFonts w:hint="eastAsia" w:ascii="Times New Roman" w:hAnsi="Times New Roman" w:eastAsia="宋体" w:cs="Times New Roman"/>
                      <w:bCs/>
                      <w:szCs w:val="21"/>
                      <w:lang w:bidi="ar"/>
                    </w:rPr>
                  </w:pPr>
                </w:p>
              </w:tc>
            </w:tr>
            <w:tr w14:paraId="36098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1" w:type="pct"/>
                  <w:vMerge w:val="continue"/>
                  <w:noWrap w:val="0"/>
                  <w:vAlign w:val="center"/>
                </w:tcPr>
                <w:p w14:paraId="0695B5EB">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1F34F4A2">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78C90C63">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19E4D04A">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6C77EE07">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5AF17B13">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3BCC0A3">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443A729B">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25493879">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68159CC6">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西</w:t>
                  </w:r>
                </w:p>
              </w:tc>
              <w:tc>
                <w:tcPr>
                  <w:tcW w:w="137" w:type="pct"/>
                  <w:noWrap w:val="0"/>
                  <w:vAlign w:val="center"/>
                </w:tcPr>
                <w:p w14:paraId="36B7A31C">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22</w:t>
                  </w:r>
                </w:p>
              </w:tc>
              <w:tc>
                <w:tcPr>
                  <w:tcW w:w="340" w:type="pct"/>
                  <w:noWrap w:val="0"/>
                  <w:vAlign w:val="center"/>
                </w:tcPr>
                <w:p w14:paraId="5EF9131C">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58.1</w:t>
                  </w:r>
                </w:p>
              </w:tc>
              <w:tc>
                <w:tcPr>
                  <w:tcW w:w="187" w:type="pct"/>
                  <w:vMerge w:val="continue"/>
                  <w:noWrap w:val="0"/>
                  <w:vAlign w:val="center"/>
                </w:tcPr>
                <w:p w14:paraId="70357084">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2383DCFB">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5558B9F3">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32.1</w:t>
                  </w:r>
                </w:p>
              </w:tc>
              <w:tc>
                <w:tcPr>
                  <w:tcW w:w="272" w:type="pct"/>
                  <w:vMerge w:val="continue"/>
                  <w:noWrap w:val="0"/>
                  <w:vAlign w:val="center"/>
                </w:tcPr>
                <w:p w14:paraId="3CCD19C2">
                  <w:pPr>
                    <w:pStyle w:val="63"/>
                    <w:ind w:firstLine="0" w:firstLineChars="0"/>
                    <w:rPr>
                      <w:rFonts w:hint="eastAsia" w:ascii="Times New Roman" w:hAnsi="Times New Roman" w:eastAsia="宋体" w:cs="Times New Roman"/>
                      <w:bCs/>
                      <w:szCs w:val="21"/>
                      <w:lang w:bidi="ar"/>
                    </w:rPr>
                  </w:pPr>
                </w:p>
              </w:tc>
            </w:tr>
            <w:tr w14:paraId="4C75F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4DC8F4C0">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535D5362">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7D31E1E2">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6CF3670A">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20402C93">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0A5D5464">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4B3EA13">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47DDA20">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1FD7662D">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740111EE">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北</w:t>
                  </w:r>
                </w:p>
              </w:tc>
              <w:tc>
                <w:tcPr>
                  <w:tcW w:w="137" w:type="pct"/>
                  <w:noWrap w:val="0"/>
                  <w:vAlign w:val="center"/>
                </w:tcPr>
                <w:p w14:paraId="3D893BF7">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25</w:t>
                  </w:r>
                </w:p>
              </w:tc>
              <w:tc>
                <w:tcPr>
                  <w:tcW w:w="340" w:type="pct"/>
                  <w:noWrap w:val="0"/>
                  <w:vAlign w:val="center"/>
                </w:tcPr>
                <w:p w14:paraId="1CDDE2D9">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57.5</w:t>
                  </w:r>
                </w:p>
              </w:tc>
              <w:tc>
                <w:tcPr>
                  <w:tcW w:w="187" w:type="pct"/>
                  <w:vMerge w:val="continue"/>
                  <w:noWrap w:val="0"/>
                  <w:vAlign w:val="center"/>
                </w:tcPr>
                <w:p w14:paraId="49958A07">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7C0D8847">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6AF1A716">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31.5</w:t>
                  </w:r>
                </w:p>
              </w:tc>
              <w:tc>
                <w:tcPr>
                  <w:tcW w:w="272" w:type="pct"/>
                  <w:vMerge w:val="continue"/>
                  <w:noWrap w:val="0"/>
                  <w:vAlign w:val="center"/>
                </w:tcPr>
                <w:p w14:paraId="2A57CE88">
                  <w:pPr>
                    <w:pStyle w:val="63"/>
                    <w:ind w:firstLine="0" w:firstLineChars="0"/>
                    <w:rPr>
                      <w:rFonts w:hint="eastAsia" w:ascii="Times New Roman" w:hAnsi="Times New Roman" w:eastAsia="宋体" w:cs="Times New Roman"/>
                      <w:bCs/>
                      <w:szCs w:val="21"/>
                      <w:lang w:bidi="ar"/>
                    </w:rPr>
                  </w:pPr>
                </w:p>
              </w:tc>
            </w:tr>
            <w:tr w14:paraId="66252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restart"/>
                  <w:noWrap w:val="0"/>
                  <w:vAlign w:val="center"/>
                </w:tcPr>
                <w:p w14:paraId="33C236BC">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9</w:t>
                  </w:r>
                </w:p>
              </w:tc>
              <w:tc>
                <w:tcPr>
                  <w:tcW w:w="261" w:type="pct"/>
                  <w:vMerge w:val="continue"/>
                  <w:noWrap w:val="0"/>
                  <w:vAlign w:val="center"/>
                </w:tcPr>
                <w:p w14:paraId="3E7EE4A8">
                  <w:pPr>
                    <w:pStyle w:val="63"/>
                    <w:ind w:firstLine="0" w:firstLineChars="0"/>
                    <w:rPr>
                      <w:rFonts w:hint="eastAsia" w:ascii="Times New Roman" w:hAnsi="Times New Roman" w:eastAsia="宋体" w:cs="Times New Roman"/>
                      <w:bCs/>
                      <w:szCs w:val="21"/>
                      <w:lang w:bidi="ar"/>
                    </w:rPr>
                  </w:pPr>
                </w:p>
              </w:tc>
              <w:tc>
                <w:tcPr>
                  <w:tcW w:w="393" w:type="pct"/>
                  <w:vMerge w:val="restart"/>
                  <w:shd w:val="clear" w:color="auto" w:fill="auto"/>
                  <w:noWrap w:val="0"/>
                  <w:vAlign w:val="center"/>
                </w:tcPr>
                <w:p w14:paraId="44E544D9">
                  <w:pPr>
                    <w:pStyle w:val="63"/>
                    <w:ind w:firstLine="0" w:firstLineChars="0"/>
                    <w:rPr>
                      <w:rFonts w:hint="eastAsia" w:ascii="Times New Roman" w:hAnsi="Times New Roman" w:eastAsia="宋体" w:cs="Times New Roman"/>
                      <w:bCs/>
                      <w:kern w:val="2"/>
                      <w:sz w:val="21"/>
                      <w:szCs w:val="21"/>
                      <w:lang w:val="en-US" w:eastAsia="zh-CN" w:bidi="ar"/>
                    </w:rPr>
                  </w:pPr>
                  <w:r>
                    <w:rPr>
                      <w:rFonts w:hint="eastAsia"/>
                      <w:bCs/>
                      <w:szCs w:val="21"/>
                      <w:lang w:bidi="ar"/>
                    </w:rPr>
                    <w:t>草坪簇绒机</w:t>
                  </w:r>
                  <w:r>
                    <w:rPr>
                      <w:rFonts w:hint="eastAsia"/>
                      <w:bCs/>
                      <w:szCs w:val="21"/>
                      <w:lang w:val="en-US" w:eastAsia="zh-CN" w:bidi="ar"/>
                    </w:rPr>
                    <w:t>3</w:t>
                  </w:r>
                </w:p>
                <w:p w14:paraId="24DB9DCB">
                  <w:pPr>
                    <w:pStyle w:val="63"/>
                    <w:ind w:firstLine="0" w:firstLineChars="0"/>
                    <w:rPr>
                      <w:rFonts w:hint="default" w:ascii="Times New Roman" w:hAnsi="Times New Roman" w:eastAsia="宋体" w:cs="Times New Roman"/>
                      <w:bCs/>
                      <w:szCs w:val="21"/>
                      <w:lang w:val="en-US" w:eastAsia="zh-CN" w:bidi="ar"/>
                    </w:rPr>
                  </w:pPr>
                </w:p>
              </w:tc>
              <w:tc>
                <w:tcPr>
                  <w:tcW w:w="1177" w:type="pct"/>
                  <w:vMerge w:val="restart"/>
                  <w:noWrap w:val="0"/>
                  <w:vAlign w:val="center"/>
                </w:tcPr>
                <w:p w14:paraId="3A72B8DA">
                  <w:pPr>
                    <w:pStyle w:val="63"/>
                    <w:ind w:firstLine="0" w:firstLineChars="0"/>
                    <w:rPr>
                      <w:rFonts w:hint="eastAsia" w:ascii="Times New Roman" w:hAnsi="Times New Roman" w:eastAsia="宋体" w:cs="Times New Roman"/>
                      <w:bCs/>
                      <w:szCs w:val="21"/>
                      <w:lang w:bidi="ar"/>
                    </w:rPr>
                  </w:pPr>
                  <w:r>
                    <w:rPr>
                      <w:rFonts w:hint="eastAsia"/>
                      <w:bCs/>
                      <w:szCs w:val="21"/>
                      <w:lang w:bidi="ar"/>
                    </w:rPr>
                    <w:t>CCR-G00C-YB</w:t>
                  </w:r>
                </w:p>
              </w:tc>
              <w:tc>
                <w:tcPr>
                  <w:tcW w:w="424" w:type="pct"/>
                  <w:vMerge w:val="restart"/>
                  <w:noWrap w:val="0"/>
                  <w:vAlign w:val="center"/>
                </w:tcPr>
                <w:p w14:paraId="4FABEDBF">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80</w:t>
                  </w:r>
                </w:p>
              </w:tc>
              <w:tc>
                <w:tcPr>
                  <w:tcW w:w="252" w:type="pct"/>
                  <w:vMerge w:val="continue"/>
                  <w:noWrap w:val="0"/>
                  <w:vAlign w:val="center"/>
                </w:tcPr>
                <w:p w14:paraId="5DB085B5">
                  <w:pPr>
                    <w:pStyle w:val="63"/>
                    <w:ind w:firstLine="0" w:firstLineChars="0"/>
                    <w:rPr>
                      <w:rFonts w:hint="eastAsia" w:ascii="Times New Roman" w:hAnsi="Times New Roman" w:eastAsia="宋体" w:cs="Times New Roman"/>
                      <w:bCs/>
                      <w:szCs w:val="21"/>
                      <w:lang w:bidi="ar"/>
                    </w:rPr>
                  </w:pPr>
                </w:p>
              </w:tc>
              <w:tc>
                <w:tcPr>
                  <w:tcW w:w="162" w:type="pct"/>
                  <w:vMerge w:val="restart"/>
                  <w:noWrap w:val="0"/>
                  <w:vAlign w:val="center"/>
                </w:tcPr>
                <w:p w14:paraId="5E7CB965">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w:t>
                  </w:r>
                </w:p>
              </w:tc>
              <w:tc>
                <w:tcPr>
                  <w:tcW w:w="162" w:type="pct"/>
                  <w:vMerge w:val="restart"/>
                  <w:noWrap w:val="0"/>
                  <w:vAlign w:val="center"/>
                </w:tcPr>
                <w:p w14:paraId="46FA07BA">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w:t>
                  </w:r>
                </w:p>
              </w:tc>
              <w:tc>
                <w:tcPr>
                  <w:tcW w:w="114" w:type="pct"/>
                  <w:vMerge w:val="restart"/>
                  <w:noWrap w:val="0"/>
                  <w:vAlign w:val="center"/>
                </w:tcPr>
                <w:p w14:paraId="1B1A4979">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w:t>
                  </w:r>
                </w:p>
              </w:tc>
              <w:tc>
                <w:tcPr>
                  <w:tcW w:w="123" w:type="pct"/>
                  <w:noWrap w:val="0"/>
                  <w:vAlign w:val="center"/>
                </w:tcPr>
                <w:p w14:paraId="1A8AD4B9">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东</w:t>
                  </w:r>
                </w:p>
              </w:tc>
              <w:tc>
                <w:tcPr>
                  <w:tcW w:w="137" w:type="pct"/>
                  <w:noWrap w:val="0"/>
                  <w:vAlign w:val="center"/>
                </w:tcPr>
                <w:p w14:paraId="5CC32C61">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30</w:t>
                  </w:r>
                </w:p>
              </w:tc>
              <w:tc>
                <w:tcPr>
                  <w:tcW w:w="340" w:type="pct"/>
                  <w:noWrap w:val="0"/>
                  <w:vAlign w:val="center"/>
                </w:tcPr>
                <w:p w14:paraId="5056F914">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56.6</w:t>
                  </w:r>
                </w:p>
              </w:tc>
              <w:tc>
                <w:tcPr>
                  <w:tcW w:w="187" w:type="pct"/>
                  <w:vMerge w:val="continue"/>
                  <w:noWrap w:val="0"/>
                  <w:vAlign w:val="center"/>
                </w:tcPr>
                <w:p w14:paraId="1DE0CA8F">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4A7A343A">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2CC9560F">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30.6</w:t>
                  </w:r>
                </w:p>
              </w:tc>
              <w:tc>
                <w:tcPr>
                  <w:tcW w:w="272" w:type="pct"/>
                  <w:vMerge w:val="restart"/>
                  <w:noWrap w:val="0"/>
                  <w:vAlign w:val="center"/>
                </w:tcPr>
                <w:p w14:paraId="5FC82D4E">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r>
            <w:tr w14:paraId="4B2D0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1E33F584">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2B857D57">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62319AEA">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66E670B1">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10C87BA4">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5E4A8B23">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3B1F8FC">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A6CA694">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02EB0930">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0CA564EC">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南</w:t>
                  </w:r>
                </w:p>
              </w:tc>
              <w:tc>
                <w:tcPr>
                  <w:tcW w:w="137" w:type="pct"/>
                  <w:noWrap w:val="0"/>
                  <w:vAlign w:val="center"/>
                </w:tcPr>
                <w:p w14:paraId="0B8CD203">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25</w:t>
                  </w:r>
                </w:p>
              </w:tc>
              <w:tc>
                <w:tcPr>
                  <w:tcW w:w="340" w:type="pct"/>
                  <w:noWrap w:val="0"/>
                  <w:vAlign w:val="center"/>
                </w:tcPr>
                <w:p w14:paraId="7874D08C">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57.5</w:t>
                  </w:r>
                </w:p>
              </w:tc>
              <w:tc>
                <w:tcPr>
                  <w:tcW w:w="187" w:type="pct"/>
                  <w:vMerge w:val="continue"/>
                  <w:noWrap w:val="0"/>
                  <w:vAlign w:val="center"/>
                </w:tcPr>
                <w:p w14:paraId="737227BC">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55EDA874">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737A98C5">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31.5</w:t>
                  </w:r>
                </w:p>
              </w:tc>
              <w:tc>
                <w:tcPr>
                  <w:tcW w:w="272" w:type="pct"/>
                  <w:vMerge w:val="continue"/>
                  <w:noWrap w:val="0"/>
                  <w:vAlign w:val="center"/>
                </w:tcPr>
                <w:p w14:paraId="605E20F7">
                  <w:pPr>
                    <w:pStyle w:val="63"/>
                    <w:ind w:firstLine="0" w:firstLineChars="0"/>
                    <w:rPr>
                      <w:rFonts w:hint="eastAsia" w:ascii="Times New Roman" w:hAnsi="Times New Roman" w:eastAsia="宋体" w:cs="Times New Roman"/>
                      <w:bCs/>
                      <w:szCs w:val="21"/>
                      <w:lang w:bidi="ar"/>
                    </w:rPr>
                  </w:pPr>
                </w:p>
              </w:tc>
            </w:tr>
            <w:tr w14:paraId="41FDB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0578549F">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3D14E2D1">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0F0576EF">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4E19B2AC">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266D68A9">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0ABE0544">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4016CB56">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1E8C6369">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7FF617F3">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4E3A2A49">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西</w:t>
                  </w:r>
                </w:p>
              </w:tc>
              <w:tc>
                <w:tcPr>
                  <w:tcW w:w="137" w:type="pct"/>
                  <w:noWrap w:val="0"/>
                  <w:vAlign w:val="center"/>
                </w:tcPr>
                <w:p w14:paraId="31CAFB17">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30</w:t>
                  </w:r>
                </w:p>
              </w:tc>
              <w:tc>
                <w:tcPr>
                  <w:tcW w:w="340" w:type="pct"/>
                  <w:noWrap w:val="0"/>
                  <w:vAlign w:val="center"/>
                </w:tcPr>
                <w:p w14:paraId="3B6135E3">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56.6</w:t>
                  </w:r>
                </w:p>
              </w:tc>
              <w:tc>
                <w:tcPr>
                  <w:tcW w:w="187" w:type="pct"/>
                  <w:vMerge w:val="continue"/>
                  <w:noWrap w:val="0"/>
                  <w:vAlign w:val="center"/>
                </w:tcPr>
                <w:p w14:paraId="54DB4386">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65755AB1">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351F4E42">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30.6</w:t>
                  </w:r>
                </w:p>
              </w:tc>
              <w:tc>
                <w:tcPr>
                  <w:tcW w:w="272" w:type="pct"/>
                  <w:vMerge w:val="continue"/>
                  <w:noWrap w:val="0"/>
                  <w:vAlign w:val="center"/>
                </w:tcPr>
                <w:p w14:paraId="71884CDD">
                  <w:pPr>
                    <w:pStyle w:val="63"/>
                    <w:ind w:firstLine="0" w:firstLineChars="0"/>
                    <w:rPr>
                      <w:rFonts w:hint="eastAsia" w:ascii="Times New Roman" w:hAnsi="Times New Roman" w:eastAsia="宋体" w:cs="Times New Roman"/>
                      <w:bCs/>
                      <w:szCs w:val="21"/>
                      <w:lang w:bidi="ar"/>
                    </w:rPr>
                  </w:pPr>
                </w:p>
              </w:tc>
            </w:tr>
            <w:tr w14:paraId="2D353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0B737101">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7D3AE263">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204F2F7C">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75899424">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0D464012">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67BC897A">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2E26FC5D">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751E72A0">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4C07C868">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5353FC6A">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北</w:t>
                  </w:r>
                </w:p>
              </w:tc>
              <w:tc>
                <w:tcPr>
                  <w:tcW w:w="137" w:type="pct"/>
                  <w:noWrap w:val="0"/>
                  <w:vAlign w:val="center"/>
                </w:tcPr>
                <w:p w14:paraId="5031ED27">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33</w:t>
                  </w:r>
                </w:p>
              </w:tc>
              <w:tc>
                <w:tcPr>
                  <w:tcW w:w="340" w:type="pct"/>
                  <w:noWrap w:val="0"/>
                  <w:vAlign w:val="center"/>
                </w:tcPr>
                <w:p w14:paraId="733982CA">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56.3</w:t>
                  </w:r>
                </w:p>
              </w:tc>
              <w:tc>
                <w:tcPr>
                  <w:tcW w:w="187" w:type="pct"/>
                  <w:vMerge w:val="continue"/>
                  <w:noWrap w:val="0"/>
                  <w:vAlign w:val="center"/>
                </w:tcPr>
                <w:p w14:paraId="5C34AB56">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3451D97E">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01AF0379">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30.3</w:t>
                  </w:r>
                </w:p>
              </w:tc>
              <w:tc>
                <w:tcPr>
                  <w:tcW w:w="272" w:type="pct"/>
                  <w:vMerge w:val="continue"/>
                  <w:noWrap w:val="0"/>
                  <w:vAlign w:val="center"/>
                </w:tcPr>
                <w:p w14:paraId="5BB5B555">
                  <w:pPr>
                    <w:pStyle w:val="63"/>
                    <w:ind w:firstLine="0" w:firstLineChars="0"/>
                    <w:rPr>
                      <w:rFonts w:hint="eastAsia" w:ascii="Times New Roman" w:hAnsi="Times New Roman" w:eastAsia="宋体" w:cs="Times New Roman"/>
                      <w:bCs/>
                      <w:szCs w:val="21"/>
                      <w:lang w:bidi="ar"/>
                    </w:rPr>
                  </w:pPr>
                </w:p>
              </w:tc>
            </w:tr>
            <w:tr w14:paraId="77442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restart"/>
                  <w:noWrap w:val="0"/>
                  <w:vAlign w:val="center"/>
                </w:tcPr>
                <w:p w14:paraId="77F9CC89">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10</w:t>
                  </w:r>
                </w:p>
              </w:tc>
              <w:tc>
                <w:tcPr>
                  <w:tcW w:w="261" w:type="pct"/>
                  <w:vMerge w:val="continue"/>
                  <w:noWrap w:val="0"/>
                  <w:vAlign w:val="center"/>
                </w:tcPr>
                <w:p w14:paraId="719882A7">
                  <w:pPr>
                    <w:pStyle w:val="63"/>
                    <w:ind w:firstLine="0" w:firstLineChars="0"/>
                    <w:rPr>
                      <w:rFonts w:hint="eastAsia" w:ascii="Times New Roman" w:hAnsi="Times New Roman" w:eastAsia="宋体" w:cs="Times New Roman"/>
                      <w:bCs/>
                      <w:szCs w:val="21"/>
                      <w:lang w:bidi="ar"/>
                    </w:rPr>
                  </w:pPr>
                </w:p>
              </w:tc>
              <w:tc>
                <w:tcPr>
                  <w:tcW w:w="393" w:type="pct"/>
                  <w:vMerge w:val="restart"/>
                  <w:shd w:val="clear" w:color="auto" w:fill="auto"/>
                  <w:noWrap w:val="0"/>
                  <w:vAlign w:val="center"/>
                </w:tcPr>
                <w:p w14:paraId="14622424">
                  <w:pPr>
                    <w:pStyle w:val="63"/>
                    <w:ind w:firstLine="0" w:firstLineChars="0"/>
                    <w:rPr>
                      <w:rFonts w:hint="eastAsia" w:ascii="Times New Roman" w:hAnsi="Times New Roman" w:eastAsia="宋体" w:cs="Times New Roman"/>
                      <w:bCs/>
                      <w:kern w:val="2"/>
                      <w:sz w:val="21"/>
                      <w:szCs w:val="21"/>
                      <w:lang w:val="en-US" w:eastAsia="zh-CN" w:bidi="ar"/>
                    </w:rPr>
                  </w:pPr>
                  <w:r>
                    <w:rPr>
                      <w:rFonts w:hint="eastAsia"/>
                      <w:bCs/>
                      <w:szCs w:val="21"/>
                      <w:lang w:bidi="ar"/>
                    </w:rPr>
                    <w:t>草坪簇绒机</w:t>
                  </w:r>
                  <w:r>
                    <w:rPr>
                      <w:rFonts w:hint="eastAsia"/>
                      <w:bCs/>
                      <w:szCs w:val="21"/>
                      <w:lang w:val="en-US" w:eastAsia="zh-CN" w:bidi="ar"/>
                    </w:rPr>
                    <w:t>4</w:t>
                  </w:r>
                </w:p>
                <w:p w14:paraId="0009C269">
                  <w:pPr>
                    <w:pStyle w:val="63"/>
                    <w:ind w:firstLine="0" w:firstLineChars="0"/>
                    <w:rPr>
                      <w:rFonts w:hint="eastAsia" w:ascii="Times New Roman" w:hAnsi="Times New Roman" w:eastAsia="宋体" w:cs="Times New Roman"/>
                      <w:bCs/>
                      <w:szCs w:val="21"/>
                      <w:lang w:val="en-US" w:eastAsia="zh-CN" w:bidi="ar"/>
                    </w:rPr>
                  </w:pPr>
                </w:p>
              </w:tc>
              <w:tc>
                <w:tcPr>
                  <w:tcW w:w="1177" w:type="pct"/>
                  <w:vMerge w:val="restart"/>
                  <w:noWrap w:val="0"/>
                  <w:vAlign w:val="center"/>
                </w:tcPr>
                <w:p w14:paraId="014FE461">
                  <w:pPr>
                    <w:pStyle w:val="63"/>
                    <w:ind w:firstLine="0" w:firstLineChars="0"/>
                    <w:rPr>
                      <w:rFonts w:hint="eastAsia" w:ascii="Times New Roman" w:hAnsi="Times New Roman" w:eastAsia="宋体" w:cs="Times New Roman"/>
                      <w:bCs/>
                      <w:szCs w:val="21"/>
                      <w:lang w:val="en-US" w:eastAsia="zh-CN" w:bidi="ar"/>
                    </w:rPr>
                  </w:pPr>
                  <w:r>
                    <w:rPr>
                      <w:rFonts w:hint="eastAsia"/>
                      <w:bCs/>
                      <w:szCs w:val="21"/>
                      <w:lang w:bidi="ar"/>
                    </w:rPr>
                    <w:t>CCR-G00C-YB</w:t>
                  </w:r>
                </w:p>
              </w:tc>
              <w:tc>
                <w:tcPr>
                  <w:tcW w:w="424" w:type="pct"/>
                  <w:vMerge w:val="restart"/>
                  <w:noWrap w:val="0"/>
                  <w:vAlign w:val="center"/>
                </w:tcPr>
                <w:p w14:paraId="5777338D">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80</w:t>
                  </w:r>
                </w:p>
              </w:tc>
              <w:tc>
                <w:tcPr>
                  <w:tcW w:w="252" w:type="pct"/>
                  <w:vMerge w:val="continue"/>
                  <w:noWrap w:val="0"/>
                  <w:vAlign w:val="center"/>
                </w:tcPr>
                <w:p w14:paraId="402351DE">
                  <w:pPr>
                    <w:pStyle w:val="63"/>
                    <w:ind w:firstLine="0" w:firstLineChars="0"/>
                    <w:rPr>
                      <w:rFonts w:hint="eastAsia" w:ascii="Times New Roman" w:hAnsi="Times New Roman" w:eastAsia="宋体" w:cs="Times New Roman"/>
                      <w:bCs/>
                      <w:szCs w:val="21"/>
                      <w:lang w:bidi="ar"/>
                    </w:rPr>
                  </w:pPr>
                </w:p>
              </w:tc>
              <w:tc>
                <w:tcPr>
                  <w:tcW w:w="162" w:type="pct"/>
                  <w:vMerge w:val="restart"/>
                  <w:noWrap w:val="0"/>
                  <w:vAlign w:val="center"/>
                </w:tcPr>
                <w:p w14:paraId="11DD815E">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w:t>
                  </w:r>
                </w:p>
              </w:tc>
              <w:tc>
                <w:tcPr>
                  <w:tcW w:w="162" w:type="pct"/>
                  <w:vMerge w:val="restart"/>
                  <w:noWrap w:val="0"/>
                  <w:vAlign w:val="center"/>
                </w:tcPr>
                <w:p w14:paraId="3CF638F2">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w:t>
                  </w:r>
                </w:p>
              </w:tc>
              <w:tc>
                <w:tcPr>
                  <w:tcW w:w="114" w:type="pct"/>
                  <w:vMerge w:val="restart"/>
                  <w:noWrap w:val="0"/>
                  <w:vAlign w:val="center"/>
                </w:tcPr>
                <w:p w14:paraId="6074C06F">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w:t>
                  </w:r>
                </w:p>
              </w:tc>
              <w:tc>
                <w:tcPr>
                  <w:tcW w:w="123" w:type="pct"/>
                  <w:noWrap w:val="0"/>
                  <w:vAlign w:val="center"/>
                </w:tcPr>
                <w:p w14:paraId="2E34AB9D">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东</w:t>
                  </w:r>
                </w:p>
              </w:tc>
              <w:tc>
                <w:tcPr>
                  <w:tcW w:w="137" w:type="pct"/>
                  <w:shd w:val="clear" w:color="auto" w:fill="auto"/>
                  <w:noWrap w:val="0"/>
                  <w:vAlign w:val="center"/>
                </w:tcPr>
                <w:p w14:paraId="7C63C28C">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10</w:t>
                  </w:r>
                </w:p>
              </w:tc>
              <w:tc>
                <w:tcPr>
                  <w:tcW w:w="340" w:type="pct"/>
                  <w:shd w:val="clear" w:color="auto" w:fill="auto"/>
                  <w:noWrap w:val="0"/>
                  <w:vAlign w:val="center"/>
                </w:tcPr>
                <w:p w14:paraId="15FBAD5F">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58.5</w:t>
                  </w:r>
                </w:p>
              </w:tc>
              <w:tc>
                <w:tcPr>
                  <w:tcW w:w="187" w:type="pct"/>
                  <w:vMerge w:val="continue"/>
                  <w:noWrap w:val="0"/>
                  <w:vAlign w:val="center"/>
                </w:tcPr>
                <w:p w14:paraId="685A1521">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69D9EC04">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72E993D0">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32.5</w:t>
                  </w:r>
                </w:p>
              </w:tc>
              <w:tc>
                <w:tcPr>
                  <w:tcW w:w="272" w:type="pct"/>
                  <w:vMerge w:val="restart"/>
                  <w:noWrap w:val="0"/>
                  <w:vAlign w:val="center"/>
                </w:tcPr>
                <w:p w14:paraId="15BA24AD">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1</w:t>
                  </w:r>
                </w:p>
              </w:tc>
            </w:tr>
            <w:tr w14:paraId="40505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7D3C8E29">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39523724">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47AB3A5C">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0C8D6900">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54CAE261">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465B3131">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01651D3E">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3F52A00C">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1C37132A">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26FA6D75">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南</w:t>
                  </w:r>
                </w:p>
              </w:tc>
              <w:tc>
                <w:tcPr>
                  <w:tcW w:w="137" w:type="pct"/>
                  <w:shd w:val="clear" w:color="auto" w:fill="auto"/>
                  <w:noWrap w:val="0"/>
                  <w:vAlign w:val="center"/>
                </w:tcPr>
                <w:p w14:paraId="122E102A">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18</w:t>
                  </w:r>
                </w:p>
              </w:tc>
              <w:tc>
                <w:tcPr>
                  <w:tcW w:w="340" w:type="pct"/>
                  <w:shd w:val="clear" w:color="auto" w:fill="auto"/>
                  <w:noWrap w:val="0"/>
                  <w:vAlign w:val="center"/>
                </w:tcPr>
                <w:p w14:paraId="32125C2B">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59.3</w:t>
                  </w:r>
                </w:p>
              </w:tc>
              <w:tc>
                <w:tcPr>
                  <w:tcW w:w="187" w:type="pct"/>
                  <w:vMerge w:val="continue"/>
                  <w:noWrap w:val="0"/>
                  <w:vAlign w:val="center"/>
                </w:tcPr>
                <w:p w14:paraId="238F3362">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37E35483">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7172840B">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33.3</w:t>
                  </w:r>
                </w:p>
              </w:tc>
              <w:tc>
                <w:tcPr>
                  <w:tcW w:w="272" w:type="pct"/>
                  <w:vMerge w:val="continue"/>
                  <w:noWrap w:val="0"/>
                  <w:vAlign w:val="center"/>
                </w:tcPr>
                <w:p w14:paraId="536CD849">
                  <w:pPr>
                    <w:pStyle w:val="63"/>
                    <w:ind w:firstLine="0" w:firstLineChars="0"/>
                    <w:rPr>
                      <w:rFonts w:hint="eastAsia" w:ascii="Times New Roman" w:hAnsi="Times New Roman" w:eastAsia="宋体" w:cs="Times New Roman"/>
                      <w:bCs/>
                      <w:szCs w:val="21"/>
                      <w:lang w:bidi="ar"/>
                    </w:rPr>
                  </w:pPr>
                </w:p>
              </w:tc>
            </w:tr>
            <w:tr w14:paraId="5E77D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3B52D59E">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1215B4F7">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286FE80F">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18CCEE84">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11A6314F">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7B250384">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524B1001">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2ACA4E38">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6CD478AA">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1B5FCCBE">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西</w:t>
                  </w:r>
                </w:p>
              </w:tc>
              <w:tc>
                <w:tcPr>
                  <w:tcW w:w="137" w:type="pct"/>
                  <w:shd w:val="clear" w:color="auto" w:fill="auto"/>
                  <w:noWrap w:val="0"/>
                  <w:vAlign w:val="center"/>
                </w:tcPr>
                <w:p w14:paraId="55578ACF">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57</w:t>
                  </w:r>
                </w:p>
              </w:tc>
              <w:tc>
                <w:tcPr>
                  <w:tcW w:w="340" w:type="pct"/>
                  <w:shd w:val="clear" w:color="auto" w:fill="auto"/>
                  <w:noWrap w:val="0"/>
                  <w:vAlign w:val="center"/>
                </w:tcPr>
                <w:p w14:paraId="5AB5AC63">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49.8</w:t>
                  </w:r>
                </w:p>
              </w:tc>
              <w:tc>
                <w:tcPr>
                  <w:tcW w:w="187" w:type="pct"/>
                  <w:vMerge w:val="continue"/>
                  <w:noWrap w:val="0"/>
                  <w:vAlign w:val="center"/>
                </w:tcPr>
                <w:p w14:paraId="11A8419F">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60C7B8AC">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54117142">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23.8</w:t>
                  </w:r>
                </w:p>
              </w:tc>
              <w:tc>
                <w:tcPr>
                  <w:tcW w:w="272" w:type="pct"/>
                  <w:vMerge w:val="continue"/>
                  <w:noWrap w:val="0"/>
                  <w:vAlign w:val="center"/>
                </w:tcPr>
                <w:p w14:paraId="0FFFBF97">
                  <w:pPr>
                    <w:pStyle w:val="63"/>
                    <w:ind w:firstLine="0" w:firstLineChars="0"/>
                    <w:rPr>
                      <w:rFonts w:hint="eastAsia" w:ascii="Times New Roman" w:hAnsi="Times New Roman" w:eastAsia="宋体" w:cs="Times New Roman"/>
                      <w:bCs/>
                      <w:szCs w:val="21"/>
                      <w:lang w:bidi="ar"/>
                    </w:rPr>
                  </w:pPr>
                </w:p>
              </w:tc>
            </w:tr>
            <w:tr w14:paraId="4F010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0EBC9B5F">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77107CFA">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32B103A3">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34D4B37E">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7046A32C">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1638E156">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517E5005">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73057203">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092D96C2">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1B03A2A4">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北</w:t>
                  </w:r>
                </w:p>
              </w:tc>
              <w:tc>
                <w:tcPr>
                  <w:tcW w:w="137" w:type="pct"/>
                  <w:shd w:val="clear" w:color="auto" w:fill="auto"/>
                  <w:noWrap w:val="0"/>
                  <w:vAlign w:val="center"/>
                </w:tcPr>
                <w:p w14:paraId="29C773C4">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25</w:t>
                  </w:r>
                </w:p>
              </w:tc>
              <w:tc>
                <w:tcPr>
                  <w:tcW w:w="340" w:type="pct"/>
                  <w:shd w:val="clear" w:color="auto" w:fill="auto"/>
                  <w:noWrap w:val="0"/>
                  <w:vAlign w:val="center"/>
                </w:tcPr>
                <w:p w14:paraId="002C88CC">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57.5</w:t>
                  </w:r>
                </w:p>
              </w:tc>
              <w:tc>
                <w:tcPr>
                  <w:tcW w:w="187" w:type="pct"/>
                  <w:vMerge w:val="continue"/>
                  <w:noWrap w:val="0"/>
                  <w:vAlign w:val="center"/>
                </w:tcPr>
                <w:p w14:paraId="7CE6982F">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1C9BB53C">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62857851">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31.5</w:t>
                  </w:r>
                </w:p>
              </w:tc>
              <w:tc>
                <w:tcPr>
                  <w:tcW w:w="272" w:type="pct"/>
                  <w:vMerge w:val="continue"/>
                  <w:noWrap w:val="0"/>
                  <w:vAlign w:val="center"/>
                </w:tcPr>
                <w:p w14:paraId="5DA691D3">
                  <w:pPr>
                    <w:pStyle w:val="63"/>
                    <w:ind w:firstLine="0" w:firstLineChars="0"/>
                    <w:rPr>
                      <w:rFonts w:hint="eastAsia" w:ascii="Times New Roman" w:hAnsi="Times New Roman" w:eastAsia="宋体" w:cs="Times New Roman"/>
                      <w:bCs/>
                      <w:szCs w:val="21"/>
                      <w:lang w:bidi="ar"/>
                    </w:rPr>
                  </w:pPr>
                </w:p>
              </w:tc>
            </w:tr>
            <w:tr w14:paraId="11AE0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restart"/>
                  <w:noWrap w:val="0"/>
                  <w:vAlign w:val="center"/>
                </w:tcPr>
                <w:p w14:paraId="14464521">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11</w:t>
                  </w:r>
                </w:p>
              </w:tc>
              <w:tc>
                <w:tcPr>
                  <w:tcW w:w="261" w:type="pct"/>
                  <w:vMerge w:val="continue"/>
                  <w:noWrap w:val="0"/>
                  <w:vAlign w:val="center"/>
                </w:tcPr>
                <w:p w14:paraId="72EE92A7">
                  <w:pPr>
                    <w:pStyle w:val="63"/>
                    <w:ind w:firstLine="0" w:firstLineChars="0"/>
                    <w:rPr>
                      <w:rFonts w:hint="eastAsia" w:ascii="Times New Roman" w:hAnsi="Times New Roman" w:eastAsia="宋体" w:cs="Times New Roman"/>
                      <w:bCs/>
                      <w:szCs w:val="21"/>
                      <w:lang w:bidi="ar"/>
                    </w:rPr>
                  </w:pPr>
                </w:p>
              </w:tc>
              <w:tc>
                <w:tcPr>
                  <w:tcW w:w="393" w:type="pct"/>
                  <w:vMerge w:val="restart"/>
                  <w:shd w:val="clear" w:color="auto" w:fill="auto"/>
                  <w:noWrap w:val="0"/>
                  <w:vAlign w:val="center"/>
                </w:tcPr>
                <w:p w14:paraId="6E012DB1">
                  <w:pPr>
                    <w:pStyle w:val="63"/>
                    <w:ind w:firstLine="0" w:firstLineChars="0"/>
                    <w:rPr>
                      <w:rFonts w:hint="eastAsia" w:ascii="Times New Roman" w:hAnsi="Times New Roman" w:eastAsia="宋体" w:cs="Times New Roman"/>
                      <w:bCs/>
                      <w:kern w:val="2"/>
                      <w:sz w:val="21"/>
                      <w:szCs w:val="21"/>
                      <w:lang w:val="en-US" w:eastAsia="zh-CN" w:bidi="ar"/>
                    </w:rPr>
                  </w:pPr>
                  <w:r>
                    <w:rPr>
                      <w:rFonts w:hint="eastAsia"/>
                      <w:bCs/>
                      <w:szCs w:val="21"/>
                      <w:lang w:bidi="ar"/>
                    </w:rPr>
                    <w:t>草坪簇绒机</w:t>
                  </w:r>
                  <w:r>
                    <w:rPr>
                      <w:rFonts w:hint="eastAsia"/>
                      <w:bCs/>
                      <w:szCs w:val="21"/>
                      <w:lang w:val="en-US" w:eastAsia="zh-CN" w:bidi="ar"/>
                    </w:rPr>
                    <w:t>5</w:t>
                  </w:r>
                </w:p>
                <w:p w14:paraId="20079747">
                  <w:pPr>
                    <w:pStyle w:val="63"/>
                    <w:ind w:firstLine="0" w:firstLineChars="0"/>
                    <w:rPr>
                      <w:rFonts w:hint="eastAsia" w:ascii="Times New Roman" w:hAnsi="Times New Roman" w:eastAsia="宋体" w:cs="Times New Roman"/>
                      <w:bCs/>
                      <w:szCs w:val="21"/>
                      <w:lang w:val="en-US" w:eastAsia="zh-CN" w:bidi="ar"/>
                    </w:rPr>
                  </w:pPr>
                </w:p>
              </w:tc>
              <w:tc>
                <w:tcPr>
                  <w:tcW w:w="1177" w:type="pct"/>
                  <w:vMerge w:val="restart"/>
                  <w:noWrap w:val="0"/>
                  <w:vAlign w:val="center"/>
                </w:tcPr>
                <w:p w14:paraId="1FEA022C">
                  <w:pPr>
                    <w:pStyle w:val="63"/>
                    <w:ind w:firstLine="0" w:firstLineChars="0"/>
                    <w:rPr>
                      <w:rFonts w:hint="default" w:ascii="Times New Roman" w:hAnsi="Times New Roman" w:eastAsia="宋体" w:cs="Times New Roman"/>
                      <w:bCs/>
                      <w:szCs w:val="21"/>
                      <w:lang w:val="en-US" w:eastAsia="zh-CN" w:bidi="ar"/>
                    </w:rPr>
                  </w:pPr>
                  <w:r>
                    <w:rPr>
                      <w:rFonts w:hint="eastAsia"/>
                      <w:bCs/>
                      <w:szCs w:val="21"/>
                      <w:lang w:bidi="ar"/>
                    </w:rPr>
                    <w:t>CCR-G00C-YB</w:t>
                  </w:r>
                </w:p>
              </w:tc>
              <w:tc>
                <w:tcPr>
                  <w:tcW w:w="424" w:type="pct"/>
                  <w:vMerge w:val="restart"/>
                  <w:noWrap w:val="0"/>
                  <w:vAlign w:val="center"/>
                </w:tcPr>
                <w:p w14:paraId="155B48F6">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80</w:t>
                  </w:r>
                </w:p>
              </w:tc>
              <w:tc>
                <w:tcPr>
                  <w:tcW w:w="252" w:type="pct"/>
                  <w:vMerge w:val="continue"/>
                  <w:noWrap w:val="0"/>
                  <w:vAlign w:val="center"/>
                </w:tcPr>
                <w:p w14:paraId="44D59C89">
                  <w:pPr>
                    <w:pStyle w:val="63"/>
                    <w:ind w:firstLine="0" w:firstLineChars="0"/>
                    <w:rPr>
                      <w:rFonts w:hint="eastAsia" w:ascii="Times New Roman" w:hAnsi="Times New Roman" w:eastAsia="宋体" w:cs="Times New Roman"/>
                      <w:bCs/>
                      <w:szCs w:val="21"/>
                      <w:lang w:bidi="ar"/>
                    </w:rPr>
                  </w:pPr>
                </w:p>
              </w:tc>
              <w:tc>
                <w:tcPr>
                  <w:tcW w:w="162" w:type="pct"/>
                  <w:vMerge w:val="restart"/>
                  <w:noWrap w:val="0"/>
                  <w:vAlign w:val="center"/>
                </w:tcPr>
                <w:p w14:paraId="5C096862">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w:t>
                  </w:r>
                </w:p>
              </w:tc>
              <w:tc>
                <w:tcPr>
                  <w:tcW w:w="162" w:type="pct"/>
                  <w:vMerge w:val="restart"/>
                  <w:noWrap w:val="0"/>
                  <w:vAlign w:val="center"/>
                </w:tcPr>
                <w:p w14:paraId="4ED56C06">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w:t>
                  </w:r>
                </w:p>
              </w:tc>
              <w:tc>
                <w:tcPr>
                  <w:tcW w:w="114" w:type="pct"/>
                  <w:vMerge w:val="restart"/>
                  <w:noWrap w:val="0"/>
                  <w:vAlign w:val="center"/>
                </w:tcPr>
                <w:p w14:paraId="610595F8">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w:t>
                  </w:r>
                </w:p>
              </w:tc>
              <w:tc>
                <w:tcPr>
                  <w:tcW w:w="123" w:type="pct"/>
                  <w:noWrap w:val="0"/>
                  <w:vAlign w:val="center"/>
                </w:tcPr>
                <w:p w14:paraId="57DF07F4">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东</w:t>
                  </w:r>
                </w:p>
              </w:tc>
              <w:tc>
                <w:tcPr>
                  <w:tcW w:w="137" w:type="pct"/>
                  <w:shd w:val="clear" w:color="auto" w:fill="auto"/>
                  <w:noWrap w:val="0"/>
                  <w:vAlign w:val="center"/>
                </w:tcPr>
                <w:p w14:paraId="72B6D338">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30</w:t>
                  </w:r>
                </w:p>
              </w:tc>
              <w:tc>
                <w:tcPr>
                  <w:tcW w:w="340" w:type="pct"/>
                  <w:shd w:val="clear" w:color="auto" w:fill="auto"/>
                  <w:noWrap w:val="0"/>
                  <w:vAlign w:val="center"/>
                </w:tcPr>
                <w:p w14:paraId="60517C75">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56.6</w:t>
                  </w:r>
                </w:p>
              </w:tc>
              <w:tc>
                <w:tcPr>
                  <w:tcW w:w="187" w:type="pct"/>
                  <w:vMerge w:val="continue"/>
                  <w:noWrap w:val="0"/>
                  <w:vAlign w:val="center"/>
                </w:tcPr>
                <w:p w14:paraId="269212E4">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3A7C481A">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2ED198E9">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30.6</w:t>
                  </w:r>
                </w:p>
              </w:tc>
              <w:tc>
                <w:tcPr>
                  <w:tcW w:w="272" w:type="pct"/>
                  <w:vMerge w:val="restart"/>
                  <w:noWrap w:val="0"/>
                  <w:vAlign w:val="center"/>
                </w:tcPr>
                <w:p w14:paraId="7697E12A">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w:t>
                  </w:r>
                </w:p>
              </w:tc>
            </w:tr>
            <w:tr w14:paraId="55ED7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7D47126F">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0FE00EAC">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2C07C644">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6CD61A14">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2EFBEC09">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0C09B5E0">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73B34463">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082240FE">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202A5829">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0C3F891D">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南</w:t>
                  </w:r>
                </w:p>
              </w:tc>
              <w:tc>
                <w:tcPr>
                  <w:tcW w:w="137" w:type="pct"/>
                  <w:shd w:val="clear" w:color="auto" w:fill="auto"/>
                  <w:noWrap w:val="0"/>
                  <w:vAlign w:val="center"/>
                </w:tcPr>
                <w:p w14:paraId="3BD37C78">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18</w:t>
                  </w:r>
                </w:p>
              </w:tc>
              <w:tc>
                <w:tcPr>
                  <w:tcW w:w="340" w:type="pct"/>
                  <w:shd w:val="clear" w:color="auto" w:fill="auto"/>
                  <w:noWrap w:val="0"/>
                  <w:vAlign w:val="center"/>
                </w:tcPr>
                <w:p w14:paraId="530C8685">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59.3</w:t>
                  </w:r>
                </w:p>
              </w:tc>
              <w:tc>
                <w:tcPr>
                  <w:tcW w:w="187" w:type="pct"/>
                  <w:vMerge w:val="continue"/>
                  <w:noWrap w:val="0"/>
                  <w:vAlign w:val="center"/>
                </w:tcPr>
                <w:p w14:paraId="4DB8C6A3">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1A69A532">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6514D035">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33.3</w:t>
                  </w:r>
                </w:p>
              </w:tc>
              <w:tc>
                <w:tcPr>
                  <w:tcW w:w="272" w:type="pct"/>
                  <w:vMerge w:val="continue"/>
                  <w:noWrap w:val="0"/>
                  <w:vAlign w:val="center"/>
                </w:tcPr>
                <w:p w14:paraId="5F235A39">
                  <w:pPr>
                    <w:pStyle w:val="63"/>
                    <w:ind w:firstLine="0" w:firstLineChars="0"/>
                    <w:rPr>
                      <w:rFonts w:hint="eastAsia" w:ascii="Times New Roman" w:hAnsi="Times New Roman" w:eastAsia="宋体" w:cs="Times New Roman"/>
                      <w:bCs/>
                      <w:szCs w:val="21"/>
                      <w:lang w:bidi="ar"/>
                    </w:rPr>
                  </w:pPr>
                </w:p>
              </w:tc>
            </w:tr>
            <w:tr w14:paraId="629B2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018A9379">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654AB6D7">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5375433E">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23EB1624">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2FA161AB">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2ADF1684">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5AEFB391">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3E915B53">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061E78A2">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51AB7E4B">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西</w:t>
                  </w:r>
                </w:p>
              </w:tc>
              <w:tc>
                <w:tcPr>
                  <w:tcW w:w="137" w:type="pct"/>
                  <w:shd w:val="clear" w:color="auto" w:fill="auto"/>
                  <w:noWrap w:val="0"/>
                  <w:vAlign w:val="center"/>
                </w:tcPr>
                <w:p w14:paraId="7677F951">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30</w:t>
                  </w:r>
                </w:p>
              </w:tc>
              <w:tc>
                <w:tcPr>
                  <w:tcW w:w="340" w:type="pct"/>
                  <w:shd w:val="clear" w:color="auto" w:fill="auto"/>
                  <w:noWrap w:val="0"/>
                  <w:vAlign w:val="center"/>
                </w:tcPr>
                <w:p w14:paraId="29C05A77">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56.6</w:t>
                  </w:r>
                </w:p>
              </w:tc>
              <w:tc>
                <w:tcPr>
                  <w:tcW w:w="187" w:type="pct"/>
                  <w:vMerge w:val="continue"/>
                  <w:noWrap w:val="0"/>
                  <w:vAlign w:val="center"/>
                </w:tcPr>
                <w:p w14:paraId="72F299B1">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5ECA8075">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3267E14E">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30.6</w:t>
                  </w:r>
                </w:p>
              </w:tc>
              <w:tc>
                <w:tcPr>
                  <w:tcW w:w="272" w:type="pct"/>
                  <w:vMerge w:val="continue"/>
                  <w:noWrap w:val="0"/>
                  <w:vAlign w:val="center"/>
                </w:tcPr>
                <w:p w14:paraId="20E25E03">
                  <w:pPr>
                    <w:pStyle w:val="63"/>
                    <w:ind w:firstLine="0" w:firstLineChars="0"/>
                    <w:rPr>
                      <w:rFonts w:hint="eastAsia" w:ascii="Times New Roman" w:hAnsi="Times New Roman" w:eastAsia="宋体" w:cs="Times New Roman"/>
                      <w:bCs/>
                      <w:szCs w:val="21"/>
                      <w:lang w:bidi="ar"/>
                    </w:rPr>
                  </w:pPr>
                </w:p>
              </w:tc>
            </w:tr>
            <w:tr w14:paraId="7ED69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1E2EE5C3">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0270234D">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4D97EEED">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25C0F804">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75349681">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05E157B7">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2DCE8156">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215528A4">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2781DAA1">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342D867D">
                  <w:pPr>
                    <w:pStyle w:val="63"/>
                    <w:ind w:firstLine="0" w:firstLineChars="0"/>
                    <w:rPr>
                      <w:rFonts w:hint="eastAsia" w:ascii="Times New Roman" w:hAnsi="Times New Roman" w:eastAsia="宋体" w:cs="Times New Roman"/>
                      <w:bCs/>
                      <w:szCs w:val="21"/>
                      <w:lang w:bidi="ar"/>
                    </w:rPr>
                  </w:pPr>
                  <w:r>
                    <w:rPr>
                      <w:rFonts w:hint="eastAsia" w:ascii="Times New Roman" w:hAnsi="Times New Roman" w:eastAsia="宋体" w:cs="Times New Roman"/>
                      <w:bCs/>
                      <w:szCs w:val="21"/>
                      <w:lang w:bidi="ar"/>
                    </w:rPr>
                    <w:t>北</w:t>
                  </w:r>
                </w:p>
              </w:tc>
              <w:tc>
                <w:tcPr>
                  <w:tcW w:w="137" w:type="pct"/>
                  <w:shd w:val="clear" w:color="auto" w:fill="auto"/>
                  <w:noWrap w:val="0"/>
                  <w:vAlign w:val="center"/>
                </w:tcPr>
                <w:p w14:paraId="17CD9EEC">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25</w:t>
                  </w:r>
                </w:p>
              </w:tc>
              <w:tc>
                <w:tcPr>
                  <w:tcW w:w="340" w:type="pct"/>
                  <w:shd w:val="clear" w:color="auto" w:fill="auto"/>
                  <w:noWrap w:val="0"/>
                  <w:vAlign w:val="center"/>
                </w:tcPr>
                <w:p w14:paraId="6980D1ED">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57.5</w:t>
                  </w:r>
                </w:p>
              </w:tc>
              <w:tc>
                <w:tcPr>
                  <w:tcW w:w="187" w:type="pct"/>
                  <w:vMerge w:val="continue"/>
                  <w:noWrap w:val="0"/>
                  <w:vAlign w:val="center"/>
                </w:tcPr>
                <w:p w14:paraId="5D5F6A30">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4F877433">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504688F8">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31.5</w:t>
                  </w:r>
                </w:p>
              </w:tc>
              <w:tc>
                <w:tcPr>
                  <w:tcW w:w="272" w:type="pct"/>
                  <w:vMerge w:val="continue"/>
                  <w:noWrap w:val="0"/>
                  <w:vAlign w:val="center"/>
                </w:tcPr>
                <w:p w14:paraId="17D58060">
                  <w:pPr>
                    <w:pStyle w:val="63"/>
                    <w:ind w:firstLine="0" w:firstLineChars="0"/>
                    <w:rPr>
                      <w:rFonts w:hint="eastAsia" w:ascii="Times New Roman" w:hAnsi="Times New Roman" w:eastAsia="宋体" w:cs="Times New Roman"/>
                      <w:bCs/>
                      <w:szCs w:val="21"/>
                      <w:lang w:bidi="ar"/>
                    </w:rPr>
                  </w:pPr>
                </w:p>
              </w:tc>
            </w:tr>
            <w:tr w14:paraId="70007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restart"/>
                  <w:noWrap w:val="0"/>
                  <w:vAlign w:val="center"/>
                </w:tcPr>
                <w:p w14:paraId="3CB98034">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12</w:t>
                  </w:r>
                </w:p>
              </w:tc>
              <w:tc>
                <w:tcPr>
                  <w:tcW w:w="261" w:type="pct"/>
                  <w:vMerge w:val="continue"/>
                  <w:noWrap w:val="0"/>
                  <w:vAlign w:val="center"/>
                </w:tcPr>
                <w:p w14:paraId="00A4E712">
                  <w:pPr>
                    <w:pStyle w:val="63"/>
                    <w:ind w:firstLine="0" w:firstLineChars="0"/>
                    <w:rPr>
                      <w:rFonts w:hint="eastAsia" w:ascii="Times New Roman" w:hAnsi="Times New Roman" w:eastAsia="宋体" w:cs="Times New Roman"/>
                      <w:bCs/>
                      <w:szCs w:val="21"/>
                      <w:lang w:bidi="ar"/>
                    </w:rPr>
                  </w:pPr>
                </w:p>
              </w:tc>
              <w:tc>
                <w:tcPr>
                  <w:tcW w:w="393" w:type="pct"/>
                  <w:vMerge w:val="restart"/>
                  <w:shd w:val="clear" w:color="auto" w:fill="auto"/>
                  <w:noWrap w:val="0"/>
                  <w:vAlign w:val="center"/>
                </w:tcPr>
                <w:p w14:paraId="150CA936">
                  <w:pPr>
                    <w:pStyle w:val="63"/>
                    <w:ind w:firstLine="0" w:firstLineChars="0"/>
                    <w:rPr>
                      <w:rFonts w:hint="eastAsia" w:ascii="Times New Roman" w:hAnsi="Times New Roman" w:eastAsia="宋体" w:cs="Times New Roman"/>
                      <w:bCs/>
                      <w:kern w:val="2"/>
                      <w:sz w:val="21"/>
                      <w:szCs w:val="21"/>
                      <w:lang w:val="en-US" w:eastAsia="zh-CN" w:bidi="ar"/>
                    </w:rPr>
                  </w:pPr>
                  <w:r>
                    <w:rPr>
                      <w:rFonts w:hint="eastAsia"/>
                      <w:bCs/>
                      <w:szCs w:val="21"/>
                      <w:lang w:bidi="ar"/>
                    </w:rPr>
                    <w:t>草坪簇绒机</w:t>
                  </w:r>
                  <w:r>
                    <w:rPr>
                      <w:rFonts w:hint="eastAsia"/>
                      <w:bCs/>
                      <w:szCs w:val="21"/>
                      <w:lang w:val="en-US" w:eastAsia="zh-CN" w:bidi="ar"/>
                    </w:rPr>
                    <w:t>6</w:t>
                  </w:r>
                </w:p>
                <w:p w14:paraId="3CDA969C">
                  <w:pPr>
                    <w:pStyle w:val="63"/>
                    <w:ind w:firstLine="0" w:firstLineChars="0"/>
                    <w:rPr>
                      <w:rFonts w:hint="eastAsia" w:ascii="Times New Roman" w:hAnsi="Times New Roman" w:eastAsia="宋体" w:cs="Times New Roman"/>
                      <w:bCs/>
                      <w:szCs w:val="21"/>
                      <w:lang w:val="en-US" w:eastAsia="zh-CN" w:bidi="ar"/>
                    </w:rPr>
                  </w:pPr>
                </w:p>
              </w:tc>
              <w:tc>
                <w:tcPr>
                  <w:tcW w:w="1177" w:type="pct"/>
                  <w:vMerge w:val="restart"/>
                  <w:noWrap w:val="0"/>
                  <w:vAlign w:val="center"/>
                </w:tcPr>
                <w:p w14:paraId="36E906E1">
                  <w:pPr>
                    <w:pStyle w:val="63"/>
                    <w:ind w:firstLine="0" w:firstLineChars="0"/>
                    <w:rPr>
                      <w:rFonts w:hint="eastAsia" w:ascii="Times New Roman" w:hAnsi="Times New Roman" w:eastAsia="宋体" w:cs="Times New Roman"/>
                      <w:bCs/>
                      <w:szCs w:val="21"/>
                      <w:lang w:val="en-US" w:eastAsia="zh-CN" w:bidi="ar"/>
                    </w:rPr>
                  </w:pPr>
                  <w:r>
                    <w:rPr>
                      <w:rFonts w:hint="eastAsia"/>
                      <w:bCs/>
                      <w:szCs w:val="21"/>
                      <w:lang w:bidi="ar"/>
                    </w:rPr>
                    <w:t>CCR-G00C-YB</w:t>
                  </w:r>
                </w:p>
              </w:tc>
              <w:tc>
                <w:tcPr>
                  <w:tcW w:w="424" w:type="pct"/>
                  <w:vMerge w:val="restart"/>
                  <w:noWrap w:val="0"/>
                  <w:vAlign w:val="center"/>
                </w:tcPr>
                <w:p w14:paraId="0F2224C3">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85</w:t>
                  </w:r>
                </w:p>
              </w:tc>
              <w:tc>
                <w:tcPr>
                  <w:tcW w:w="252" w:type="pct"/>
                  <w:vMerge w:val="continue"/>
                  <w:noWrap w:val="0"/>
                  <w:vAlign w:val="center"/>
                </w:tcPr>
                <w:p w14:paraId="7D8C66D1">
                  <w:pPr>
                    <w:pStyle w:val="63"/>
                    <w:ind w:firstLine="0" w:firstLineChars="0"/>
                    <w:rPr>
                      <w:rFonts w:hint="eastAsia" w:ascii="Times New Roman" w:hAnsi="Times New Roman" w:eastAsia="宋体" w:cs="Times New Roman"/>
                      <w:bCs/>
                      <w:szCs w:val="21"/>
                      <w:lang w:val="en-US" w:eastAsia="zh-CN" w:bidi="ar"/>
                    </w:rPr>
                  </w:pPr>
                </w:p>
              </w:tc>
              <w:tc>
                <w:tcPr>
                  <w:tcW w:w="162" w:type="pct"/>
                  <w:vMerge w:val="restart"/>
                  <w:noWrap w:val="0"/>
                  <w:vAlign w:val="center"/>
                </w:tcPr>
                <w:p w14:paraId="4881EC66">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w:t>
                  </w:r>
                </w:p>
              </w:tc>
              <w:tc>
                <w:tcPr>
                  <w:tcW w:w="162" w:type="pct"/>
                  <w:vMerge w:val="restart"/>
                  <w:noWrap w:val="0"/>
                  <w:vAlign w:val="center"/>
                </w:tcPr>
                <w:p w14:paraId="09ED2FD8">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-6</w:t>
                  </w:r>
                </w:p>
              </w:tc>
              <w:tc>
                <w:tcPr>
                  <w:tcW w:w="114" w:type="pct"/>
                  <w:vMerge w:val="restart"/>
                  <w:noWrap w:val="0"/>
                  <w:vAlign w:val="center"/>
                </w:tcPr>
                <w:p w14:paraId="58CD74B3">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w:t>
                  </w:r>
                </w:p>
              </w:tc>
              <w:tc>
                <w:tcPr>
                  <w:tcW w:w="123" w:type="pct"/>
                  <w:noWrap w:val="0"/>
                  <w:vAlign w:val="center"/>
                </w:tcPr>
                <w:p w14:paraId="4E9B8C00">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东</w:t>
                  </w:r>
                </w:p>
              </w:tc>
              <w:tc>
                <w:tcPr>
                  <w:tcW w:w="137" w:type="pct"/>
                  <w:shd w:val="clear" w:color="auto" w:fill="auto"/>
                  <w:noWrap w:val="0"/>
                  <w:vAlign w:val="center"/>
                </w:tcPr>
                <w:p w14:paraId="627512B7">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38</w:t>
                  </w:r>
                </w:p>
              </w:tc>
              <w:tc>
                <w:tcPr>
                  <w:tcW w:w="340" w:type="pct"/>
                  <w:shd w:val="clear" w:color="auto" w:fill="auto"/>
                  <w:noWrap w:val="0"/>
                  <w:vAlign w:val="center"/>
                </w:tcPr>
                <w:p w14:paraId="5AA88596">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55.8</w:t>
                  </w:r>
                </w:p>
              </w:tc>
              <w:tc>
                <w:tcPr>
                  <w:tcW w:w="187" w:type="pct"/>
                  <w:vMerge w:val="continue"/>
                  <w:noWrap w:val="0"/>
                  <w:vAlign w:val="center"/>
                </w:tcPr>
                <w:p w14:paraId="450AE7ED">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49D7EBDF">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7C995A66">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29.8</w:t>
                  </w:r>
                </w:p>
              </w:tc>
              <w:tc>
                <w:tcPr>
                  <w:tcW w:w="272" w:type="pct"/>
                  <w:vMerge w:val="restart"/>
                  <w:noWrap w:val="0"/>
                  <w:vAlign w:val="center"/>
                </w:tcPr>
                <w:p w14:paraId="3EBA87D4">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w:t>
                  </w:r>
                </w:p>
              </w:tc>
            </w:tr>
            <w:tr w14:paraId="5AAA6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2EF97CC0">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3F5A1440">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01FD7215">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6161FA7D">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4CF5D0A3">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39A9DD54">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22F1CA70">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41648FB">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583D2389">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79E78CC2">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南</w:t>
                  </w:r>
                </w:p>
              </w:tc>
              <w:tc>
                <w:tcPr>
                  <w:tcW w:w="137" w:type="pct"/>
                  <w:noWrap w:val="0"/>
                  <w:vAlign w:val="center"/>
                </w:tcPr>
                <w:p w14:paraId="68489F96">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40</w:t>
                  </w:r>
                </w:p>
              </w:tc>
              <w:tc>
                <w:tcPr>
                  <w:tcW w:w="340" w:type="pct"/>
                  <w:noWrap w:val="0"/>
                  <w:vAlign w:val="center"/>
                </w:tcPr>
                <w:p w14:paraId="1C7C1A7F">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55.6</w:t>
                  </w:r>
                </w:p>
              </w:tc>
              <w:tc>
                <w:tcPr>
                  <w:tcW w:w="187" w:type="pct"/>
                  <w:vMerge w:val="continue"/>
                  <w:noWrap w:val="0"/>
                  <w:vAlign w:val="center"/>
                </w:tcPr>
                <w:p w14:paraId="3B919B26">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6E0C8010">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5B6C35A8">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29.6</w:t>
                  </w:r>
                </w:p>
              </w:tc>
              <w:tc>
                <w:tcPr>
                  <w:tcW w:w="272" w:type="pct"/>
                  <w:vMerge w:val="continue"/>
                  <w:noWrap w:val="0"/>
                  <w:vAlign w:val="center"/>
                </w:tcPr>
                <w:p w14:paraId="594009DD">
                  <w:pPr>
                    <w:pStyle w:val="63"/>
                    <w:ind w:firstLine="0" w:firstLineChars="0"/>
                    <w:rPr>
                      <w:rFonts w:hint="eastAsia" w:ascii="Times New Roman" w:hAnsi="Times New Roman" w:eastAsia="宋体" w:cs="Times New Roman"/>
                      <w:bCs/>
                      <w:szCs w:val="21"/>
                      <w:lang w:bidi="ar"/>
                    </w:rPr>
                  </w:pPr>
                </w:p>
              </w:tc>
            </w:tr>
            <w:tr w14:paraId="051C8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1902651A">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4919CAA8">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0E598BDF">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55FB52E6">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19513299">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2757D565">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33558CB8">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0A50DE67">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79400135">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4923A668">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西</w:t>
                  </w:r>
                </w:p>
              </w:tc>
              <w:tc>
                <w:tcPr>
                  <w:tcW w:w="137" w:type="pct"/>
                  <w:noWrap w:val="0"/>
                  <w:vAlign w:val="center"/>
                </w:tcPr>
                <w:p w14:paraId="54F18D72">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60</w:t>
                  </w:r>
                </w:p>
              </w:tc>
              <w:tc>
                <w:tcPr>
                  <w:tcW w:w="340" w:type="pct"/>
                  <w:noWrap w:val="0"/>
                  <w:vAlign w:val="center"/>
                </w:tcPr>
                <w:p w14:paraId="5DC65E2E">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54.7</w:t>
                  </w:r>
                </w:p>
              </w:tc>
              <w:tc>
                <w:tcPr>
                  <w:tcW w:w="187" w:type="pct"/>
                  <w:vMerge w:val="continue"/>
                  <w:noWrap w:val="0"/>
                  <w:vAlign w:val="center"/>
                </w:tcPr>
                <w:p w14:paraId="138770E9">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1DA57990">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4CDAEFC7">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28.7</w:t>
                  </w:r>
                </w:p>
              </w:tc>
              <w:tc>
                <w:tcPr>
                  <w:tcW w:w="272" w:type="pct"/>
                  <w:vMerge w:val="continue"/>
                  <w:noWrap w:val="0"/>
                  <w:vAlign w:val="center"/>
                </w:tcPr>
                <w:p w14:paraId="1B167A5D">
                  <w:pPr>
                    <w:pStyle w:val="63"/>
                    <w:ind w:firstLine="0" w:firstLineChars="0"/>
                    <w:rPr>
                      <w:rFonts w:hint="eastAsia" w:ascii="Times New Roman" w:hAnsi="Times New Roman" w:eastAsia="宋体" w:cs="Times New Roman"/>
                      <w:bCs/>
                      <w:szCs w:val="21"/>
                      <w:lang w:bidi="ar"/>
                    </w:rPr>
                  </w:pPr>
                </w:p>
              </w:tc>
            </w:tr>
            <w:tr w14:paraId="5285F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518FBA83">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6FA54CF7">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58ACEAAD">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6830581E">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556FED1F">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4127F8BA">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1E819ED8">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0EC00CC5">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2ACB050F">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693C1BB0">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北</w:t>
                  </w:r>
                </w:p>
              </w:tc>
              <w:tc>
                <w:tcPr>
                  <w:tcW w:w="137" w:type="pct"/>
                  <w:shd w:val="clear" w:color="auto" w:fill="auto"/>
                  <w:noWrap w:val="0"/>
                  <w:vAlign w:val="center"/>
                </w:tcPr>
                <w:p w14:paraId="2FBFD563">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15</w:t>
                  </w:r>
                </w:p>
              </w:tc>
              <w:tc>
                <w:tcPr>
                  <w:tcW w:w="340" w:type="pct"/>
                  <w:shd w:val="clear" w:color="auto" w:fill="auto"/>
                  <w:noWrap w:val="0"/>
                  <w:vAlign w:val="center"/>
                </w:tcPr>
                <w:p w14:paraId="4E55CADD">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60.5</w:t>
                  </w:r>
                </w:p>
              </w:tc>
              <w:tc>
                <w:tcPr>
                  <w:tcW w:w="187" w:type="pct"/>
                  <w:vMerge w:val="continue"/>
                  <w:noWrap w:val="0"/>
                  <w:vAlign w:val="center"/>
                </w:tcPr>
                <w:p w14:paraId="53C45287">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7DC4D620">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0040BB3B">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34.5</w:t>
                  </w:r>
                </w:p>
              </w:tc>
              <w:tc>
                <w:tcPr>
                  <w:tcW w:w="272" w:type="pct"/>
                  <w:vMerge w:val="continue"/>
                  <w:noWrap w:val="0"/>
                  <w:vAlign w:val="center"/>
                </w:tcPr>
                <w:p w14:paraId="7CA831DB">
                  <w:pPr>
                    <w:pStyle w:val="63"/>
                    <w:ind w:firstLine="0" w:firstLineChars="0"/>
                    <w:rPr>
                      <w:rFonts w:hint="eastAsia" w:ascii="Times New Roman" w:hAnsi="Times New Roman" w:eastAsia="宋体" w:cs="Times New Roman"/>
                      <w:bCs/>
                      <w:szCs w:val="21"/>
                      <w:lang w:bidi="ar"/>
                    </w:rPr>
                  </w:pPr>
                </w:p>
              </w:tc>
            </w:tr>
            <w:tr w14:paraId="70F42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restart"/>
                  <w:noWrap w:val="0"/>
                  <w:vAlign w:val="center"/>
                </w:tcPr>
                <w:p w14:paraId="33621272">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13</w:t>
                  </w:r>
                </w:p>
              </w:tc>
              <w:tc>
                <w:tcPr>
                  <w:tcW w:w="261" w:type="pct"/>
                  <w:vMerge w:val="continue"/>
                  <w:noWrap w:val="0"/>
                  <w:vAlign w:val="center"/>
                </w:tcPr>
                <w:p w14:paraId="6A2DF733">
                  <w:pPr>
                    <w:pStyle w:val="63"/>
                    <w:ind w:firstLine="0" w:firstLineChars="0"/>
                    <w:rPr>
                      <w:rFonts w:hint="eastAsia" w:ascii="Times New Roman" w:hAnsi="Times New Roman" w:eastAsia="宋体" w:cs="Times New Roman"/>
                      <w:bCs/>
                      <w:szCs w:val="21"/>
                      <w:lang w:bidi="ar"/>
                    </w:rPr>
                  </w:pPr>
                </w:p>
              </w:tc>
              <w:tc>
                <w:tcPr>
                  <w:tcW w:w="393" w:type="pct"/>
                  <w:vMerge w:val="restart"/>
                  <w:shd w:val="clear" w:color="auto" w:fill="auto"/>
                  <w:noWrap w:val="0"/>
                  <w:vAlign w:val="center"/>
                </w:tcPr>
                <w:p w14:paraId="72325DE5">
                  <w:pPr>
                    <w:pStyle w:val="63"/>
                    <w:ind w:firstLine="0" w:firstLineChars="0"/>
                    <w:rPr>
                      <w:rFonts w:hint="eastAsia" w:ascii="Times New Roman" w:hAnsi="Times New Roman" w:eastAsia="宋体" w:cs="Times New Roman"/>
                      <w:bCs/>
                      <w:kern w:val="2"/>
                      <w:sz w:val="21"/>
                      <w:szCs w:val="21"/>
                      <w:lang w:val="en-US" w:eastAsia="zh-CN" w:bidi="ar"/>
                    </w:rPr>
                  </w:pPr>
                  <w:r>
                    <w:rPr>
                      <w:rFonts w:hint="eastAsia" w:ascii="Times New Roman" w:hAnsi="Times New Roman" w:eastAsia="宋体" w:cs="Times New Roman"/>
                      <w:bCs/>
                      <w:szCs w:val="21"/>
                      <w:lang w:val="en-US" w:eastAsia="zh-CN" w:bidi="ar"/>
                    </w:rPr>
                    <w:t>空压机</w:t>
                  </w:r>
                </w:p>
              </w:tc>
              <w:tc>
                <w:tcPr>
                  <w:tcW w:w="1177" w:type="pct"/>
                  <w:vMerge w:val="restart"/>
                  <w:noWrap w:val="0"/>
                  <w:vAlign w:val="center"/>
                </w:tcPr>
                <w:p w14:paraId="347E957B">
                  <w:pPr>
                    <w:pStyle w:val="63"/>
                    <w:ind w:firstLine="0" w:firstLineChars="0"/>
                    <w:rPr>
                      <w:rFonts w:hint="eastAsia" w:ascii="Times New Roman" w:hAnsi="Times New Roman" w:eastAsia="宋体" w:cs="Times New Roman"/>
                      <w:bCs/>
                      <w:szCs w:val="21"/>
                      <w:lang w:val="en-US" w:eastAsia="zh-CN" w:bidi="ar"/>
                    </w:rPr>
                  </w:pPr>
                  <w:r>
                    <w:rPr>
                      <w:rFonts w:hint="eastAsia"/>
                      <w:szCs w:val="21"/>
                      <w:lang w:val="en-US" w:eastAsia="zh-CN"/>
                    </w:rPr>
                    <w:t>10</w:t>
                  </w:r>
                  <w:r>
                    <w:rPr>
                      <w:rFonts w:hint="eastAsia"/>
                      <w:bCs/>
                      <w:szCs w:val="21"/>
                      <w:lang w:bidi="ar"/>
                    </w:rPr>
                    <w:t>m</w:t>
                  </w:r>
                  <w:r>
                    <w:rPr>
                      <w:rFonts w:hint="eastAsia"/>
                      <w:bCs/>
                      <w:szCs w:val="21"/>
                      <w:vertAlign w:val="superscript"/>
                      <w:lang w:bidi="ar"/>
                    </w:rPr>
                    <w:t>3</w:t>
                  </w:r>
                  <w:r>
                    <w:rPr>
                      <w:rFonts w:hint="eastAsia"/>
                      <w:bCs/>
                      <w:szCs w:val="21"/>
                      <w:lang w:val="en-US" w:eastAsia="zh-CN" w:bidi="ar"/>
                    </w:rPr>
                    <w:t>/min</w:t>
                  </w:r>
                </w:p>
              </w:tc>
              <w:tc>
                <w:tcPr>
                  <w:tcW w:w="424" w:type="pct"/>
                  <w:vMerge w:val="restart"/>
                  <w:noWrap w:val="0"/>
                  <w:vAlign w:val="center"/>
                </w:tcPr>
                <w:p w14:paraId="0CE302B5">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85</w:t>
                  </w:r>
                </w:p>
              </w:tc>
              <w:tc>
                <w:tcPr>
                  <w:tcW w:w="252" w:type="pct"/>
                  <w:vMerge w:val="continue"/>
                  <w:noWrap w:val="0"/>
                  <w:vAlign w:val="center"/>
                </w:tcPr>
                <w:p w14:paraId="25206C68">
                  <w:pPr>
                    <w:pStyle w:val="63"/>
                    <w:ind w:firstLine="0" w:firstLineChars="0"/>
                    <w:rPr>
                      <w:rFonts w:hint="eastAsia" w:ascii="Times New Roman" w:hAnsi="Times New Roman" w:eastAsia="宋体" w:cs="Times New Roman"/>
                      <w:bCs/>
                      <w:szCs w:val="21"/>
                      <w:lang w:val="en-US" w:eastAsia="zh-CN" w:bidi="ar"/>
                    </w:rPr>
                  </w:pPr>
                </w:p>
              </w:tc>
              <w:tc>
                <w:tcPr>
                  <w:tcW w:w="162" w:type="pct"/>
                  <w:vMerge w:val="restart"/>
                  <w:noWrap w:val="0"/>
                  <w:vAlign w:val="center"/>
                </w:tcPr>
                <w:p w14:paraId="062A27FE">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-10</w:t>
                  </w:r>
                </w:p>
              </w:tc>
              <w:tc>
                <w:tcPr>
                  <w:tcW w:w="162" w:type="pct"/>
                  <w:vMerge w:val="restart"/>
                  <w:noWrap w:val="0"/>
                  <w:vAlign w:val="center"/>
                </w:tcPr>
                <w:p w14:paraId="0DF4037F">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6</w:t>
                  </w:r>
                </w:p>
              </w:tc>
              <w:tc>
                <w:tcPr>
                  <w:tcW w:w="114" w:type="pct"/>
                  <w:vMerge w:val="restart"/>
                  <w:noWrap w:val="0"/>
                  <w:vAlign w:val="center"/>
                </w:tcPr>
                <w:p w14:paraId="69960B49">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w:t>
                  </w:r>
                </w:p>
              </w:tc>
              <w:tc>
                <w:tcPr>
                  <w:tcW w:w="123" w:type="pct"/>
                  <w:noWrap w:val="0"/>
                  <w:vAlign w:val="center"/>
                </w:tcPr>
                <w:p w14:paraId="2B47D455">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东</w:t>
                  </w:r>
                </w:p>
              </w:tc>
              <w:tc>
                <w:tcPr>
                  <w:tcW w:w="137" w:type="pct"/>
                  <w:shd w:val="clear" w:color="auto" w:fill="auto"/>
                  <w:noWrap w:val="0"/>
                  <w:vAlign w:val="center"/>
                </w:tcPr>
                <w:p w14:paraId="4FBDC52B">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40</w:t>
                  </w:r>
                </w:p>
              </w:tc>
              <w:tc>
                <w:tcPr>
                  <w:tcW w:w="340" w:type="pct"/>
                  <w:shd w:val="clear" w:color="auto" w:fill="auto"/>
                  <w:noWrap w:val="0"/>
                  <w:vAlign w:val="center"/>
                </w:tcPr>
                <w:p w14:paraId="48B5DC92">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55.6</w:t>
                  </w:r>
                </w:p>
              </w:tc>
              <w:tc>
                <w:tcPr>
                  <w:tcW w:w="187" w:type="pct"/>
                  <w:vMerge w:val="continue"/>
                  <w:noWrap w:val="0"/>
                  <w:vAlign w:val="center"/>
                </w:tcPr>
                <w:p w14:paraId="016163FA">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7B7CC8EE">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338A3987">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29.6</w:t>
                  </w:r>
                </w:p>
              </w:tc>
              <w:tc>
                <w:tcPr>
                  <w:tcW w:w="272" w:type="pct"/>
                  <w:vMerge w:val="restart"/>
                  <w:noWrap w:val="0"/>
                  <w:vAlign w:val="center"/>
                </w:tcPr>
                <w:p w14:paraId="366381FD">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w:t>
                  </w:r>
                </w:p>
              </w:tc>
            </w:tr>
            <w:tr w14:paraId="11078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5CB896BC">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16EEBC7A">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2AAA3BAF">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519E2CC9">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7F781CD5">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79DC27A1">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67572343">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432387A8">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36110E3F">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238BF8AB">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南</w:t>
                  </w:r>
                </w:p>
              </w:tc>
              <w:tc>
                <w:tcPr>
                  <w:tcW w:w="137" w:type="pct"/>
                  <w:noWrap w:val="0"/>
                  <w:vAlign w:val="center"/>
                </w:tcPr>
                <w:p w14:paraId="4DF7D819">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25</w:t>
                  </w:r>
                </w:p>
              </w:tc>
              <w:tc>
                <w:tcPr>
                  <w:tcW w:w="340" w:type="pct"/>
                  <w:noWrap w:val="0"/>
                  <w:vAlign w:val="center"/>
                </w:tcPr>
                <w:p w14:paraId="5C825F94">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57.5</w:t>
                  </w:r>
                </w:p>
              </w:tc>
              <w:tc>
                <w:tcPr>
                  <w:tcW w:w="187" w:type="pct"/>
                  <w:vMerge w:val="continue"/>
                  <w:noWrap w:val="0"/>
                  <w:vAlign w:val="center"/>
                </w:tcPr>
                <w:p w14:paraId="1FD1CF22">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6F4F20E0">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44AAD578">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31.5</w:t>
                  </w:r>
                </w:p>
              </w:tc>
              <w:tc>
                <w:tcPr>
                  <w:tcW w:w="272" w:type="pct"/>
                  <w:vMerge w:val="continue"/>
                  <w:noWrap w:val="0"/>
                  <w:vAlign w:val="center"/>
                </w:tcPr>
                <w:p w14:paraId="333E0A79">
                  <w:pPr>
                    <w:pStyle w:val="63"/>
                    <w:ind w:firstLine="0" w:firstLineChars="0"/>
                    <w:rPr>
                      <w:rFonts w:hint="eastAsia" w:ascii="Times New Roman" w:hAnsi="Times New Roman" w:eastAsia="宋体" w:cs="Times New Roman"/>
                      <w:bCs/>
                      <w:szCs w:val="21"/>
                      <w:lang w:bidi="ar"/>
                    </w:rPr>
                  </w:pPr>
                </w:p>
              </w:tc>
            </w:tr>
            <w:tr w14:paraId="1B6A2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2214C9D2">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5252A5CF">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38307EE2">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3139F7C9">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0F886BBD">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1969CEFA">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3F4AB2B3">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37AE9812">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60F98606">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2E200809">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西</w:t>
                  </w:r>
                </w:p>
              </w:tc>
              <w:tc>
                <w:tcPr>
                  <w:tcW w:w="137" w:type="pct"/>
                  <w:noWrap w:val="0"/>
                  <w:vAlign w:val="center"/>
                </w:tcPr>
                <w:p w14:paraId="0FAEBF1A">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45</w:t>
                  </w:r>
                </w:p>
              </w:tc>
              <w:tc>
                <w:tcPr>
                  <w:tcW w:w="340" w:type="pct"/>
                  <w:noWrap w:val="0"/>
                  <w:vAlign w:val="center"/>
                </w:tcPr>
                <w:p w14:paraId="3CFADA8F">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55.3</w:t>
                  </w:r>
                </w:p>
              </w:tc>
              <w:tc>
                <w:tcPr>
                  <w:tcW w:w="187" w:type="pct"/>
                  <w:vMerge w:val="continue"/>
                  <w:noWrap w:val="0"/>
                  <w:vAlign w:val="center"/>
                </w:tcPr>
                <w:p w14:paraId="26F28233">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0F00D249">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45E7B5D9">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29.3</w:t>
                  </w:r>
                </w:p>
              </w:tc>
              <w:tc>
                <w:tcPr>
                  <w:tcW w:w="272" w:type="pct"/>
                  <w:vMerge w:val="continue"/>
                  <w:noWrap w:val="0"/>
                  <w:vAlign w:val="center"/>
                </w:tcPr>
                <w:p w14:paraId="6ABA647C">
                  <w:pPr>
                    <w:pStyle w:val="63"/>
                    <w:ind w:firstLine="0" w:firstLineChars="0"/>
                    <w:rPr>
                      <w:rFonts w:hint="eastAsia" w:ascii="Times New Roman" w:hAnsi="Times New Roman" w:eastAsia="宋体" w:cs="Times New Roman"/>
                      <w:bCs/>
                      <w:szCs w:val="21"/>
                      <w:lang w:bidi="ar"/>
                    </w:rPr>
                  </w:pPr>
                </w:p>
              </w:tc>
            </w:tr>
            <w:tr w14:paraId="35079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71168E2C">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36809A1E">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463D15E0">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36B73E48">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0A35C5E1">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17FEB40C">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240BE67D">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24F7BE92">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14545AC1">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58954021">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北</w:t>
                  </w:r>
                </w:p>
              </w:tc>
              <w:tc>
                <w:tcPr>
                  <w:tcW w:w="137" w:type="pct"/>
                  <w:noWrap w:val="0"/>
                  <w:vAlign w:val="center"/>
                </w:tcPr>
                <w:p w14:paraId="156A968F">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20</w:t>
                  </w:r>
                </w:p>
              </w:tc>
              <w:tc>
                <w:tcPr>
                  <w:tcW w:w="340" w:type="pct"/>
                  <w:noWrap w:val="0"/>
                  <w:vAlign w:val="center"/>
                </w:tcPr>
                <w:p w14:paraId="30DAEFBC">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58.7</w:t>
                  </w:r>
                </w:p>
              </w:tc>
              <w:tc>
                <w:tcPr>
                  <w:tcW w:w="187" w:type="pct"/>
                  <w:vMerge w:val="continue"/>
                  <w:noWrap w:val="0"/>
                  <w:vAlign w:val="center"/>
                </w:tcPr>
                <w:p w14:paraId="50EA001F">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319C6BE4">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51EA2214">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32.7</w:t>
                  </w:r>
                </w:p>
              </w:tc>
              <w:tc>
                <w:tcPr>
                  <w:tcW w:w="272" w:type="pct"/>
                  <w:vMerge w:val="continue"/>
                  <w:noWrap w:val="0"/>
                  <w:vAlign w:val="center"/>
                </w:tcPr>
                <w:p w14:paraId="05E7CE3E">
                  <w:pPr>
                    <w:pStyle w:val="63"/>
                    <w:ind w:firstLine="0" w:firstLineChars="0"/>
                    <w:rPr>
                      <w:rFonts w:hint="eastAsia" w:ascii="Times New Roman" w:hAnsi="Times New Roman" w:eastAsia="宋体" w:cs="Times New Roman"/>
                      <w:bCs/>
                      <w:szCs w:val="21"/>
                      <w:lang w:bidi="ar"/>
                    </w:rPr>
                  </w:pPr>
                </w:p>
              </w:tc>
            </w:tr>
            <w:tr w14:paraId="2FA65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3B0C8E6C">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100F47B4">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5F8270FB">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6D1A1A28">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2C61B714">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0D127789">
                  <w:pPr>
                    <w:pStyle w:val="63"/>
                    <w:ind w:firstLine="0" w:firstLineChars="0"/>
                    <w:rPr>
                      <w:rFonts w:hint="eastAsia" w:ascii="Times New Roman" w:hAnsi="Times New Roman" w:eastAsia="宋体" w:cs="Times New Roman"/>
                      <w:bCs/>
                      <w:szCs w:val="21"/>
                      <w:lang w:val="en-US" w:eastAsia="zh-CN" w:bidi="ar"/>
                    </w:rPr>
                  </w:pPr>
                </w:p>
              </w:tc>
              <w:tc>
                <w:tcPr>
                  <w:tcW w:w="162" w:type="pct"/>
                  <w:vMerge w:val="continue"/>
                  <w:noWrap w:val="0"/>
                  <w:vAlign w:val="center"/>
                </w:tcPr>
                <w:p w14:paraId="60A6B5D7">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11498D59">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4E6E9A14">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58FDE9E1">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南</w:t>
                  </w:r>
                </w:p>
              </w:tc>
              <w:tc>
                <w:tcPr>
                  <w:tcW w:w="137" w:type="pct"/>
                  <w:shd w:val="clear" w:color="auto" w:fill="auto"/>
                  <w:noWrap w:val="0"/>
                  <w:vAlign w:val="center"/>
                </w:tcPr>
                <w:p w14:paraId="39E67808">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18</w:t>
                  </w:r>
                </w:p>
              </w:tc>
              <w:tc>
                <w:tcPr>
                  <w:tcW w:w="340" w:type="pct"/>
                  <w:shd w:val="clear" w:color="auto" w:fill="auto"/>
                  <w:noWrap w:val="0"/>
                  <w:vAlign w:val="center"/>
                </w:tcPr>
                <w:p w14:paraId="0402B3CC">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59.3</w:t>
                  </w:r>
                </w:p>
              </w:tc>
              <w:tc>
                <w:tcPr>
                  <w:tcW w:w="187" w:type="pct"/>
                  <w:vMerge w:val="continue"/>
                  <w:noWrap w:val="0"/>
                  <w:vAlign w:val="center"/>
                </w:tcPr>
                <w:p w14:paraId="54422228">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5ED1E013">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08946DAF">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33.3</w:t>
                  </w:r>
                </w:p>
              </w:tc>
              <w:tc>
                <w:tcPr>
                  <w:tcW w:w="272" w:type="pct"/>
                  <w:vMerge w:val="continue"/>
                  <w:noWrap w:val="0"/>
                  <w:vAlign w:val="center"/>
                </w:tcPr>
                <w:p w14:paraId="7D3198AC">
                  <w:pPr>
                    <w:pStyle w:val="63"/>
                    <w:ind w:firstLine="0" w:firstLineChars="0"/>
                    <w:rPr>
                      <w:rFonts w:hint="eastAsia" w:ascii="Times New Roman" w:hAnsi="Times New Roman" w:eastAsia="宋体" w:cs="Times New Roman"/>
                      <w:bCs/>
                      <w:szCs w:val="21"/>
                      <w:lang w:bidi="ar"/>
                    </w:rPr>
                  </w:pPr>
                </w:p>
              </w:tc>
            </w:tr>
            <w:tr w14:paraId="0132F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37786FE8">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35B2E235">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6A4591D2">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1377B4FB">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05B9AF18">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56220EBF">
                  <w:pPr>
                    <w:pStyle w:val="63"/>
                    <w:ind w:firstLine="0" w:firstLineChars="0"/>
                    <w:rPr>
                      <w:rFonts w:hint="eastAsia" w:ascii="Times New Roman" w:hAnsi="Times New Roman" w:eastAsia="宋体" w:cs="Times New Roman"/>
                      <w:bCs/>
                      <w:szCs w:val="21"/>
                      <w:lang w:val="en-US" w:eastAsia="zh-CN" w:bidi="ar"/>
                    </w:rPr>
                  </w:pPr>
                </w:p>
              </w:tc>
              <w:tc>
                <w:tcPr>
                  <w:tcW w:w="162" w:type="pct"/>
                  <w:vMerge w:val="continue"/>
                  <w:noWrap w:val="0"/>
                  <w:vAlign w:val="center"/>
                </w:tcPr>
                <w:p w14:paraId="408A2F8E">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7D84A823">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18E1D974">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178AA9E1">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西</w:t>
                  </w:r>
                </w:p>
              </w:tc>
              <w:tc>
                <w:tcPr>
                  <w:tcW w:w="137" w:type="pct"/>
                  <w:shd w:val="clear" w:color="auto" w:fill="auto"/>
                  <w:noWrap w:val="0"/>
                  <w:vAlign w:val="center"/>
                </w:tcPr>
                <w:p w14:paraId="6602D80F">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57</w:t>
                  </w:r>
                </w:p>
              </w:tc>
              <w:tc>
                <w:tcPr>
                  <w:tcW w:w="340" w:type="pct"/>
                  <w:shd w:val="clear" w:color="auto" w:fill="auto"/>
                  <w:noWrap w:val="0"/>
                  <w:vAlign w:val="center"/>
                </w:tcPr>
                <w:p w14:paraId="40A76662">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49.8</w:t>
                  </w:r>
                </w:p>
              </w:tc>
              <w:tc>
                <w:tcPr>
                  <w:tcW w:w="187" w:type="pct"/>
                  <w:vMerge w:val="continue"/>
                  <w:noWrap w:val="0"/>
                  <w:vAlign w:val="center"/>
                </w:tcPr>
                <w:p w14:paraId="2906A289">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24733E89">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5FB3979B">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23.8</w:t>
                  </w:r>
                </w:p>
              </w:tc>
              <w:tc>
                <w:tcPr>
                  <w:tcW w:w="272" w:type="pct"/>
                  <w:vMerge w:val="continue"/>
                  <w:noWrap w:val="0"/>
                  <w:vAlign w:val="center"/>
                </w:tcPr>
                <w:p w14:paraId="790896B5">
                  <w:pPr>
                    <w:pStyle w:val="63"/>
                    <w:ind w:firstLine="0" w:firstLineChars="0"/>
                    <w:rPr>
                      <w:rFonts w:hint="eastAsia" w:ascii="Times New Roman" w:hAnsi="Times New Roman" w:eastAsia="宋体" w:cs="Times New Roman"/>
                      <w:bCs/>
                      <w:szCs w:val="21"/>
                      <w:lang w:bidi="ar"/>
                    </w:rPr>
                  </w:pPr>
                </w:p>
              </w:tc>
            </w:tr>
            <w:tr w14:paraId="71A31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250A7EFD">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17381BAA">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01CCBA74">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0BF301A8">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4E55251B">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763AAF55">
                  <w:pPr>
                    <w:pStyle w:val="63"/>
                    <w:ind w:firstLine="0" w:firstLineChars="0"/>
                    <w:rPr>
                      <w:rFonts w:hint="eastAsia" w:ascii="Times New Roman" w:hAnsi="Times New Roman" w:eastAsia="宋体" w:cs="Times New Roman"/>
                      <w:bCs/>
                      <w:szCs w:val="21"/>
                      <w:lang w:val="en-US" w:eastAsia="zh-CN" w:bidi="ar"/>
                    </w:rPr>
                  </w:pPr>
                </w:p>
              </w:tc>
              <w:tc>
                <w:tcPr>
                  <w:tcW w:w="162" w:type="pct"/>
                  <w:vMerge w:val="continue"/>
                  <w:noWrap w:val="0"/>
                  <w:vAlign w:val="center"/>
                </w:tcPr>
                <w:p w14:paraId="0DCBB379">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5252BBB2">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1C1D0527">
                  <w:pPr>
                    <w:pStyle w:val="63"/>
                    <w:ind w:firstLine="0" w:firstLineChars="0"/>
                    <w:rPr>
                      <w:rFonts w:hint="eastAsia" w:ascii="Times New Roman" w:hAnsi="Times New Roman" w:eastAsia="宋体" w:cs="Times New Roman"/>
                      <w:bCs/>
                      <w:szCs w:val="21"/>
                      <w:lang w:bidi="ar"/>
                    </w:rPr>
                  </w:pPr>
                </w:p>
              </w:tc>
              <w:tc>
                <w:tcPr>
                  <w:tcW w:w="123" w:type="pct"/>
                  <w:noWrap w:val="0"/>
                  <w:vAlign w:val="center"/>
                </w:tcPr>
                <w:p w14:paraId="129D7B4B">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北</w:t>
                  </w:r>
                </w:p>
              </w:tc>
              <w:tc>
                <w:tcPr>
                  <w:tcW w:w="137" w:type="pct"/>
                  <w:shd w:val="clear" w:color="auto" w:fill="auto"/>
                  <w:noWrap w:val="0"/>
                  <w:vAlign w:val="center"/>
                </w:tcPr>
                <w:p w14:paraId="568C9C56">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10</w:t>
                  </w:r>
                </w:p>
              </w:tc>
              <w:tc>
                <w:tcPr>
                  <w:tcW w:w="340" w:type="pct"/>
                  <w:shd w:val="clear" w:color="auto" w:fill="auto"/>
                  <w:noWrap w:val="0"/>
                  <w:vAlign w:val="center"/>
                </w:tcPr>
                <w:p w14:paraId="1871DD45">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58.5</w:t>
                  </w:r>
                </w:p>
              </w:tc>
              <w:tc>
                <w:tcPr>
                  <w:tcW w:w="187" w:type="pct"/>
                  <w:vMerge w:val="continue"/>
                  <w:noWrap w:val="0"/>
                  <w:vAlign w:val="center"/>
                </w:tcPr>
                <w:p w14:paraId="356D4EB9">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325E5B46">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42CF6114">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32.5</w:t>
                  </w:r>
                </w:p>
              </w:tc>
              <w:tc>
                <w:tcPr>
                  <w:tcW w:w="272" w:type="pct"/>
                  <w:vMerge w:val="continue"/>
                  <w:noWrap w:val="0"/>
                  <w:vAlign w:val="center"/>
                </w:tcPr>
                <w:p w14:paraId="205AE47B">
                  <w:pPr>
                    <w:pStyle w:val="63"/>
                    <w:ind w:firstLine="0" w:firstLineChars="0"/>
                    <w:rPr>
                      <w:rFonts w:hint="eastAsia" w:ascii="Times New Roman" w:hAnsi="Times New Roman" w:eastAsia="宋体" w:cs="Times New Roman"/>
                      <w:bCs/>
                      <w:szCs w:val="21"/>
                      <w:lang w:bidi="ar"/>
                    </w:rPr>
                  </w:pPr>
                </w:p>
              </w:tc>
            </w:tr>
            <w:tr w14:paraId="321A7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2871B828">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1E26541A">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309F2947">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2E65F0D1">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00DC6E35">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4E30BC1F">
                  <w:pPr>
                    <w:pStyle w:val="63"/>
                    <w:ind w:firstLine="0" w:firstLineChars="0"/>
                    <w:rPr>
                      <w:rFonts w:hint="eastAsia" w:ascii="Times New Roman" w:hAnsi="Times New Roman" w:eastAsia="宋体" w:cs="Times New Roman"/>
                      <w:bCs/>
                      <w:szCs w:val="21"/>
                      <w:lang w:val="en-US" w:eastAsia="zh-CN" w:bidi="ar"/>
                    </w:rPr>
                  </w:pPr>
                </w:p>
              </w:tc>
              <w:tc>
                <w:tcPr>
                  <w:tcW w:w="162" w:type="pct"/>
                  <w:vMerge w:val="continue"/>
                  <w:noWrap w:val="0"/>
                  <w:vAlign w:val="center"/>
                </w:tcPr>
                <w:p w14:paraId="6789D5EF">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16EA70E7">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31E46E37">
                  <w:pPr>
                    <w:pStyle w:val="63"/>
                    <w:ind w:firstLine="0" w:firstLineChars="0"/>
                    <w:rPr>
                      <w:rFonts w:hint="eastAsia" w:ascii="Times New Roman" w:hAnsi="Times New Roman" w:eastAsia="宋体" w:cs="Times New Roman"/>
                      <w:bCs/>
                      <w:szCs w:val="21"/>
                      <w:lang w:bidi="ar"/>
                    </w:rPr>
                  </w:pPr>
                </w:p>
              </w:tc>
              <w:tc>
                <w:tcPr>
                  <w:tcW w:w="123" w:type="pct"/>
                  <w:shd w:val="clear" w:color="auto" w:fill="auto"/>
                  <w:noWrap w:val="0"/>
                  <w:vAlign w:val="center"/>
                </w:tcPr>
                <w:p w14:paraId="10525399">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南</w:t>
                  </w:r>
                </w:p>
              </w:tc>
              <w:tc>
                <w:tcPr>
                  <w:tcW w:w="137" w:type="pct"/>
                  <w:noWrap w:val="0"/>
                  <w:vAlign w:val="center"/>
                </w:tcPr>
                <w:p w14:paraId="7E879BC0">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11</w:t>
                  </w:r>
                </w:p>
              </w:tc>
              <w:tc>
                <w:tcPr>
                  <w:tcW w:w="340" w:type="pct"/>
                  <w:noWrap w:val="0"/>
                  <w:vAlign w:val="center"/>
                </w:tcPr>
                <w:p w14:paraId="73BB3A37">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52.8</w:t>
                  </w:r>
                </w:p>
              </w:tc>
              <w:tc>
                <w:tcPr>
                  <w:tcW w:w="187" w:type="pct"/>
                  <w:vMerge w:val="continue"/>
                  <w:noWrap w:val="0"/>
                  <w:vAlign w:val="center"/>
                </w:tcPr>
                <w:p w14:paraId="06B0286F">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411A6F1D">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3A40F236">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26.8</w:t>
                  </w:r>
                </w:p>
              </w:tc>
              <w:tc>
                <w:tcPr>
                  <w:tcW w:w="272" w:type="pct"/>
                  <w:vMerge w:val="continue"/>
                  <w:noWrap w:val="0"/>
                  <w:vAlign w:val="center"/>
                </w:tcPr>
                <w:p w14:paraId="16796713">
                  <w:pPr>
                    <w:pStyle w:val="63"/>
                    <w:ind w:firstLine="0" w:firstLineChars="0"/>
                    <w:rPr>
                      <w:rFonts w:hint="eastAsia" w:ascii="Times New Roman" w:hAnsi="Times New Roman" w:eastAsia="宋体" w:cs="Times New Roman"/>
                      <w:bCs/>
                      <w:szCs w:val="21"/>
                      <w:lang w:bidi="ar"/>
                    </w:rPr>
                  </w:pPr>
                </w:p>
              </w:tc>
            </w:tr>
            <w:tr w14:paraId="53779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056F58ED">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33E8BB80">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0299B3BE">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3034355D">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414E386B">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65751463">
                  <w:pPr>
                    <w:pStyle w:val="63"/>
                    <w:ind w:firstLine="0" w:firstLineChars="0"/>
                    <w:rPr>
                      <w:rFonts w:hint="eastAsia" w:ascii="Times New Roman" w:hAnsi="Times New Roman" w:eastAsia="宋体" w:cs="Times New Roman"/>
                      <w:bCs/>
                      <w:szCs w:val="21"/>
                      <w:lang w:val="en-US" w:eastAsia="zh-CN" w:bidi="ar"/>
                    </w:rPr>
                  </w:pPr>
                </w:p>
              </w:tc>
              <w:tc>
                <w:tcPr>
                  <w:tcW w:w="162" w:type="pct"/>
                  <w:vMerge w:val="continue"/>
                  <w:noWrap w:val="0"/>
                  <w:vAlign w:val="center"/>
                </w:tcPr>
                <w:p w14:paraId="20C8E71A">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4FE5FB62">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4E1268DE">
                  <w:pPr>
                    <w:pStyle w:val="63"/>
                    <w:ind w:firstLine="0" w:firstLineChars="0"/>
                    <w:rPr>
                      <w:rFonts w:hint="eastAsia" w:ascii="Times New Roman" w:hAnsi="Times New Roman" w:eastAsia="宋体" w:cs="Times New Roman"/>
                      <w:bCs/>
                      <w:szCs w:val="21"/>
                      <w:lang w:bidi="ar"/>
                    </w:rPr>
                  </w:pPr>
                </w:p>
              </w:tc>
              <w:tc>
                <w:tcPr>
                  <w:tcW w:w="123" w:type="pct"/>
                  <w:shd w:val="clear" w:color="auto" w:fill="auto"/>
                  <w:noWrap w:val="0"/>
                  <w:vAlign w:val="center"/>
                </w:tcPr>
                <w:p w14:paraId="4E5C6EE1">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西</w:t>
                  </w:r>
                </w:p>
              </w:tc>
              <w:tc>
                <w:tcPr>
                  <w:tcW w:w="137" w:type="pct"/>
                  <w:shd w:val="clear" w:color="auto" w:fill="auto"/>
                  <w:noWrap w:val="0"/>
                  <w:vAlign w:val="center"/>
                </w:tcPr>
                <w:p w14:paraId="4F3CA4EA">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38</w:t>
                  </w:r>
                </w:p>
              </w:tc>
              <w:tc>
                <w:tcPr>
                  <w:tcW w:w="340" w:type="pct"/>
                  <w:shd w:val="clear" w:color="auto" w:fill="auto"/>
                  <w:noWrap w:val="0"/>
                  <w:vAlign w:val="center"/>
                </w:tcPr>
                <w:p w14:paraId="610B3291">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45.8</w:t>
                  </w:r>
                </w:p>
              </w:tc>
              <w:tc>
                <w:tcPr>
                  <w:tcW w:w="187" w:type="pct"/>
                  <w:vMerge w:val="continue"/>
                  <w:noWrap w:val="0"/>
                  <w:vAlign w:val="center"/>
                </w:tcPr>
                <w:p w14:paraId="3369FD55">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73CE697D">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60E404E1">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19.8</w:t>
                  </w:r>
                </w:p>
              </w:tc>
              <w:tc>
                <w:tcPr>
                  <w:tcW w:w="272" w:type="pct"/>
                  <w:vMerge w:val="continue"/>
                  <w:noWrap w:val="0"/>
                  <w:vAlign w:val="center"/>
                </w:tcPr>
                <w:p w14:paraId="10383B8F">
                  <w:pPr>
                    <w:pStyle w:val="63"/>
                    <w:ind w:firstLine="0" w:firstLineChars="0"/>
                    <w:rPr>
                      <w:rFonts w:hint="eastAsia" w:ascii="Times New Roman" w:hAnsi="Times New Roman" w:eastAsia="宋体" w:cs="Times New Roman"/>
                      <w:bCs/>
                      <w:szCs w:val="21"/>
                      <w:lang w:bidi="ar"/>
                    </w:rPr>
                  </w:pPr>
                </w:p>
              </w:tc>
            </w:tr>
            <w:tr w14:paraId="2E351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 w:type="pct"/>
                  <w:vMerge w:val="continue"/>
                  <w:noWrap w:val="0"/>
                  <w:vAlign w:val="center"/>
                </w:tcPr>
                <w:p w14:paraId="21DC9A8E">
                  <w:pPr>
                    <w:pStyle w:val="63"/>
                    <w:ind w:firstLine="0" w:firstLineChars="0"/>
                    <w:rPr>
                      <w:rFonts w:hint="eastAsia" w:ascii="Times New Roman" w:hAnsi="Times New Roman" w:eastAsia="宋体" w:cs="Times New Roman"/>
                      <w:bCs/>
                      <w:szCs w:val="21"/>
                      <w:lang w:bidi="ar"/>
                    </w:rPr>
                  </w:pPr>
                </w:p>
              </w:tc>
              <w:tc>
                <w:tcPr>
                  <w:tcW w:w="261" w:type="pct"/>
                  <w:vMerge w:val="continue"/>
                  <w:noWrap w:val="0"/>
                  <w:vAlign w:val="center"/>
                </w:tcPr>
                <w:p w14:paraId="4D34C6B8">
                  <w:pPr>
                    <w:pStyle w:val="63"/>
                    <w:ind w:firstLine="0" w:firstLineChars="0"/>
                    <w:rPr>
                      <w:rFonts w:hint="eastAsia" w:ascii="Times New Roman" w:hAnsi="Times New Roman" w:eastAsia="宋体" w:cs="Times New Roman"/>
                      <w:bCs/>
                      <w:szCs w:val="21"/>
                      <w:lang w:bidi="ar"/>
                    </w:rPr>
                  </w:pPr>
                </w:p>
              </w:tc>
              <w:tc>
                <w:tcPr>
                  <w:tcW w:w="393" w:type="pct"/>
                  <w:vMerge w:val="continue"/>
                  <w:noWrap w:val="0"/>
                  <w:vAlign w:val="center"/>
                </w:tcPr>
                <w:p w14:paraId="064B44F1">
                  <w:pPr>
                    <w:pStyle w:val="63"/>
                    <w:ind w:firstLine="0" w:firstLineChars="0"/>
                    <w:rPr>
                      <w:rFonts w:hint="eastAsia" w:ascii="Times New Roman" w:hAnsi="Times New Roman" w:eastAsia="宋体" w:cs="Times New Roman"/>
                      <w:bCs/>
                      <w:szCs w:val="21"/>
                      <w:lang w:bidi="ar"/>
                    </w:rPr>
                  </w:pPr>
                </w:p>
              </w:tc>
              <w:tc>
                <w:tcPr>
                  <w:tcW w:w="1177" w:type="pct"/>
                  <w:vMerge w:val="continue"/>
                  <w:noWrap w:val="0"/>
                  <w:vAlign w:val="center"/>
                </w:tcPr>
                <w:p w14:paraId="093D43E7">
                  <w:pPr>
                    <w:pStyle w:val="63"/>
                    <w:ind w:firstLine="0" w:firstLineChars="0"/>
                    <w:rPr>
                      <w:rFonts w:hint="eastAsia" w:ascii="Times New Roman" w:hAnsi="Times New Roman" w:eastAsia="宋体" w:cs="Times New Roman"/>
                      <w:bCs/>
                      <w:szCs w:val="21"/>
                      <w:lang w:bidi="ar"/>
                    </w:rPr>
                  </w:pPr>
                </w:p>
              </w:tc>
              <w:tc>
                <w:tcPr>
                  <w:tcW w:w="424" w:type="pct"/>
                  <w:vMerge w:val="continue"/>
                  <w:noWrap w:val="0"/>
                  <w:vAlign w:val="center"/>
                </w:tcPr>
                <w:p w14:paraId="34199088">
                  <w:pPr>
                    <w:pStyle w:val="63"/>
                    <w:ind w:firstLine="0" w:firstLineChars="0"/>
                    <w:rPr>
                      <w:rFonts w:hint="eastAsia" w:ascii="Times New Roman" w:hAnsi="Times New Roman" w:eastAsia="宋体" w:cs="Times New Roman"/>
                      <w:bCs/>
                      <w:szCs w:val="21"/>
                      <w:lang w:bidi="ar"/>
                    </w:rPr>
                  </w:pPr>
                </w:p>
              </w:tc>
              <w:tc>
                <w:tcPr>
                  <w:tcW w:w="252" w:type="pct"/>
                  <w:vMerge w:val="continue"/>
                  <w:noWrap w:val="0"/>
                  <w:vAlign w:val="center"/>
                </w:tcPr>
                <w:p w14:paraId="6ADD118A">
                  <w:pPr>
                    <w:pStyle w:val="63"/>
                    <w:ind w:firstLine="0" w:firstLineChars="0"/>
                    <w:rPr>
                      <w:rFonts w:hint="eastAsia" w:ascii="Times New Roman" w:hAnsi="Times New Roman" w:eastAsia="宋体" w:cs="Times New Roman"/>
                      <w:bCs/>
                      <w:szCs w:val="21"/>
                      <w:lang w:val="en-US" w:eastAsia="zh-CN" w:bidi="ar"/>
                    </w:rPr>
                  </w:pPr>
                </w:p>
              </w:tc>
              <w:tc>
                <w:tcPr>
                  <w:tcW w:w="162" w:type="pct"/>
                  <w:vMerge w:val="continue"/>
                  <w:noWrap w:val="0"/>
                  <w:vAlign w:val="center"/>
                </w:tcPr>
                <w:p w14:paraId="11636685">
                  <w:pPr>
                    <w:pStyle w:val="63"/>
                    <w:ind w:firstLine="0" w:firstLineChars="0"/>
                    <w:rPr>
                      <w:rFonts w:hint="eastAsia" w:ascii="Times New Roman" w:hAnsi="Times New Roman" w:eastAsia="宋体" w:cs="Times New Roman"/>
                      <w:bCs/>
                      <w:szCs w:val="21"/>
                      <w:lang w:bidi="ar"/>
                    </w:rPr>
                  </w:pPr>
                </w:p>
              </w:tc>
              <w:tc>
                <w:tcPr>
                  <w:tcW w:w="162" w:type="pct"/>
                  <w:vMerge w:val="continue"/>
                  <w:noWrap w:val="0"/>
                  <w:vAlign w:val="center"/>
                </w:tcPr>
                <w:p w14:paraId="3B10ABC8">
                  <w:pPr>
                    <w:pStyle w:val="63"/>
                    <w:ind w:firstLine="0" w:firstLineChars="0"/>
                    <w:rPr>
                      <w:rFonts w:hint="eastAsia" w:ascii="Times New Roman" w:hAnsi="Times New Roman" w:eastAsia="宋体" w:cs="Times New Roman"/>
                      <w:bCs/>
                      <w:szCs w:val="21"/>
                      <w:lang w:bidi="ar"/>
                    </w:rPr>
                  </w:pPr>
                </w:p>
              </w:tc>
              <w:tc>
                <w:tcPr>
                  <w:tcW w:w="114" w:type="pct"/>
                  <w:vMerge w:val="continue"/>
                  <w:noWrap w:val="0"/>
                  <w:vAlign w:val="center"/>
                </w:tcPr>
                <w:p w14:paraId="13BD05F5">
                  <w:pPr>
                    <w:pStyle w:val="63"/>
                    <w:ind w:firstLine="0" w:firstLineChars="0"/>
                    <w:rPr>
                      <w:rFonts w:hint="eastAsia" w:ascii="Times New Roman" w:hAnsi="Times New Roman" w:eastAsia="宋体" w:cs="Times New Roman"/>
                      <w:bCs/>
                      <w:szCs w:val="21"/>
                      <w:lang w:bidi="ar"/>
                    </w:rPr>
                  </w:pPr>
                </w:p>
              </w:tc>
              <w:tc>
                <w:tcPr>
                  <w:tcW w:w="123" w:type="pct"/>
                  <w:shd w:val="clear" w:color="auto" w:fill="auto"/>
                  <w:noWrap w:val="0"/>
                  <w:vAlign w:val="center"/>
                </w:tcPr>
                <w:p w14:paraId="6DF97FD3">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bidi="ar"/>
                    </w:rPr>
                    <w:t>北</w:t>
                  </w:r>
                </w:p>
              </w:tc>
              <w:tc>
                <w:tcPr>
                  <w:tcW w:w="137" w:type="pct"/>
                  <w:shd w:val="clear" w:color="auto" w:fill="auto"/>
                  <w:noWrap w:val="0"/>
                  <w:vAlign w:val="center"/>
                </w:tcPr>
                <w:p w14:paraId="12710764">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23</w:t>
                  </w:r>
                </w:p>
              </w:tc>
              <w:tc>
                <w:tcPr>
                  <w:tcW w:w="340" w:type="pct"/>
                  <w:shd w:val="clear" w:color="auto" w:fill="auto"/>
                  <w:noWrap w:val="0"/>
                  <w:vAlign w:val="center"/>
                </w:tcPr>
                <w:p w14:paraId="2C41EE95">
                  <w:pPr>
                    <w:pStyle w:val="63"/>
                    <w:ind w:firstLine="0" w:firstLineChars="0"/>
                    <w:rPr>
                      <w:rFonts w:hint="default"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47.9</w:t>
                  </w:r>
                </w:p>
              </w:tc>
              <w:tc>
                <w:tcPr>
                  <w:tcW w:w="187" w:type="pct"/>
                  <w:vMerge w:val="continue"/>
                  <w:noWrap w:val="0"/>
                  <w:vAlign w:val="center"/>
                </w:tcPr>
                <w:p w14:paraId="6646A8EF">
                  <w:pPr>
                    <w:pStyle w:val="63"/>
                    <w:ind w:firstLine="0" w:firstLineChars="0"/>
                    <w:rPr>
                      <w:rFonts w:hint="eastAsia" w:ascii="Times New Roman" w:hAnsi="Times New Roman" w:eastAsia="宋体" w:cs="Times New Roman"/>
                      <w:bCs/>
                      <w:szCs w:val="21"/>
                      <w:lang w:bidi="ar"/>
                    </w:rPr>
                  </w:pPr>
                </w:p>
              </w:tc>
              <w:tc>
                <w:tcPr>
                  <w:tcW w:w="353" w:type="pct"/>
                  <w:vMerge w:val="continue"/>
                  <w:noWrap w:val="0"/>
                  <w:vAlign w:val="center"/>
                </w:tcPr>
                <w:p w14:paraId="54F566D9">
                  <w:pPr>
                    <w:pStyle w:val="63"/>
                    <w:ind w:firstLine="0" w:firstLineChars="0"/>
                    <w:rPr>
                      <w:rFonts w:hint="eastAsia" w:ascii="Times New Roman" w:hAnsi="Times New Roman" w:eastAsia="宋体" w:cs="Times New Roman"/>
                      <w:bCs/>
                      <w:szCs w:val="21"/>
                      <w:lang w:bidi="ar"/>
                    </w:rPr>
                  </w:pPr>
                </w:p>
              </w:tc>
              <w:tc>
                <w:tcPr>
                  <w:tcW w:w="515" w:type="pct"/>
                  <w:noWrap w:val="0"/>
                  <w:vAlign w:val="center"/>
                </w:tcPr>
                <w:p w14:paraId="0030B35E">
                  <w:pPr>
                    <w:pStyle w:val="63"/>
                    <w:ind w:firstLine="0" w:firstLineChars="0"/>
                    <w:rPr>
                      <w:rFonts w:hint="eastAsia" w:ascii="Times New Roman" w:hAnsi="Times New Roman" w:eastAsia="宋体" w:cs="Times New Roman"/>
                      <w:bCs/>
                      <w:szCs w:val="21"/>
                      <w:lang w:val="en-US" w:eastAsia="zh-CN" w:bidi="ar"/>
                    </w:rPr>
                  </w:pPr>
                  <w:r>
                    <w:rPr>
                      <w:rFonts w:hint="eastAsia" w:ascii="Times New Roman" w:hAnsi="Times New Roman" w:eastAsia="宋体" w:cs="Times New Roman"/>
                      <w:bCs/>
                      <w:szCs w:val="21"/>
                      <w:lang w:val="en-US" w:eastAsia="zh-CN" w:bidi="ar"/>
                    </w:rPr>
                    <w:t>21.9</w:t>
                  </w:r>
                </w:p>
              </w:tc>
              <w:tc>
                <w:tcPr>
                  <w:tcW w:w="272" w:type="pct"/>
                  <w:vMerge w:val="continue"/>
                  <w:noWrap w:val="0"/>
                  <w:vAlign w:val="center"/>
                </w:tcPr>
                <w:p w14:paraId="01D566D1">
                  <w:pPr>
                    <w:pStyle w:val="63"/>
                    <w:ind w:firstLine="0" w:firstLineChars="0"/>
                    <w:rPr>
                      <w:rFonts w:hint="eastAsia" w:ascii="Times New Roman" w:hAnsi="Times New Roman" w:eastAsia="宋体" w:cs="Times New Roman"/>
                      <w:bCs/>
                      <w:szCs w:val="21"/>
                      <w:lang w:bidi="ar"/>
                    </w:rPr>
                  </w:pPr>
                </w:p>
              </w:tc>
            </w:tr>
          </w:tbl>
          <w:p w14:paraId="2FA4AE7F">
            <w:pPr>
              <w:ind w:firstLine="361" w:firstLineChars="200"/>
              <w:rPr>
                <w:rFonts w:hint="default" w:ascii="Times New Roman" w:hAnsi="Times New Roman" w:cs="Times New Roman"/>
                <w:b/>
                <w:bCs/>
                <w:sz w:val="24"/>
                <w:szCs w:val="24"/>
                <w:lang w:val="en-US" w:eastAsia="zh-CN"/>
              </w:rPr>
            </w:pPr>
            <w:r>
              <w:rPr>
                <w:rFonts w:ascii="Times New Roman" w:hAnsi="Times New Roman"/>
                <w:b/>
                <w:bCs/>
                <w:color w:val="auto"/>
                <w:kern w:val="0"/>
                <w:sz w:val="18"/>
                <w:szCs w:val="21"/>
              </w:rPr>
              <w:t>注：</w:t>
            </w:r>
            <w:r>
              <w:rPr>
                <w:rFonts w:ascii="Times New Roman" w:hAnsi="Times New Roman"/>
                <w:b w:val="0"/>
                <w:bCs w:val="0"/>
                <w:color w:val="auto"/>
                <w:kern w:val="0"/>
                <w:sz w:val="18"/>
                <w:szCs w:val="21"/>
              </w:rPr>
              <w:t>表中坐标以厂界中心为坐标原点，正东向为X轴正方向，正北向为Y轴正方向</w:t>
            </w:r>
            <w:r>
              <w:rPr>
                <w:rFonts w:hint="eastAsia" w:ascii="Times New Roman" w:hAnsi="Times New Roman"/>
                <w:b w:val="0"/>
                <w:bCs w:val="0"/>
                <w:color w:val="auto"/>
                <w:kern w:val="0"/>
                <w:sz w:val="18"/>
                <w:szCs w:val="21"/>
              </w:rPr>
              <w:t>，</w:t>
            </w:r>
            <w:r>
              <w:rPr>
                <w:rFonts w:ascii="Times New Roman" w:hAnsi="Times New Roman"/>
                <w:b w:val="0"/>
                <w:bCs w:val="0"/>
                <w:color w:val="auto"/>
                <w:kern w:val="0"/>
                <w:sz w:val="18"/>
                <w:szCs w:val="21"/>
              </w:rPr>
              <w:t>门窗吸声系数数据来源于《环境工程手册环境噪声控制卷》（郑长聚</w:t>
            </w:r>
            <w:r>
              <w:rPr>
                <w:rFonts w:hint="eastAsia" w:ascii="Times New Roman" w:hAnsi="Times New Roman" w:eastAsia="宋体" w:cs="Times New Roman"/>
                <w:b w:val="0"/>
                <w:bCs w:val="0"/>
                <w:szCs w:val="21"/>
              </w:rPr>
              <w:t>主编</w:t>
            </w:r>
            <w:r>
              <w:rPr>
                <w:rFonts w:ascii="Times New Roman" w:hAnsi="Times New Roman"/>
                <w:b w:val="0"/>
                <w:bCs w:val="0"/>
                <w:color w:val="auto"/>
                <w:kern w:val="0"/>
                <w:sz w:val="18"/>
                <w:szCs w:val="21"/>
              </w:rPr>
              <w:t>，高等教育出版社，2000年）。</w:t>
            </w:r>
          </w:p>
          <w:p w14:paraId="4D14985E">
            <w:pPr>
              <w:widowControl/>
              <w:adjustRightInd w:val="0"/>
              <w:snapToGrid w:val="0"/>
              <w:spacing w:before="192" w:beforeLines="80" w:after="72" w:afterLines="30"/>
              <w:ind w:firstLine="482" w:firstLineChars="200"/>
              <w:jc w:val="center"/>
              <w:rPr>
                <w:b/>
                <w:sz w:val="24"/>
              </w:rPr>
            </w:pPr>
            <w:r>
              <w:rPr>
                <w:b/>
                <w:sz w:val="24"/>
              </w:rPr>
              <w:t>表4-</w:t>
            </w:r>
            <w:r>
              <w:rPr>
                <w:rFonts w:hint="eastAsia"/>
                <w:b/>
                <w:sz w:val="24"/>
              </w:rPr>
              <w:t>2</w:t>
            </w:r>
            <w:r>
              <w:rPr>
                <w:rFonts w:hint="eastAsia"/>
                <w:b/>
                <w:sz w:val="24"/>
                <w:lang w:val="en-US" w:eastAsia="zh-CN"/>
              </w:rPr>
              <w:t>2</w:t>
            </w:r>
            <w:r>
              <w:rPr>
                <w:b/>
                <w:sz w:val="24"/>
              </w:rPr>
              <w:t xml:space="preserve"> 工业企业室外噪声源强调查清单（单位：dB(A)）</w:t>
            </w:r>
          </w:p>
          <w:tbl>
            <w:tblPr>
              <w:tblStyle w:val="2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85" w:type="dxa"/>
                <w:bottom w:w="0" w:type="dxa"/>
                <w:right w:w="85" w:type="dxa"/>
              </w:tblCellMar>
            </w:tblPr>
            <w:tblGrid>
              <w:gridCol w:w="518"/>
              <w:gridCol w:w="927"/>
              <w:gridCol w:w="788"/>
              <w:gridCol w:w="858"/>
              <w:gridCol w:w="756"/>
              <w:gridCol w:w="1218"/>
              <w:gridCol w:w="2521"/>
              <w:gridCol w:w="1366"/>
            </w:tblGrid>
            <w:tr w14:paraId="3C71AB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40" w:hRule="atLeast"/>
              </w:trPr>
              <w:tc>
                <w:tcPr>
                  <w:tcW w:w="518" w:type="dxa"/>
                  <w:vMerge w:val="restart"/>
                  <w:tcBorders>
                    <w:right w:val="single" w:color="auto" w:sz="4" w:space="0"/>
                  </w:tcBorders>
                  <w:vAlign w:val="center"/>
                </w:tcPr>
                <w:p w14:paraId="2A263D32">
                  <w:pPr>
                    <w:adjustRightInd w:val="0"/>
                    <w:snapToGrid w:val="0"/>
                    <w:spacing w:line="160" w:lineRule="atLeast"/>
                    <w:jc w:val="center"/>
                    <w:rPr>
                      <w:b/>
                      <w:bCs/>
                      <w:szCs w:val="21"/>
                    </w:rPr>
                  </w:pPr>
                  <w:r>
                    <w:rPr>
                      <w:b/>
                      <w:bCs/>
                      <w:szCs w:val="21"/>
                    </w:rPr>
                    <w:t>序号</w:t>
                  </w:r>
                </w:p>
              </w:tc>
              <w:tc>
                <w:tcPr>
                  <w:tcW w:w="927" w:type="dxa"/>
                  <w:vMerge w:val="restart"/>
                  <w:tcBorders>
                    <w:left w:val="single" w:color="auto" w:sz="4" w:space="0"/>
                  </w:tcBorders>
                  <w:vAlign w:val="center"/>
                </w:tcPr>
                <w:p w14:paraId="180661FC">
                  <w:pPr>
                    <w:adjustRightInd w:val="0"/>
                    <w:snapToGrid w:val="0"/>
                    <w:spacing w:line="160" w:lineRule="atLeast"/>
                    <w:jc w:val="center"/>
                    <w:rPr>
                      <w:b/>
                      <w:bCs/>
                      <w:szCs w:val="21"/>
                    </w:rPr>
                  </w:pPr>
                  <w:r>
                    <w:rPr>
                      <w:b/>
                      <w:bCs/>
                      <w:szCs w:val="21"/>
                    </w:rPr>
                    <w:t>声源名称</w:t>
                  </w:r>
                </w:p>
              </w:tc>
              <w:tc>
                <w:tcPr>
                  <w:tcW w:w="2402" w:type="dxa"/>
                  <w:gridSpan w:val="3"/>
                  <w:vAlign w:val="center"/>
                </w:tcPr>
                <w:p w14:paraId="47E9CA93">
                  <w:pPr>
                    <w:adjustRightInd w:val="0"/>
                    <w:snapToGrid w:val="0"/>
                    <w:spacing w:line="160" w:lineRule="atLeast"/>
                    <w:jc w:val="center"/>
                    <w:rPr>
                      <w:b/>
                      <w:bCs/>
                      <w:szCs w:val="21"/>
                    </w:rPr>
                  </w:pPr>
                  <w:r>
                    <w:rPr>
                      <w:b/>
                      <w:bCs/>
                      <w:szCs w:val="21"/>
                    </w:rPr>
                    <w:t>空间相对位置/m</w:t>
                  </w:r>
                </w:p>
              </w:tc>
              <w:tc>
                <w:tcPr>
                  <w:tcW w:w="1217" w:type="dxa"/>
                  <w:vMerge w:val="restart"/>
                  <w:vAlign w:val="center"/>
                </w:tcPr>
                <w:p w14:paraId="6F0D54EC">
                  <w:pPr>
                    <w:adjustRightInd w:val="0"/>
                    <w:snapToGrid w:val="0"/>
                    <w:spacing w:line="160" w:lineRule="atLeast"/>
                    <w:jc w:val="center"/>
                    <w:rPr>
                      <w:b/>
                      <w:bCs/>
                      <w:szCs w:val="21"/>
                    </w:rPr>
                  </w:pPr>
                  <w:r>
                    <w:rPr>
                      <w:b/>
                      <w:bCs/>
                      <w:snapToGrid w:val="0"/>
                      <w:kern w:val="0"/>
                      <w:szCs w:val="21"/>
                    </w:rPr>
                    <w:t>声源源强</w:t>
                  </w:r>
                </w:p>
              </w:tc>
              <w:tc>
                <w:tcPr>
                  <w:tcW w:w="2520" w:type="dxa"/>
                  <w:vMerge w:val="restart"/>
                  <w:vAlign w:val="center"/>
                </w:tcPr>
                <w:p w14:paraId="6D7FD4AC">
                  <w:pPr>
                    <w:adjustRightInd w:val="0"/>
                    <w:snapToGrid w:val="0"/>
                    <w:spacing w:line="160" w:lineRule="atLeast"/>
                    <w:jc w:val="center"/>
                    <w:rPr>
                      <w:b/>
                      <w:bCs/>
                      <w:szCs w:val="21"/>
                    </w:rPr>
                  </w:pPr>
                  <w:r>
                    <w:rPr>
                      <w:b/>
                      <w:bCs/>
                      <w:snapToGrid w:val="0"/>
                      <w:kern w:val="0"/>
                      <w:szCs w:val="21"/>
                    </w:rPr>
                    <w:t>声源控制措施</w:t>
                  </w:r>
                </w:p>
              </w:tc>
              <w:tc>
                <w:tcPr>
                  <w:tcW w:w="1364" w:type="dxa"/>
                  <w:vMerge w:val="restart"/>
                  <w:vAlign w:val="center"/>
                </w:tcPr>
                <w:p w14:paraId="5C0EBCE6">
                  <w:pPr>
                    <w:adjustRightInd w:val="0"/>
                    <w:snapToGrid w:val="0"/>
                    <w:spacing w:line="160" w:lineRule="atLeast"/>
                    <w:jc w:val="center"/>
                    <w:rPr>
                      <w:b/>
                      <w:bCs/>
                      <w:szCs w:val="21"/>
                    </w:rPr>
                  </w:pPr>
                  <w:r>
                    <w:rPr>
                      <w:b/>
                      <w:bCs/>
                      <w:snapToGrid w:val="0"/>
                      <w:kern w:val="0"/>
                      <w:szCs w:val="21"/>
                    </w:rPr>
                    <w:t>运行时段</w:t>
                  </w:r>
                </w:p>
              </w:tc>
            </w:tr>
            <w:tr w14:paraId="202EE4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40" w:hRule="atLeast"/>
              </w:trPr>
              <w:tc>
                <w:tcPr>
                  <w:tcW w:w="518" w:type="dxa"/>
                  <w:vMerge w:val="continue"/>
                  <w:tcBorders>
                    <w:right w:val="single" w:color="auto" w:sz="4" w:space="0"/>
                  </w:tcBorders>
                  <w:vAlign w:val="center"/>
                </w:tcPr>
                <w:p w14:paraId="6FCC650C">
                  <w:pPr>
                    <w:adjustRightInd w:val="0"/>
                    <w:snapToGrid w:val="0"/>
                    <w:spacing w:line="160" w:lineRule="atLeast"/>
                    <w:jc w:val="center"/>
                    <w:rPr>
                      <w:b/>
                      <w:bCs/>
                      <w:szCs w:val="21"/>
                    </w:rPr>
                  </w:pPr>
                </w:p>
              </w:tc>
              <w:tc>
                <w:tcPr>
                  <w:tcW w:w="927" w:type="dxa"/>
                  <w:vMerge w:val="continue"/>
                  <w:tcBorders>
                    <w:left w:val="single" w:color="auto" w:sz="4" w:space="0"/>
                  </w:tcBorders>
                  <w:vAlign w:val="center"/>
                </w:tcPr>
                <w:p w14:paraId="0F4D759F">
                  <w:pPr>
                    <w:adjustRightInd w:val="0"/>
                    <w:snapToGrid w:val="0"/>
                    <w:spacing w:line="160" w:lineRule="atLeast"/>
                    <w:jc w:val="center"/>
                    <w:rPr>
                      <w:b/>
                      <w:bCs/>
                      <w:szCs w:val="21"/>
                    </w:rPr>
                  </w:pPr>
                </w:p>
              </w:tc>
              <w:tc>
                <w:tcPr>
                  <w:tcW w:w="788" w:type="dxa"/>
                  <w:vAlign w:val="center"/>
                </w:tcPr>
                <w:p w14:paraId="29A61CC5">
                  <w:pPr>
                    <w:adjustRightInd w:val="0"/>
                    <w:snapToGrid w:val="0"/>
                    <w:spacing w:line="160" w:lineRule="atLeast"/>
                    <w:jc w:val="center"/>
                    <w:rPr>
                      <w:b/>
                      <w:bCs/>
                      <w:szCs w:val="21"/>
                    </w:rPr>
                  </w:pPr>
                  <w:r>
                    <w:rPr>
                      <w:b/>
                      <w:bCs/>
                      <w:snapToGrid w:val="0"/>
                      <w:kern w:val="0"/>
                      <w:szCs w:val="21"/>
                    </w:rPr>
                    <w:t>X</w:t>
                  </w:r>
                </w:p>
              </w:tc>
              <w:tc>
                <w:tcPr>
                  <w:tcW w:w="858" w:type="dxa"/>
                  <w:vAlign w:val="center"/>
                </w:tcPr>
                <w:p w14:paraId="64AA7A65">
                  <w:pPr>
                    <w:adjustRightInd w:val="0"/>
                    <w:snapToGrid w:val="0"/>
                    <w:spacing w:line="160" w:lineRule="atLeast"/>
                    <w:jc w:val="center"/>
                    <w:rPr>
                      <w:b/>
                      <w:bCs/>
                      <w:szCs w:val="21"/>
                    </w:rPr>
                  </w:pPr>
                  <w:r>
                    <w:rPr>
                      <w:b/>
                      <w:bCs/>
                      <w:snapToGrid w:val="0"/>
                      <w:kern w:val="0"/>
                      <w:szCs w:val="21"/>
                    </w:rPr>
                    <w:t>Y</w:t>
                  </w:r>
                </w:p>
              </w:tc>
              <w:tc>
                <w:tcPr>
                  <w:tcW w:w="756" w:type="dxa"/>
                  <w:vAlign w:val="center"/>
                </w:tcPr>
                <w:p w14:paraId="7B2663CF">
                  <w:pPr>
                    <w:adjustRightInd w:val="0"/>
                    <w:snapToGrid w:val="0"/>
                    <w:spacing w:line="160" w:lineRule="atLeast"/>
                    <w:jc w:val="center"/>
                    <w:rPr>
                      <w:b/>
                      <w:bCs/>
                      <w:szCs w:val="21"/>
                    </w:rPr>
                  </w:pPr>
                  <w:r>
                    <w:rPr>
                      <w:b/>
                      <w:bCs/>
                      <w:snapToGrid w:val="0"/>
                      <w:kern w:val="0"/>
                      <w:szCs w:val="21"/>
                    </w:rPr>
                    <w:t>Z</w:t>
                  </w:r>
                </w:p>
              </w:tc>
              <w:tc>
                <w:tcPr>
                  <w:tcW w:w="1217" w:type="dxa"/>
                  <w:vMerge w:val="continue"/>
                  <w:vAlign w:val="center"/>
                </w:tcPr>
                <w:p w14:paraId="0ACFE45A">
                  <w:pPr>
                    <w:adjustRightInd w:val="0"/>
                    <w:snapToGrid w:val="0"/>
                    <w:spacing w:line="160" w:lineRule="atLeast"/>
                    <w:jc w:val="center"/>
                    <w:rPr>
                      <w:b/>
                      <w:bCs/>
                      <w:szCs w:val="21"/>
                    </w:rPr>
                  </w:pPr>
                </w:p>
              </w:tc>
              <w:tc>
                <w:tcPr>
                  <w:tcW w:w="2520" w:type="dxa"/>
                  <w:vMerge w:val="continue"/>
                  <w:vAlign w:val="center"/>
                </w:tcPr>
                <w:p w14:paraId="647816C0">
                  <w:pPr>
                    <w:adjustRightInd w:val="0"/>
                    <w:snapToGrid w:val="0"/>
                    <w:spacing w:line="160" w:lineRule="atLeast"/>
                    <w:jc w:val="center"/>
                    <w:rPr>
                      <w:b/>
                      <w:bCs/>
                      <w:szCs w:val="21"/>
                    </w:rPr>
                  </w:pPr>
                </w:p>
              </w:tc>
              <w:tc>
                <w:tcPr>
                  <w:tcW w:w="1364" w:type="dxa"/>
                  <w:vMerge w:val="continue"/>
                  <w:vAlign w:val="center"/>
                </w:tcPr>
                <w:p w14:paraId="6E0DBD95">
                  <w:pPr>
                    <w:adjustRightInd w:val="0"/>
                    <w:snapToGrid w:val="0"/>
                    <w:spacing w:line="160" w:lineRule="atLeast"/>
                    <w:jc w:val="center"/>
                    <w:rPr>
                      <w:b/>
                      <w:bCs/>
                      <w:szCs w:val="21"/>
                    </w:rPr>
                  </w:pPr>
                </w:p>
              </w:tc>
            </w:tr>
            <w:tr w14:paraId="6F7F2A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40" w:hRule="atLeast"/>
              </w:trPr>
              <w:tc>
                <w:tcPr>
                  <w:tcW w:w="518" w:type="dxa"/>
                  <w:tcBorders>
                    <w:right w:val="single" w:color="auto" w:sz="4" w:space="0"/>
                  </w:tcBorders>
                  <w:vAlign w:val="center"/>
                </w:tcPr>
                <w:p w14:paraId="41F962D2">
                  <w:pPr>
                    <w:pStyle w:val="128"/>
                    <w:numPr>
                      <w:ilvl w:val="0"/>
                      <w:numId w:val="9"/>
                    </w:numPr>
                    <w:adjustRightInd w:val="0"/>
                    <w:snapToGrid w:val="0"/>
                    <w:ind w:firstLineChars="0"/>
                    <w:jc w:val="center"/>
                    <w:rPr>
                      <w:rFonts w:ascii="Times New Roman" w:hAnsi="Times New Roman"/>
                      <w:snapToGrid w:val="0"/>
                      <w:kern w:val="0"/>
                      <w:szCs w:val="21"/>
                    </w:rPr>
                  </w:pPr>
                </w:p>
              </w:tc>
              <w:tc>
                <w:tcPr>
                  <w:tcW w:w="927" w:type="dxa"/>
                  <w:tcBorders>
                    <w:left w:val="single" w:color="auto" w:sz="4" w:space="0"/>
                  </w:tcBorders>
                  <w:vAlign w:val="center"/>
                </w:tcPr>
                <w:p w14:paraId="1750EE01">
                  <w:pPr>
                    <w:adjustRightInd w:val="0"/>
                    <w:snapToGrid w:val="0"/>
                    <w:spacing w:line="160" w:lineRule="atLeast"/>
                    <w:jc w:val="center"/>
                    <w:rPr>
                      <w:szCs w:val="21"/>
                    </w:rPr>
                  </w:pPr>
                  <w:r>
                    <w:rPr>
                      <w:spacing w:val="8"/>
                      <w:kern w:val="0"/>
                      <w:szCs w:val="21"/>
                      <w:lang w:bidi="ar"/>
                    </w:rPr>
                    <w:t>废气风机</w:t>
                  </w:r>
                </w:p>
              </w:tc>
              <w:tc>
                <w:tcPr>
                  <w:tcW w:w="788" w:type="dxa"/>
                  <w:vAlign w:val="center"/>
                </w:tcPr>
                <w:p w14:paraId="16C75C6E">
                  <w:pPr>
                    <w:adjustRightInd w:val="0"/>
                    <w:snapToGrid w:val="0"/>
                    <w:jc w:val="center"/>
                    <w:rPr>
                      <w:rFonts w:hint="default" w:eastAsia="宋体"/>
                      <w:snapToGrid w:val="0"/>
                      <w:kern w:val="0"/>
                      <w:szCs w:val="21"/>
                      <w:lang w:val="en-US" w:eastAsia="zh-CN"/>
                    </w:rPr>
                  </w:pPr>
                  <w:r>
                    <w:rPr>
                      <w:rFonts w:hint="eastAsia"/>
                      <w:snapToGrid w:val="0"/>
                      <w:kern w:val="0"/>
                      <w:szCs w:val="21"/>
                      <w:lang w:val="en-US" w:eastAsia="zh-CN"/>
                    </w:rPr>
                    <w:t>-5</w:t>
                  </w:r>
                </w:p>
              </w:tc>
              <w:tc>
                <w:tcPr>
                  <w:tcW w:w="858" w:type="dxa"/>
                  <w:vAlign w:val="center"/>
                </w:tcPr>
                <w:p w14:paraId="7931A70C">
                  <w:pPr>
                    <w:adjustRightInd w:val="0"/>
                    <w:snapToGrid w:val="0"/>
                    <w:jc w:val="center"/>
                    <w:rPr>
                      <w:rFonts w:hint="eastAsia" w:eastAsia="宋体"/>
                      <w:snapToGrid w:val="0"/>
                      <w:kern w:val="0"/>
                      <w:szCs w:val="21"/>
                      <w:lang w:eastAsia="zh-CN"/>
                    </w:rPr>
                  </w:pPr>
                  <w:r>
                    <w:rPr>
                      <w:rFonts w:hint="eastAsia"/>
                      <w:snapToGrid w:val="0"/>
                      <w:kern w:val="0"/>
                      <w:szCs w:val="21"/>
                      <w:lang w:val="en-US" w:eastAsia="zh-CN"/>
                    </w:rPr>
                    <w:t>8</w:t>
                  </w:r>
                </w:p>
              </w:tc>
              <w:tc>
                <w:tcPr>
                  <w:tcW w:w="756" w:type="dxa"/>
                  <w:vAlign w:val="center"/>
                </w:tcPr>
                <w:p w14:paraId="00E27551">
                  <w:pPr>
                    <w:adjustRightInd w:val="0"/>
                    <w:snapToGrid w:val="0"/>
                    <w:jc w:val="center"/>
                    <w:rPr>
                      <w:snapToGrid w:val="0"/>
                      <w:kern w:val="0"/>
                      <w:szCs w:val="21"/>
                    </w:rPr>
                  </w:pPr>
                  <w:r>
                    <w:rPr>
                      <w:rFonts w:hint="eastAsia"/>
                      <w:szCs w:val="21"/>
                    </w:rPr>
                    <w:t>1</w:t>
                  </w:r>
                </w:p>
              </w:tc>
              <w:tc>
                <w:tcPr>
                  <w:tcW w:w="1217" w:type="dxa"/>
                  <w:vAlign w:val="center"/>
                </w:tcPr>
                <w:p w14:paraId="0ABB64F1">
                  <w:pPr>
                    <w:adjustRightInd w:val="0"/>
                    <w:snapToGrid w:val="0"/>
                    <w:spacing w:line="160" w:lineRule="atLeast"/>
                    <w:jc w:val="center"/>
                    <w:rPr>
                      <w:szCs w:val="21"/>
                    </w:rPr>
                  </w:pPr>
                  <w:r>
                    <w:rPr>
                      <w:snapToGrid w:val="0"/>
                      <w:kern w:val="0"/>
                      <w:szCs w:val="21"/>
                    </w:rPr>
                    <w:t>85</w:t>
                  </w:r>
                </w:p>
              </w:tc>
              <w:tc>
                <w:tcPr>
                  <w:tcW w:w="2520" w:type="dxa"/>
                  <w:vAlign w:val="center"/>
                </w:tcPr>
                <w:p w14:paraId="521C3416">
                  <w:pPr>
                    <w:adjustRightInd w:val="0"/>
                    <w:snapToGrid w:val="0"/>
                    <w:spacing w:line="160" w:lineRule="atLeast"/>
                    <w:jc w:val="center"/>
                    <w:rPr>
                      <w:szCs w:val="21"/>
                    </w:rPr>
                  </w:pPr>
                  <w:r>
                    <w:rPr>
                      <w:snapToGrid w:val="0"/>
                      <w:kern w:val="0"/>
                      <w:szCs w:val="21"/>
                    </w:rPr>
                    <w:t>选用低噪声设备、设备减震、绿化遮挡</w:t>
                  </w:r>
                </w:p>
              </w:tc>
              <w:tc>
                <w:tcPr>
                  <w:tcW w:w="1364" w:type="dxa"/>
                  <w:vAlign w:val="center"/>
                </w:tcPr>
                <w:p w14:paraId="1F0720B9">
                  <w:pPr>
                    <w:adjustRightInd w:val="0"/>
                    <w:snapToGrid w:val="0"/>
                    <w:spacing w:line="160" w:lineRule="atLeast"/>
                    <w:jc w:val="center"/>
                    <w:rPr>
                      <w:rFonts w:hint="default" w:eastAsia="宋体"/>
                      <w:szCs w:val="21"/>
                      <w:lang w:val="en-US" w:eastAsia="zh-CN"/>
                    </w:rPr>
                  </w:pPr>
                  <w:r>
                    <w:rPr>
                      <w:rFonts w:hint="eastAsia"/>
                      <w:szCs w:val="21"/>
                      <w:lang w:val="en-US" w:eastAsia="zh-CN"/>
                    </w:rPr>
                    <w:t>生产时段</w:t>
                  </w:r>
                </w:p>
              </w:tc>
            </w:tr>
            <w:tr w14:paraId="6806EE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40" w:hRule="atLeast"/>
              </w:trPr>
              <w:tc>
                <w:tcPr>
                  <w:tcW w:w="518" w:type="dxa"/>
                  <w:tcBorders>
                    <w:right w:val="single" w:color="auto" w:sz="4" w:space="0"/>
                  </w:tcBorders>
                  <w:vAlign w:val="center"/>
                </w:tcPr>
                <w:p w14:paraId="0F276DEA">
                  <w:pPr>
                    <w:pStyle w:val="128"/>
                    <w:numPr>
                      <w:ilvl w:val="0"/>
                      <w:numId w:val="9"/>
                    </w:numPr>
                    <w:adjustRightInd w:val="0"/>
                    <w:snapToGrid w:val="0"/>
                    <w:ind w:firstLineChars="0"/>
                    <w:jc w:val="center"/>
                    <w:rPr>
                      <w:rFonts w:ascii="Times New Roman" w:hAnsi="Times New Roman"/>
                      <w:snapToGrid w:val="0"/>
                      <w:kern w:val="0"/>
                      <w:szCs w:val="21"/>
                    </w:rPr>
                  </w:pPr>
                </w:p>
              </w:tc>
              <w:tc>
                <w:tcPr>
                  <w:tcW w:w="927" w:type="dxa"/>
                  <w:tcBorders>
                    <w:left w:val="single" w:color="auto" w:sz="4" w:space="0"/>
                  </w:tcBorders>
                  <w:shd w:val="clear" w:color="auto" w:fill="auto"/>
                  <w:vAlign w:val="center"/>
                </w:tcPr>
                <w:p w14:paraId="62BF9334">
                  <w:pPr>
                    <w:adjustRightInd w:val="0"/>
                    <w:snapToGrid w:val="0"/>
                    <w:spacing w:line="160" w:lineRule="atLeast"/>
                    <w:jc w:val="center"/>
                    <w:rPr>
                      <w:rFonts w:ascii="Times New Roman" w:hAnsi="Times New Roman" w:eastAsia="宋体" w:cs="Times New Roman"/>
                      <w:kern w:val="2"/>
                      <w:sz w:val="21"/>
                      <w:szCs w:val="21"/>
                      <w:lang w:val="en-US" w:eastAsia="zh-CN" w:bidi="ar-SA"/>
                    </w:rPr>
                  </w:pPr>
                  <w:r>
                    <w:rPr>
                      <w:spacing w:val="8"/>
                      <w:kern w:val="0"/>
                      <w:szCs w:val="21"/>
                      <w:lang w:bidi="ar"/>
                    </w:rPr>
                    <w:t>废气风机</w:t>
                  </w:r>
                </w:p>
              </w:tc>
              <w:tc>
                <w:tcPr>
                  <w:tcW w:w="788" w:type="dxa"/>
                  <w:shd w:val="clear" w:color="auto" w:fill="auto"/>
                  <w:vAlign w:val="center"/>
                </w:tcPr>
                <w:p w14:paraId="3C20B1A1">
                  <w:pPr>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-8</w:t>
                  </w:r>
                </w:p>
              </w:tc>
              <w:tc>
                <w:tcPr>
                  <w:tcW w:w="858" w:type="dxa"/>
                  <w:shd w:val="clear" w:color="auto" w:fill="auto"/>
                  <w:vAlign w:val="center"/>
                </w:tcPr>
                <w:p w14:paraId="5C3480C8">
                  <w:pPr>
                    <w:adjustRightInd w:val="0"/>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8</w:t>
                  </w:r>
                </w:p>
              </w:tc>
              <w:tc>
                <w:tcPr>
                  <w:tcW w:w="756" w:type="dxa"/>
                  <w:shd w:val="clear" w:color="auto" w:fill="auto"/>
                  <w:vAlign w:val="center"/>
                </w:tcPr>
                <w:p w14:paraId="1F8471B8">
                  <w:pPr>
                    <w:adjustRightInd w:val="0"/>
                    <w:snapToGrid w:val="0"/>
                    <w:jc w:val="center"/>
                    <w:rPr>
                      <w:rFonts w:hint="eastAsia" w:ascii="Times New Roman" w:hAnsi="Times New Roman" w:eastAsia="宋体" w:cs="Times New Roman"/>
                      <w:snapToGrid w:val="0"/>
                      <w:kern w:val="0"/>
                      <w:sz w:val="21"/>
                      <w:szCs w:val="21"/>
                      <w:lang w:val="en-US" w:eastAsia="zh-CN" w:bidi="ar-SA"/>
                    </w:rPr>
                  </w:pPr>
                  <w:r>
                    <w:rPr>
                      <w:rFonts w:hint="eastAsia"/>
                      <w:szCs w:val="21"/>
                    </w:rPr>
                    <w:t>1</w:t>
                  </w:r>
                </w:p>
              </w:tc>
              <w:tc>
                <w:tcPr>
                  <w:tcW w:w="1217" w:type="dxa"/>
                  <w:shd w:val="clear" w:color="auto" w:fill="auto"/>
                  <w:vAlign w:val="center"/>
                </w:tcPr>
                <w:p w14:paraId="1CA057D0">
                  <w:pPr>
                    <w:adjustRightInd w:val="0"/>
                    <w:snapToGrid w:val="0"/>
                    <w:spacing w:line="160" w:lineRule="atLeast"/>
                    <w:jc w:val="center"/>
                    <w:rPr>
                      <w:rFonts w:ascii="Times New Roman" w:hAnsi="Times New Roman" w:eastAsia="宋体" w:cs="Times New Roman"/>
                      <w:kern w:val="2"/>
                      <w:sz w:val="21"/>
                      <w:szCs w:val="21"/>
                      <w:lang w:val="en-US" w:eastAsia="zh-CN" w:bidi="ar-SA"/>
                    </w:rPr>
                  </w:pPr>
                  <w:r>
                    <w:rPr>
                      <w:snapToGrid w:val="0"/>
                      <w:kern w:val="0"/>
                      <w:szCs w:val="21"/>
                    </w:rPr>
                    <w:t>85</w:t>
                  </w:r>
                </w:p>
              </w:tc>
              <w:tc>
                <w:tcPr>
                  <w:tcW w:w="2520" w:type="dxa"/>
                  <w:shd w:val="clear" w:color="auto" w:fill="auto"/>
                  <w:vAlign w:val="center"/>
                </w:tcPr>
                <w:p w14:paraId="6C07FEA7">
                  <w:pPr>
                    <w:adjustRightInd w:val="0"/>
                    <w:snapToGrid w:val="0"/>
                    <w:spacing w:line="160" w:lineRule="atLeast"/>
                    <w:jc w:val="center"/>
                    <w:rPr>
                      <w:rFonts w:ascii="Times New Roman" w:hAnsi="Times New Roman" w:eastAsia="宋体" w:cs="Times New Roman"/>
                      <w:kern w:val="2"/>
                      <w:sz w:val="21"/>
                      <w:szCs w:val="21"/>
                      <w:lang w:val="en-US" w:eastAsia="zh-CN" w:bidi="ar-SA"/>
                    </w:rPr>
                  </w:pPr>
                  <w:r>
                    <w:rPr>
                      <w:snapToGrid w:val="0"/>
                      <w:kern w:val="0"/>
                      <w:szCs w:val="21"/>
                    </w:rPr>
                    <w:t>选用低噪声设备、设备减震、绿化遮挡</w:t>
                  </w:r>
                </w:p>
              </w:tc>
              <w:tc>
                <w:tcPr>
                  <w:tcW w:w="1364" w:type="dxa"/>
                  <w:shd w:val="clear" w:color="auto" w:fill="auto"/>
                  <w:vAlign w:val="center"/>
                </w:tcPr>
                <w:p w14:paraId="7DF4FC8B">
                  <w:pPr>
                    <w:adjustRightInd w:val="0"/>
                    <w:snapToGrid w:val="0"/>
                    <w:spacing w:line="160" w:lineRule="atLeas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生产时段</w:t>
                  </w:r>
                </w:p>
              </w:tc>
            </w:tr>
          </w:tbl>
          <w:p w14:paraId="6E42BFB9">
            <w:pPr>
              <w:widowControl/>
              <w:adjustRightInd w:val="0"/>
              <w:snapToGrid w:val="0"/>
              <w:spacing w:before="72" w:beforeLines="30" w:after="72" w:afterLines="30" w:line="360" w:lineRule="auto"/>
              <w:ind w:firstLine="482" w:firstLineChars="200"/>
              <w:jc w:val="left"/>
              <w:rPr>
                <w:b/>
                <w:sz w:val="24"/>
              </w:rPr>
            </w:pPr>
            <w:r>
              <w:rPr>
                <w:b/>
                <w:sz w:val="24"/>
              </w:rPr>
              <w:t>（2）本项目噪声防治措施</w:t>
            </w:r>
          </w:p>
          <w:p w14:paraId="11C213DF">
            <w:pPr>
              <w:widowControl/>
              <w:adjustRightInd w:val="0"/>
              <w:snapToGrid w:val="0"/>
              <w:spacing w:before="72" w:beforeLines="30" w:after="72" w:afterLines="30" w:line="360" w:lineRule="auto"/>
              <w:ind w:firstLine="480" w:firstLineChars="200"/>
              <w:jc w:val="left"/>
              <w:rPr>
                <w:kern w:val="0"/>
                <w:sz w:val="24"/>
                <w:lang w:bidi="en-US"/>
              </w:rPr>
            </w:pPr>
            <w:r>
              <w:rPr>
                <w:kern w:val="0"/>
                <w:sz w:val="24"/>
                <w:lang w:bidi="en-US"/>
              </w:rPr>
              <w:t>为确保厂界噪声达标，建设单位应采取以下措施对产生的噪声污染进行治理：</w:t>
            </w:r>
          </w:p>
          <w:p w14:paraId="5D8108A2">
            <w:pPr>
              <w:widowControl/>
              <w:adjustRightInd w:val="0"/>
              <w:snapToGrid w:val="0"/>
              <w:spacing w:before="72" w:beforeLines="30" w:after="72" w:afterLines="30" w:line="360" w:lineRule="auto"/>
              <w:ind w:firstLine="480" w:firstLineChars="200"/>
              <w:jc w:val="left"/>
              <w:rPr>
                <w:kern w:val="0"/>
                <w:sz w:val="24"/>
                <w:lang w:bidi="en-US"/>
              </w:rPr>
            </w:pPr>
            <w:r>
              <w:rPr>
                <w:kern w:val="0"/>
                <w:sz w:val="24"/>
                <w:lang w:bidi="en-US"/>
              </w:rPr>
              <w:t>①选用低噪声设备：在满足工艺技术要求的前提下，尽量选用国内外先进的低噪声设备，从声源上降低噪声污染。</w:t>
            </w:r>
          </w:p>
          <w:p w14:paraId="3A3518A7">
            <w:pPr>
              <w:widowControl/>
              <w:adjustRightInd w:val="0"/>
              <w:snapToGrid w:val="0"/>
              <w:spacing w:before="72" w:beforeLines="30" w:after="72" w:afterLines="30" w:line="360" w:lineRule="auto"/>
              <w:ind w:firstLine="480" w:firstLineChars="200"/>
              <w:jc w:val="left"/>
              <w:rPr>
                <w:kern w:val="0"/>
                <w:sz w:val="24"/>
                <w:lang w:bidi="en-US"/>
              </w:rPr>
            </w:pPr>
            <w:r>
              <w:rPr>
                <w:kern w:val="0"/>
                <w:sz w:val="24"/>
                <w:lang w:bidi="en-US"/>
              </w:rPr>
              <w:t>②厂房隔音：优化产噪设备所在厂房的门窗设置数量、方位，并采取车间墙体敷设吸音材料、窗户采用中空隔音玻璃等措施。</w:t>
            </w:r>
          </w:p>
          <w:p w14:paraId="21FF846E">
            <w:pPr>
              <w:widowControl/>
              <w:adjustRightInd w:val="0"/>
              <w:snapToGrid w:val="0"/>
              <w:spacing w:before="72" w:beforeLines="30" w:after="72" w:afterLines="30" w:line="360" w:lineRule="auto"/>
              <w:ind w:firstLine="480" w:firstLineChars="200"/>
              <w:jc w:val="left"/>
              <w:rPr>
                <w:kern w:val="0"/>
                <w:sz w:val="24"/>
                <w:lang w:bidi="en-US"/>
              </w:rPr>
            </w:pPr>
            <w:r>
              <w:rPr>
                <w:kern w:val="0"/>
                <w:sz w:val="24"/>
                <w:lang w:bidi="en-US"/>
              </w:rPr>
              <w:t>③合理布局：本项目主要产噪设备均设置在车间内，在满足工艺要求的前提下，尽可能将高噪声设备布置在厂区中部，充分利用厂内建筑物的隔声作用以及距离衰减作用，减轻各类声源对外环境的影响。</w:t>
            </w:r>
          </w:p>
          <w:p w14:paraId="6288278E">
            <w:pPr>
              <w:widowControl/>
              <w:adjustRightInd w:val="0"/>
              <w:snapToGrid w:val="0"/>
              <w:spacing w:before="72" w:beforeLines="30" w:after="72" w:afterLines="30" w:line="360" w:lineRule="auto"/>
              <w:ind w:firstLine="480" w:firstLineChars="200"/>
              <w:jc w:val="left"/>
              <w:rPr>
                <w:kern w:val="0"/>
                <w:sz w:val="24"/>
                <w:lang w:bidi="en-US"/>
              </w:rPr>
            </w:pPr>
            <w:r>
              <w:rPr>
                <w:kern w:val="0"/>
                <w:sz w:val="24"/>
                <w:lang w:bidi="en-US"/>
              </w:rPr>
              <w:t>④采取减震降噪措施：机械设备安装时采取减震垫、基台减震，设置隔声墙体等减震降噪措施。各类风机、空压机的噪声较大，在设计时应考虑设置单独的房间，墙体选用隔声和消声性能较好的建筑材料；风机和空压机进出口加装消声器和消声风道，采用软接头连接，风机吊挂采用阻尼弹簧吊架减震器。</w:t>
            </w:r>
          </w:p>
          <w:p w14:paraId="1C626A40">
            <w:pPr>
              <w:widowControl/>
              <w:adjustRightInd w:val="0"/>
              <w:snapToGrid w:val="0"/>
              <w:spacing w:before="72" w:beforeLines="30" w:after="72" w:afterLines="30" w:line="360" w:lineRule="auto"/>
              <w:ind w:firstLine="480" w:firstLineChars="200"/>
              <w:jc w:val="left"/>
              <w:rPr>
                <w:kern w:val="0"/>
                <w:sz w:val="24"/>
                <w:lang w:bidi="en-US"/>
              </w:rPr>
            </w:pPr>
            <w:r>
              <w:rPr>
                <w:kern w:val="0"/>
                <w:sz w:val="24"/>
                <w:lang w:bidi="en-US"/>
              </w:rPr>
              <w:t>⑤合理安排生产时间：本项目生产活动在正常情况下夜间不运行高噪声设备；高噪声工序尽量错时进行、不并行。</w:t>
            </w:r>
          </w:p>
          <w:p w14:paraId="0692CFCD">
            <w:pPr>
              <w:widowControl/>
              <w:adjustRightInd w:val="0"/>
              <w:snapToGrid w:val="0"/>
              <w:spacing w:before="72" w:beforeLines="30" w:after="72" w:afterLines="30" w:line="360" w:lineRule="auto"/>
              <w:ind w:firstLine="480" w:firstLineChars="200"/>
              <w:jc w:val="left"/>
              <w:rPr>
                <w:kern w:val="0"/>
                <w:sz w:val="24"/>
                <w:lang w:bidi="en-US"/>
              </w:rPr>
            </w:pPr>
            <w:r>
              <w:rPr>
                <w:kern w:val="0"/>
                <w:sz w:val="24"/>
                <w:lang w:bidi="en-US"/>
              </w:rPr>
              <w:t>⑥加强设备管理和维护：在营运过程中必须定期对设备进行检查、维护，确保设备处于良好的运转状态，杜绝因设备不正常运转产生的高噪声现象；对故障或损坏的设备及时进行维护或更换。</w:t>
            </w:r>
          </w:p>
          <w:p w14:paraId="493AA7F1">
            <w:pPr>
              <w:widowControl/>
              <w:adjustRightInd w:val="0"/>
              <w:snapToGrid w:val="0"/>
              <w:spacing w:before="72" w:beforeLines="30" w:after="72" w:afterLines="30" w:line="360" w:lineRule="auto"/>
              <w:ind w:firstLine="480" w:firstLineChars="200"/>
              <w:jc w:val="left"/>
              <w:rPr>
                <w:sz w:val="24"/>
              </w:rPr>
            </w:pPr>
            <w:r>
              <w:rPr>
                <w:kern w:val="0"/>
                <w:sz w:val="24"/>
                <w:lang w:bidi="en-US"/>
              </w:rPr>
              <w:t>综上所述，本项目设备噪声经厂房隔间、采取减震降噪措施可有效消减20-30dB(A)。另外，在尽量选用低噪声设备、合理安排车间布局和生产时间、加强设备管理和维护等措施后可减小设备噪声对外环境的影响。</w:t>
            </w:r>
          </w:p>
          <w:p w14:paraId="6A49926E">
            <w:pPr>
              <w:snapToGrid w:val="0"/>
              <w:spacing w:line="360" w:lineRule="auto"/>
              <w:ind w:left="63" w:leftChars="30" w:right="63" w:rightChars="30" w:firstLine="482" w:firstLineChars="200"/>
              <w:rPr>
                <w:b/>
                <w:sz w:val="24"/>
              </w:rPr>
            </w:pPr>
            <w:r>
              <w:rPr>
                <w:b/>
                <w:sz w:val="24"/>
              </w:rPr>
              <w:t>（3）噪声影响预测</w:t>
            </w:r>
          </w:p>
          <w:p w14:paraId="7C160470">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szCs w:val="24"/>
              </w:rPr>
              <w:t>建设项目</w:t>
            </w:r>
            <w:r>
              <w:rPr>
                <w:rFonts w:hint="eastAsia" w:ascii="宋体" w:hAnsi="宋体" w:eastAsia="宋体" w:cs="宋体"/>
                <w:color w:val="auto"/>
                <w:sz w:val="24"/>
                <w:szCs w:val="24"/>
              </w:rPr>
              <w:t>采用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以人为本</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“闹静分开”和“合理布局”的原则，并采取消声、减振措施，预计总</w:t>
            </w:r>
            <w:r>
              <w:rPr>
                <w:rFonts w:hint="default" w:ascii="Times New Roman" w:hAnsi="Times New Roman" w:eastAsia="宋体" w:cs="Times New Roman"/>
                <w:color w:val="auto"/>
                <w:sz w:val="24"/>
                <w:szCs w:val="24"/>
              </w:rPr>
              <w:t>降噪效果可达25dB（A）左右。</w:t>
            </w:r>
          </w:p>
          <w:p w14:paraId="2BE36B11">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1）预测模式</w:t>
            </w:r>
          </w:p>
          <w:p w14:paraId="0C0CF6F6">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噪声预测采用HJ2.4-20</w:t>
            </w:r>
            <w:r>
              <w:rPr>
                <w:rFonts w:hint="default" w:ascii="Times New Roman" w:hAnsi="Times New Roman" w:eastAsia="宋体" w:cs="Times New Roman"/>
                <w:color w:val="auto"/>
                <w:szCs w:val="20"/>
                <w:lang w:val="en-US" w:eastAsia="zh-CN"/>
              </w:rPr>
              <w:t>21</w:t>
            </w:r>
            <w:r>
              <w:rPr>
                <w:rFonts w:hint="default" w:ascii="Times New Roman" w:hAnsi="Times New Roman" w:eastAsia="宋体" w:cs="Times New Roman"/>
                <w:color w:val="auto"/>
                <w:szCs w:val="20"/>
              </w:rPr>
              <w:t>附录</w:t>
            </w:r>
            <w:r>
              <w:rPr>
                <w:rFonts w:hint="default" w:ascii="Times New Roman" w:hAnsi="Times New Roman" w:eastAsia="宋体" w:cs="Times New Roman"/>
                <w:color w:val="auto"/>
                <w:szCs w:val="20"/>
                <w:lang w:val="en-US" w:eastAsia="zh-CN"/>
              </w:rPr>
              <w:t>B中</w:t>
            </w:r>
            <w:r>
              <w:rPr>
                <w:rFonts w:hint="default" w:ascii="Times New Roman" w:hAnsi="Times New Roman" w:eastAsia="宋体" w:cs="Times New Roman"/>
                <w:color w:val="auto"/>
                <w:szCs w:val="20"/>
              </w:rPr>
              <w:t>工业噪声预测</w:t>
            </w:r>
            <w:r>
              <w:rPr>
                <w:rFonts w:hint="default" w:ascii="Times New Roman" w:hAnsi="Times New Roman" w:eastAsia="宋体" w:cs="Times New Roman"/>
                <w:color w:val="auto"/>
                <w:szCs w:val="20"/>
                <w:lang w:val="en-US" w:eastAsia="zh-CN"/>
              </w:rPr>
              <w:t>计算模型</w:t>
            </w:r>
            <w:r>
              <w:rPr>
                <w:rFonts w:hint="default" w:ascii="Times New Roman" w:hAnsi="Times New Roman" w:eastAsia="宋体" w:cs="Times New Roman"/>
                <w:color w:val="auto"/>
                <w:szCs w:val="20"/>
              </w:rPr>
              <w:t>，本项目设备声源均为室内声源，本次预测将室内声源等效成室外声源（即声源等效为生产车间），然后按室外声源方法计算预测点处的A声级。</w:t>
            </w:r>
          </w:p>
          <w:p w14:paraId="66F815B7">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rPr>
              <w:t>①</w:t>
            </w:r>
            <w:r>
              <w:rPr>
                <w:rFonts w:hint="default" w:ascii="Times New Roman" w:hAnsi="Times New Roman" w:eastAsia="宋体" w:cs="Times New Roman"/>
                <w:color w:val="auto"/>
                <w:szCs w:val="20"/>
                <w:lang w:val="en-US" w:eastAsia="zh-CN"/>
              </w:rPr>
              <w:t>室外声源在预测点产生的声级计算模型</w:t>
            </w:r>
          </w:p>
          <w:p w14:paraId="2C72BD06">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在环境影响评价中，应根据声源声功率级或参考位置处的声压级、户外声传播衰减，计算预测点的声级，分别按下式计算：</w:t>
            </w:r>
          </w:p>
          <w:p w14:paraId="35702C6A">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center"/>
              <w:textAlignment w:val="auto"/>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position w:val="-14"/>
                <w:szCs w:val="20"/>
                <w:lang w:val="en-US" w:eastAsia="zh-CN"/>
              </w:rPr>
              <w:object>
                <v:shape id="_x0000_i1027" o:spt="75" type="#_x0000_t75" style="height:20pt;width:234pt;" o:ole="t" filled="f" o:preferrelative="t" stroked="f" coordsize="21600,21600">
                  <v:path/>
                  <v:fill on="f" focussize="0,0"/>
                  <v:stroke on="f"/>
                  <v:imagedata r:id="rId21" o:title=""/>
                  <o:lock v:ext="edit" aspectratio="t"/>
                  <w10:wrap type="none"/>
                  <w10:anchorlock/>
                </v:shape>
                <o:OLEObject Type="Embed" ProgID="Equation.KSEE3" ShapeID="_x0000_i1027" DrawAspect="Content" ObjectID="_1468075727" r:id="rId20">
                  <o:LockedField>false</o:LockedField>
                </o:OLEObject>
              </w:object>
            </w:r>
          </w:p>
          <w:p w14:paraId="2B5AF9AC">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center"/>
              <w:textAlignment w:val="auto"/>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position w:val="-14"/>
                <w:szCs w:val="20"/>
                <w:lang w:val="en-US" w:eastAsia="zh-CN"/>
              </w:rPr>
              <w:object>
                <v:shape id="_x0000_i1028" o:spt="75" type="#_x0000_t75" style="height:20pt;width:249pt;" o:ole="t" filled="f" o:preferrelative="t" stroked="f" coordsize="21600,21600">
                  <v:path/>
                  <v:fill on="f" focussize="0,0"/>
                  <v:stroke on="f"/>
                  <v:imagedata r:id="rId23" o:title=""/>
                  <o:lock v:ext="edit" aspectratio="t"/>
                  <w10:wrap type="none"/>
                  <w10:anchorlock/>
                </v:shape>
                <o:OLEObject Type="Embed" ProgID="Equation.KSEE3" ShapeID="_x0000_i1028" DrawAspect="Content" ObjectID="_1468075728" r:id="rId22">
                  <o:LockedField>false</o:LockedField>
                </o:OLEObject>
              </w:object>
            </w:r>
          </w:p>
          <w:p w14:paraId="557E0B35">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式中：</w:t>
            </w:r>
          </w:p>
          <w:p w14:paraId="12C6717B">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960" w:firstLineChars="400"/>
              <w:textAlignment w:val="auto"/>
              <w:rPr>
                <w:rFonts w:hint="default" w:ascii="Times New Roman" w:hAnsi="Times New Roman" w:eastAsia="宋体" w:cs="Times New Roman"/>
                <w:color w:val="auto"/>
                <w:szCs w:val="20"/>
                <w:lang w:eastAsia="zh-CN"/>
              </w:rPr>
            </w:pPr>
            <w:r>
              <w:rPr>
                <w:rFonts w:hint="default" w:ascii="Times New Roman" w:hAnsi="Times New Roman" w:eastAsia="宋体" w:cs="Times New Roman"/>
                <w:color w:val="auto"/>
                <w:position w:val="-14"/>
                <w:szCs w:val="20"/>
              </w:rPr>
              <w:object>
                <v:shape id="_x0000_i1029" o:spt="75" type="#_x0000_t75" style="height:19pt;width:31pt;" o:ole="t" filled="f" o:preferrelative="t" stroked="f" coordsize="21600,21600">
                  <v:path/>
                  <v:fill on="f" focussize="0,0"/>
                  <v:stroke on="f"/>
                  <v:imagedata r:id="rId25" o:title=""/>
                  <o:lock v:ext="edit" aspectratio="t"/>
                  <w10:wrap type="none"/>
                  <w10:anchorlock/>
                </v:shape>
                <o:OLEObject Type="Embed" ProgID="Equation.KSEE3" ShapeID="_x0000_i1029" DrawAspect="Content" ObjectID="_1468075729" r:id="rId24">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lang w:val="en-US" w:eastAsia="zh-CN"/>
              </w:rPr>
              <w:t>预测点处声压级，dB；</w:t>
            </w:r>
          </w:p>
          <w:p w14:paraId="5914395D">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960" w:firstLineChars="400"/>
              <w:textAlignment w:val="auto"/>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position w:val="-14"/>
                <w:szCs w:val="20"/>
              </w:rPr>
              <w:object>
                <v:shape id="_x0000_i1030" o:spt="75" type="#_x0000_t75" style="height:19pt;width:34pt;" o:ole="t" filled="f" o:preferrelative="t" stroked="f" coordsize="21600,21600">
                  <v:path/>
                  <v:fill on="f" focussize="0,0"/>
                  <v:stroke on="f"/>
                  <v:imagedata r:id="rId27" o:title=""/>
                  <o:lock v:ext="edit" aspectratio="t"/>
                  <w10:wrap type="none"/>
                  <w10:anchorlock/>
                </v:shape>
                <o:OLEObject Type="Embed" ProgID="Equation.KSEE3" ShapeID="_x0000_i1030" DrawAspect="Content" ObjectID="_1468075730" r:id="rId26">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lang w:val="en-US" w:eastAsia="zh-CN"/>
              </w:rPr>
              <w:t>参考位置r</w:t>
            </w:r>
            <w:r>
              <w:rPr>
                <w:rFonts w:hint="default" w:ascii="Times New Roman" w:hAnsi="Times New Roman" w:eastAsia="宋体" w:cs="Times New Roman"/>
                <w:color w:val="auto"/>
                <w:szCs w:val="20"/>
                <w:vertAlign w:val="subscript"/>
                <w:lang w:val="en-US" w:eastAsia="zh-CN"/>
              </w:rPr>
              <w:t>0</w:t>
            </w:r>
            <w:r>
              <w:rPr>
                <w:rFonts w:hint="default" w:ascii="Times New Roman" w:hAnsi="Times New Roman" w:eastAsia="宋体" w:cs="Times New Roman"/>
                <w:color w:val="auto"/>
                <w:szCs w:val="20"/>
                <w:lang w:val="en-US" w:eastAsia="zh-CN"/>
              </w:rPr>
              <w:t>处的声压级，dB；</w:t>
            </w:r>
          </w:p>
          <w:p w14:paraId="29E210E0">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960" w:firstLineChars="400"/>
              <w:textAlignment w:val="auto"/>
              <w:rPr>
                <w:rFonts w:hint="default" w:ascii="Times New Roman" w:hAnsi="Times New Roman" w:eastAsia="宋体" w:cs="Times New Roman"/>
                <w:color w:val="auto"/>
                <w:position w:val="-6"/>
                <w:szCs w:val="20"/>
                <w:lang w:eastAsia="zh-CN"/>
              </w:rPr>
            </w:pPr>
            <w:r>
              <w:rPr>
                <w:rFonts w:hint="default" w:ascii="Times New Roman" w:hAnsi="Times New Roman" w:eastAsia="宋体" w:cs="Times New Roman"/>
                <w:color w:val="auto"/>
                <w:position w:val="-12"/>
                <w:szCs w:val="20"/>
                <w:lang w:eastAsia="zh-CN"/>
              </w:rPr>
              <w:object>
                <v:shape id="_x0000_i1031" o:spt="75" type="#_x0000_t75" style="height:18pt;width:19pt;" o:ole="t" filled="f" o:preferrelative="t" stroked="f" coordsize="21600,21600">
                  <v:path/>
                  <v:fill on="f" focussize="0,0"/>
                  <v:stroke on="f"/>
                  <v:imagedata r:id="rId29" o:title=""/>
                  <o:lock v:ext="edit" aspectratio="t"/>
                  <w10:wrap type="none"/>
                  <w10:anchorlock/>
                </v:shape>
                <o:OLEObject Type="Embed" ProgID="Equation.KSEE3" ShapeID="_x0000_i1031" DrawAspect="Content" ObjectID="_1468075731" r:id="rId28">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lang w:val="en-US" w:eastAsia="zh-CN"/>
              </w:rPr>
              <w:t>由点声源产生的声功率级（A计权或倍频带），dB；</w:t>
            </w:r>
          </w:p>
          <w:p w14:paraId="40036667">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960" w:firstLineChars="4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position w:val="-6"/>
                <w:szCs w:val="20"/>
              </w:rPr>
              <w:object>
                <v:shape id="_x0000_i1032" o:spt="75" type="#_x0000_t75" style="height:13.95pt;width:18pt;" o:ole="t" filled="f" o:preferrelative="t" stroked="f" coordsize="21600,21600">
                  <v:path/>
                  <v:fill on="f" alignshape="1" focussize="0,0"/>
                  <v:stroke on="f"/>
                  <v:imagedata r:id="rId31" o:title=""/>
                  <o:lock v:ext="edit" aspectratio="t"/>
                  <w10:wrap type="none"/>
                  <w10:anchorlock/>
                </v:shape>
                <o:OLEObject Type="Embed" ProgID="Equation.DSMT4" ShapeID="_x0000_i1032" DrawAspect="Content" ObjectID="_1468075732" r:id="rId30">
                  <o:LockedField>false</o:LockedField>
                </o:OLEObject>
              </w:object>
            </w:r>
            <w:r>
              <w:rPr>
                <w:rFonts w:hint="default" w:ascii="Times New Roman" w:hAnsi="Times New Roman" w:eastAsia="宋体" w:cs="Times New Roman"/>
                <w:color w:val="auto"/>
                <w:position w:val="-6"/>
                <w:szCs w:val="20"/>
                <w:lang w:eastAsia="zh-CN"/>
              </w:rPr>
              <w:t>—</w:t>
            </w:r>
            <w:r>
              <w:rPr>
                <w:rFonts w:hint="default" w:ascii="Times New Roman" w:hAnsi="Times New Roman" w:eastAsia="宋体" w:cs="Times New Roman"/>
                <w:color w:val="auto"/>
                <w:szCs w:val="20"/>
              </w:rPr>
              <w:t>指向性校正，</w:t>
            </w:r>
            <w:r>
              <w:rPr>
                <w:rFonts w:hint="default" w:ascii="Times New Roman" w:hAnsi="Times New Roman" w:eastAsia="宋体" w:cs="Times New Roman"/>
                <w:color w:val="auto"/>
                <w:szCs w:val="20"/>
                <w:lang w:val="en-US" w:eastAsia="zh-CN"/>
              </w:rPr>
              <w:t>它描述点声源的等效连续声压级与产生声功率级</w:t>
            </w:r>
            <w:r>
              <w:rPr>
                <w:rFonts w:hint="default" w:ascii="Times New Roman" w:hAnsi="Times New Roman" w:eastAsia="宋体" w:cs="Times New Roman"/>
                <w:color w:val="auto"/>
                <w:position w:val="-12"/>
                <w:szCs w:val="20"/>
                <w:lang w:eastAsia="zh-CN"/>
              </w:rPr>
              <w:object>
                <v:shape id="_x0000_i1033" o:spt="75" type="#_x0000_t75" style="height:18pt;width:19pt;" o:ole="t" filled="f" o:preferrelative="t" stroked="f" coordsize="21600,21600">
                  <v:path/>
                  <v:fill on="f" focussize="0,0"/>
                  <v:stroke on="f"/>
                  <v:imagedata r:id="rId29" o:title=""/>
                  <o:lock v:ext="edit" aspectratio="t"/>
                  <w10:wrap type="none"/>
                  <w10:anchorlock/>
                </v:shape>
                <o:OLEObject Type="Embed" ProgID="Equation.KSEE3" ShapeID="_x0000_i1033" DrawAspect="Content" ObjectID="_1468075733" r:id="rId32">
                  <o:LockedField>false</o:LockedField>
                </o:OLEObject>
              </w:object>
            </w:r>
            <w:r>
              <w:rPr>
                <w:rFonts w:hint="default" w:ascii="Times New Roman" w:hAnsi="Times New Roman" w:eastAsia="宋体" w:cs="Times New Roman"/>
                <w:color w:val="auto"/>
                <w:position w:val="-6"/>
                <w:szCs w:val="20"/>
                <w:lang w:val="en-US" w:eastAsia="zh-CN"/>
              </w:rPr>
              <w:t>的全向点声源在规定方向的声级的偏差程度，dB</w:t>
            </w:r>
            <w:r>
              <w:rPr>
                <w:rFonts w:hint="default" w:ascii="Times New Roman" w:hAnsi="Times New Roman" w:eastAsia="宋体" w:cs="Times New Roman"/>
                <w:color w:val="auto"/>
                <w:szCs w:val="20"/>
                <w:lang w:val="en-US" w:eastAsia="zh-CN"/>
              </w:rPr>
              <w:t>；</w:t>
            </w:r>
          </w:p>
          <w:p w14:paraId="3FF29F5A">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960" w:firstLineChars="4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position w:val="-6"/>
                <w:szCs w:val="20"/>
              </w:rPr>
              <w:object>
                <v:shape id="_x0000_i1034" o:spt="75" type="#_x0000_t75" style="height:18pt;width:20pt;" o:ole="t" filled="f" stroked="f" coordsize="21600,21600">
                  <v:path/>
                  <v:fill on="f" focussize="0,0"/>
                  <v:stroke on="f"/>
                  <v:imagedata r:id="rId34" o:title=""/>
                  <o:lock v:ext="edit" aspectratio="t"/>
                  <w10:wrap type="none"/>
                  <w10:anchorlock/>
                </v:shape>
                <o:OLEObject Type="Embed" ProgID="Equation.DSMT4" ShapeID="_x0000_i1034" DrawAspect="Content" ObjectID="_1468075734" r:id="rId33">
                  <o:LockedField>false</o:LockedField>
                </o:OLEObject>
              </w:object>
            </w:r>
            <w:r>
              <w:rPr>
                <w:rFonts w:hint="default" w:ascii="Times New Roman" w:hAnsi="Times New Roman" w:eastAsia="宋体" w:cs="Times New Roman"/>
                <w:color w:val="auto"/>
                <w:position w:val="-6"/>
                <w:szCs w:val="20"/>
              </w:rPr>
              <w:t>、</w:t>
            </w:r>
            <w:r>
              <w:rPr>
                <w:rFonts w:hint="default" w:ascii="Times New Roman" w:hAnsi="Times New Roman" w:eastAsia="宋体" w:cs="Times New Roman"/>
                <w:color w:val="auto"/>
                <w:position w:val="-6"/>
                <w:szCs w:val="20"/>
              </w:rPr>
              <w:object>
                <v:shape id="_x0000_i1035" o:spt="75" type="#_x0000_t75" style="height:18pt;width:22pt;" o:ole="t" filled="f" stroked="f" coordsize="21600,21600">
                  <v:path/>
                  <v:fill on="f" focussize="0,0"/>
                  <v:stroke on="f"/>
                  <v:imagedata r:id="rId36" o:title=""/>
                  <o:lock v:ext="edit" aspectratio="t"/>
                  <w10:wrap type="none"/>
                  <w10:anchorlock/>
                </v:shape>
                <o:OLEObject Type="Embed" ProgID="Equation.DSMT4" ShapeID="_x0000_i1035" DrawAspect="Content" ObjectID="_1468075735" r:id="rId35">
                  <o:LockedField>false</o:LockedField>
                </o:OLEObject>
              </w:object>
            </w:r>
            <w:r>
              <w:rPr>
                <w:rFonts w:hint="default" w:ascii="Times New Roman" w:hAnsi="Times New Roman" w:eastAsia="宋体" w:cs="Times New Roman"/>
                <w:color w:val="auto"/>
                <w:position w:val="-6"/>
                <w:szCs w:val="20"/>
              </w:rPr>
              <w:t>、</w:t>
            </w:r>
            <w:r>
              <w:rPr>
                <w:rFonts w:hint="default" w:ascii="Times New Roman" w:hAnsi="Times New Roman" w:eastAsia="宋体" w:cs="Times New Roman"/>
                <w:color w:val="auto"/>
                <w:position w:val="-6"/>
                <w:szCs w:val="20"/>
              </w:rPr>
              <w:object>
                <v:shape id="_x0000_i1036" o:spt="75" type="#_x0000_t75" style="height:19pt;width:18pt;" o:ole="t" filled="f" stroked="f" coordsize="21600,21600">
                  <v:path/>
                  <v:fill on="f" focussize="0,0"/>
                  <v:stroke on="f"/>
                  <v:imagedata r:id="rId38" o:title=""/>
                  <o:lock v:ext="edit" aspectratio="t"/>
                  <w10:wrap type="none"/>
                  <w10:anchorlock/>
                </v:shape>
                <o:OLEObject Type="Embed" ProgID="Equation.DSMT4" ShapeID="_x0000_i1036" DrawAspect="Content" ObjectID="_1468075736" r:id="rId37">
                  <o:LockedField>false</o:LockedField>
                </o:OLEObject>
              </w:object>
            </w:r>
            <w:r>
              <w:rPr>
                <w:rFonts w:hint="default" w:ascii="Times New Roman" w:hAnsi="Times New Roman" w:eastAsia="宋体" w:cs="Times New Roman"/>
                <w:color w:val="auto"/>
                <w:position w:val="-6"/>
                <w:szCs w:val="20"/>
              </w:rPr>
              <w:t>、</w:t>
            </w:r>
            <w:r>
              <w:rPr>
                <w:rFonts w:hint="default" w:ascii="Times New Roman" w:hAnsi="Times New Roman" w:eastAsia="宋体" w:cs="Times New Roman"/>
                <w:color w:val="auto"/>
                <w:position w:val="-6"/>
                <w:szCs w:val="20"/>
              </w:rPr>
              <w:object>
                <v:shape id="_x0000_i1037" o:spt="75" type="#_x0000_t75" style="height:18pt;width:21pt;" o:ole="t" filled="f" stroked="f" coordsize="21600,21600">
                  <v:path/>
                  <v:fill on="f" focussize="0,0"/>
                  <v:stroke on="f"/>
                  <v:imagedata r:id="rId40" o:title=""/>
                  <o:lock v:ext="edit" aspectratio="t"/>
                  <w10:wrap type="none"/>
                  <w10:anchorlock/>
                </v:shape>
                <o:OLEObject Type="Embed" ProgID="Equation.DSMT4" ShapeID="_x0000_i1037" DrawAspect="Content" ObjectID="_1468075737" r:id="rId39">
                  <o:LockedField>false</o:LockedField>
                </o:OLEObject>
              </w:object>
            </w:r>
            <w:r>
              <w:rPr>
                <w:rFonts w:hint="default" w:ascii="Times New Roman" w:hAnsi="Times New Roman" w:eastAsia="宋体" w:cs="Times New Roman"/>
                <w:color w:val="auto"/>
                <w:position w:val="-6"/>
                <w:szCs w:val="20"/>
              </w:rPr>
              <w:t>、</w:t>
            </w:r>
            <w:r>
              <w:rPr>
                <w:rFonts w:hint="default" w:ascii="Times New Roman" w:hAnsi="Times New Roman" w:eastAsia="宋体" w:cs="Times New Roman"/>
                <w:color w:val="auto"/>
                <w:position w:val="-6"/>
                <w:szCs w:val="20"/>
              </w:rPr>
              <w:object>
                <v:shape id="_x0000_i1038" o:spt="75" type="#_x0000_t75" style="height:18pt;width:24pt;" o:ole="t" filled="f" stroked="f" coordsize="21600,21600">
                  <v:path/>
                  <v:fill on="f" focussize="0,0"/>
                  <v:stroke on="f"/>
                  <v:imagedata r:id="rId42" o:title=""/>
                  <o:lock v:ext="edit" aspectratio="t"/>
                  <w10:wrap type="none"/>
                  <w10:anchorlock/>
                </v:shape>
                <o:OLEObject Type="Embed" ProgID="Equation.DSMT4" ShapeID="_x0000_i1038" DrawAspect="Content" ObjectID="_1468075738" r:id="rId41">
                  <o:LockedField>false</o:LockedField>
                </o:OLEObject>
              </w:object>
            </w:r>
            <w:r>
              <w:rPr>
                <w:rFonts w:hint="default" w:ascii="Times New Roman" w:hAnsi="Times New Roman" w:eastAsia="宋体" w:cs="Times New Roman"/>
                <w:color w:val="auto"/>
                <w:position w:val="-6"/>
                <w:szCs w:val="20"/>
                <w:lang w:eastAsia="zh-CN"/>
              </w:rPr>
              <w:t>—</w:t>
            </w:r>
            <w:r>
              <w:rPr>
                <w:rFonts w:hint="default" w:ascii="Times New Roman" w:hAnsi="Times New Roman" w:eastAsia="宋体" w:cs="Times New Roman"/>
                <w:color w:val="auto"/>
                <w:position w:val="-6"/>
                <w:szCs w:val="20"/>
              </w:rPr>
              <w:t>分别指几何发散、大气吸收</w:t>
            </w:r>
            <w:r>
              <w:rPr>
                <w:rFonts w:hint="default" w:ascii="Times New Roman" w:hAnsi="Times New Roman" w:eastAsia="宋体" w:cs="Times New Roman"/>
                <w:color w:val="auto"/>
                <w:position w:val="-6"/>
                <w:szCs w:val="20"/>
                <w:lang w:eastAsia="zh-CN"/>
              </w:rPr>
              <w:t>、</w:t>
            </w:r>
            <w:r>
              <w:rPr>
                <w:rFonts w:hint="default" w:ascii="Times New Roman" w:hAnsi="Times New Roman" w:eastAsia="宋体" w:cs="Times New Roman"/>
                <w:color w:val="auto"/>
                <w:position w:val="-6"/>
                <w:szCs w:val="20"/>
              </w:rPr>
              <w:t>地面效应、</w:t>
            </w:r>
            <w:r>
              <w:rPr>
                <w:rFonts w:hint="default" w:ascii="Times New Roman" w:hAnsi="Times New Roman" w:eastAsia="宋体" w:cs="Times New Roman"/>
                <w:color w:val="auto"/>
                <w:position w:val="-6"/>
                <w:szCs w:val="20"/>
                <w:lang w:val="en-US" w:eastAsia="zh-CN"/>
              </w:rPr>
              <w:t>障碍物屏障</w:t>
            </w:r>
            <w:r>
              <w:rPr>
                <w:rFonts w:hint="default" w:ascii="Times New Roman" w:hAnsi="Times New Roman" w:eastAsia="宋体" w:cs="Times New Roman"/>
                <w:color w:val="auto"/>
                <w:position w:val="-6"/>
                <w:szCs w:val="20"/>
              </w:rPr>
              <w:t>、其他多方面</w:t>
            </w:r>
            <w:r>
              <w:rPr>
                <w:rFonts w:hint="default" w:ascii="Times New Roman" w:hAnsi="Times New Roman" w:eastAsia="宋体" w:cs="Times New Roman"/>
                <w:color w:val="auto"/>
                <w:position w:val="-6"/>
                <w:szCs w:val="20"/>
                <w:lang w:val="en-US" w:eastAsia="zh-CN"/>
              </w:rPr>
              <w:t>效应</w:t>
            </w:r>
            <w:r>
              <w:rPr>
                <w:rFonts w:hint="default" w:ascii="Times New Roman" w:hAnsi="Times New Roman" w:eastAsia="宋体" w:cs="Times New Roman"/>
                <w:color w:val="auto"/>
                <w:position w:val="-6"/>
                <w:szCs w:val="20"/>
              </w:rPr>
              <w:t>引起的衰减，dB</w:t>
            </w:r>
            <w:r>
              <w:rPr>
                <w:rFonts w:hint="default" w:ascii="Times New Roman" w:hAnsi="Times New Roman" w:eastAsia="宋体" w:cs="Times New Roman"/>
                <w:color w:val="auto"/>
                <w:position w:val="-6"/>
                <w:szCs w:val="20"/>
                <w:lang w:eastAsia="zh-CN"/>
              </w:rPr>
              <w:t>。</w:t>
            </w:r>
          </w:p>
          <w:p w14:paraId="66BE4907">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②室内声源等效室外声源声功率级计算方法</w:t>
            </w:r>
          </w:p>
          <w:p w14:paraId="69BF049B">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如图</w:t>
            </w:r>
            <w:r>
              <w:rPr>
                <w:rFonts w:hint="default" w:ascii="Times New Roman" w:hAnsi="Times New Roman" w:eastAsia="宋体" w:cs="Times New Roman"/>
                <w:color w:val="auto"/>
                <w:szCs w:val="20"/>
                <w:lang w:val="en-US" w:eastAsia="zh-CN"/>
              </w:rPr>
              <w:t>4-3</w:t>
            </w:r>
            <w:r>
              <w:rPr>
                <w:rFonts w:hint="default" w:ascii="Times New Roman" w:hAnsi="Times New Roman" w:eastAsia="宋体" w:cs="Times New Roman"/>
                <w:color w:val="auto"/>
                <w:szCs w:val="20"/>
              </w:rPr>
              <w:t>所示，声源位于室内，室内声源可采用等效室外声源声功率级法进行计算。设靠近开口处（或窗户）室内、室外某倍频带的声压级</w:t>
            </w:r>
            <w:r>
              <w:rPr>
                <w:rFonts w:hint="default" w:ascii="Times New Roman" w:hAnsi="Times New Roman" w:eastAsia="宋体" w:cs="Times New Roman"/>
                <w:color w:val="auto"/>
                <w:szCs w:val="20"/>
                <w:lang w:val="en-US" w:eastAsia="zh-CN"/>
              </w:rPr>
              <w:t>或A声级</w:t>
            </w:r>
            <w:r>
              <w:rPr>
                <w:rFonts w:hint="default" w:ascii="Times New Roman" w:hAnsi="Times New Roman" w:eastAsia="宋体" w:cs="Times New Roman"/>
                <w:color w:val="auto"/>
                <w:szCs w:val="20"/>
              </w:rPr>
              <w:t>分别为</w:t>
            </w:r>
            <w:r>
              <w:rPr>
                <w:rFonts w:hint="default" w:ascii="Times New Roman" w:hAnsi="Times New Roman" w:eastAsia="宋体" w:cs="Times New Roman"/>
                <w:color w:val="auto"/>
                <w:position w:val="-14"/>
                <w:szCs w:val="20"/>
              </w:rPr>
              <w:object>
                <v:shape id="_x0000_i1039" o:spt="75" type="#_x0000_t75" style="height:19pt;width:18pt;" o:ole="t" filled="f" o:preferrelative="t" stroked="f" coordsize="21600,21600">
                  <v:path/>
                  <v:fill on="f" alignshape="1" focussize="0,0"/>
                  <v:stroke on="f"/>
                  <v:imagedata r:id="rId44" o:title=""/>
                  <o:lock v:ext="edit" aspectratio="t"/>
                  <w10:wrap type="none"/>
                  <w10:anchorlock/>
                </v:shape>
                <o:OLEObject Type="Embed" ProgID="Equation.DSMT4" ShapeID="_x0000_i1039" DrawAspect="Content" ObjectID="_1468075739" r:id="rId43">
                  <o:LockedField>false</o:LockedField>
                </o:OLEObject>
              </w:objec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position w:val="-14"/>
                <w:szCs w:val="20"/>
              </w:rPr>
              <w:object>
                <v:shape id="_x0000_i1040" o:spt="75" type="#_x0000_t75" style="height:19pt;width:19pt;" o:ole="t" filled="f" o:preferrelative="t" stroked="f" coordsize="21600,21600">
                  <v:path/>
                  <v:fill on="f" alignshape="1" focussize="0,0"/>
                  <v:stroke on="f"/>
                  <v:imagedata r:id="rId46" o:title=""/>
                  <o:lock v:ext="edit" aspectratio="t"/>
                  <w10:wrap type="none"/>
                  <w10:anchorlock/>
                </v:shape>
                <o:OLEObject Type="Embed" ProgID="Equation.DSMT4" ShapeID="_x0000_i1040" DrawAspect="Content" ObjectID="_1468075740" r:id="rId45">
                  <o:LockedField>false</o:LockedField>
                </o:OLEObject>
              </w:object>
            </w:r>
            <w:r>
              <w:rPr>
                <w:rFonts w:hint="default" w:ascii="Times New Roman" w:hAnsi="Times New Roman" w:eastAsia="宋体" w:cs="Times New Roman"/>
                <w:color w:val="auto"/>
                <w:szCs w:val="20"/>
              </w:rPr>
              <w:t>。若声源所在室内声场为近似扩散声场，则室外的倍频带声压级可按下式近似求出：</w:t>
            </w:r>
          </w:p>
          <w:p w14:paraId="11507F60">
            <w:pPr>
              <w:pStyle w:val="11"/>
              <w:spacing w:line="240" w:lineRule="auto"/>
              <w:ind w:firstLine="3000" w:firstLineChars="1250"/>
              <w:rPr>
                <w:rFonts w:hint="default" w:ascii="Times New Roman" w:hAnsi="Times New Roman" w:eastAsia="宋体" w:cs="Times New Roman"/>
                <w:color w:val="auto"/>
                <w:szCs w:val="20"/>
              </w:rPr>
            </w:pPr>
            <w:r>
              <w:rPr>
                <w:rFonts w:hint="default" w:ascii="Times New Roman" w:hAnsi="Times New Roman" w:eastAsia="宋体" w:cs="Times New Roman"/>
                <w:color w:val="auto"/>
                <w:position w:val="-14"/>
                <w:szCs w:val="20"/>
              </w:rPr>
              <w:object>
                <v:shape id="_x0000_i1041" o:spt="75" type="#_x0000_t75" style="height:20pt;width:91pt;" o:ole="t" filled="f" o:preferrelative="t" stroked="f" coordsize="21600,21600">
                  <v:path/>
                  <v:fill on="f" alignshape="1" focussize="0,0"/>
                  <v:stroke on="f"/>
                  <v:imagedata r:id="rId48" o:title=""/>
                  <o:lock v:ext="edit" aspectratio="t"/>
                  <w10:wrap type="none"/>
                  <w10:anchorlock/>
                </v:shape>
                <o:OLEObject Type="Embed" ProgID="Equation.DSMT4" ShapeID="_x0000_i1041" DrawAspect="Content" ObjectID="_1468075741" r:id="rId47">
                  <o:LockedField>false</o:LockedField>
                </o:OLEObject>
              </w:object>
            </w:r>
          </w:p>
          <w:p w14:paraId="545247F0">
            <w:pPr>
              <w:pStyle w:val="11"/>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式中：</w:t>
            </w:r>
          </w:p>
          <w:p w14:paraId="30397527">
            <w:pPr>
              <w:pStyle w:val="11"/>
              <w:keepNext w:val="0"/>
              <w:keepLines w:val="0"/>
              <w:pageBreakBefore w:val="0"/>
              <w:widowControl w:val="0"/>
              <w:kinsoku/>
              <w:wordWrap/>
              <w:overflowPunct/>
              <w:topLinePunct w:val="0"/>
              <w:autoSpaceDE/>
              <w:autoSpaceDN/>
              <w:bidi w:val="0"/>
              <w:adjustRightInd/>
              <w:snapToGrid/>
              <w:spacing w:line="240" w:lineRule="auto"/>
              <w:ind w:firstLine="720" w:firstLineChars="300"/>
              <w:textAlignment w:val="auto"/>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position w:val="-14"/>
                <w:szCs w:val="20"/>
                <w:lang w:eastAsia="zh-CN"/>
              </w:rPr>
              <w:object>
                <v:shape id="_x0000_i1042" o:spt="75" type="#_x0000_t75" style="height:19pt;width:19pt;" o:ole="t" filled="f" o:preferrelative="t" stroked="f" coordsize="21600,21600">
                  <v:path/>
                  <v:fill on="f" focussize="0,0"/>
                  <v:stroke on="f"/>
                  <v:imagedata r:id="rId50" o:title=""/>
                  <o:lock v:ext="edit" aspectratio="t"/>
                  <w10:wrap type="none"/>
                  <w10:anchorlock/>
                </v:shape>
                <o:OLEObject Type="Embed" ProgID="Equation.KSEE3" ShapeID="_x0000_i1042" DrawAspect="Content" ObjectID="_1468075742" r:id="rId49">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lang w:val="en-US" w:eastAsia="zh-CN"/>
              </w:rPr>
              <w:t>靠近开口处（或窗户）室内某倍频带的声压级或A声级，dB；</w:t>
            </w:r>
          </w:p>
          <w:p w14:paraId="223FDA3A">
            <w:pPr>
              <w:pStyle w:val="11"/>
              <w:keepNext w:val="0"/>
              <w:keepLines w:val="0"/>
              <w:pageBreakBefore w:val="0"/>
              <w:widowControl w:val="0"/>
              <w:kinsoku/>
              <w:wordWrap/>
              <w:overflowPunct/>
              <w:topLinePunct w:val="0"/>
              <w:autoSpaceDE/>
              <w:autoSpaceDN/>
              <w:bidi w:val="0"/>
              <w:adjustRightInd/>
              <w:snapToGrid/>
              <w:spacing w:line="240" w:lineRule="auto"/>
              <w:ind w:firstLine="720" w:firstLineChars="300"/>
              <w:textAlignment w:val="auto"/>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position w:val="-14"/>
                <w:szCs w:val="20"/>
                <w:lang w:eastAsia="zh-CN"/>
              </w:rPr>
              <w:object>
                <v:shape id="_x0000_i1043" o:spt="75" type="#_x0000_t75" style="height:19pt;width:19pt;" o:ole="t" filled="f" o:preferrelative="t" stroked="f" coordsize="21600,21600">
                  <v:path/>
                  <v:fill on="f" focussize="0,0"/>
                  <v:stroke on="f"/>
                  <v:imagedata r:id="rId52" o:title=""/>
                  <o:lock v:ext="edit" aspectratio="t"/>
                  <w10:wrap type="none"/>
                  <w10:anchorlock/>
                </v:shape>
                <o:OLEObject Type="Embed" ProgID="Equation.KSEE3" ShapeID="_x0000_i1043" DrawAspect="Content" ObjectID="_1468075743" r:id="rId51">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lang w:val="en-US" w:eastAsia="zh-CN"/>
              </w:rPr>
              <w:t>靠近开口处（或窗户）室外某倍频带的声压级或A声级，dB；</w:t>
            </w:r>
          </w:p>
          <w:p w14:paraId="7D7EB16F">
            <w:pPr>
              <w:pStyle w:val="11"/>
              <w:keepNext w:val="0"/>
              <w:keepLines w:val="0"/>
              <w:pageBreakBefore w:val="0"/>
              <w:widowControl w:val="0"/>
              <w:kinsoku/>
              <w:wordWrap/>
              <w:overflowPunct/>
              <w:topLinePunct w:val="0"/>
              <w:autoSpaceDE/>
              <w:autoSpaceDN/>
              <w:bidi w:val="0"/>
              <w:adjustRightInd/>
              <w:snapToGrid/>
              <w:spacing w:line="240" w:lineRule="auto"/>
              <w:ind w:firstLine="720" w:firstLineChars="3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position w:val="-4"/>
                <w:szCs w:val="20"/>
              </w:rPr>
              <w:object>
                <v:shape id="_x0000_i1044" o:spt="75" type="#_x0000_t75" style="height:13pt;width:17pt;" o:ole="t" filled="f" o:preferrelative="t" stroked="f" coordsize="21600,21600">
                  <v:path/>
                  <v:fill on="f" alignshape="1" focussize="0,0"/>
                  <v:stroke on="f"/>
                  <v:imagedata r:id="rId54" o:title=""/>
                  <o:lock v:ext="edit" aspectratio="t"/>
                  <w10:wrap type="none"/>
                  <w10:anchorlock/>
                </v:shape>
                <o:OLEObject Type="Embed" ProgID="Equation.DSMT4" ShapeID="_x0000_i1044" DrawAspect="Content" ObjectID="_1468075744" r:id="rId53">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隔墙（或窗户）倍频带</w:t>
            </w:r>
            <w:r>
              <w:rPr>
                <w:rFonts w:hint="default" w:ascii="Times New Roman" w:hAnsi="Times New Roman" w:eastAsia="宋体" w:cs="Times New Roman"/>
                <w:color w:val="auto"/>
                <w:szCs w:val="20"/>
                <w:lang w:val="en-US" w:eastAsia="zh-CN"/>
              </w:rPr>
              <w:t>或A声级</w:t>
            </w:r>
            <w:r>
              <w:rPr>
                <w:rFonts w:hint="default" w:ascii="Times New Roman" w:hAnsi="Times New Roman" w:eastAsia="宋体" w:cs="Times New Roman"/>
                <w:color w:val="auto"/>
                <w:szCs w:val="20"/>
              </w:rPr>
              <w:t>的隔声量，dB。</w:t>
            </w:r>
          </w:p>
          <w:p w14:paraId="23AFDF7B">
            <w:pPr>
              <w:widowControl/>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drawing>
                <wp:inline distT="0" distB="0" distL="114300" distR="114300">
                  <wp:extent cx="3312795" cy="1800225"/>
                  <wp:effectExtent l="0" t="0" r="9525" b="13335"/>
                  <wp:docPr id="27" name="图片 40" descr="M)${~LN[]U69NF`@NZ[4P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descr="M)${~LN[]U69NF`@NZ[4PU8"/>
                          <pic:cNvPicPr>
                            <a:picLocks noChangeAspect="1"/>
                          </pic:cNvPicPr>
                        </pic:nvPicPr>
                        <pic:blipFill>
                          <a:blip r:embed="rId55"/>
                          <a:stretch>
                            <a:fillRect/>
                          </a:stretch>
                        </pic:blipFill>
                        <pic:spPr>
                          <a:xfrm>
                            <a:off x="0" y="0"/>
                            <a:ext cx="3312795" cy="1800225"/>
                          </a:xfrm>
                          <a:prstGeom prst="rect">
                            <a:avLst/>
                          </a:prstGeom>
                          <a:noFill/>
                          <a:ln>
                            <a:noFill/>
                          </a:ln>
                        </pic:spPr>
                      </pic:pic>
                    </a:graphicData>
                  </a:graphic>
                </wp:inline>
              </w:drawing>
            </w:r>
          </w:p>
          <w:p w14:paraId="0269441F">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图4-</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室内声源等效为室外声源图例</w:t>
            </w:r>
          </w:p>
          <w:p w14:paraId="7C6D934F">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也可按下式计算某一室内声源靠近围护结构处产生的倍频带声压级</w:t>
            </w:r>
            <w:r>
              <w:rPr>
                <w:rFonts w:hint="default" w:ascii="Times New Roman" w:hAnsi="Times New Roman" w:eastAsia="宋体" w:cs="Times New Roman"/>
                <w:color w:val="auto"/>
                <w:szCs w:val="20"/>
                <w:lang w:val="en-US" w:eastAsia="zh-CN"/>
              </w:rPr>
              <w:t>或A声级</w:t>
            </w:r>
            <w:r>
              <w:rPr>
                <w:rFonts w:hint="default" w:ascii="Times New Roman" w:hAnsi="Times New Roman" w:eastAsia="宋体" w:cs="Times New Roman"/>
                <w:color w:val="auto"/>
                <w:szCs w:val="20"/>
              </w:rPr>
              <w:t>：</w:t>
            </w:r>
          </w:p>
          <w:p w14:paraId="031F198B">
            <w:pPr>
              <w:pStyle w:val="11"/>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object>
                <v:shape id="_x0000_i1045" o:spt="75" type="#_x0000_t75" style="height:34pt;width:137pt;" o:ole="t" filled="f" o:preferrelative="t" stroked="f" coordsize="21600,21600">
                  <v:path/>
                  <v:fill on="f" alignshape="1" focussize="0,0"/>
                  <v:stroke on="f"/>
                  <v:imagedata r:id="rId57" o:title=""/>
                  <o:lock v:ext="edit" aspectratio="t"/>
                  <w10:wrap type="none"/>
                  <w10:anchorlock/>
                </v:shape>
                <o:OLEObject Type="Embed" ProgID="Equation.DSMT4" ShapeID="_x0000_i1045" DrawAspect="Content" ObjectID="_1468075745" r:id="rId56">
                  <o:LockedField>false</o:LockedField>
                </o:OLEObject>
              </w:object>
            </w:r>
          </w:p>
          <w:p w14:paraId="7B0F975A">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式中：</w:t>
            </w:r>
          </w:p>
          <w:p w14:paraId="311ED250">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720" w:firstLineChars="3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position w:val="-10"/>
                <w:szCs w:val="20"/>
              </w:rPr>
              <w:object>
                <v:shape id="_x0000_i1046" o:spt="75" type="#_x0000_t75" style="height:16pt;width:12pt;" o:ole="t" filled="f" o:preferrelative="t" stroked="f" coordsize="21600,21600">
                  <v:path/>
                  <v:fill on="f" alignshape="1" focussize="0,0"/>
                  <v:stroke on="f"/>
                  <v:imagedata r:id="rId59" o:title=""/>
                  <o:lock v:ext="edit" aspectratio="t"/>
                  <w10:wrap type="none"/>
                  <w10:anchorlock/>
                </v:shape>
                <o:OLEObject Type="Embed" ProgID="Equation.DSMT4" ShapeID="_x0000_i1046" DrawAspect="Content" ObjectID="_1468075746" r:id="rId58">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指向性因素；通常对无指向性声源，当声源放在房间</w:t>
            </w:r>
            <w:r>
              <w:rPr>
                <w:rFonts w:hint="default" w:ascii="Times New Roman" w:hAnsi="Times New Roman" w:eastAsia="宋体" w:cs="Times New Roman"/>
                <w:color w:val="auto"/>
                <w:szCs w:val="20"/>
                <w:lang w:eastAsia="zh-CN"/>
              </w:rPr>
              <w:t>中</w:t>
            </w:r>
            <w:r>
              <w:rPr>
                <w:rFonts w:hint="default" w:ascii="Times New Roman" w:hAnsi="Times New Roman" w:eastAsia="宋体" w:cs="Times New Roman"/>
                <w:color w:val="auto"/>
                <w:szCs w:val="20"/>
              </w:rPr>
              <w:t>心时，Q=1；当放在一面墙的中心时，Q=2；当放在两面墙夹角处时，Q=4；当放在三面墙夹角处时，Q=8。</w:t>
            </w:r>
          </w:p>
          <w:p w14:paraId="60471C98">
            <w:pPr>
              <w:pStyle w:val="11"/>
              <w:keepNext w:val="0"/>
              <w:keepLines w:val="0"/>
              <w:pageBreakBefore w:val="0"/>
              <w:widowControl w:val="0"/>
              <w:kinsoku/>
              <w:wordWrap/>
              <w:overflowPunct/>
              <w:topLinePunct w:val="0"/>
              <w:autoSpaceDE/>
              <w:autoSpaceDN/>
              <w:bidi w:val="0"/>
              <w:adjustRightInd/>
              <w:snapToGrid/>
              <w:spacing w:after="0" w:line="360" w:lineRule="auto"/>
              <w:ind w:left="-19" w:leftChars="-9" w:firstLine="720" w:firstLineChars="3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position w:val="-4"/>
                <w:szCs w:val="20"/>
              </w:rPr>
              <w:object>
                <v:shape id="_x0000_i1047" o:spt="75" type="#_x0000_t75" style="height:13pt;width:12pt;" o:ole="t" filled="f" o:preferrelative="t" stroked="f" coordsize="21600,21600">
                  <v:path/>
                  <v:fill on="f" alignshape="1" focussize="0,0"/>
                  <v:stroke on="f"/>
                  <v:imagedata r:id="rId61" o:title=""/>
                  <o:lock v:ext="edit" aspectratio="t"/>
                  <w10:wrap type="none"/>
                  <w10:anchorlock/>
                </v:shape>
                <o:OLEObject Type="Embed" ProgID="Equation.DSMT4" ShapeID="_x0000_i1047" DrawAspect="Content" ObjectID="_1468075747" r:id="rId60">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房间常数；</w:t>
            </w:r>
            <w:r>
              <w:rPr>
                <w:rFonts w:hint="default" w:ascii="Times New Roman" w:hAnsi="Times New Roman" w:eastAsia="宋体" w:cs="Times New Roman"/>
                <w:color w:val="auto"/>
                <w:position w:val="-10"/>
                <w:szCs w:val="20"/>
              </w:rPr>
              <w:object>
                <v:shape id="_x0000_i1048" o:spt="75" type="#_x0000_t75" style="height:16pt;width:77pt;" o:ole="t" filled="f" o:preferrelative="t" stroked="f" coordsize="21600,21600">
                  <v:path/>
                  <v:fill on="f" alignshape="1" focussize="0,0"/>
                  <v:stroke on="f"/>
                  <v:imagedata r:id="rId63" o:title=""/>
                  <o:lock v:ext="edit" aspectratio="t"/>
                  <w10:wrap type="none"/>
                  <w10:anchorlock/>
                </v:shape>
                <o:OLEObject Type="Embed" ProgID="Equation.DSMT4" ShapeID="_x0000_i1048" DrawAspect="Content" ObjectID="_1468075748" r:id="rId62">
                  <o:LockedField>false</o:LockedField>
                </o:OLEObject>
              </w:objec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position w:val="-6"/>
                <w:szCs w:val="20"/>
              </w:rPr>
              <w:object>
                <v:shape id="_x0000_i1049" o:spt="75" type="#_x0000_t75" style="height:12.85pt;width:10.15pt;" o:ole="t" filled="f" o:preferrelative="t" stroked="f" coordsize="21600,21600">
                  <v:path/>
                  <v:fill on="f" alignshape="1" focussize="0,0"/>
                  <v:stroke on="f"/>
                  <v:imagedata r:id="rId65" o:title=""/>
                  <o:lock v:ext="edit" aspectratio="t"/>
                  <w10:wrap type="none"/>
                  <w10:anchorlock/>
                </v:shape>
                <o:OLEObject Type="Embed" ProgID="Equation.DSMT4" ShapeID="_x0000_i1049" DrawAspect="Content" ObjectID="_1468075749" r:id="rId64">
                  <o:LockedField>false</o:LockedField>
                </o:OLEObject>
              </w:object>
            </w:r>
            <w:r>
              <w:rPr>
                <w:rFonts w:hint="default" w:ascii="Times New Roman" w:hAnsi="Times New Roman" w:eastAsia="宋体" w:cs="Times New Roman"/>
                <w:color w:val="auto"/>
                <w:szCs w:val="20"/>
              </w:rPr>
              <w:t>为房间内表面面积，m</w:t>
            </w:r>
            <w:r>
              <w:rPr>
                <w:rFonts w:hint="default" w:ascii="Times New Roman" w:hAnsi="Times New Roman" w:eastAsia="宋体" w:cs="Times New Roman"/>
                <w:color w:val="auto"/>
                <w:szCs w:val="20"/>
                <w:vertAlign w:val="superscript"/>
              </w:rPr>
              <w:t>2</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position w:val="-6"/>
                <w:szCs w:val="20"/>
              </w:rPr>
              <w:object>
                <v:shape id="_x0000_i1050" o:spt="75" type="#_x0000_t75" style="height:10.15pt;width:11.1pt;" o:ole="t" filled="f" o:preferrelative="t" stroked="f" coordsize="21600,21600">
                  <v:path/>
                  <v:fill on="f" alignshape="1" focussize="0,0"/>
                  <v:stroke on="f"/>
                  <v:imagedata r:id="rId67" o:title=""/>
                  <o:lock v:ext="edit" aspectratio="t"/>
                  <w10:wrap type="none"/>
                  <w10:anchorlock/>
                </v:shape>
                <o:OLEObject Type="Embed" ProgID="Equation.DSMT4" ShapeID="_x0000_i1050" DrawAspect="Content" ObjectID="_1468075750" r:id="rId66">
                  <o:LockedField>false</o:LockedField>
                </o:OLEObject>
              </w:object>
            </w:r>
            <w:r>
              <w:rPr>
                <w:rFonts w:hint="default" w:ascii="Times New Roman" w:hAnsi="Times New Roman" w:eastAsia="宋体" w:cs="Times New Roman"/>
                <w:color w:val="auto"/>
                <w:szCs w:val="20"/>
              </w:rPr>
              <w:t>为平均吸声系数。</w:t>
            </w:r>
          </w:p>
          <w:p w14:paraId="6CD5C999">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720" w:firstLineChars="3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position w:val="-4"/>
                <w:szCs w:val="20"/>
              </w:rPr>
              <w:object>
                <v:shape id="_x0000_i1051" o:spt="75" type="#_x0000_t75" style="height:10pt;width:9pt;" o:ole="t" filled="f" o:preferrelative="t" stroked="f" coordsize="21600,21600">
                  <v:path/>
                  <v:fill on="f" alignshape="1" focussize="0,0"/>
                  <v:stroke on="f"/>
                  <v:imagedata r:id="rId69" o:title=""/>
                  <o:lock v:ext="edit" aspectratio="t"/>
                  <w10:wrap type="none"/>
                  <w10:anchorlock/>
                </v:shape>
                <o:OLEObject Type="Embed" ProgID="Equation.DSMT4" ShapeID="_x0000_i1051" DrawAspect="Content" ObjectID="_1468075751" r:id="rId68">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声源到靠近维护结构某点处距离，m。</w:t>
            </w:r>
          </w:p>
          <w:p w14:paraId="182720F5">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然后按下式计算出所有室内声源在围护结构处产生的i倍频带叠加声压级：</w:t>
            </w:r>
          </w:p>
          <w:p w14:paraId="743CCF06">
            <w:pPr>
              <w:pStyle w:val="11"/>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object>
                <v:shape id="_x0000_i1052" o:spt="75" type="#_x0000_t75" style="height:42.5pt;width:150.1pt;" o:ole="t" filled="f" o:preferrelative="t" stroked="f" coordsize="21600,21600">
                  <v:path/>
                  <v:fill on="f" focussize="0,0"/>
                  <v:stroke on="f"/>
                  <v:imagedata r:id="rId71" o:title=""/>
                  <o:lock v:ext="edit" aspectratio="t"/>
                  <w10:wrap type="none"/>
                  <w10:anchorlock/>
                </v:shape>
                <o:OLEObject Type="Embed" ProgID="Equation.DSMT4" ShapeID="_x0000_i1052" DrawAspect="Content" ObjectID="_1468075752" r:id="rId70">
                  <o:LockedField>false</o:LockedField>
                </o:OLEObject>
              </w:object>
            </w:r>
          </w:p>
          <w:p w14:paraId="16905004">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式中：</w:t>
            </w:r>
          </w:p>
          <w:p w14:paraId="24E471C8">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720" w:firstLineChars="3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position w:val="-14"/>
                <w:szCs w:val="20"/>
              </w:rPr>
              <w:object>
                <v:shape id="_x0000_i1053" o:spt="75" type="#_x0000_t75" style="height:19pt;width:37pt;" o:ole="t" filled="f" o:preferrelative="t" stroked="f" coordsize="21600,21600">
                  <v:path/>
                  <v:fill on="f" alignshape="1" focussize="0,0"/>
                  <v:stroke on="f"/>
                  <v:imagedata r:id="rId73" o:title=""/>
                  <o:lock v:ext="edit" aspectratio="t"/>
                  <w10:wrap type="none"/>
                  <w10:anchorlock/>
                </v:shape>
                <o:OLEObject Type="Embed" ProgID="Equation.DSMT4" ShapeID="_x0000_i1053" DrawAspect="Content" ObjectID="_1468075753" r:id="rId72">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靠近围护结构处室内N个声源i倍频带的叠加声压级，dB；</w:t>
            </w:r>
          </w:p>
          <w:p w14:paraId="471C1606">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720" w:firstLineChars="3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position w:val="-14"/>
                <w:szCs w:val="20"/>
              </w:rPr>
              <w:object>
                <v:shape id="_x0000_i1054" o:spt="75" type="#_x0000_t75" style="height:19pt;width:24pt;" o:ole="t" filled="f" o:preferrelative="t" stroked="f" coordsize="21600,21600">
                  <v:path/>
                  <v:fill on="f" alignshape="1" focussize="0,0"/>
                  <v:stroke on="f"/>
                  <v:imagedata r:id="rId75" o:title=""/>
                  <o:lock v:ext="edit" aspectratio="t"/>
                  <w10:wrap type="none"/>
                  <w10:anchorlock/>
                </v:shape>
                <o:OLEObject Type="Embed" ProgID="Equation.DSMT4" ShapeID="_x0000_i1054" DrawAspect="Content" ObjectID="_1468075754" r:id="rId74">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室内j声源i倍频带的声压级，dB；</w:t>
            </w:r>
          </w:p>
          <w:p w14:paraId="511DE675">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720" w:firstLineChars="3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position w:val="-6"/>
                <w:szCs w:val="20"/>
              </w:rPr>
              <w:object>
                <v:shape id="_x0000_i1055" o:spt="75" type="#_x0000_t75" style="height:13.95pt;width:13.95pt;" o:ole="t" filled="f" o:preferrelative="t" stroked="f" coordsize="21600,21600">
                  <v:path/>
                  <v:fill on="f" alignshape="1" focussize="0,0"/>
                  <v:stroke on="f"/>
                  <v:imagedata r:id="rId77" o:title=""/>
                  <o:lock v:ext="edit" aspectratio="t"/>
                  <w10:wrap type="none"/>
                  <w10:anchorlock/>
                </v:shape>
                <o:OLEObject Type="Embed" ProgID="Equation.DSMT4" ShapeID="_x0000_i1055" DrawAspect="Content" ObjectID="_1468075755" r:id="rId76">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室内声源总数。</w:t>
            </w:r>
          </w:p>
          <w:p w14:paraId="48A97FA0">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在室内近似为扩散声场时，按下式计算出靠近室外围护结构处的声压级：</w:t>
            </w:r>
          </w:p>
          <w:p w14:paraId="711196E8">
            <w:pPr>
              <w:pStyle w:val="11"/>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object>
                <v:shape id="_x0000_i1056" o:spt="75" type="#_x0000_t75" style="height:28.35pt;width:198.4pt;" o:ole="t" filled="f" o:preferrelative="t" stroked="f" coordsize="21600,21600">
                  <v:path/>
                  <v:fill on="f" focussize="0,0"/>
                  <v:stroke on="f"/>
                  <v:imagedata r:id="rId79" o:title=""/>
                  <o:lock v:ext="edit" aspectratio="t"/>
                  <w10:wrap type="none"/>
                  <w10:anchorlock/>
                </v:shape>
                <o:OLEObject Type="Embed" ProgID="Equation.DSMT4" ShapeID="_x0000_i1056" DrawAspect="Content" ObjectID="_1468075756" r:id="rId78">
                  <o:LockedField>false</o:LockedField>
                </o:OLEObject>
              </w:object>
            </w:r>
          </w:p>
          <w:p w14:paraId="408694DC">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式中：</w:t>
            </w:r>
          </w:p>
          <w:p w14:paraId="3C3587F3">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720" w:firstLineChars="3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position w:val="-14"/>
                <w:szCs w:val="20"/>
              </w:rPr>
              <w:object>
                <v:shape id="_x0000_i1057" o:spt="75" type="#_x0000_t75" style="height:19pt;width:39pt;" o:ole="t" filled="f" o:preferrelative="t" stroked="f" coordsize="21600,21600">
                  <v:path/>
                  <v:fill on="f" alignshape="1" focussize="0,0"/>
                  <v:stroke on="f"/>
                  <v:imagedata r:id="rId81" o:title=""/>
                  <o:lock v:ext="edit" aspectratio="t"/>
                  <w10:wrap type="none"/>
                  <w10:anchorlock/>
                </v:shape>
                <o:OLEObject Type="Embed" ProgID="Equation.DSMT4" ShapeID="_x0000_i1057" DrawAspect="Content" ObjectID="_1468075757" r:id="rId80">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靠近围护结构处室外N个声源i倍频带的叠加声压级，dB；</w:t>
            </w:r>
          </w:p>
          <w:p w14:paraId="27C9CA6E">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720" w:firstLineChars="3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position w:val="-14"/>
                <w:szCs w:val="20"/>
                <w:lang w:eastAsia="zh-CN"/>
              </w:rPr>
              <w:object>
                <v:shape id="_x0000_i1058" o:spt="75" type="#_x0000_t75" style="height:19pt;width:39pt;" o:ole="t" filled="f" o:preferrelative="t" stroked="f" coordsize="21600,21600">
                  <v:path/>
                  <v:fill on="f" focussize="0,0"/>
                  <v:stroke on="f"/>
                  <v:imagedata r:id="rId83" o:title=""/>
                  <o:lock v:ext="edit" aspectratio="t"/>
                  <w10:wrap type="none"/>
                  <w10:anchorlock/>
                </v:shape>
                <o:OLEObject Type="Embed" ProgID="Equation.KSEE3" ShapeID="_x0000_i1058" DrawAspect="Content" ObjectID="_1468075758" r:id="rId82">
                  <o:LockedField>false</o:LockedField>
                </o:OLEObject>
              </w:objec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靠近围护结构处室</w:t>
            </w:r>
            <w:r>
              <w:rPr>
                <w:rFonts w:hint="default" w:ascii="Times New Roman" w:hAnsi="Times New Roman" w:eastAsia="宋体" w:cs="Times New Roman"/>
                <w:color w:val="auto"/>
                <w:szCs w:val="20"/>
                <w:lang w:val="en-US" w:eastAsia="zh-CN"/>
              </w:rPr>
              <w:t>内</w:t>
            </w:r>
            <w:r>
              <w:rPr>
                <w:rFonts w:hint="default" w:ascii="Times New Roman" w:hAnsi="Times New Roman" w:eastAsia="宋体" w:cs="Times New Roman"/>
                <w:color w:val="auto"/>
                <w:szCs w:val="20"/>
              </w:rPr>
              <w:t>N个声源i倍频带的叠加声压级，dB；</w:t>
            </w:r>
          </w:p>
          <w:p w14:paraId="4E41BEF6">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720" w:firstLineChars="3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position w:val="-12"/>
                <w:szCs w:val="20"/>
              </w:rPr>
              <w:object>
                <v:shape id="_x0000_i1059" o:spt="75" type="#_x0000_t75" style="height:18pt;width:18pt;" o:ole="t" filled="f" o:preferrelative="t" stroked="f" coordsize="21600,21600">
                  <v:path/>
                  <v:fill on="f" alignshape="1" focussize="0,0"/>
                  <v:stroke on="f"/>
                  <v:imagedata r:id="rId85" o:title=""/>
                  <o:lock v:ext="edit" aspectratio="t"/>
                  <w10:wrap type="none"/>
                  <w10:anchorlock/>
                </v:shape>
                <o:OLEObject Type="Embed" ProgID="Equation.DSMT4" ShapeID="_x0000_i1059" DrawAspect="Content" ObjectID="_1468075759" r:id="rId84">
                  <o:LockedField>false</o:LockedField>
                </o:OLEObject>
              </w:object>
            </w:r>
            <w:r>
              <w:rPr>
                <w:rFonts w:hint="default" w:ascii="Times New Roman" w:hAnsi="Times New Roman" w:eastAsia="宋体" w:cs="Times New Roman"/>
                <w:color w:val="auto"/>
                <w:szCs w:val="20"/>
              </w:rPr>
              <w:t>——围护结构i倍频带的隔声量，dB。</w:t>
            </w:r>
          </w:p>
          <w:p w14:paraId="3AFC3BB5">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然后按下式将室外声源的声压级和透过面积换算成等效的室外声源，计算出中心位置位于透声面积（S）处的等效声源的倍频带声功率级</w:t>
            </w:r>
            <w:r>
              <w:rPr>
                <w:rFonts w:hint="default" w:ascii="Times New Roman" w:hAnsi="Times New Roman" w:eastAsia="宋体" w:cs="Times New Roman"/>
                <w:color w:val="auto"/>
                <w:szCs w:val="20"/>
              </w:rPr>
              <w:softHyphen/>
            </w:r>
            <w:r>
              <w:rPr>
                <w:rFonts w:hint="default" w:ascii="Times New Roman" w:hAnsi="Times New Roman" w:eastAsia="宋体" w:cs="Times New Roman"/>
                <w:color w:val="auto"/>
                <w:szCs w:val="20"/>
              </w:rPr>
              <w:softHyphen/>
            </w:r>
            <w:r>
              <w:rPr>
                <w:rFonts w:hint="default" w:ascii="Times New Roman" w:hAnsi="Times New Roman" w:eastAsia="宋体" w:cs="Times New Roman"/>
                <w:color w:val="auto"/>
                <w:szCs w:val="20"/>
              </w:rPr>
              <w:t>：</w:t>
            </w:r>
          </w:p>
          <w:p w14:paraId="32F15C6C">
            <w:pPr>
              <w:pStyle w:val="11"/>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object>
                <v:shape id="_x0000_i1060" o:spt="75" type="#_x0000_t75" style="height:28.35pt;width:147.35pt;" o:ole="t" filled="f" o:preferrelative="t" stroked="f" coordsize="21600,21600">
                  <v:path/>
                  <v:fill on="f" focussize="0,0"/>
                  <v:stroke on="f"/>
                  <v:imagedata r:id="rId87" o:title=""/>
                  <o:lock v:ext="edit" aspectratio="t"/>
                  <w10:wrap type="none"/>
                  <w10:anchorlock/>
                </v:shape>
                <o:OLEObject Type="Embed" ProgID="Equation.DSMT4" ShapeID="_x0000_i1060" DrawAspect="Content" ObjectID="_1468075760" r:id="rId86">
                  <o:LockedField>false</o:LockedField>
                </o:OLEObject>
              </w:object>
            </w:r>
          </w:p>
          <w:p w14:paraId="21031DB4">
            <w:pPr>
              <w:pStyle w:val="11"/>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然后按室外声源预测方法计算预测点处的A声级。</w:t>
            </w:r>
          </w:p>
          <w:p w14:paraId="61194CCA">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2）预测结果</w:t>
            </w:r>
          </w:p>
          <w:p w14:paraId="2490E10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选择项目租赁的</w:t>
            </w:r>
            <w:r>
              <w:rPr>
                <w:rFonts w:hint="eastAsia" w:ascii="Times New Roman" w:hAnsi="Times New Roman" w:eastAsia="宋体" w:cs="Times New Roman"/>
                <w:color w:val="auto"/>
                <w:kern w:val="0"/>
                <w:sz w:val="24"/>
                <w:szCs w:val="20"/>
                <w:lang w:val="en-US" w:eastAsia="zh-CN" w:bidi="ar-SA"/>
              </w:rPr>
              <w:t>车间</w:t>
            </w:r>
            <w:r>
              <w:rPr>
                <w:rFonts w:hint="default" w:ascii="Times New Roman" w:hAnsi="Times New Roman" w:eastAsia="宋体" w:cs="Times New Roman"/>
                <w:color w:val="auto"/>
                <w:kern w:val="0"/>
                <w:sz w:val="24"/>
                <w:szCs w:val="20"/>
                <w:lang w:val="en-US" w:eastAsia="zh-CN" w:bidi="ar-SA"/>
              </w:rPr>
              <w:t>四周</w:t>
            </w:r>
            <w:r>
              <w:rPr>
                <w:rFonts w:hint="eastAsia" w:ascii="Times New Roman" w:hAnsi="Times New Roman" w:eastAsia="宋体" w:cs="Times New Roman"/>
                <w:color w:val="auto"/>
                <w:kern w:val="0"/>
                <w:sz w:val="24"/>
                <w:szCs w:val="20"/>
                <w:lang w:val="en-US" w:eastAsia="zh-CN" w:bidi="ar-SA"/>
              </w:rPr>
              <w:t>为</w:t>
            </w:r>
            <w:r>
              <w:rPr>
                <w:rFonts w:hint="default" w:ascii="Times New Roman" w:hAnsi="Times New Roman" w:eastAsia="宋体" w:cs="Times New Roman"/>
                <w:color w:val="auto"/>
                <w:kern w:val="0"/>
                <w:sz w:val="24"/>
                <w:szCs w:val="20"/>
                <w:lang w:val="en-US" w:eastAsia="zh-CN" w:bidi="ar-SA"/>
              </w:rPr>
              <w:t>边界作为预测点，进行噪声影响预测，本项目高噪声设备经以上模式等效为室外声源（生产车间）进行预测。具体预测结果见</w:t>
            </w:r>
            <w:r>
              <w:rPr>
                <w:rFonts w:hint="eastAsia" w:ascii="Times New Roman" w:hAnsi="Times New Roman" w:eastAsia="宋体" w:cs="Times New Roman"/>
                <w:color w:val="auto"/>
                <w:kern w:val="0"/>
                <w:sz w:val="24"/>
                <w:szCs w:val="20"/>
                <w:lang w:val="en-US" w:eastAsia="zh-CN" w:bidi="ar-SA"/>
              </w:rPr>
              <w:t>下</w:t>
            </w:r>
            <w:r>
              <w:rPr>
                <w:rFonts w:hint="default" w:ascii="Times New Roman" w:hAnsi="Times New Roman" w:eastAsia="宋体" w:cs="Times New Roman"/>
                <w:color w:val="auto"/>
                <w:kern w:val="0"/>
                <w:sz w:val="24"/>
                <w:szCs w:val="20"/>
                <w:lang w:val="en-US" w:eastAsia="zh-CN" w:bidi="ar-SA"/>
              </w:rPr>
              <w:t>表。</w:t>
            </w:r>
          </w:p>
          <w:p w14:paraId="3703CA50">
            <w:pPr>
              <w:widowControl/>
              <w:adjustRightInd w:val="0"/>
              <w:snapToGrid w:val="0"/>
              <w:ind w:firstLine="482"/>
              <w:jc w:val="center"/>
              <w:rPr>
                <w:b/>
                <w:bCs/>
                <w:szCs w:val="21"/>
              </w:rPr>
            </w:pPr>
            <w:r>
              <w:rPr>
                <w:b/>
                <w:kern w:val="28"/>
                <w:sz w:val="24"/>
                <w:lang w:bidi="ar"/>
              </w:rPr>
              <w:t>表4-</w:t>
            </w:r>
            <w:r>
              <w:rPr>
                <w:rFonts w:hint="eastAsia"/>
                <w:b/>
                <w:kern w:val="28"/>
                <w:sz w:val="24"/>
                <w:lang w:bidi="ar"/>
              </w:rPr>
              <w:t>2</w:t>
            </w:r>
            <w:r>
              <w:rPr>
                <w:rFonts w:hint="eastAsia"/>
                <w:b/>
                <w:kern w:val="28"/>
                <w:sz w:val="24"/>
                <w:lang w:val="en-US" w:eastAsia="zh-CN" w:bidi="ar"/>
              </w:rPr>
              <w:t>3</w:t>
            </w:r>
            <w:r>
              <w:rPr>
                <w:rFonts w:hint="eastAsia"/>
                <w:b/>
                <w:kern w:val="28"/>
                <w:sz w:val="24"/>
                <w:lang w:bidi="ar"/>
              </w:rPr>
              <w:t xml:space="preserve">  </w:t>
            </w:r>
            <w:r>
              <w:rPr>
                <w:b/>
                <w:bCs/>
                <w:kern w:val="28"/>
                <w:sz w:val="24"/>
                <w:lang w:bidi="ar"/>
              </w:rPr>
              <w:t>项目运营期噪声预测结果     单位：dB(A)</w:t>
            </w:r>
          </w:p>
          <w:tbl>
            <w:tblPr>
              <w:tblStyle w:val="27"/>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85" w:type="dxa"/>
                <w:bottom w:w="0" w:type="dxa"/>
                <w:right w:w="85" w:type="dxa"/>
              </w:tblCellMar>
            </w:tblPr>
            <w:tblGrid>
              <w:gridCol w:w="1375"/>
              <w:gridCol w:w="1139"/>
              <w:gridCol w:w="1149"/>
              <w:gridCol w:w="1155"/>
              <w:gridCol w:w="1402"/>
              <w:gridCol w:w="770"/>
              <w:gridCol w:w="682"/>
              <w:gridCol w:w="1275"/>
            </w:tblGrid>
            <w:tr w14:paraId="53560F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289" w:hRule="atLeast"/>
                <w:jc w:val="center"/>
              </w:trPr>
              <w:tc>
                <w:tcPr>
                  <w:tcW w:w="768" w:type="pct"/>
                  <w:vMerge w:val="restart"/>
                  <w:vAlign w:val="center"/>
                </w:tcPr>
                <w:p w14:paraId="27751DEE">
                  <w:pPr>
                    <w:adjustRightInd w:val="0"/>
                    <w:snapToGrid w:val="0"/>
                    <w:jc w:val="center"/>
                    <w:rPr>
                      <w:b/>
                      <w:bCs/>
                      <w:snapToGrid w:val="0"/>
                      <w:kern w:val="0"/>
                      <w:szCs w:val="21"/>
                    </w:rPr>
                  </w:pPr>
                  <w:r>
                    <w:rPr>
                      <w:b/>
                      <w:bCs/>
                      <w:snapToGrid w:val="0"/>
                      <w:kern w:val="0"/>
                      <w:szCs w:val="21"/>
                    </w:rPr>
                    <w:t>接受点</w:t>
                  </w:r>
                </w:p>
              </w:tc>
              <w:tc>
                <w:tcPr>
                  <w:tcW w:w="1278" w:type="pct"/>
                  <w:gridSpan w:val="2"/>
                  <w:tcBorders>
                    <w:bottom w:val="single" w:color="auto" w:sz="4" w:space="0"/>
                  </w:tcBorders>
                  <w:vAlign w:val="center"/>
                </w:tcPr>
                <w:p w14:paraId="5309F625">
                  <w:pPr>
                    <w:adjustRightInd w:val="0"/>
                    <w:snapToGrid w:val="0"/>
                    <w:jc w:val="center"/>
                    <w:rPr>
                      <w:b/>
                      <w:bCs/>
                      <w:snapToGrid w:val="0"/>
                      <w:kern w:val="0"/>
                      <w:szCs w:val="21"/>
                    </w:rPr>
                  </w:pPr>
                  <w:r>
                    <w:rPr>
                      <w:b/>
                      <w:bCs/>
                      <w:snapToGrid w:val="0"/>
                      <w:kern w:val="0"/>
                      <w:szCs w:val="21"/>
                    </w:rPr>
                    <w:t>空间相对位置/m</w:t>
                  </w:r>
                </w:p>
              </w:tc>
              <w:tc>
                <w:tcPr>
                  <w:tcW w:w="645" w:type="pct"/>
                  <w:vMerge w:val="restart"/>
                  <w:tcBorders>
                    <w:right w:val="single" w:color="auto" w:sz="4" w:space="0"/>
                  </w:tcBorders>
                  <w:vAlign w:val="center"/>
                </w:tcPr>
                <w:p w14:paraId="4034DC9B">
                  <w:pPr>
                    <w:adjustRightInd w:val="0"/>
                    <w:snapToGrid w:val="0"/>
                    <w:jc w:val="center"/>
                    <w:rPr>
                      <w:b/>
                      <w:bCs/>
                      <w:snapToGrid w:val="0"/>
                      <w:kern w:val="0"/>
                      <w:szCs w:val="21"/>
                    </w:rPr>
                  </w:pPr>
                  <w:r>
                    <w:rPr>
                      <w:b/>
                      <w:bCs/>
                      <w:snapToGrid w:val="0"/>
                      <w:kern w:val="0"/>
                      <w:szCs w:val="21"/>
                    </w:rPr>
                    <w:t>贡献值</w:t>
                  </w:r>
                </w:p>
              </w:tc>
              <w:tc>
                <w:tcPr>
                  <w:tcW w:w="783" w:type="pct"/>
                  <w:vMerge w:val="restart"/>
                  <w:tcBorders>
                    <w:left w:val="single" w:color="auto" w:sz="4" w:space="0"/>
                  </w:tcBorders>
                  <w:vAlign w:val="center"/>
                </w:tcPr>
                <w:p w14:paraId="4700071E">
                  <w:pPr>
                    <w:adjustRightInd w:val="0"/>
                    <w:snapToGrid w:val="0"/>
                    <w:jc w:val="center"/>
                    <w:rPr>
                      <w:b/>
                      <w:bCs/>
                      <w:snapToGrid w:val="0"/>
                      <w:kern w:val="0"/>
                      <w:szCs w:val="21"/>
                    </w:rPr>
                  </w:pPr>
                  <w:r>
                    <w:rPr>
                      <w:b/>
                      <w:bCs/>
                      <w:snapToGrid w:val="0"/>
                      <w:kern w:val="0"/>
                      <w:szCs w:val="21"/>
                    </w:rPr>
                    <w:t>噪声预测值</w:t>
                  </w:r>
                </w:p>
              </w:tc>
              <w:tc>
                <w:tcPr>
                  <w:tcW w:w="811" w:type="pct"/>
                  <w:gridSpan w:val="2"/>
                  <w:tcBorders>
                    <w:bottom w:val="single" w:color="auto" w:sz="4" w:space="0"/>
                  </w:tcBorders>
                  <w:vAlign w:val="center"/>
                </w:tcPr>
                <w:p w14:paraId="671DD772">
                  <w:pPr>
                    <w:adjustRightInd w:val="0"/>
                    <w:snapToGrid w:val="0"/>
                    <w:jc w:val="center"/>
                    <w:rPr>
                      <w:b/>
                      <w:bCs/>
                      <w:snapToGrid w:val="0"/>
                      <w:color w:val="auto"/>
                      <w:kern w:val="0"/>
                      <w:szCs w:val="21"/>
                      <w:highlight w:val="none"/>
                    </w:rPr>
                  </w:pPr>
                  <w:r>
                    <w:rPr>
                      <w:b/>
                      <w:bCs/>
                      <w:snapToGrid w:val="0"/>
                      <w:color w:val="auto"/>
                      <w:kern w:val="0"/>
                      <w:szCs w:val="21"/>
                      <w:highlight w:val="none"/>
                    </w:rPr>
                    <w:t>噪声标准值</w:t>
                  </w:r>
                </w:p>
              </w:tc>
              <w:tc>
                <w:tcPr>
                  <w:tcW w:w="712" w:type="pct"/>
                  <w:vMerge w:val="restart"/>
                  <w:vAlign w:val="center"/>
                </w:tcPr>
                <w:p w14:paraId="7EDF308A">
                  <w:pPr>
                    <w:adjustRightInd w:val="0"/>
                    <w:snapToGrid w:val="0"/>
                    <w:jc w:val="center"/>
                    <w:rPr>
                      <w:b/>
                      <w:bCs/>
                      <w:snapToGrid w:val="0"/>
                      <w:kern w:val="0"/>
                      <w:szCs w:val="21"/>
                    </w:rPr>
                  </w:pPr>
                  <w:r>
                    <w:rPr>
                      <w:b/>
                      <w:bCs/>
                      <w:snapToGrid w:val="0"/>
                      <w:kern w:val="0"/>
                      <w:szCs w:val="21"/>
                    </w:rPr>
                    <w:t>达标情况</w:t>
                  </w:r>
                </w:p>
              </w:tc>
            </w:tr>
            <w:tr w14:paraId="0874C2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289" w:hRule="atLeast"/>
                <w:jc w:val="center"/>
              </w:trPr>
              <w:tc>
                <w:tcPr>
                  <w:tcW w:w="768" w:type="pct"/>
                  <w:vMerge w:val="continue"/>
                  <w:vAlign w:val="center"/>
                </w:tcPr>
                <w:p w14:paraId="2791F51D">
                  <w:pPr>
                    <w:adjustRightInd w:val="0"/>
                    <w:snapToGrid w:val="0"/>
                    <w:jc w:val="center"/>
                    <w:rPr>
                      <w:b/>
                      <w:bCs/>
                      <w:snapToGrid w:val="0"/>
                      <w:kern w:val="0"/>
                      <w:szCs w:val="21"/>
                    </w:rPr>
                  </w:pPr>
                </w:p>
              </w:tc>
              <w:tc>
                <w:tcPr>
                  <w:tcW w:w="636" w:type="pct"/>
                  <w:tcBorders>
                    <w:top w:val="single" w:color="auto" w:sz="4" w:space="0"/>
                  </w:tcBorders>
                  <w:vAlign w:val="center"/>
                </w:tcPr>
                <w:p w14:paraId="25752E5B">
                  <w:pPr>
                    <w:adjustRightInd w:val="0"/>
                    <w:snapToGrid w:val="0"/>
                    <w:jc w:val="center"/>
                    <w:rPr>
                      <w:b/>
                      <w:bCs/>
                      <w:snapToGrid w:val="0"/>
                      <w:kern w:val="0"/>
                      <w:szCs w:val="21"/>
                    </w:rPr>
                  </w:pPr>
                  <w:r>
                    <w:rPr>
                      <w:b/>
                      <w:bCs/>
                      <w:snapToGrid w:val="0"/>
                      <w:kern w:val="0"/>
                      <w:szCs w:val="21"/>
                    </w:rPr>
                    <w:t>X</w:t>
                  </w:r>
                </w:p>
              </w:tc>
              <w:tc>
                <w:tcPr>
                  <w:tcW w:w="642" w:type="pct"/>
                  <w:tcBorders>
                    <w:top w:val="single" w:color="auto" w:sz="4" w:space="0"/>
                  </w:tcBorders>
                  <w:vAlign w:val="center"/>
                </w:tcPr>
                <w:p w14:paraId="1B802437">
                  <w:pPr>
                    <w:adjustRightInd w:val="0"/>
                    <w:snapToGrid w:val="0"/>
                    <w:jc w:val="center"/>
                    <w:rPr>
                      <w:b/>
                      <w:bCs/>
                      <w:snapToGrid w:val="0"/>
                      <w:kern w:val="0"/>
                      <w:szCs w:val="21"/>
                    </w:rPr>
                  </w:pPr>
                  <w:r>
                    <w:rPr>
                      <w:b/>
                      <w:bCs/>
                      <w:snapToGrid w:val="0"/>
                      <w:kern w:val="0"/>
                      <w:szCs w:val="21"/>
                    </w:rPr>
                    <w:t>Y</w:t>
                  </w:r>
                </w:p>
              </w:tc>
              <w:tc>
                <w:tcPr>
                  <w:tcW w:w="645" w:type="pct"/>
                  <w:vMerge w:val="continue"/>
                  <w:tcBorders>
                    <w:right w:val="single" w:color="auto" w:sz="4" w:space="0"/>
                  </w:tcBorders>
                  <w:vAlign w:val="center"/>
                </w:tcPr>
                <w:p w14:paraId="1DFA0C94">
                  <w:pPr>
                    <w:adjustRightInd w:val="0"/>
                    <w:snapToGrid w:val="0"/>
                    <w:jc w:val="center"/>
                    <w:rPr>
                      <w:b/>
                      <w:bCs/>
                      <w:snapToGrid w:val="0"/>
                      <w:kern w:val="0"/>
                      <w:szCs w:val="21"/>
                    </w:rPr>
                  </w:pPr>
                </w:p>
              </w:tc>
              <w:tc>
                <w:tcPr>
                  <w:tcW w:w="783" w:type="pct"/>
                  <w:vMerge w:val="continue"/>
                  <w:tcBorders>
                    <w:left w:val="single" w:color="auto" w:sz="4" w:space="0"/>
                  </w:tcBorders>
                  <w:vAlign w:val="center"/>
                </w:tcPr>
                <w:p w14:paraId="1CC13EE4">
                  <w:pPr>
                    <w:adjustRightInd w:val="0"/>
                    <w:snapToGrid w:val="0"/>
                    <w:jc w:val="center"/>
                    <w:rPr>
                      <w:b/>
                      <w:bCs/>
                      <w:snapToGrid w:val="0"/>
                      <w:kern w:val="0"/>
                      <w:szCs w:val="21"/>
                    </w:rPr>
                  </w:pPr>
                </w:p>
              </w:tc>
              <w:tc>
                <w:tcPr>
                  <w:tcW w:w="430" w:type="pct"/>
                  <w:tcBorders>
                    <w:top w:val="single" w:color="auto" w:sz="4" w:space="0"/>
                    <w:bottom w:val="single" w:color="auto" w:sz="4" w:space="0"/>
                    <w:right w:val="single" w:color="auto" w:sz="4" w:space="0"/>
                  </w:tcBorders>
                  <w:vAlign w:val="center"/>
                </w:tcPr>
                <w:p w14:paraId="3C96825A">
                  <w:pPr>
                    <w:adjustRightInd w:val="0"/>
                    <w:snapToGrid w:val="0"/>
                    <w:jc w:val="center"/>
                    <w:rPr>
                      <w:rFonts w:hint="eastAsia" w:eastAsia="宋体"/>
                      <w:b/>
                      <w:bCs/>
                      <w:snapToGrid w:val="0"/>
                      <w:color w:val="auto"/>
                      <w:kern w:val="0"/>
                      <w:szCs w:val="21"/>
                      <w:highlight w:val="none"/>
                      <w:lang w:val="en-US" w:eastAsia="zh-CN"/>
                    </w:rPr>
                  </w:pPr>
                  <w:r>
                    <w:rPr>
                      <w:rFonts w:hint="eastAsia"/>
                      <w:b/>
                      <w:bCs/>
                      <w:snapToGrid w:val="0"/>
                      <w:color w:val="auto"/>
                      <w:kern w:val="0"/>
                      <w:szCs w:val="21"/>
                      <w:highlight w:val="none"/>
                      <w:lang w:val="en-US" w:eastAsia="zh-CN"/>
                    </w:rPr>
                    <w:t>昼</w:t>
                  </w:r>
                </w:p>
              </w:tc>
              <w:tc>
                <w:tcPr>
                  <w:tcW w:w="381" w:type="pct"/>
                  <w:tcBorders>
                    <w:top w:val="single" w:color="auto" w:sz="4" w:space="0"/>
                    <w:left w:val="single" w:color="auto" w:sz="4" w:space="0"/>
                    <w:bottom w:val="single" w:color="auto" w:sz="4" w:space="0"/>
                  </w:tcBorders>
                  <w:vAlign w:val="center"/>
                </w:tcPr>
                <w:p w14:paraId="5633FDD6">
                  <w:pPr>
                    <w:adjustRightInd w:val="0"/>
                    <w:snapToGrid w:val="0"/>
                    <w:jc w:val="center"/>
                    <w:rPr>
                      <w:rFonts w:hint="eastAsia" w:eastAsia="宋体"/>
                      <w:b/>
                      <w:bCs/>
                      <w:snapToGrid w:val="0"/>
                      <w:color w:val="auto"/>
                      <w:kern w:val="0"/>
                      <w:szCs w:val="21"/>
                      <w:highlight w:val="none"/>
                      <w:lang w:val="en-US" w:eastAsia="zh-CN"/>
                    </w:rPr>
                  </w:pPr>
                  <w:r>
                    <w:rPr>
                      <w:rFonts w:hint="eastAsia"/>
                      <w:b/>
                      <w:bCs/>
                      <w:snapToGrid w:val="0"/>
                      <w:color w:val="auto"/>
                      <w:kern w:val="0"/>
                      <w:szCs w:val="21"/>
                      <w:highlight w:val="none"/>
                      <w:lang w:val="en-US" w:eastAsia="zh-CN"/>
                    </w:rPr>
                    <w:t>夜</w:t>
                  </w:r>
                </w:p>
              </w:tc>
              <w:tc>
                <w:tcPr>
                  <w:tcW w:w="712" w:type="pct"/>
                  <w:vMerge w:val="continue"/>
                  <w:vAlign w:val="center"/>
                </w:tcPr>
                <w:p w14:paraId="2B6878DB">
                  <w:pPr>
                    <w:adjustRightInd w:val="0"/>
                    <w:snapToGrid w:val="0"/>
                    <w:jc w:val="center"/>
                    <w:rPr>
                      <w:b/>
                      <w:bCs/>
                      <w:snapToGrid w:val="0"/>
                      <w:kern w:val="0"/>
                      <w:szCs w:val="21"/>
                    </w:rPr>
                  </w:pPr>
                </w:p>
              </w:tc>
            </w:tr>
            <w:tr w14:paraId="384884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289" w:hRule="atLeast"/>
                <w:jc w:val="center"/>
              </w:trPr>
              <w:tc>
                <w:tcPr>
                  <w:tcW w:w="768" w:type="pct"/>
                  <w:vAlign w:val="center"/>
                </w:tcPr>
                <w:p w14:paraId="024DC296">
                  <w:pPr>
                    <w:adjustRightInd w:val="0"/>
                    <w:snapToGrid w:val="0"/>
                    <w:jc w:val="center"/>
                    <w:rPr>
                      <w:szCs w:val="21"/>
                    </w:rPr>
                  </w:pPr>
                  <w:r>
                    <w:rPr>
                      <w:szCs w:val="21"/>
                    </w:rPr>
                    <w:t>东厂界A</w:t>
                  </w:r>
                </w:p>
              </w:tc>
              <w:tc>
                <w:tcPr>
                  <w:tcW w:w="636" w:type="pct"/>
                  <w:vAlign w:val="center"/>
                </w:tcPr>
                <w:p w14:paraId="7C2EAF15">
                  <w:pPr>
                    <w:adjustRightInd w:val="0"/>
                    <w:snapToGrid w:val="0"/>
                    <w:jc w:val="center"/>
                    <w:rPr>
                      <w:szCs w:val="21"/>
                    </w:rPr>
                  </w:pPr>
                  <w:r>
                    <w:rPr>
                      <w:rFonts w:hint="eastAsia"/>
                      <w:szCs w:val="21"/>
                    </w:rPr>
                    <w:t>165</w:t>
                  </w:r>
                </w:p>
              </w:tc>
              <w:tc>
                <w:tcPr>
                  <w:tcW w:w="642" w:type="pct"/>
                  <w:vAlign w:val="center"/>
                </w:tcPr>
                <w:p w14:paraId="25FFBA7C">
                  <w:pPr>
                    <w:adjustRightInd w:val="0"/>
                    <w:snapToGrid w:val="0"/>
                    <w:jc w:val="center"/>
                    <w:rPr>
                      <w:szCs w:val="21"/>
                    </w:rPr>
                  </w:pPr>
                  <w:r>
                    <w:rPr>
                      <w:rFonts w:hint="eastAsia"/>
                      <w:szCs w:val="21"/>
                    </w:rPr>
                    <w:t>9</w:t>
                  </w:r>
                </w:p>
              </w:tc>
              <w:tc>
                <w:tcPr>
                  <w:tcW w:w="645" w:type="pct"/>
                  <w:tcBorders>
                    <w:right w:val="single" w:color="auto" w:sz="4" w:space="0"/>
                  </w:tcBorders>
                  <w:vAlign w:val="center"/>
                </w:tcPr>
                <w:p w14:paraId="5EA1E935">
                  <w:pPr>
                    <w:adjustRightInd w:val="0"/>
                    <w:snapToGrid w:val="0"/>
                    <w:jc w:val="center"/>
                    <w:rPr>
                      <w:snapToGrid w:val="0"/>
                      <w:kern w:val="0"/>
                      <w:szCs w:val="21"/>
                    </w:rPr>
                  </w:pPr>
                  <w:r>
                    <w:rPr>
                      <w:rFonts w:hint="eastAsia"/>
                      <w:snapToGrid w:val="0"/>
                      <w:kern w:val="0"/>
                      <w:szCs w:val="21"/>
                    </w:rPr>
                    <w:t xml:space="preserve">19.0 </w:t>
                  </w:r>
                </w:p>
              </w:tc>
              <w:tc>
                <w:tcPr>
                  <w:tcW w:w="783" w:type="pct"/>
                  <w:tcBorders>
                    <w:left w:val="single" w:color="auto" w:sz="4" w:space="0"/>
                  </w:tcBorders>
                  <w:vAlign w:val="center"/>
                </w:tcPr>
                <w:p w14:paraId="047C7F02">
                  <w:pPr>
                    <w:adjustRightInd w:val="0"/>
                    <w:snapToGrid w:val="0"/>
                    <w:jc w:val="center"/>
                    <w:rPr>
                      <w:snapToGrid w:val="0"/>
                      <w:kern w:val="0"/>
                      <w:szCs w:val="21"/>
                    </w:rPr>
                  </w:pPr>
                  <w:r>
                    <w:rPr>
                      <w:rFonts w:hint="eastAsia"/>
                      <w:snapToGrid w:val="0"/>
                      <w:kern w:val="0"/>
                      <w:szCs w:val="21"/>
                    </w:rPr>
                    <w:t xml:space="preserve">50.6 </w:t>
                  </w:r>
                </w:p>
              </w:tc>
              <w:tc>
                <w:tcPr>
                  <w:tcW w:w="430" w:type="pct"/>
                  <w:tcBorders>
                    <w:top w:val="single" w:color="auto" w:sz="4" w:space="0"/>
                    <w:right w:val="single" w:color="auto" w:sz="4" w:space="0"/>
                  </w:tcBorders>
                  <w:vAlign w:val="center"/>
                </w:tcPr>
                <w:p w14:paraId="372120A8">
                  <w:pPr>
                    <w:adjustRightInd w:val="0"/>
                    <w:snapToGrid w:val="0"/>
                    <w:jc w:val="center"/>
                    <w:rPr>
                      <w:rFonts w:hint="eastAsia" w:eastAsia="宋体"/>
                      <w:snapToGrid w:val="0"/>
                      <w:color w:val="auto"/>
                      <w:kern w:val="0"/>
                      <w:szCs w:val="21"/>
                      <w:highlight w:val="none"/>
                      <w:lang w:eastAsia="zh-CN"/>
                    </w:rPr>
                  </w:pPr>
                  <w:r>
                    <w:rPr>
                      <w:snapToGrid w:val="0"/>
                      <w:color w:val="auto"/>
                      <w:kern w:val="0"/>
                      <w:szCs w:val="21"/>
                      <w:highlight w:val="none"/>
                    </w:rPr>
                    <w:t>6</w:t>
                  </w:r>
                  <w:r>
                    <w:rPr>
                      <w:rFonts w:hint="eastAsia"/>
                      <w:snapToGrid w:val="0"/>
                      <w:color w:val="auto"/>
                      <w:kern w:val="0"/>
                      <w:szCs w:val="21"/>
                      <w:highlight w:val="none"/>
                      <w:lang w:val="en-US" w:eastAsia="zh-CN"/>
                    </w:rPr>
                    <w:t>5</w:t>
                  </w:r>
                </w:p>
              </w:tc>
              <w:tc>
                <w:tcPr>
                  <w:tcW w:w="381" w:type="pct"/>
                  <w:tcBorders>
                    <w:top w:val="single" w:color="auto" w:sz="4" w:space="0"/>
                    <w:left w:val="single" w:color="auto" w:sz="4" w:space="0"/>
                  </w:tcBorders>
                  <w:vAlign w:val="center"/>
                </w:tcPr>
                <w:p w14:paraId="6F16CBEA">
                  <w:pPr>
                    <w:adjustRightInd w:val="0"/>
                    <w:snapToGrid w:val="0"/>
                    <w:jc w:val="center"/>
                    <w:rPr>
                      <w:rFonts w:hint="default"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55</w:t>
                  </w:r>
                </w:p>
              </w:tc>
              <w:tc>
                <w:tcPr>
                  <w:tcW w:w="712" w:type="pct"/>
                  <w:vAlign w:val="center"/>
                </w:tcPr>
                <w:p w14:paraId="0CEE97F7">
                  <w:pPr>
                    <w:adjustRightInd w:val="0"/>
                    <w:snapToGrid w:val="0"/>
                    <w:jc w:val="center"/>
                    <w:rPr>
                      <w:snapToGrid w:val="0"/>
                      <w:kern w:val="0"/>
                      <w:szCs w:val="21"/>
                    </w:rPr>
                  </w:pPr>
                  <w:r>
                    <w:rPr>
                      <w:snapToGrid w:val="0"/>
                      <w:kern w:val="0"/>
                      <w:szCs w:val="21"/>
                    </w:rPr>
                    <w:t>达标</w:t>
                  </w:r>
                </w:p>
              </w:tc>
            </w:tr>
            <w:tr w14:paraId="4BB344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289" w:hRule="atLeast"/>
                <w:jc w:val="center"/>
              </w:trPr>
              <w:tc>
                <w:tcPr>
                  <w:tcW w:w="768" w:type="pct"/>
                  <w:vAlign w:val="center"/>
                </w:tcPr>
                <w:p w14:paraId="510CE4B9">
                  <w:pPr>
                    <w:adjustRightInd w:val="0"/>
                    <w:snapToGrid w:val="0"/>
                    <w:jc w:val="center"/>
                    <w:rPr>
                      <w:szCs w:val="21"/>
                    </w:rPr>
                  </w:pPr>
                  <w:r>
                    <w:rPr>
                      <w:szCs w:val="21"/>
                    </w:rPr>
                    <w:t>北厂界B</w:t>
                  </w:r>
                </w:p>
              </w:tc>
              <w:tc>
                <w:tcPr>
                  <w:tcW w:w="636" w:type="pct"/>
                  <w:vAlign w:val="center"/>
                </w:tcPr>
                <w:p w14:paraId="76AF5D9A">
                  <w:pPr>
                    <w:adjustRightInd w:val="0"/>
                    <w:snapToGrid w:val="0"/>
                    <w:jc w:val="center"/>
                    <w:rPr>
                      <w:szCs w:val="21"/>
                    </w:rPr>
                  </w:pPr>
                  <w:r>
                    <w:rPr>
                      <w:rFonts w:hint="eastAsia"/>
                      <w:szCs w:val="21"/>
                    </w:rPr>
                    <w:t>84</w:t>
                  </w:r>
                </w:p>
              </w:tc>
              <w:tc>
                <w:tcPr>
                  <w:tcW w:w="642" w:type="pct"/>
                  <w:vAlign w:val="center"/>
                </w:tcPr>
                <w:p w14:paraId="40A6D954">
                  <w:pPr>
                    <w:adjustRightInd w:val="0"/>
                    <w:snapToGrid w:val="0"/>
                    <w:jc w:val="center"/>
                    <w:rPr>
                      <w:szCs w:val="21"/>
                    </w:rPr>
                  </w:pPr>
                  <w:r>
                    <w:rPr>
                      <w:rFonts w:hint="eastAsia"/>
                      <w:szCs w:val="21"/>
                    </w:rPr>
                    <w:t>26</w:t>
                  </w:r>
                </w:p>
              </w:tc>
              <w:tc>
                <w:tcPr>
                  <w:tcW w:w="645" w:type="pct"/>
                  <w:tcBorders>
                    <w:right w:val="single" w:color="auto" w:sz="4" w:space="0"/>
                  </w:tcBorders>
                  <w:vAlign w:val="center"/>
                </w:tcPr>
                <w:p w14:paraId="5BEC3312">
                  <w:pPr>
                    <w:adjustRightInd w:val="0"/>
                    <w:snapToGrid w:val="0"/>
                    <w:jc w:val="center"/>
                    <w:rPr>
                      <w:snapToGrid w:val="0"/>
                      <w:kern w:val="0"/>
                      <w:szCs w:val="21"/>
                    </w:rPr>
                  </w:pPr>
                  <w:r>
                    <w:rPr>
                      <w:rFonts w:hint="eastAsia"/>
                      <w:snapToGrid w:val="0"/>
                      <w:kern w:val="0"/>
                      <w:szCs w:val="21"/>
                    </w:rPr>
                    <w:t xml:space="preserve">36.6 </w:t>
                  </w:r>
                </w:p>
              </w:tc>
              <w:tc>
                <w:tcPr>
                  <w:tcW w:w="783" w:type="pct"/>
                  <w:tcBorders>
                    <w:left w:val="single" w:color="auto" w:sz="4" w:space="0"/>
                  </w:tcBorders>
                  <w:vAlign w:val="center"/>
                </w:tcPr>
                <w:p w14:paraId="0F70254A">
                  <w:pPr>
                    <w:adjustRightInd w:val="0"/>
                    <w:snapToGrid w:val="0"/>
                    <w:jc w:val="center"/>
                    <w:rPr>
                      <w:snapToGrid w:val="0"/>
                      <w:kern w:val="0"/>
                      <w:szCs w:val="21"/>
                    </w:rPr>
                  </w:pPr>
                  <w:r>
                    <w:rPr>
                      <w:rFonts w:hint="eastAsia"/>
                      <w:snapToGrid w:val="0"/>
                      <w:kern w:val="0"/>
                      <w:szCs w:val="21"/>
                    </w:rPr>
                    <w:t xml:space="preserve">51.2 </w:t>
                  </w:r>
                </w:p>
              </w:tc>
              <w:tc>
                <w:tcPr>
                  <w:tcW w:w="769" w:type="dxa"/>
                  <w:tcBorders>
                    <w:right w:val="single" w:color="auto" w:sz="4" w:space="0"/>
                  </w:tcBorders>
                  <w:vAlign w:val="center"/>
                </w:tcPr>
                <w:p w14:paraId="5C534300">
                  <w:pPr>
                    <w:adjustRightInd w:val="0"/>
                    <w:snapToGrid w:val="0"/>
                    <w:jc w:val="center"/>
                    <w:rPr>
                      <w:snapToGrid w:val="0"/>
                      <w:color w:val="auto"/>
                      <w:kern w:val="0"/>
                      <w:szCs w:val="21"/>
                      <w:highlight w:val="none"/>
                    </w:rPr>
                  </w:pPr>
                  <w:r>
                    <w:rPr>
                      <w:snapToGrid w:val="0"/>
                      <w:color w:val="auto"/>
                      <w:kern w:val="0"/>
                      <w:szCs w:val="21"/>
                      <w:highlight w:val="none"/>
                    </w:rPr>
                    <w:t>6</w:t>
                  </w:r>
                  <w:r>
                    <w:rPr>
                      <w:rFonts w:hint="eastAsia"/>
                      <w:snapToGrid w:val="0"/>
                      <w:color w:val="auto"/>
                      <w:kern w:val="0"/>
                      <w:szCs w:val="21"/>
                      <w:highlight w:val="none"/>
                      <w:lang w:val="en-US" w:eastAsia="zh-CN"/>
                    </w:rPr>
                    <w:t>5</w:t>
                  </w:r>
                </w:p>
              </w:tc>
              <w:tc>
                <w:tcPr>
                  <w:tcW w:w="681" w:type="dxa"/>
                  <w:tcBorders>
                    <w:left w:val="single" w:color="auto" w:sz="4" w:space="0"/>
                  </w:tcBorders>
                  <w:vAlign w:val="center"/>
                </w:tcPr>
                <w:p w14:paraId="1DC27B0E">
                  <w:pPr>
                    <w:adjustRightInd w:val="0"/>
                    <w:snapToGrid w:val="0"/>
                    <w:jc w:val="center"/>
                    <w:rPr>
                      <w:snapToGrid w:val="0"/>
                      <w:color w:val="auto"/>
                      <w:kern w:val="0"/>
                      <w:szCs w:val="21"/>
                      <w:highlight w:val="none"/>
                    </w:rPr>
                  </w:pPr>
                  <w:r>
                    <w:rPr>
                      <w:rFonts w:hint="eastAsia"/>
                      <w:snapToGrid w:val="0"/>
                      <w:color w:val="auto"/>
                      <w:kern w:val="0"/>
                      <w:szCs w:val="21"/>
                      <w:highlight w:val="none"/>
                      <w:lang w:val="en-US" w:eastAsia="zh-CN"/>
                    </w:rPr>
                    <w:t>55</w:t>
                  </w:r>
                </w:p>
              </w:tc>
              <w:tc>
                <w:tcPr>
                  <w:tcW w:w="712" w:type="pct"/>
                  <w:vAlign w:val="center"/>
                </w:tcPr>
                <w:p w14:paraId="013E3CE8">
                  <w:pPr>
                    <w:adjustRightInd w:val="0"/>
                    <w:snapToGrid w:val="0"/>
                    <w:jc w:val="center"/>
                    <w:rPr>
                      <w:snapToGrid w:val="0"/>
                      <w:kern w:val="0"/>
                      <w:szCs w:val="21"/>
                    </w:rPr>
                  </w:pPr>
                  <w:r>
                    <w:rPr>
                      <w:snapToGrid w:val="0"/>
                      <w:kern w:val="0"/>
                      <w:szCs w:val="21"/>
                    </w:rPr>
                    <w:t>达标</w:t>
                  </w:r>
                </w:p>
              </w:tc>
            </w:tr>
            <w:tr w14:paraId="6C9B45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289" w:hRule="atLeast"/>
                <w:jc w:val="center"/>
              </w:trPr>
              <w:tc>
                <w:tcPr>
                  <w:tcW w:w="768" w:type="pct"/>
                  <w:vAlign w:val="center"/>
                </w:tcPr>
                <w:p w14:paraId="37693915">
                  <w:pPr>
                    <w:adjustRightInd w:val="0"/>
                    <w:snapToGrid w:val="0"/>
                    <w:jc w:val="center"/>
                    <w:rPr>
                      <w:szCs w:val="21"/>
                    </w:rPr>
                  </w:pPr>
                  <w:r>
                    <w:rPr>
                      <w:szCs w:val="21"/>
                    </w:rPr>
                    <w:t>南厂界C</w:t>
                  </w:r>
                </w:p>
              </w:tc>
              <w:tc>
                <w:tcPr>
                  <w:tcW w:w="636" w:type="pct"/>
                  <w:vAlign w:val="center"/>
                </w:tcPr>
                <w:p w14:paraId="5ABFA3E8">
                  <w:pPr>
                    <w:adjustRightInd w:val="0"/>
                    <w:snapToGrid w:val="0"/>
                    <w:jc w:val="center"/>
                    <w:rPr>
                      <w:szCs w:val="21"/>
                    </w:rPr>
                  </w:pPr>
                  <w:r>
                    <w:rPr>
                      <w:rFonts w:hint="eastAsia"/>
                      <w:szCs w:val="21"/>
                    </w:rPr>
                    <w:t>85</w:t>
                  </w:r>
                </w:p>
              </w:tc>
              <w:tc>
                <w:tcPr>
                  <w:tcW w:w="642" w:type="pct"/>
                  <w:vAlign w:val="center"/>
                </w:tcPr>
                <w:p w14:paraId="04FFEDDA">
                  <w:pPr>
                    <w:adjustRightInd w:val="0"/>
                    <w:snapToGrid w:val="0"/>
                    <w:jc w:val="center"/>
                    <w:rPr>
                      <w:szCs w:val="21"/>
                    </w:rPr>
                  </w:pPr>
                  <w:r>
                    <w:rPr>
                      <w:rFonts w:hint="eastAsia"/>
                      <w:szCs w:val="21"/>
                    </w:rPr>
                    <w:t>-14</w:t>
                  </w:r>
                </w:p>
              </w:tc>
              <w:tc>
                <w:tcPr>
                  <w:tcW w:w="645" w:type="pct"/>
                  <w:tcBorders>
                    <w:right w:val="single" w:color="auto" w:sz="4" w:space="0"/>
                  </w:tcBorders>
                  <w:vAlign w:val="center"/>
                </w:tcPr>
                <w:p w14:paraId="69546D41">
                  <w:pPr>
                    <w:adjustRightInd w:val="0"/>
                    <w:snapToGrid w:val="0"/>
                    <w:jc w:val="center"/>
                    <w:rPr>
                      <w:snapToGrid w:val="0"/>
                      <w:kern w:val="0"/>
                      <w:szCs w:val="21"/>
                    </w:rPr>
                  </w:pPr>
                  <w:r>
                    <w:rPr>
                      <w:rFonts w:hint="eastAsia"/>
                      <w:snapToGrid w:val="0"/>
                      <w:kern w:val="0"/>
                      <w:szCs w:val="21"/>
                    </w:rPr>
                    <w:t xml:space="preserve">25.6 </w:t>
                  </w:r>
                </w:p>
              </w:tc>
              <w:tc>
                <w:tcPr>
                  <w:tcW w:w="783" w:type="pct"/>
                  <w:tcBorders>
                    <w:left w:val="single" w:color="auto" w:sz="4" w:space="0"/>
                  </w:tcBorders>
                  <w:vAlign w:val="center"/>
                </w:tcPr>
                <w:p w14:paraId="66F04521">
                  <w:pPr>
                    <w:adjustRightInd w:val="0"/>
                    <w:snapToGrid w:val="0"/>
                    <w:jc w:val="center"/>
                    <w:rPr>
                      <w:snapToGrid w:val="0"/>
                      <w:kern w:val="0"/>
                      <w:szCs w:val="21"/>
                    </w:rPr>
                  </w:pPr>
                  <w:r>
                    <w:rPr>
                      <w:rFonts w:hint="eastAsia"/>
                      <w:snapToGrid w:val="0"/>
                      <w:kern w:val="0"/>
                      <w:szCs w:val="21"/>
                    </w:rPr>
                    <w:t xml:space="preserve">51.2 </w:t>
                  </w:r>
                </w:p>
              </w:tc>
              <w:tc>
                <w:tcPr>
                  <w:tcW w:w="769" w:type="dxa"/>
                  <w:tcBorders>
                    <w:right w:val="single" w:color="auto" w:sz="4" w:space="0"/>
                  </w:tcBorders>
                  <w:vAlign w:val="center"/>
                </w:tcPr>
                <w:p w14:paraId="2A99001F">
                  <w:pPr>
                    <w:adjustRightInd w:val="0"/>
                    <w:snapToGrid w:val="0"/>
                    <w:jc w:val="center"/>
                    <w:rPr>
                      <w:snapToGrid w:val="0"/>
                      <w:color w:val="auto"/>
                      <w:kern w:val="0"/>
                      <w:szCs w:val="21"/>
                      <w:highlight w:val="none"/>
                    </w:rPr>
                  </w:pPr>
                  <w:r>
                    <w:rPr>
                      <w:snapToGrid w:val="0"/>
                      <w:color w:val="auto"/>
                      <w:kern w:val="0"/>
                      <w:szCs w:val="21"/>
                      <w:highlight w:val="none"/>
                    </w:rPr>
                    <w:t>6</w:t>
                  </w:r>
                  <w:r>
                    <w:rPr>
                      <w:rFonts w:hint="eastAsia"/>
                      <w:snapToGrid w:val="0"/>
                      <w:color w:val="auto"/>
                      <w:kern w:val="0"/>
                      <w:szCs w:val="21"/>
                      <w:highlight w:val="none"/>
                      <w:lang w:val="en-US" w:eastAsia="zh-CN"/>
                    </w:rPr>
                    <w:t>5</w:t>
                  </w:r>
                </w:p>
              </w:tc>
              <w:tc>
                <w:tcPr>
                  <w:tcW w:w="681" w:type="dxa"/>
                  <w:tcBorders>
                    <w:left w:val="single" w:color="auto" w:sz="4" w:space="0"/>
                  </w:tcBorders>
                  <w:vAlign w:val="center"/>
                </w:tcPr>
                <w:p w14:paraId="1A97BC7D">
                  <w:pPr>
                    <w:adjustRightInd w:val="0"/>
                    <w:snapToGrid w:val="0"/>
                    <w:jc w:val="center"/>
                    <w:rPr>
                      <w:snapToGrid w:val="0"/>
                      <w:color w:val="auto"/>
                      <w:kern w:val="0"/>
                      <w:szCs w:val="21"/>
                      <w:highlight w:val="none"/>
                    </w:rPr>
                  </w:pPr>
                  <w:r>
                    <w:rPr>
                      <w:rFonts w:hint="eastAsia"/>
                      <w:snapToGrid w:val="0"/>
                      <w:color w:val="auto"/>
                      <w:kern w:val="0"/>
                      <w:szCs w:val="21"/>
                      <w:highlight w:val="none"/>
                      <w:lang w:val="en-US" w:eastAsia="zh-CN"/>
                    </w:rPr>
                    <w:t>55</w:t>
                  </w:r>
                </w:p>
              </w:tc>
              <w:tc>
                <w:tcPr>
                  <w:tcW w:w="712" w:type="pct"/>
                  <w:vAlign w:val="center"/>
                </w:tcPr>
                <w:p w14:paraId="4AA665C6">
                  <w:pPr>
                    <w:adjustRightInd w:val="0"/>
                    <w:snapToGrid w:val="0"/>
                    <w:jc w:val="center"/>
                    <w:rPr>
                      <w:snapToGrid w:val="0"/>
                      <w:kern w:val="0"/>
                      <w:szCs w:val="21"/>
                    </w:rPr>
                  </w:pPr>
                  <w:r>
                    <w:rPr>
                      <w:snapToGrid w:val="0"/>
                      <w:kern w:val="0"/>
                      <w:szCs w:val="21"/>
                    </w:rPr>
                    <w:t>达标</w:t>
                  </w:r>
                </w:p>
              </w:tc>
            </w:tr>
            <w:tr w14:paraId="40A52A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289" w:hRule="atLeast"/>
                <w:jc w:val="center"/>
              </w:trPr>
              <w:tc>
                <w:tcPr>
                  <w:tcW w:w="768" w:type="pct"/>
                  <w:vAlign w:val="center"/>
                </w:tcPr>
                <w:p w14:paraId="1BD2BB3F">
                  <w:pPr>
                    <w:adjustRightInd w:val="0"/>
                    <w:snapToGrid w:val="0"/>
                    <w:jc w:val="center"/>
                    <w:rPr>
                      <w:szCs w:val="21"/>
                    </w:rPr>
                  </w:pPr>
                  <w:r>
                    <w:rPr>
                      <w:szCs w:val="21"/>
                    </w:rPr>
                    <w:t>西厂界D</w:t>
                  </w:r>
                </w:p>
              </w:tc>
              <w:tc>
                <w:tcPr>
                  <w:tcW w:w="636" w:type="pct"/>
                  <w:vAlign w:val="center"/>
                </w:tcPr>
                <w:p w14:paraId="7E6622A5">
                  <w:pPr>
                    <w:adjustRightInd w:val="0"/>
                    <w:snapToGrid w:val="0"/>
                    <w:jc w:val="center"/>
                    <w:rPr>
                      <w:szCs w:val="21"/>
                    </w:rPr>
                  </w:pPr>
                  <w:r>
                    <w:rPr>
                      <w:rFonts w:hint="eastAsia"/>
                      <w:szCs w:val="21"/>
                    </w:rPr>
                    <w:t>-9</w:t>
                  </w:r>
                </w:p>
              </w:tc>
              <w:tc>
                <w:tcPr>
                  <w:tcW w:w="642" w:type="pct"/>
                  <w:vAlign w:val="center"/>
                </w:tcPr>
                <w:p w14:paraId="2F4C0E13">
                  <w:pPr>
                    <w:adjustRightInd w:val="0"/>
                    <w:snapToGrid w:val="0"/>
                    <w:jc w:val="center"/>
                    <w:rPr>
                      <w:szCs w:val="21"/>
                    </w:rPr>
                  </w:pPr>
                  <w:r>
                    <w:rPr>
                      <w:rFonts w:hint="eastAsia"/>
                      <w:szCs w:val="21"/>
                    </w:rPr>
                    <w:t>11</w:t>
                  </w:r>
                </w:p>
              </w:tc>
              <w:tc>
                <w:tcPr>
                  <w:tcW w:w="645" w:type="pct"/>
                  <w:tcBorders>
                    <w:right w:val="single" w:color="auto" w:sz="4" w:space="0"/>
                  </w:tcBorders>
                  <w:vAlign w:val="center"/>
                </w:tcPr>
                <w:p w14:paraId="13C4CBBE">
                  <w:pPr>
                    <w:adjustRightInd w:val="0"/>
                    <w:snapToGrid w:val="0"/>
                    <w:jc w:val="center"/>
                    <w:rPr>
                      <w:snapToGrid w:val="0"/>
                      <w:kern w:val="0"/>
                      <w:szCs w:val="21"/>
                    </w:rPr>
                  </w:pPr>
                  <w:r>
                    <w:rPr>
                      <w:rFonts w:hint="eastAsia"/>
                      <w:snapToGrid w:val="0"/>
                      <w:kern w:val="0"/>
                      <w:szCs w:val="21"/>
                      <w:lang w:val="en-US" w:eastAsia="zh-CN"/>
                    </w:rPr>
                    <w:t>3</w:t>
                  </w:r>
                  <w:r>
                    <w:rPr>
                      <w:rFonts w:hint="eastAsia"/>
                      <w:snapToGrid w:val="0"/>
                      <w:kern w:val="0"/>
                      <w:szCs w:val="21"/>
                    </w:rPr>
                    <w:t xml:space="preserve">4.8 </w:t>
                  </w:r>
                </w:p>
              </w:tc>
              <w:tc>
                <w:tcPr>
                  <w:tcW w:w="783" w:type="pct"/>
                  <w:tcBorders>
                    <w:left w:val="single" w:color="auto" w:sz="4" w:space="0"/>
                  </w:tcBorders>
                  <w:vAlign w:val="center"/>
                </w:tcPr>
                <w:p w14:paraId="7FC8ED85">
                  <w:pPr>
                    <w:adjustRightInd w:val="0"/>
                    <w:snapToGrid w:val="0"/>
                    <w:jc w:val="center"/>
                    <w:rPr>
                      <w:snapToGrid w:val="0"/>
                      <w:kern w:val="0"/>
                      <w:szCs w:val="21"/>
                    </w:rPr>
                  </w:pPr>
                  <w:r>
                    <w:rPr>
                      <w:rFonts w:hint="eastAsia"/>
                      <w:snapToGrid w:val="0"/>
                      <w:kern w:val="0"/>
                      <w:szCs w:val="21"/>
                    </w:rPr>
                    <w:t>5</w:t>
                  </w:r>
                  <w:r>
                    <w:rPr>
                      <w:rFonts w:hint="eastAsia"/>
                      <w:snapToGrid w:val="0"/>
                      <w:kern w:val="0"/>
                      <w:szCs w:val="21"/>
                      <w:lang w:val="en-US" w:eastAsia="zh-CN"/>
                    </w:rPr>
                    <w:t>1</w:t>
                  </w:r>
                  <w:r>
                    <w:rPr>
                      <w:rFonts w:hint="eastAsia"/>
                      <w:snapToGrid w:val="0"/>
                      <w:kern w:val="0"/>
                      <w:szCs w:val="21"/>
                    </w:rPr>
                    <w:t>.</w:t>
                  </w:r>
                  <w:r>
                    <w:rPr>
                      <w:rFonts w:hint="eastAsia"/>
                      <w:snapToGrid w:val="0"/>
                      <w:kern w:val="0"/>
                      <w:szCs w:val="21"/>
                      <w:lang w:val="en-US" w:eastAsia="zh-CN"/>
                    </w:rPr>
                    <w:t>3</w:t>
                  </w:r>
                  <w:r>
                    <w:rPr>
                      <w:rFonts w:hint="eastAsia"/>
                      <w:snapToGrid w:val="0"/>
                      <w:kern w:val="0"/>
                      <w:szCs w:val="21"/>
                    </w:rPr>
                    <w:t xml:space="preserve"> </w:t>
                  </w:r>
                </w:p>
              </w:tc>
              <w:tc>
                <w:tcPr>
                  <w:tcW w:w="769" w:type="dxa"/>
                  <w:tcBorders>
                    <w:right w:val="single" w:color="auto" w:sz="4" w:space="0"/>
                  </w:tcBorders>
                  <w:vAlign w:val="center"/>
                </w:tcPr>
                <w:p w14:paraId="5A4CFBAE">
                  <w:pPr>
                    <w:adjustRightInd w:val="0"/>
                    <w:snapToGrid w:val="0"/>
                    <w:jc w:val="center"/>
                    <w:rPr>
                      <w:snapToGrid w:val="0"/>
                      <w:color w:val="auto"/>
                      <w:kern w:val="0"/>
                      <w:szCs w:val="21"/>
                      <w:highlight w:val="none"/>
                    </w:rPr>
                  </w:pPr>
                  <w:r>
                    <w:rPr>
                      <w:snapToGrid w:val="0"/>
                      <w:color w:val="auto"/>
                      <w:kern w:val="0"/>
                      <w:szCs w:val="21"/>
                      <w:highlight w:val="none"/>
                    </w:rPr>
                    <w:t>6</w:t>
                  </w:r>
                  <w:r>
                    <w:rPr>
                      <w:rFonts w:hint="eastAsia"/>
                      <w:snapToGrid w:val="0"/>
                      <w:color w:val="auto"/>
                      <w:kern w:val="0"/>
                      <w:szCs w:val="21"/>
                      <w:highlight w:val="none"/>
                      <w:lang w:val="en-US" w:eastAsia="zh-CN"/>
                    </w:rPr>
                    <w:t>5</w:t>
                  </w:r>
                </w:p>
              </w:tc>
              <w:tc>
                <w:tcPr>
                  <w:tcW w:w="681" w:type="dxa"/>
                  <w:tcBorders>
                    <w:left w:val="single" w:color="auto" w:sz="4" w:space="0"/>
                  </w:tcBorders>
                  <w:vAlign w:val="center"/>
                </w:tcPr>
                <w:p w14:paraId="4B8F5DBA">
                  <w:pPr>
                    <w:adjustRightInd w:val="0"/>
                    <w:snapToGrid w:val="0"/>
                    <w:jc w:val="center"/>
                    <w:rPr>
                      <w:snapToGrid w:val="0"/>
                      <w:color w:val="auto"/>
                      <w:kern w:val="0"/>
                      <w:szCs w:val="21"/>
                      <w:highlight w:val="none"/>
                    </w:rPr>
                  </w:pPr>
                  <w:r>
                    <w:rPr>
                      <w:rFonts w:hint="eastAsia"/>
                      <w:snapToGrid w:val="0"/>
                      <w:color w:val="auto"/>
                      <w:kern w:val="0"/>
                      <w:szCs w:val="21"/>
                      <w:highlight w:val="none"/>
                      <w:lang w:val="en-US" w:eastAsia="zh-CN"/>
                    </w:rPr>
                    <w:t>55</w:t>
                  </w:r>
                </w:p>
              </w:tc>
              <w:tc>
                <w:tcPr>
                  <w:tcW w:w="712" w:type="pct"/>
                  <w:vAlign w:val="center"/>
                </w:tcPr>
                <w:p w14:paraId="56601F7F">
                  <w:pPr>
                    <w:adjustRightInd w:val="0"/>
                    <w:snapToGrid w:val="0"/>
                    <w:jc w:val="center"/>
                    <w:rPr>
                      <w:snapToGrid w:val="0"/>
                      <w:kern w:val="0"/>
                      <w:szCs w:val="21"/>
                    </w:rPr>
                  </w:pPr>
                  <w:r>
                    <w:rPr>
                      <w:snapToGrid w:val="0"/>
                      <w:kern w:val="0"/>
                      <w:szCs w:val="21"/>
                    </w:rPr>
                    <w:t>达标</w:t>
                  </w:r>
                </w:p>
              </w:tc>
            </w:tr>
          </w:tbl>
          <w:p w14:paraId="1B5A330E">
            <w:pPr>
              <w:pStyle w:val="99"/>
              <w:spacing w:line="480" w:lineRule="exact"/>
              <w:ind w:firstLine="480"/>
              <w:rPr>
                <w:rFonts w:ascii="Times New Roman" w:hAnsi="Times New Roman"/>
              </w:rPr>
            </w:pPr>
            <w:r>
              <w:rPr>
                <w:rFonts w:ascii="Times New Roman" w:hAnsi="Times New Roman"/>
                <w:kern w:val="28"/>
                <w:lang w:bidi="ar"/>
              </w:rPr>
              <w:t>本项目噪声在通过合理布局，距离衰减后，厂界最大噪声</w:t>
            </w:r>
            <w:r>
              <w:rPr>
                <w:rFonts w:hint="eastAsia" w:ascii="Times New Roman" w:hAnsi="Times New Roman"/>
                <w:kern w:val="28"/>
                <w:lang w:bidi="ar"/>
              </w:rPr>
              <w:t>预测</w:t>
            </w:r>
            <w:r>
              <w:rPr>
                <w:rFonts w:ascii="Times New Roman" w:hAnsi="Times New Roman"/>
                <w:kern w:val="28"/>
                <w:lang w:bidi="ar"/>
              </w:rPr>
              <w:t>值为5</w:t>
            </w:r>
            <w:r>
              <w:rPr>
                <w:rFonts w:hint="eastAsia" w:ascii="Times New Roman" w:hAnsi="Times New Roman"/>
                <w:kern w:val="28"/>
                <w:lang w:val="en-US" w:eastAsia="zh-CN" w:bidi="ar"/>
              </w:rPr>
              <w:t>1.3</w:t>
            </w:r>
            <w:r>
              <w:rPr>
                <w:rFonts w:ascii="Times New Roman" w:hAnsi="Times New Roman"/>
                <w:kern w:val="28"/>
                <w:lang w:bidi="ar"/>
              </w:rPr>
              <w:t>dB（A），达到《工业企业厂界环境噪声排放标准》（GB12348-2008）中的中</w:t>
            </w:r>
            <w:r>
              <w:rPr>
                <w:rFonts w:hint="eastAsia" w:ascii="Times New Roman" w:hAnsi="Times New Roman"/>
                <w:kern w:val="28"/>
                <w:lang w:val="en-US" w:eastAsia="zh-CN" w:bidi="ar"/>
              </w:rPr>
              <w:t>3</w:t>
            </w:r>
            <w:r>
              <w:rPr>
                <w:rFonts w:ascii="Times New Roman" w:hAnsi="Times New Roman"/>
                <w:kern w:val="28"/>
                <w:lang w:bidi="ar"/>
              </w:rPr>
              <w:t>类标准，声环境影响较小，不会降低当地的环境声功能级别。</w:t>
            </w:r>
          </w:p>
          <w:p w14:paraId="6E65592E">
            <w:pPr>
              <w:pStyle w:val="99"/>
              <w:spacing w:line="480" w:lineRule="exact"/>
              <w:ind w:firstLine="482"/>
              <w:rPr>
                <w:rFonts w:ascii="Times New Roman" w:hAnsi="Times New Roman" w:cs="Times New Roman"/>
                <w:b/>
              </w:rPr>
            </w:pPr>
            <w:r>
              <w:rPr>
                <w:rFonts w:ascii="Times New Roman" w:hAnsi="Times New Roman" w:cs="Times New Roman"/>
                <w:b/>
              </w:rPr>
              <w:t>4、监测计划</w:t>
            </w:r>
          </w:p>
          <w:p w14:paraId="411B2349">
            <w:pPr>
              <w:snapToGrid w:val="0"/>
              <w:spacing w:line="480" w:lineRule="exact"/>
              <w:ind w:firstLine="480" w:firstLineChars="200"/>
              <w:rPr>
                <w:sz w:val="24"/>
              </w:rPr>
            </w:pPr>
            <w:r>
              <w:rPr>
                <w:sz w:val="24"/>
              </w:rPr>
              <w:t>监测点位：厂界布设4个点位；</w:t>
            </w:r>
          </w:p>
          <w:p w14:paraId="49257ED0">
            <w:pPr>
              <w:spacing w:line="480" w:lineRule="exact"/>
              <w:ind w:firstLine="480" w:firstLineChars="200"/>
              <w:rPr>
                <w:sz w:val="24"/>
              </w:rPr>
            </w:pPr>
            <w:r>
              <w:rPr>
                <w:sz w:val="24"/>
              </w:rPr>
              <w:t>监测频次：按《排污许可证申请与核发技术规范 工业噪声》（HJ1301-2023）中要求，1次/季度；</w:t>
            </w:r>
          </w:p>
          <w:p w14:paraId="3E7EBC7E">
            <w:pPr>
              <w:spacing w:line="480" w:lineRule="exact"/>
              <w:ind w:firstLine="480" w:firstLineChars="200"/>
              <w:rPr>
                <w:sz w:val="24"/>
              </w:rPr>
            </w:pPr>
            <w:r>
              <w:rPr>
                <w:sz w:val="24"/>
              </w:rPr>
              <w:t>监测因子：</w:t>
            </w:r>
            <w:r>
              <w:rPr>
                <w:bCs/>
                <w:sz w:val="24"/>
              </w:rPr>
              <w:t>厂界噪声</w:t>
            </w:r>
            <w:r>
              <w:rPr>
                <w:sz w:val="24"/>
              </w:rPr>
              <w:t>昼夜间</w:t>
            </w:r>
            <w:r>
              <w:rPr>
                <w:bCs/>
                <w:sz w:val="24"/>
              </w:rPr>
              <w:t>等效连续A声级</w:t>
            </w:r>
            <w:r>
              <w:rPr>
                <w:sz w:val="24"/>
              </w:rPr>
              <w:t>Leq（A）。</w:t>
            </w:r>
          </w:p>
          <w:p w14:paraId="1F11F9D4">
            <w:pPr>
              <w:tabs>
                <w:tab w:val="left" w:pos="2160"/>
              </w:tabs>
              <w:spacing w:line="480" w:lineRule="exact"/>
              <w:ind w:firstLine="480" w:firstLineChars="200"/>
              <w:rPr>
                <w:sz w:val="24"/>
              </w:rPr>
            </w:pPr>
            <w:r>
              <w:rPr>
                <w:sz w:val="24"/>
              </w:rPr>
              <w:t>噪声监测位置、监测因子、频率等详见表4-2</w:t>
            </w:r>
            <w:r>
              <w:rPr>
                <w:rFonts w:hint="eastAsia"/>
                <w:sz w:val="24"/>
                <w:lang w:val="en-US" w:eastAsia="zh-CN"/>
              </w:rPr>
              <w:t>3</w:t>
            </w:r>
            <w:r>
              <w:rPr>
                <w:sz w:val="24"/>
              </w:rPr>
              <w:t>。</w:t>
            </w:r>
          </w:p>
          <w:p w14:paraId="0FA9FB82">
            <w:pPr>
              <w:pStyle w:val="111"/>
              <w:spacing w:beforeLines="0" w:line="480" w:lineRule="exact"/>
              <w:ind w:firstLine="0" w:firstLineChars="0"/>
              <w:jc w:val="center"/>
              <w:rPr>
                <w:b/>
              </w:rPr>
            </w:pPr>
            <w:r>
              <w:rPr>
                <w:b/>
              </w:rPr>
              <w:t>表4-2</w:t>
            </w:r>
            <w:r>
              <w:rPr>
                <w:rFonts w:hint="eastAsia"/>
                <w:b/>
                <w:lang w:val="en-US" w:eastAsia="zh-CN"/>
              </w:rPr>
              <w:t>4</w:t>
            </w:r>
            <w:r>
              <w:rPr>
                <w:b/>
              </w:rPr>
              <w:t xml:space="preserve">  噪声监测因子及频次表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642"/>
              <w:gridCol w:w="2653"/>
              <w:gridCol w:w="2653"/>
            </w:tblGrid>
            <w:tr w14:paraId="5EDA3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35" w:type="pct"/>
                  <w:vAlign w:val="center"/>
                </w:tcPr>
                <w:p w14:paraId="07225444">
                  <w:pPr>
                    <w:snapToGrid w:val="0"/>
                    <w:jc w:val="center"/>
                    <w:rPr>
                      <w:b/>
                      <w:szCs w:val="21"/>
                    </w:rPr>
                  </w:pPr>
                  <w:r>
                    <w:rPr>
                      <w:b/>
                      <w:szCs w:val="21"/>
                    </w:rPr>
                    <w:t>监测点位</w:t>
                  </w:r>
                </w:p>
              </w:tc>
              <w:tc>
                <w:tcPr>
                  <w:tcW w:w="1482" w:type="pct"/>
                  <w:vAlign w:val="center"/>
                </w:tcPr>
                <w:p w14:paraId="4B07645B">
                  <w:pPr>
                    <w:snapToGrid w:val="0"/>
                    <w:jc w:val="center"/>
                    <w:rPr>
                      <w:b/>
                      <w:szCs w:val="21"/>
                    </w:rPr>
                  </w:pPr>
                  <w:r>
                    <w:rPr>
                      <w:b/>
                      <w:szCs w:val="21"/>
                    </w:rPr>
                    <w:t>监测因子</w:t>
                  </w:r>
                </w:p>
              </w:tc>
              <w:tc>
                <w:tcPr>
                  <w:tcW w:w="1482" w:type="pct"/>
                  <w:vAlign w:val="center"/>
                </w:tcPr>
                <w:p w14:paraId="75A1E4FA">
                  <w:pPr>
                    <w:snapToGrid w:val="0"/>
                    <w:jc w:val="center"/>
                    <w:rPr>
                      <w:b/>
                      <w:szCs w:val="21"/>
                    </w:rPr>
                  </w:pPr>
                  <w:r>
                    <w:rPr>
                      <w:b/>
                      <w:szCs w:val="21"/>
                    </w:rPr>
                    <w:t>监测频次</w:t>
                  </w:r>
                </w:p>
              </w:tc>
            </w:tr>
            <w:tr w14:paraId="4D93A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35" w:type="pct"/>
                  <w:vAlign w:val="center"/>
                </w:tcPr>
                <w:p w14:paraId="746C3A4E">
                  <w:pPr>
                    <w:snapToGrid w:val="0"/>
                    <w:jc w:val="center"/>
                    <w:rPr>
                      <w:szCs w:val="21"/>
                    </w:rPr>
                  </w:pPr>
                  <w:r>
                    <w:rPr>
                      <w:rFonts w:hint="eastAsia"/>
                      <w:szCs w:val="21"/>
                    </w:rPr>
                    <w:t>东、南、西、北</w:t>
                  </w:r>
                  <w:r>
                    <w:rPr>
                      <w:szCs w:val="21"/>
                    </w:rPr>
                    <w:t>厂界</w:t>
                  </w:r>
                </w:p>
              </w:tc>
              <w:tc>
                <w:tcPr>
                  <w:tcW w:w="1482" w:type="pct"/>
                  <w:vAlign w:val="center"/>
                </w:tcPr>
                <w:p w14:paraId="7705B62C">
                  <w:pPr>
                    <w:snapToGrid w:val="0"/>
                    <w:jc w:val="center"/>
                    <w:rPr>
                      <w:szCs w:val="21"/>
                    </w:rPr>
                  </w:pPr>
                  <w:r>
                    <w:rPr>
                      <w:bCs/>
                      <w:szCs w:val="21"/>
                    </w:rPr>
                    <w:t>等效连续A声级</w:t>
                  </w:r>
                </w:p>
              </w:tc>
              <w:tc>
                <w:tcPr>
                  <w:tcW w:w="1482" w:type="pct"/>
                  <w:vAlign w:val="center"/>
                </w:tcPr>
                <w:p w14:paraId="312AAF4B">
                  <w:pPr>
                    <w:snapToGrid w:val="0"/>
                    <w:jc w:val="center"/>
                    <w:rPr>
                      <w:szCs w:val="21"/>
                    </w:rPr>
                  </w:pPr>
                  <w:r>
                    <w:rPr>
                      <w:bCs/>
                      <w:szCs w:val="21"/>
                    </w:rPr>
                    <w:t>1次/季度</w:t>
                  </w:r>
                </w:p>
              </w:tc>
            </w:tr>
          </w:tbl>
          <w:p w14:paraId="3563DA7E">
            <w:pPr>
              <w:spacing w:line="480" w:lineRule="exact"/>
              <w:ind w:firstLine="482" w:firstLineChars="200"/>
              <w:rPr>
                <w:b/>
                <w:bCs/>
                <w:kern w:val="0"/>
                <w:sz w:val="24"/>
              </w:rPr>
            </w:pPr>
            <w:r>
              <w:rPr>
                <w:b/>
                <w:bCs/>
                <w:kern w:val="0"/>
                <w:sz w:val="24"/>
              </w:rPr>
              <w:t>四、固体废物</w:t>
            </w:r>
          </w:p>
          <w:p w14:paraId="52C1E1C6">
            <w:pPr>
              <w:spacing w:line="480" w:lineRule="exact"/>
              <w:ind w:firstLine="482" w:firstLineChars="200"/>
              <w:rPr>
                <w:b/>
                <w:bCs/>
                <w:sz w:val="24"/>
              </w:rPr>
            </w:pPr>
            <w:r>
              <w:rPr>
                <w:b/>
                <w:bCs/>
                <w:sz w:val="24"/>
              </w:rPr>
              <w:t>1、产生及排放情况</w:t>
            </w:r>
          </w:p>
          <w:p w14:paraId="72FF4623">
            <w:pPr>
              <w:spacing w:line="480" w:lineRule="exact"/>
              <w:ind w:firstLine="480" w:firstLineChars="200"/>
              <w:rPr>
                <w:color w:val="auto"/>
                <w:sz w:val="24"/>
              </w:rPr>
            </w:pPr>
            <w:r>
              <w:rPr>
                <w:sz w:val="24"/>
              </w:rPr>
              <w:t>本项目建成后全厂产生的固废主</w:t>
            </w:r>
            <w:r>
              <w:rPr>
                <w:color w:val="auto"/>
                <w:sz w:val="24"/>
              </w:rPr>
              <w:t>要包括一般固废</w:t>
            </w:r>
            <w:r>
              <w:rPr>
                <w:rFonts w:hint="eastAsia"/>
                <w:color w:val="auto"/>
                <w:sz w:val="24"/>
                <w:lang w:val="en-US" w:eastAsia="zh-CN"/>
              </w:rPr>
              <w:t>、危险废物</w:t>
            </w:r>
            <w:r>
              <w:rPr>
                <w:color w:val="auto"/>
                <w:sz w:val="24"/>
              </w:rPr>
              <w:t>和生活垃圾。</w:t>
            </w:r>
          </w:p>
          <w:p w14:paraId="4632AB6B">
            <w:pPr>
              <w:pStyle w:val="2"/>
              <w:spacing w:before="0" w:after="0" w:line="480" w:lineRule="exact"/>
              <w:ind w:right="0" w:firstLine="480" w:firstLineChars="200"/>
              <w:rPr>
                <w:color w:val="auto"/>
                <w:sz w:val="24"/>
                <w:szCs w:val="24"/>
              </w:rPr>
            </w:pPr>
            <w:r>
              <w:rPr>
                <w:color w:val="auto"/>
                <w:sz w:val="24"/>
                <w:szCs w:val="24"/>
              </w:rPr>
              <w:t>（1）一般固废</w:t>
            </w:r>
          </w:p>
          <w:p w14:paraId="20E707B5">
            <w:pPr>
              <w:spacing w:line="480" w:lineRule="exact"/>
              <w:ind w:firstLine="480" w:firstLineChars="200"/>
              <w:rPr>
                <w:color w:val="auto"/>
                <w:kern w:val="0"/>
                <w:sz w:val="24"/>
              </w:rPr>
            </w:pPr>
            <w:r>
              <w:rPr>
                <w:color w:val="auto"/>
                <w:kern w:val="0"/>
                <w:sz w:val="24"/>
              </w:rPr>
              <w:t>①</w:t>
            </w:r>
            <w:r>
              <w:rPr>
                <w:rFonts w:hint="eastAsia"/>
                <w:color w:val="auto"/>
                <w:kern w:val="0"/>
                <w:sz w:val="24"/>
              </w:rPr>
              <w:t>废</w:t>
            </w:r>
            <w:r>
              <w:rPr>
                <w:color w:val="auto"/>
                <w:kern w:val="0"/>
                <w:sz w:val="24"/>
              </w:rPr>
              <w:t>边角料：</w:t>
            </w:r>
            <w:r>
              <w:rPr>
                <w:color w:val="auto"/>
                <w:sz w:val="24"/>
              </w:rPr>
              <w:t>本项目簇绒、裁剪检验过程中产生废塑料丝</w:t>
            </w:r>
            <w:r>
              <w:rPr>
                <w:rFonts w:hint="eastAsia"/>
                <w:color w:val="auto"/>
                <w:sz w:val="24"/>
              </w:rPr>
              <w:t>等塑料边角料</w:t>
            </w:r>
            <w:r>
              <w:rPr>
                <w:color w:val="auto"/>
                <w:sz w:val="24"/>
              </w:rPr>
              <w:t>，产生量约</w:t>
            </w:r>
            <w:r>
              <w:rPr>
                <w:rFonts w:hint="eastAsia"/>
                <w:color w:val="auto"/>
                <w:sz w:val="24"/>
              </w:rPr>
              <w:t>原料的1％为12.5</w:t>
            </w:r>
            <w:r>
              <w:rPr>
                <w:color w:val="auto"/>
                <w:sz w:val="24"/>
              </w:rPr>
              <w:t>t/a，</w:t>
            </w:r>
            <w:r>
              <w:rPr>
                <w:rFonts w:hint="eastAsia"/>
                <w:color w:val="auto"/>
                <w:sz w:val="24"/>
              </w:rPr>
              <w:t>收集后外售综合利用</w:t>
            </w:r>
            <w:r>
              <w:rPr>
                <w:color w:val="auto"/>
                <w:sz w:val="24"/>
              </w:rPr>
              <w:t>。</w:t>
            </w:r>
          </w:p>
          <w:p w14:paraId="5A1F6A71">
            <w:pPr>
              <w:spacing w:line="480" w:lineRule="exact"/>
              <w:ind w:firstLine="480" w:firstLineChars="200"/>
              <w:rPr>
                <w:color w:val="auto"/>
                <w:sz w:val="24"/>
              </w:rPr>
            </w:pPr>
            <w:r>
              <w:rPr>
                <w:rFonts w:hint="eastAsia"/>
                <w:color w:val="auto"/>
                <w:sz w:val="24"/>
              </w:rPr>
              <w:t>②不合格品：本项目检验过程中会产生少量不合格品，产生量约1.5t/a，为一般工业固废，收集后外售综合利用。</w:t>
            </w:r>
          </w:p>
          <w:p w14:paraId="02435A08">
            <w:pPr>
              <w:spacing w:line="480" w:lineRule="exact"/>
              <w:ind w:firstLine="480" w:firstLineChars="200"/>
              <w:rPr>
                <w:color w:val="auto"/>
                <w:sz w:val="24"/>
              </w:rPr>
            </w:pPr>
            <w:r>
              <w:rPr>
                <w:rFonts w:hint="eastAsia"/>
                <w:color w:val="auto"/>
                <w:sz w:val="24"/>
              </w:rPr>
              <w:t>③</w:t>
            </w:r>
            <w:r>
              <w:rPr>
                <w:color w:val="auto"/>
                <w:kern w:val="0"/>
                <w:sz w:val="24"/>
              </w:rPr>
              <w:t>废包装材料：</w:t>
            </w:r>
            <w:r>
              <w:rPr>
                <w:rFonts w:hint="eastAsia"/>
                <w:color w:val="auto"/>
                <w:kern w:val="0"/>
                <w:sz w:val="24"/>
              </w:rPr>
              <w:t>碳酸钙</w:t>
            </w:r>
            <w:r>
              <w:rPr>
                <w:color w:val="auto"/>
                <w:kern w:val="0"/>
                <w:sz w:val="24"/>
              </w:rPr>
              <w:t>包装方式为</w:t>
            </w:r>
            <w:r>
              <w:rPr>
                <w:rFonts w:hint="eastAsia"/>
                <w:color w:val="auto"/>
                <w:kern w:val="0"/>
                <w:sz w:val="24"/>
              </w:rPr>
              <w:t>750</w:t>
            </w:r>
            <w:r>
              <w:rPr>
                <w:color w:val="auto"/>
                <w:kern w:val="0"/>
                <w:sz w:val="24"/>
              </w:rPr>
              <w:t>kg/袋，全年使用</w:t>
            </w:r>
            <w:r>
              <w:rPr>
                <w:rFonts w:hint="eastAsia"/>
                <w:color w:val="auto"/>
                <w:kern w:val="0"/>
                <w:sz w:val="24"/>
              </w:rPr>
              <w:t>碳酸钙</w:t>
            </w:r>
            <w:r>
              <w:rPr>
                <w:color w:val="auto"/>
                <w:kern w:val="0"/>
                <w:sz w:val="24"/>
              </w:rPr>
              <w:t>共</w:t>
            </w:r>
            <w:r>
              <w:rPr>
                <w:rFonts w:hint="eastAsia"/>
                <w:color w:val="auto"/>
                <w:kern w:val="0"/>
                <w:sz w:val="24"/>
              </w:rPr>
              <w:t>300</w:t>
            </w:r>
            <w:r>
              <w:rPr>
                <w:color w:val="auto"/>
                <w:kern w:val="0"/>
                <w:sz w:val="24"/>
              </w:rPr>
              <w:t>t，则产生废包装袋</w:t>
            </w:r>
            <w:r>
              <w:rPr>
                <w:rFonts w:hint="eastAsia"/>
                <w:color w:val="auto"/>
                <w:kern w:val="0"/>
                <w:sz w:val="24"/>
              </w:rPr>
              <w:t>400</w:t>
            </w:r>
            <w:r>
              <w:rPr>
                <w:color w:val="auto"/>
                <w:kern w:val="0"/>
                <w:sz w:val="24"/>
              </w:rPr>
              <w:t>个/a，每个包装袋重约</w:t>
            </w:r>
            <w:r>
              <w:rPr>
                <w:rFonts w:hint="eastAsia"/>
                <w:color w:val="auto"/>
                <w:kern w:val="0"/>
                <w:sz w:val="24"/>
              </w:rPr>
              <w:t>3kg</w:t>
            </w:r>
            <w:r>
              <w:rPr>
                <w:color w:val="auto"/>
                <w:kern w:val="0"/>
                <w:sz w:val="24"/>
              </w:rPr>
              <w:t>，合计重量为</w:t>
            </w:r>
            <w:r>
              <w:rPr>
                <w:rFonts w:hint="eastAsia"/>
                <w:color w:val="auto"/>
                <w:kern w:val="0"/>
                <w:sz w:val="24"/>
              </w:rPr>
              <w:t>1.2</w:t>
            </w:r>
            <w:r>
              <w:rPr>
                <w:color w:val="auto"/>
                <w:kern w:val="0"/>
                <w:sz w:val="24"/>
              </w:rPr>
              <w:t>t/a</w:t>
            </w:r>
            <w:r>
              <w:rPr>
                <w:rFonts w:hint="eastAsia"/>
                <w:color w:val="auto"/>
                <w:kern w:val="0"/>
                <w:sz w:val="24"/>
              </w:rPr>
              <w:t>，</w:t>
            </w:r>
            <w:r>
              <w:rPr>
                <w:color w:val="auto"/>
                <w:kern w:val="0"/>
                <w:sz w:val="24"/>
              </w:rPr>
              <w:t>收集后外售综合利用。</w:t>
            </w:r>
          </w:p>
          <w:p w14:paraId="6CE18460">
            <w:pPr>
              <w:spacing w:line="480" w:lineRule="exact"/>
              <w:ind w:firstLine="480" w:firstLineChars="200"/>
              <w:rPr>
                <w:color w:val="auto"/>
                <w:kern w:val="0"/>
                <w:sz w:val="24"/>
              </w:rPr>
            </w:pPr>
            <w:r>
              <w:rPr>
                <w:rFonts w:hint="eastAsia"/>
                <w:color w:val="auto"/>
                <w:kern w:val="0"/>
                <w:sz w:val="24"/>
              </w:rPr>
              <w:t>④废滤袋：本项目废滤袋主要由布袋除尘器定期更换产生，全厂设置1套布袋除尘器共64条滤袋，滤袋半年更换一次，每条滤袋约为0.5kg，则废滤袋的产生量约为0.064t/a，经收集后外售综合利用。</w:t>
            </w:r>
          </w:p>
          <w:p w14:paraId="22A03BCF">
            <w:pPr>
              <w:spacing w:line="480" w:lineRule="exact"/>
              <w:ind w:firstLine="480" w:firstLineChars="200"/>
              <w:rPr>
                <w:color w:val="auto"/>
                <w:kern w:val="0"/>
                <w:sz w:val="24"/>
              </w:rPr>
            </w:pPr>
            <w:r>
              <w:rPr>
                <w:rFonts w:hint="eastAsia"/>
                <w:color w:val="auto"/>
                <w:kern w:val="0"/>
                <w:sz w:val="24"/>
              </w:rPr>
              <w:t>⑤除尘器收尘：根据物料平衡分析，布袋除尘器收集的粉尘约为</w:t>
            </w:r>
            <w:r>
              <w:rPr>
                <w:rFonts w:hint="eastAsia"/>
                <w:color w:val="auto"/>
                <w:kern w:val="0"/>
                <w:sz w:val="24"/>
                <w:lang w:val="en-US" w:eastAsia="zh-CN"/>
              </w:rPr>
              <w:t>1.553</w:t>
            </w:r>
            <w:r>
              <w:rPr>
                <w:rFonts w:hint="eastAsia"/>
                <w:color w:val="auto"/>
                <w:kern w:val="0"/>
                <w:sz w:val="24"/>
              </w:rPr>
              <w:t>t/a，收集后外售综合利用。</w:t>
            </w:r>
          </w:p>
          <w:p w14:paraId="794297AB">
            <w:pPr>
              <w:numPr>
                <w:ilvl w:val="0"/>
                <w:numId w:val="10"/>
              </w:numPr>
              <w:spacing w:line="480" w:lineRule="exact"/>
              <w:ind w:firstLine="480" w:firstLineChars="200"/>
              <w:rPr>
                <w:color w:val="auto"/>
                <w:sz w:val="24"/>
              </w:rPr>
            </w:pPr>
            <w:r>
              <w:rPr>
                <w:rFonts w:hint="eastAsia"/>
                <w:color w:val="auto"/>
                <w:sz w:val="24"/>
              </w:rPr>
              <w:t>危险废物</w:t>
            </w:r>
          </w:p>
          <w:p w14:paraId="0AC1819F">
            <w:pPr>
              <w:spacing w:line="480" w:lineRule="exact"/>
              <w:ind w:firstLine="480" w:firstLineChars="200"/>
              <w:rPr>
                <w:sz w:val="24"/>
              </w:rPr>
            </w:pPr>
            <w:r>
              <w:rPr>
                <w:rFonts w:hint="eastAsia"/>
                <w:color w:val="auto"/>
                <w:sz w:val="24"/>
              </w:rPr>
              <w:t>①废包装桶：全年使用丁苯胶乳200t</w:t>
            </w:r>
            <w:r>
              <w:rPr>
                <w:rFonts w:hint="eastAsia"/>
                <w:sz w:val="24"/>
              </w:rPr>
              <w:t>（250kg/桶）、机油0.25t（250kg/桶）、PU胶B组分4t（250kg/桶），250kg容量的包装桶共816个（每个包装桶以5kg计）。PU胶A组分28t（500kg/桶），,500kg容量的包装桶共56个（每个包装桶以10kg计），则重量约为4.64t/a，定期委托有资质单位处理。</w:t>
            </w:r>
          </w:p>
          <w:p w14:paraId="3C966609">
            <w:pPr>
              <w:spacing w:line="480" w:lineRule="exact"/>
              <w:ind w:firstLine="480" w:firstLineChars="200"/>
              <w:rPr>
                <w:sz w:val="24"/>
              </w:rPr>
            </w:pPr>
            <w:r>
              <w:rPr>
                <w:rFonts w:hint="eastAsia"/>
                <w:sz w:val="24"/>
              </w:rPr>
              <w:t>②含胶废物：本项目在背胶过程中会产生沾染胶水的废手套、抹布</w:t>
            </w:r>
            <w:r>
              <w:rPr>
                <w:rFonts w:hint="eastAsia"/>
                <w:sz w:val="24"/>
                <w:lang w:val="en-US" w:eastAsia="zh-CN"/>
              </w:rPr>
              <w:t>等</w:t>
            </w:r>
            <w:r>
              <w:rPr>
                <w:rFonts w:hint="eastAsia"/>
                <w:sz w:val="24"/>
              </w:rPr>
              <w:t>，产生量约0.1t/a，收集后暂存危废库，委托有资质单位处置。</w:t>
            </w:r>
          </w:p>
          <w:p w14:paraId="70D546BA">
            <w:pPr>
              <w:spacing w:line="480" w:lineRule="exact"/>
              <w:ind w:firstLine="480" w:firstLineChars="200"/>
              <w:rPr>
                <w:sz w:val="24"/>
              </w:rPr>
            </w:pPr>
            <w:r>
              <w:rPr>
                <w:rFonts w:hint="eastAsia"/>
                <w:sz w:val="24"/>
              </w:rPr>
              <w:t>③</w:t>
            </w:r>
            <w:r>
              <w:rPr>
                <w:sz w:val="24"/>
              </w:rPr>
              <w:t>废活性炭：</w:t>
            </w:r>
          </w:p>
          <w:p w14:paraId="41073725">
            <w:pPr>
              <w:pStyle w:val="2"/>
              <w:spacing w:before="0" w:after="0" w:line="480" w:lineRule="exact"/>
              <w:ind w:right="0" w:firstLine="480" w:firstLineChars="200"/>
              <w:rPr>
                <w:kern w:val="2"/>
                <w:sz w:val="24"/>
                <w:szCs w:val="24"/>
              </w:rPr>
            </w:pPr>
            <w:r>
              <w:rPr>
                <w:rFonts w:hint="eastAsia"/>
                <w:kern w:val="2"/>
                <w:sz w:val="24"/>
                <w:szCs w:val="24"/>
              </w:rPr>
              <w:t>本项目非甲烷总经活性炭处理装置进行处理，根据《省生态环境厅关于将排污单位活性炭使用更换纳入排污许可管理的通知》（苏环办〔2021〕218号）和《省生态环境厅关于深入开展涉VOCs治理重点工作核查的通知》（苏环办[2022]218号）相关要求，其计算公式如下。</w:t>
            </w:r>
          </w:p>
          <w:p w14:paraId="4CDB5DBB">
            <w:pPr>
              <w:pStyle w:val="2"/>
              <w:spacing w:before="0" w:after="0" w:line="480" w:lineRule="exact"/>
              <w:ind w:right="0" w:firstLine="480" w:firstLineChars="200"/>
              <w:rPr>
                <w:kern w:val="2"/>
                <w:sz w:val="24"/>
                <w:szCs w:val="24"/>
              </w:rPr>
            </w:pPr>
            <w:r>
              <w:rPr>
                <w:kern w:val="2"/>
                <w:sz w:val="24"/>
                <w:szCs w:val="24"/>
              </w:rPr>
              <w:t>T=m×s÷（c×10</w:t>
            </w:r>
            <w:r>
              <w:rPr>
                <w:kern w:val="2"/>
                <w:sz w:val="24"/>
                <w:szCs w:val="24"/>
                <w:vertAlign w:val="superscript"/>
              </w:rPr>
              <w:t>-6</w:t>
            </w:r>
            <w:r>
              <w:rPr>
                <w:kern w:val="2"/>
                <w:sz w:val="24"/>
                <w:szCs w:val="24"/>
              </w:rPr>
              <w:t>×Q×t）</w:t>
            </w:r>
          </w:p>
          <w:p w14:paraId="16A7C03A">
            <w:pPr>
              <w:pStyle w:val="2"/>
              <w:spacing w:before="0" w:after="0" w:line="480" w:lineRule="exact"/>
              <w:ind w:right="0" w:firstLine="480" w:firstLineChars="200"/>
              <w:rPr>
                <w:kern w:val="2"/>
                <w:sz w:val="24"/>
                <w:szCs w:val="24"/>
              </w:rPr>
            </w:pPr>
            <w:r>
              <w:rPr>
                <w:kern w:val="2"/>
                <w:sz w:val="24"/>
                <w:szCs w:val="24"/>
              </w:rPr>
              <w:t>式中：T-更换周期，天；m-活性炭用量，kg；s-动态吸附量，%；c-活性炭削减的VOCs浓度，mg/m</w:t>
            </w:r>
            <w:r>
              <w:rPr>
                <w:kern w:val="2"/>
                <w:sz w:val="24"/>
                <w:szCs w:val="24"/>
                <w:vertAlign w:val="superscript"/>
              </w:rPr>
              <w:t>3</w:t>
            </w:r>
            <w:r>
              <w:rPr>
                <w:kern w:val="2"/>
                <w:sz w:val="24"/>
                <w:szCs w:val="24"/>
              </w:rPr>
              <w:t>；Q-风量，m</w:t>
            </w:r>
            <w:r>
              <w:rPr>
                <w:kern w:val="2"/>
                <w:sz w:val="24"/>
                <w:szCs w:val="24"/>
                <w:vertAlign w:val="superscript"/>
              </w:rPr>
              <w:t>3</w:t>
            </w:r>
            <w:r>
              <w:rPr>
                <w:kern w:val="2"/>
                <w:sz w:val="24"/>
                <w:szCs w:val="24"/>
              </w:rPr>
              <w:t>/h；t-运行时间，h/d。</w:t>
            </w:r>
          </w:p>
          <w:p w14:paraId="3C863D20">
            <w:pPr>
              <w:pStyle w:val="2"/>
              <w:spacing w:before="0" w:after="0" w:line="480" w:lineRule="exact"/>
              <w:ind w:right="0" w:firstLine="480" w:firstLineChars="200"/>
              <w:rPr>
                <w:kern w:val="2"/>
                <w:sz w:val="24"/>
                <w:szCs w:val="24"/>
              </w:rPr>
            </w:pPr>
            <w:r>
              <w:rPr>
                <w:sz w:val="24"/>
                <w:szCs w:val="24"/>
              </w:rPr>
              <w:t>根据工程分析，</w:t>
            </w:r>
            <w:r>
              <w:rPr>
                <w:rFonts w:hint="eastAsia"/>
                <w:sz w:val="24"/>
                <w:szCs w:val="24"/>
              </w:rPr>
              <w:t>1#</w:t>
            </w:r>
            <w:r>
              <w:rPr>
                <w:sz w:val="24"/>
                <w:szCs w:val="24"/>
              </w:rPr>
              <w:t>废气处理装置</w:t>
            </w:r>
            <w:r>
              <w:rPr>
                <w:kern w:val="2"/>
                <w:sz w:val="24"/>
                <w:szCs w:val="24"/>
              </w:rPr>
              <w:t>2个活性炭箱体填充量共为</w:t>
            </w:r>
            <w:r>
              <w:rPr>
                <w:rFonts w:hint="eastAsia"/>
                <w:kern w:val="2"/>
                <w:sz w:val="24"/>
                <w:szCs w:val="24"/>
              </w:rPr>
              <w:t>1</w:t>
            </w:r>
            <w:r>
              <w:rPr>
                <w:kern w:val="2"/>
                <w:sz w:val="24"/>
                <w:szCs w:val="24"/>
              </w:rPr>
              <w:t>t，即</w:t>
            </w:r>
            <w:r>
              <w:rPr>
                <w:rFonts w:hint="eastAsia"/>
                <w:kern w:val="2"/>
                <w:sz w:val="24"/>
                <w:szCs w:val="24"/>
              </w:rPr>
              <w:t>100</w:t>
            </w:r>
            <w:r>
              <w:rPr>
                <w:kern w:val="2"/>
                <w:sz w:val="24"/>
                <w:szCs w:val="24"/>
              </w:rPr>
              <w:t>0kg，动态吸附量取</w:t>
            </w:r>
            <w:r>
              <w:rPr>
                <w:rFonts w:hint="eastAsia"/>
                <w:kern w:val="2"/>
                <w:sz w:val="24"/>
                <w:szCs w:val="24"/>
                <w:lang w:val="en-US" w:eastAsia="zh-CN"/>
              </w:rPr>
              <w:t>1</w:t>
            </w:r>
            <w:r>
              <w:rPr>
                <w:kern w:val="2"/>
                <w:sz w:val="24"/>
                <w:szCs w:val="24"/>
              </w:rPr>
              <w:t>0%，VOCs削减浓度为</w:t>
            </w:r>
            <w:r>
              <w:rPr>
                <w:rFonts w:hint="eastAsia"/>
                <w:kern w:val="2"/>
                <w:sz w:val="24"/>
                <w:szCs w:val="24"/>
                <w:lang w:val="en-US" w:eastAsia="zh-CN"/>
              </w:rPr>
              <w:t>8.19</w:t>
            </w:r>
            <w:r>
              <w:rPr>
                <w:kern w:val="2"/>
                <w:sz w:val="24"/>
                <w:szCs w:val="24"/>
              </w:rPr>
              <w:t>mg/m</w:t>
            </w:r>
            <w:r>
              <w:rPr>
                <w:kern w:val="2"/>
                <w:sz w:val="24"/>
                <w:szCs w:val="24"/>
                <w:vertAlign w:val="superscript"/>
              </w:rPr>
              <w:t>3</w:t>
            </w:r>
            <w:r>
              <w:rPr>
                <w:kern w:val="2"/>
                <w:sz w:val="24"/>
                <w:szCs w:val="24"/>
              </w:rPr>
              <w:t>，风量为</w:t>
            </w:r>
            <w:r>
              <w:rPr>
                <w:rFonts w:hint="eastAsia"/>
                <w:kern w:val="2"/>
                <w:sz w:val="24"/>
                <w:szCs w:val="24"/>
              </w:rPr>
              <w:t>10</w:t>
            </w:r>
            <w:r>
              <w:rPr>
                <w:kern w:val="2"/>
                <w:sz w:val="24"/>
                <w:szCs w:val="24"/>
              </w:rPr>
              <w:t>000m</w:t>
            </w:r>
            <w:r>
              <w:rPr>
                <w:kern w:val="2"/>
                <w:sz w:val="24"/>
                <w:szCs w:val="24"/>
                <w:vertAlign w:val="superscript"/>
              </w:rPr>
              <w:t>3</w:t>
            </w:r>
            <w:r>
              <w:rPr>
                <w:kern w:val="2"/>
                <w:sz w:val="24"/>
                <w:szCs w:val="24"/>
              </w:rPr>
              <w:t>/h，运行时间为</w:t>
            </w:r>
            <w:r>
              <w:rPr>
                <w:rFonts w:hint="eastAsia"/>
                <w:kern w:val="2"/>
                <w:sz w:val="24"/>
                <w:szCs w:val="24"/>
                <w:lang w:val="en-US" w:eastAsia="zh-CN"/>
              </w:rPr>
              <w:t>24</w:t>
            </w:r>
            <w:r>
              <w:rPr>
                <w:kern w:val="2"/>
                <w:sz w:val="24"/>
                <w:szCs w:val="24"/>
              </w:rPr>
              <w:t>h/d，则更换周期T=</w:t>
            </w:r>
            <w:r>
              <w:rPr>
                <w:rFonts w:hint="eastAsia"/>
                <w:kern w:val="2"/>
                <w:sz w:val="24"/>
                <w:szCs w:val="24"/>
              </w:rPr>
              <w:t>100</w:t>
            </w:r>
            <w:r>
              <w:rPr>
                <w:kern w:val="2"/>
                <w:sz w:val="24"/>
                <w:szCs w:val="24"/>
              </w:rPr>
              <w:t>0×</w:t>
            </w:r>
            <w:r>
              <w:rPr>
                <w:rFonts w:hint="eastAsia"/>
                <w:kern w:val="2"/>
                <w:sz w:val="24"/>
                <w:szCs w:val="24"/>
                <w:lang w:val="en-US" w:eastAsia="zh-CN"/>
              </w:rPr>
              <w:t>1</w:t>
            </w:r>
            <w:r>
              <w:rPr>
                <w:kern w:val="2"/>
                <w:sz w:val="24"/>
                <w:szCs w:val="24"/>
              </w:rPr>
              <w:t>0%÷（</w:t>
            </w:r>
            <w:r>
              <w:rPr>
                <w:rFonts w:hint="eastAsia"/>
                <w:kern w:val="2"/>
                <w:sz w:val="24"/>
                <w:szCs w:val="24"/>
                <w:lang w:val="en-US" w:eastAsia="zh-CN"/>
              </w:rPr>
              <w:t>8.19</w:t>
            </w:r>
            <w:r>
              <w:rPr>
                <w:kern w:val="2"/>
                <w:sz w:val="24"/>
                <w:szCs w:val="24"/>
              </w:rPr>
              <w:t>×10</w:t>
            </w:r>
            <w:r>
              <w:rPr>
                <w:kern w:val="2"/>
                <w:sz w:val="24"/>
                <w:szCs w:val="24"/>
                <w:vertAlign w:val="superscript"/>
              </w:rPr>
              <w:t>-6</w:t>
            </w:r>
            <w:r>
              <w:rPr>
                <w:kern w:val="2"/>
                <w:sz w:val="24"/>
                <w:szCs w:val="24"/>
              </w:rPr>
              <w:t>×</w:t>
            </w:r>
            <w:r>
              <w:rPr>
                <w:rFonts w:hint="eastAsia"/>
                <w:kern w:val="2"/>
                <w:sz w:val="24"/>
                <w:szCs w:val="24"/>
              </w:rPr>
              <w:t>10</w:t>
            </w:r>
            <w:r>
              <w:rPr>
                <w:kern w:val="2"/>
                <w:sz w:val="24"/>
                <w:szCs w:val="24"/>
              </w:rPr>
              <w:t>000×</w:t>
            </w:r>
            <w:r>
              <w:rPr>
                <w:rFonts w:hint="eastAsia"/>
                <w:kern w:val="2"/>
                <w:sz w:val="24"/>
                <w:szCs w:val="24"/>
                <w:lang w:val="en-US" w:eastAsia="zh-CN"/>
              </w:rPr>
              <w:t>24</w:t>
            </w:r>
            <w:r>
              <w:rPr>
                <w:kern w:val="2"/>
                <w:sz w:val="24"/>
                <w:szCs w:val="24"/>
              </w:rPr>
              <w:t>）≈</w:t>
            </w:r>
            <w:r>
              <w:rPr>
                <w:rFonts w:hint="eastAsia"/>
                <w:kern w:val="2"/>
                <w:sz w:val="24"/>
                <w:szCs w:val="24"/>
                <w:lang w:val="en-US" w:eastAsia="zh-CN"/>
              </w:rPr>
              <w:t>50</w:t>
            </w:r>
            <w:r>
              <w:rPr>
                <w:kern w:val="2"/>
                <w:sz w:val="24"/>
                <w:szCs w:val="24"/>
              </w:rPr>
              <w:t>天。则实际废活性炭更换周期为一年</w:t>
            </w:r>
            <w:r>
              <w:rPr>
                <w:rFonts w:hint="eastAsia"/>
                <w:kern w:val="2"/>
                <w:sz w:val="24"/>
                <w:szCs w:val="24"/>
                <w:lang w:val="en-US" w:eastAsia="zh-CN"/>
              </w:rPr>
              <w:t>6</w:t>
            </w:r>
            <w:r>
              <w:rPr>
                <w:kern w:val="2"/>
                <w:sz w:val="24"/>
                <w:szCs w:val="24"/>
              </w:rPr>
              <w:t>次（一年按工作300d计），废活性炭年产生量约为</w:t>
            </w:r>
            <w:r>
              <w:rPr>
                <w:rFonts w:hint="eastAsia"/>
                <w:kern w:val="2"/>
                <w:sz w:val="24"/>
                <w:szCs w:val="24"/>
                <w:lang w:val="en-US" w:eastAsia="zh-CN"/>
              </w:rPr>
              <w:t>6</w:t>
            </w:r>
            <w:r>
              <w:rPr>
                <w:rFonts w:hint="eastAsia"/>
                <w:kern w:val="2"/>
                <w:sz w:val="24"/>
                <w:szCs w:val="24"/>
              </w:rPr>
              <w:t>.</w:t>
            </w:r>
            <w:r>
              <w:rPr>
                <w:rFonts w:hint="eastAsia"/>
                <w:kern w:val="2"/>
                <w:sz w:val="24"/>
                <w:szCs w:val="24"/>
                <w:lang w:val="en-US" w:eastAsia="zh-CN"/>
              </w:rPr>
              <w:t>591</w:t>
            </w:r>
            <w:r>
              <w:rPr>
                <w:kern w:val="2"/>
                <w:sz w:val="24"/>
                <w:szCs w:val="24"/>
              </w:rPr>
              <w:t>t/a（含有机废气</w:t>
            </w:r>
            <w:r>
              <w:rPr>
                <w:rFonts w:hint="eastAsia"/>
                <w:kern w:val="2"/>
                <w:sz w:val="24"/>
                <w:szCs w:val="24"/>
              </w:rPr>
              <w:t>0.591</w:t>
            </w:r>
            <w:r>
              <w:rPr>
                <w:kern w:val="2"/>
                <w:sz w:val="24"/>
                <w:szCs w:val="24"/>
              </w:rPr>
              <w:t>t/a）</w:t>
            </w:r>
            <w:r>
              <w:rPr>
                <w:rFonts w:hint="eastAsia"/>
                <w:kern w:val="2"/>
                <w:sz w:val="24"/>
                <w:szCs w:val="24"/>
              </w:rPr>
              <w:t>，</w:t>
            </w:r>
            <w:r>
              <w:rPr>
                <w:kern w:val="2"/>
                <w:sz w:val="24"/>
                <w:szCs w:val="24"/>
              </w:rPr>
              <w:t>经收集后委托有资质单位处置。</w:t>
            </w:r>
          </w:p>
          <w:p w14:paraId="04E3B61E">
            <w:pPr>
              <w:spacing w:line="480" w:lineRule="exact"/>
              <w:ind w:firstLine="480" w:firstLineChars="200"/>
              <w:rPr>
                <w:sz w:val="24"/>
              </w:rPr>
            </w:pPr>
            <w:r>
              <w:rPr>
                <w:sz w:val="24"/>
              </w:rPr>
              <w:t>（</w:t>
            </w:r>
            <w:r>
              <w:rPr>
                <w:rFonts w:hint="eastAsia"/>
                <w:sz w:val="24"/>
              </w:rPr>
              <w:t>3</w:t>
            </w:r>
            <w:r>
              <w:rPr>
                <w:sz w:val="24"/>
              </w:rPr>
              <w:t>）生活垃圾：项目全厂员工约</w:t>
            </w:r>
            <w:r>
              <w:rPr>
                <w:rFonts w:hint="eastAsia"/>
                <w:sz w:val="24"/>
              </w:rPr>
              <w:t>100</w:t>
            </w:r>
            <w:r>
              <w:rPr>
                <w:sz w:val="24"/>
              </w:rPr>
              <w:t>人，按每年营业时间300天计，每人每天0.5kg/人·d，则项目生活垃圾产生量约1</w:t>
            </w:r>
            <w:r>
              <w:rPr>
                <w:rFonts w:hint="eastAsia"/>
                <w:sz w:val="24"/>
              </w:rPr>
              <w:t>5</w:t>
            </w:r>
            <w:r>
              <w:rPr>
                <w:sz w:val="24"/>
              </w:rPr>
              <w:t>t/a。生活垃圾由当地环卫部门统一处理。</w:t>
            </w:r>
          </w:p>
          <w:p w14:paraId="2ECE46EF">
            <w:pPr>
              <w:pStyle w:val="2"/>
              <w:spacing w:before="0" w:after="0" w:line="480" w:lineRule="exact"/>
              <w:ind w:right="0" w:firstLine="480" w:firstLineChars="200"/>
              <w:rPr>
                <w:sz w:val="24"/>
              </w:rPr>
            </w:pPr>
            <w:r>
              <w:rPr>
                <w:sz w:val="24"/>
              </w:rPr>
              <w:t>本项目固体废弃物全部</w:t>
            </w:r>
            <w:r>
              <w:rPr>
                <w:rFonts w:hint="eastAsia"/>
                <w:sz w:val="24"/>
              </w:rPr>
              <w:t>“</w:t>
            </w:r>
            <w:r>
              <w:rPr>
                <w:sz w:val="24"/>
              </w:rPr>
              <w:t>零</w:t>
            </w:r>
            <w:r>
              <w:rPr>
                <w:rFonts w:hint="eastAsia"/>
                <w:sz w:val="24"/>
              </w:rPr>
              <w:t>”</w:t>
            </w:r>
            <w:r>
              <w:rPr>
                <w:sz w:val="24"/>
              </w:rPr>
              <w:t>排放，控制率达到100%，不会造成二次污染。</w:t>
            </w:r>
          </w:p>
          <w:p w14:paraId="3A8414D8">
            <w:pPr>
              <w:pStyle w:val="3"/>
              <w:numPr>
                <w:ilvl w:val="0"/>
                <w:numId w:val="0"/>
              </w:numPr>
              <w:spacing w:line="480" w:lineRule="exact"/>
              <w:rPr>
                <w:color w:val="FF0000"/>
                <w:sz w:val="24"/>
              </w:rPr>
            </w:pPr>
          </w:p>
        </w:tc>
      </w:tr>
    </w:tbl>
    <w:p w14:paraId="0E9053EE">
      <w:pPr>
        <w:pStyle w:val="3"/>
        <w:rPr>
          <w:color w:val="FF0000"/>
        </w:rPr>
        <w:sectPr>
          <w:pgSz w:w="11907" w:h="16840"/>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tbl>
      <w:tblPr>
        <w:tblStyle w:val="28"/>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autofit"/>
        <w:tblCellMar>
          <w:top w:w="0" w:type="dxa"/>
          <w:left w:w="108" w:type="dxa"/>
          <w:bottom w:w="0" w:type="dxa"/>
          <w:right w:w="108" w:type="dxa"/>
        </w:tblCellMar>
      </w:tblPr>
      <w:tblGrid>
        <w:gridCol w:w="465"/>
        <w:gridCol w:w="13708"/>
      </w:tblGrid>
      <w:tr w14:paraId="7BE5EAC4">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jc w:val="center"/>
        </w:trPr>
        <w:tc>
          <w:tcPr>
            <w:tcW w:w="164" w:type="pct"/>
            <w:tcBorders>
              <w:tl2br w:val="nil"/>
              <w:tr2bl w:val="nil"/>
            </w:tcBorders>
          </w:tcPr>
          <w:p w14:paraId="51F08CBA">
            <w:pPr>
              <w:pStyle w:val="3"/>
              <w:numPr>
                <w:ilvl w:val="0"/>
                <w:numId w:val="0"/>
              </w:numPr>
              <w:ind w:left="1680"/>
              <w:rPr>
                <w:color w:val="FF0000"/>
              </w:rPr>
            </w:pPr>
          </w:p>
        </w:tc>
        <w:tc>
          <w:tcPr>
            <w:tcW w:w="4835" w:type="pct"/>
            <w:tcBorders>
              <w:tl2br w:val="nil"/>
              <w:tr2bl w:val="nil"/>
            </w:tcBorders>
          </w:tcPr>
          <w:p w14:paraId="1453AF6A">
            <w:pPr>
              <w:spacing w:line="480" w:lineRule="exact"/>
              <w:jc w:val="center"/>
              <w:rPr>
                <w:b/>
                <w:sz w:val="24"/>
              </w:rPr>
            </w:pPr>
            <w:r>
              <w:rPr>
                <w:b/>
                <w:sz w:val="24"/>
              </w:rPr>
              <w:t>表4-2</w:t>
            </w:r>
            <w:r>
              <w:rPr>
                <w:rFonts w:hint="eastAsia"/>
                <w:b/>
                <w:sz w:val="24"/>
                <w:lang w:val="en-US" w:eastAsia="zh-CN"/>
              </w:rPr>
              <w:t>5</w:t>
            </w:r>
            <w:r>
              <w:rPr>
                <w:b/>
                <w:sz w:val="24"/>
              </w:rPr>
              <w:t xml:space="preserve">  项目建成后全厂固体废物分析结果汇总表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84"/>
              <w:gridCol w:w="2180"/>
              <w:gridCol w:w="667"/>
              <w:gridCol w:w="1748"/>
              <w:gridCol w:w="716"/>
              <w:gridCol w:w="1172"/>
              <w:gridCol w:w="2304"/>
              <w:gridCol w:w="759"/>
              <w:gridCol w:w="905"/>
              <w:gridCol w:w="1505"/>
              <w:gridCol w:w="1052"/>
            </w:tblGrid>
            <w:tr w14:paraId="6AB72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 w:type="pct"/>
                  <w:vAlign w:val="center"/>
                </w:tcPr>
                <w:p w14:paraId="697D21F0">
                  <w:pPr>
                    <w:jc w:val="center"/>
                    <w:rPr>
                      <w:b/>
                      <w:bCs/>
                      <w:szCs w:val="21"/>
                    </w:rPr>
                  </w:pPr>
                  <w:r>
                    <w:rPr>
                      <w:b/>
                      <w:bCs/>
                      <w:szCs w:val="21"/>
                    </w:rPr>
                    <w:t>序号</w:t>
                  </w:r>
                </w:p>
              </w:tc>
              <w:tc>
                <w:tcPr>
                  <w:tcW w:w="807" w:type="pct"/>
                  <w:vAlign w:val="center"/>
                </w:tcPr>
                <w:p w14:paraId="008BE961">
                  <w:pPr>
                    <w:jc w:val="center"/>
                    <w:rPr>
                      <w:b/>
                      <w:bCs/>
                      <w:szCs w:val="21"/>
                    </w:rPr>
                  </w:pPr>
                  <w:r>
                    <w:rPr>
                      <w:b/>
                      <w:bCs/>
                      <w:szCs w:val="21"/>
                    </w:rPr>
                    <w:t>固废名称</w:t>
                  </w:r>
                </w:p>
              </w:tc>
              <w:tc>
                <w:tcPr>
                  <w:tcW w:w="247" w:type="pct"/>
                  <w:vAlign w:val="center"/>
                </w:tcPr>
                <w:p w14:paraId="1284E504">
                  <w:pPr>
                    <w:jc w:val="center"/>
                    <w:rPr>
                      <w:b/>
                      <w:bCs/>
                      <w:szCs w:val="21"/>
                    </w:rPr>
                  </w:pPr>
                  <w:r>
                    <w:rPr>
                      <w:b/>
                      <w:bCs/>
                      <w:szCs w:val="21"/>
                    </w:rPr>
                    <w:t>属性</w:t>
                  </w:r>
                </w:p>
              </w:tc>
              <w:tc>
                <w:tcPr>
                  <w:tcW w:w="647" w:type="pct"/>
                  <w:vAlign w:val="center"/>
                </w:tcPr>
                <w:p w14:paraId="0F527577">
                  <w:pPr>
                    <w:jc w:val="center"/>
                    <w:rPr>
                      <w:b/>
                      <w:bCs/>
                      <w:szCs w:val="21"/>
                    </w:rPr>
                  </w:pPr>
                  <w:r>
                    <w:rPr>
                      <w:b/>
                      <w:bCs/>
                      <w:szCs w:val="21"/>
                    </w:rPr>
                    <w:t>产生工序</w:t>
                  </w:r>
                </w:p>
              </w:tc>
              <w:tc>
                <w:tcPr>
                  <w:tcW w:w="265" w:type="pct"/>
                  <w:vAlign w:val="center"/>
                </w:tcPr>
                <w:p w14:paraId="69711F3F">
                  <w:pPr>
                    <w:jc w:val="center"/>
                    <w:rPr>
                      <w:b/>
                      <w:bCs/>
                      <w:szCs w:val="21"/>
                    </w:rPr>
                  </w:pPr>
                  <w:r>
                    <w:rPr>
                      <w:b/>
                      <w:bCs/>
                      <w:szCs w:val="21"/>
                    </w:rPr>
                    <w:t>形态</w:t>
                  </w:r>
                </w:p>
              </w:tc>
              <w:tc>
                <w:tcPr>
                  <w:tcW w:w="434" w:type="pct"/>
                  <w:vAlign w:val="center"/>
                </w:tcPr>
                <w:p w14:paraId="33C8A13F">
                  <w:pPr>
                    <w:jc w:val="center"/>
                    <w:rPr>
                      <w:b/>
                      <w:bCs/>
                      <w:szCs w:val="21"/>
                    </w:rPr>
                  </w:pPr>
                  <w:r>
                    <w:rPr>
                      <w:b/>
                      <w:bCs/>
                      <w:szCs w:val="21"/>
                    </w:rPr>
                    <w:t>主要成分</w:t>
                  </w:r>
                </w:p>
              </w:tc>
              <w:tc>
                <w:tcPr>
                  <w:tcW w:w="853" w:type="pct"/>
                  <w:vAlign w:val="center"/>
                </w:tcPr>
                <w:p w14:paraId="32DEB884">
                  <w:pPr>
                    <w:jc w:val="center"/>
                    <w:rPr>
                      <w:b/>
                      <w:bCs/>
                      <w:szCs w:val="21"/>
                    </w:rPr>
                  </w:pPr>
                  <w:r>
                    <w:rPr>
                      <w:b/>
                      <w:bCs/>
                      <w:szCs w:val="21"/>
                    </w:rPr>
                    <w:t>危险特性鉴别方法</w:t>
                  </w:r>
                </w:p>
              </w:tc>
              <w:tc>
                <w:tcPr>
                  <w:tcW w:w="281" w:type="pct"/>
                  <w:vAlign w:val="center"/>
                </w:tcPr>
                <w:p w14:paraId="2559767F">
                  <w:pPr>
                    <w:jc w:val="center"/>
                    <w:rPr>
                      <w:b/>
                      <w:bCs/>
                      <w:szCs w:val="21"/>
                    </w:rPr>
                  </w:pPr>
                  <w:r>
                    <w:rPr>
                      <w:b/>
                      <w:bCs/>
                      <w:szCs w:val="21"/>
                    </w:rPr>
                    <w:t>危险</w:t>
                  </w:r>
                </w:p>
                <w:p w14:paraId="7423B81B">
                  <w:pPr>
                    <w:jc w:val="center"/>
                    <w:rPr>
                      <w:b/>
                      <w:bCs/>
                      <w:szCs w:val="21"/>
                    </w:rPr>
                  </w:pPr>
                  <w:r>
                    <w:rPr>
                      <w:b/>
                      <w:bCs/>
                      <w:szCs w:val="21"/>
                    </w:rPr>
                    <w:t>特性</w:t>
                  </w:r>
                </w:p>
              </w:tc>
              <w:tc>
                <w:tcPr>
                  <w:tcW w:w="335" w:type="pct"/>
                  <w:vAlign w:val="center"/>
                </w:tcPr>
                <w:p w14:paraId="195AD913">
                  <w:pPr>
                    <w:jc w:val="center"/>
                    <w:rPr>
                      <w:b/>
                      <w:bCs/>
                      <w:szCs w:val="21"/>
                    </w:rPr>
                  </w:pPr>
                  <w:r>
                    <w:rPr>
                      <w:b/>
                      <w:bCs/>
                      <w:szCs w:val="21"/>
                    </w:rPr>
                    <w:t>废物</w:t>
                  </w:r>
                </w:p>
                <w:p w14:paraId="4D466BB8">
                  <w:pPr>
                    <w:jc w:val="center"/>
                    <w:rPr>
                      <w:b/>
                      <w:bCs/>
                      <w:szCs w:val="21"/>
                    </w:rPr>
                  </w:pPr>
                  <w:r>
                    <w:rPr>
                      <w:b/>
                      <w:bCs/>
                      <w:szCs w:val="21"/>
                    </w:rPr>
                    <w:t>类别</w:t>
                  </w:r>
                </w:p>
              </w:tc>
              <w:tc>
                <w:tcPr>
                  <w:tcW w:w="557" w:type="pct"/>
                  <w:vAlign w:val="center"/>
                </w:tcPr>
                <w:p w14:paraId="219F4611">
                  <w:pPr>
                    <w:jc w:val="center"/>
                    <w:rPr>
                      <w:b/>
                      <w:bCs/>
                      <w:szCs w:val="21"/>
                    </w:rPr>
                  </w:pPr>
                  <w:r>
                    <w:rPr>
                      <w:b/>
                      <w:bCs/>
                      <w:szCs w:val="21"/>
                    </w:rPr>
                    <w:t>废物代码</w:t>
                  </w:r>
                </w:p>
              </w:tc>
              <w:tc>
                <w:tcPr>
                  <w:tcW w:w="389" w:type="pct"/>
                  <w:vAlign w:val="center"/>
                </w:tcPr>
                <w:p w14:paraId="764FB3F1">
                  <w:pPr>
                    <w:jc w:val="center"/>
                    <w:rPr>
                      <w:b/>
                      <w:bCs/>
                      <w:szCs w:val="21"/>
                    </w:rPr>
                  </w:pPr>
                  <w:r>
                    <w:rPr>
                      <w:b/>
                      <w:bCs/>
                      <w:szCs w:val="21"/>
                    </w:rPr>
                    <w:t>产生量（t/a）</w:t>
                  </w:r>
                </w:p>
              </w:tc>
            </w:tr>
            <w:tr w14:paraId="08370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 w:type="pct"/>
                  <w:vAlign w:val="center"/>
                </w:tcPr>
                <w:p w14:paraId="0F4BEEF7">
                  <w:pPr>
                    <w:jc w:val="center"/>
                    <w:rPr>
                      <w:szCs w:val="21"/>
                    </w:rPr>
                  </w:pPr>
                  <w:r>
                    <w:rPr>
                      <w:szCs w:val="21"/>
                    </w:rPr>
                    <w:t>1</w:t>
                  </w:r>
                </w:p>
              </w:tc>
              <w:tc>
                <w:tcPr>
                  <w:tcW w:w="807" w:type="pct"/>
                  <w:vAlign w:val="center"/>
                </w:tcPr>
                <w:p w14:paraId="6F1B28A2">
                  <w:pPr>
                    <w:jc w:val="center"/>
                    <w:rPr>
                      <w:szCs w:val="21"/>
                    </w:rPr>
                  </w:pPr>
                  <w:r>
                    <w:rPr>
                      <w:rFonts w:hint="eastAsia"/>
                      <w:szCs w:val="21"/>
                    </w:rPr>
                    <w:t>废边角料</w:t>
                  </w:r>
                </w:p>
              </w:tc>
              <w:tc>
                <w:tcPr>
                  <w:tcW w:w="247" w:type="pct"/>
                  <w:vMerge w:val="restart"/>
                  <w:vAlign w:val="center"/>
                </w:tcPr>
                <w:p w14:paraId="7FF2C3D0">
                  <w:pPr>
                    <w:jc w:val="center"/>
                    <w:rPr>
                      <w:szCs w:val="21"/>
                    </w:rPr>
                  </w:pPr>
                  <w:r>
                    <w:rPr>
                      <w:szCs w:val="21"/>
                    </w:rPr>
                    <w:t>一般</w:t>
                  </w:r>
                </w:p>
                <w:p w14:paraId="1F4EF13C">
                  <w:pPr>
                    <w:jc w:val="center"/>
                    <w:rPr>
                      <w:szCs w:val="21"/>
                    </w:rPr>
                  </w:pPr>
                  <w:r>
                    <w:rPr>
                      <w:szCs w:val="21"/>
                    </w:rPr>
                    <w:t>固废</w:t>
                  </w:r>
                </w:p>
              </w:tc>
              <w:tc>
                <w:tcPr>
                  <w:tcW w:w="647" w:type="pct"/>
                  <w:vAlign w:val="center"/>
                </w:tcPr>
                <w:p w14:paraId="32894937">
                  <w:pPr>
                    <w:spacing w:line="320" w:lineRule="exact"/>
                    <w:jc w:val="center"/>
                    <w:rPr>
                      <w:szCs w:val="21"/>
                    </w:rPr>
                  </w:pPr>
                  <w:r>
                    <w:rPr>
                      <w:rFonts w:hint="eastAsia"/>
                      <w:szCs w:val="21"/>
                    </w:rPr>
                    <w:t>簇绒</w:t>
                  </w:r>
                </w:p>
              </w:tc>
              <w:tc>
                <w:tcPr>
                  <w:tcW w:w="265" w:type="pct"/>
                  <w:vAlign w:val="center"/>
                </w:tcPr>
                <w:p w14:paraId="57CA8238">
                  <w:pPr>
                    <w:jc w:val="center"/>
                    <w:rPr>
                      <w:szCs w:val="21"/>
                    </w:rPr>
                  </w:pPr>
                  <w:r>
                    <w:rPr>
                      <w:rFonts w:hint="eastAsia"/>
                      <w:szCs w:val="21"/>
                    </w:rPr>
                    <w:t>固态</w:t>
                  </w:r>
                </w:p>
              </w:tc>
              <w:tc>
                <w:tcPr>
                  <w:tcW w:w="434" w:type="pct"/>
                  <w:vAlign w:val="center"/>
                </w:tcPr>
                <w:p w14:paraId="0EF283E0">
                  <w:pPr>
                    <w:jc w:val="center"/>
                    <w:rPr>
                      <w:szCs w:val="21"/>
                    </w:rPr>
                  </w:pPr>
                  <w:r>
                    <w:rPr>
                      <w:rFonts w:hint="eastAsia"/>
                      <w:szCs w:val="21"/>
                    </w:rPr>
                    <w:t>塑料</w:t>
                  </w:r>
                </w:p>
              </w:tc>
              <w:tc>
                <w:tcPr>
                  <w:tcW w:w="853" w:type="pct"/>
                  <w:vMerge w:val="restart"/>
                  <w:vAlign w:val="center"/>
                </w:tcPr>
                <w:p w14:paraId="08B9E093">
                  <w:pPr>
                    <w:jc w:val="center"/>
                    <w:rPr>
                      <w:szCs w:val="21"/>
                    </w:rPr>
                  </w:pPr>
                  <w:r>
                    <w:rPr>
                      <w:szCs w:val="21"/>
                    </w:rPr>
                    <w:t>《</w:t>
                  </w:r>
                  <w:r>
                    <w:rPr>
                      <w:rStyle w:val="35"/>
                      <w:rFonts w:hint="eastAsia"/>
                      <w:kern w:val="0"/>
                      <w:szCs w:val="21"/>
                    </w:rPr>
                    <w:t>固体废物分类与代码目录》（生态环境部公告2024年第4号）</w:t>
                  </w:r>
                </w:p>
              </w:tc>
              <w:tc>
                <w:tcPr>
                  <w:tcW w:w="281" w:type="pct"/>
                  <w:vAlign w:val="center"/>
                </w:tcPr>
                <w:p w14:paraId="5DE923B8">
                  <w:pPr>
                    <w:jc w:val="center"/>
                    <w:rPr>
                      <w:szCs w:val="21"/>
                    </w:rPr>
                  </w:pPr>
                  <w:r>
                    <w:rPr>
                      <w:rFonts w:hint="eastAsia"/>
                      <w:szCs w:val="21"/>
                    </w:rPr>
                    <w:t>/</w:t>
                  </w:r>
                </w:p>
              </w:tc>
              <w:tc>
                <w:tcPr>
                  <w:tcW w:w="335" w:type="pct"/>
                  <w:vAlign w:val="center"/>
                </w:tcPr>
                <w:p w14:paraId="540C2C26">
                  <w:pPr>
                    <w:spacing w:line="320" w:lineRule="exact"/>
                    <w:jc w:val="center"/>
                    <w:rPr>
                      <w:szCs w:val="21"/>
                    </w:rPr>
                  </w:pPr>
                  <w:r>
                    <w:rPr>
                      <w:szCs w:val="21"/>
                    </w:rPr>
                    <w:t>SW17</w:t>
                  </w:r>
                </w:p>
              </w:tc>
              <w:tc>
                <w:tcPr>
                  <w:tcW w:w="557" w:type="pct"/>
                  <w:vAlign w:val="center"/>
                </w:tcPr>
                <w:p w14:paraId="720693A1">
                  <w:pPr>
                    <w:spacing w:line="320" w:lineRule="exact"/>
                    <w:jc w:val="center"/>
                    <w:rPr>
                      <w:szCs w:val="21"/>
                    </w:rPr>
                  </w:pPr>
                  <w:r>
                    <w:rPr>
                      <w:szCs w:val="21"/>
                    </w:rPr>
                    <w:t>900-003-S17</w:t>
                  </w:r>
                </w:p>
              </w:tc>
              <w:tc>
                <w:tcPr>
                  <w:tcW w:w="389" w:type="pct"/>
                  <w:vAlign w:val="center"/>
                </w:tcPr>
                <w:p w14:paraId="015A81ED">
                  <w:pPr>
                    <w:jc w:val="center"/>
                    <w:rPr>
                      <w:snapToGrid w:val="0"/>
                      <w:szCs w:val="21"/>
                    </w:rPr>
                  </w:pPr>
                  <w:r>
                    <w:rPr>
                      <w:rFonts w:hint="eastAsia"/>
                      <w:snapToGrid w:val="0"/>
                      <w:szCs w:val="21"/>
                    </w:rPr>
                    <w:t>12.5</w:t>
                  </w:r>
                </w:p>
              </w:tc>
            </w:tr>
            <w:tr w14:paraId="7C82B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14:paraId="42FDAA02">
                  <w:pPr>
                    <w:jc w:val="center"/>
                    <w:rPr>
                      <w:szCs w:val="21"/>
                    </w:rPr>
                  </w:pPr>
                  <w:r>
                    <w:rPr>
                      <w:szCs w:val="21"/>
                    </w:rPr>
                    <w:t>2</w:t>
                  </w:r>
                </w:p>
              </w:tc>
              <w:tc>
                <w:tcPr>
                  <w:tcW w:w="0" w:type="auto"/>
                  <w:vAlign w:val="center"/>
                </w:tcPr>
                <w:p w14:paraId="186FE9BB">
                  <w:pPr>
                    <w:jc w:val="center"/>
                    <w:rPr>
                      <w:szCs w:val="21"/>
                    </w:rPr>
                  </w:pPr>
                  <w:r>
                    <w:rPr>
                      <w:rFonts w:hint="eastAsia"/>
                      <w:szCs w:val="21"/>
                    </w:rPr>
                    <w:t>不合格品</w:t>
                  </w:r>
                </w:p>
              </w:tc>
              <w:tc>
                <w:tcPr>
                  <w:tcW w:w="247" w:type="pct"/>
                  <w:vMerge w:val="continue"/>
                  <w:vAlign w:val="center"/>
                </w:tcPr>
                <w:p w14:paraId="18666262">
                  <w:pPr>
                    <w:jc w:val="center"/>
                    <w:rPr>
                      <w:szCs w:val="21"/>
                    </w:rPr>
                  </w:pPr>
                </w:p>
              </w:tc>
              <w:tc>
                <w:tcPr>
                  <w:tcW w:w="647" w:type="pct"/>
                  <w:vAlign w:val="center"/>
                </w:tcPr>
                <w:p w14:paraId="2AD90CF7">
                  <w:pPr>
                    <w:spacing w:line="320" w:lineRule="exact"/>
                    <w:jc w:val="center"/>
                    <w:rPr>
                      <w:szCs w:val="21"/>
                    </w:rPr>
                  </w:pPr>
                  <w:r>
                    <w:rPr>
                      <w:rFonts w:hint="eastAsia"/>
                      <w:szCs w:val="21"/>
                    </w:rPr>
                    <w:t>检验</w:t>
                  </w:r>
                </w:p>
              </w:tc>
              <w:tc>
                <w:tcPr>
                  <w:tcW w:w="265" w:type="pct"/>
                  <w:vAlign w:val="center"/>
                </w:tcPr>
                <w:p w14:paraId="63D31E85">
                  <w:pPr>
                    <w:jc w:val="center"/>
                    <w:rPr>
                      <w:szCs w:val="21"/>
                    </w:rPr>
                  </w:pPr>
                  <w:r>
                    <w:rPr>
                      <w:szCs w:val="21"/>
                    </w:rPr>
                    <w:t>固态</w:t>
                  </w:r>
                </w:p>
              </w:tc>
              <w:tc>
                <w:tcPr>
                  <w:tcW w:w="434" w:type="pct"/>
                  <w:vAlign w:val="center"/>
                </w:tcPr>
                <w:p w14:paraId="3546B666">
                  <w:pPr>
                    <w:jc w:val="center"/>
                    <w:rPr>
                      <w:szCs w:val="21"/>
                    </w:rPr>
                  </w:pPr>
                  <w:r>
                    <w:rPr>
                      <w:rFonts w:hint="eastAsia"/>
                      <w:szCs w:val="21"/>
                    </w:rPr>
                    <w:t>塑料</w:t>
                  </w:r>
                </w:p>
              </w:tc>
              <w:tc>
                <w:tcPr>
                  <w:tcW w:w="853" w:type="pct"/>
                  <w:vMerge w:val="continue"/>
                  <w:vAlign w:val="center"/>
                </w:tcPr>
                <w:p w14:paraId="74D037F9">
                  <w:pPr>
                    <w:jc w:val="center"/>
                    <w:rPr>
                      <w:szCs w:val="21"/>
                    </w:rPr>
                  </w:pPr>
                </w:p>
              </w:tc>
              <w:tc>
                <w:tcPr>
                  <w:tcW w:w="281" w:type="pct"/>
                  <w:vAlign w:val="center"/>
                </w:tcPr>
                <w:p w14:paraId="73005240">
                  <w:pPr>
                    <w:jc w:val="center"/>
                    <w:rPr>
                      <w:szCs w:val="21"/>
                    </w:rPr>
                  </w:pPr>
                  <w:r>
                    <w:rPr>
                      <w:szCs w:val="21"/>
                    </w:rPr>
                    <w:t>/</w:t>
                  </w:r>
                </w:p>
              </w:tc>
              <w:tc>
                <w:tcPr>
                  <w:tcW w:w="335" w:type="pct"/>
                  <w:vAlign w:val="center"/>
                </w:tcPr>
                <w:p w14:paraId="6E6058C2">
                  <w:pPr>
                    <w:spacing w:line="320" w:lineRule="exact"/>
                    <w:jc w:val="center"/>
                    <w:rPr>
                      <w:szCs w:val="21"/>
                    </w:rPr>
                  </w:pPr>
                  <w:r>
                    <w:rPr>
                      <w:szCs w:val="21"/>
                    </w:rPr>
                    <w:t>SW17</w:t>
                  </w:r>
                </w:p>
              </w:tc>
              <w:tc>
                <w:tcPr>
                  <w:tcW w:w="557" w:type="pct"/>
                  <w:vAlign w:val="center"/>
                </w:tcPr>
                <w:p w14:paraId="0139FFE5">
                  <w:pPr>
                    <w:spacing w:line="320" w:lineRule="exact"/>
                    <w:jc w:val="center"/>
                    <w:rPr>
                      <w:szCs w:val="21"/>
                    </w:rPr>
                  </w:pPr>
                  <w:r>
                    <w:rPr>
                      <w:szCs w:val="21"/>
                    </w:rPr>
                    <w:t>900-003-S17</w:t>
                  </w:r>
                </w:p>
              </w:tc>
              <w:tc>
                <w:tcPr>
                  <w:tcW w:w="389" w:type="pct"/>
                  <w:vAlign w:val="center"/>
                </w:tcPr>
                <w:p w14:paraId="291A9995">
                  <w:pPr>
                    <w:jc w:val="center"/>
                    <w:rPr>
                      <w:snapToGrid w:val="0"/>
                      <w:szCs w:val="21"/>
                    </w:rPr>
                  </w:pPr>
                  <w:r>
                    <w:rPr>
                      <w:rFonts w:hint="eastAsia"/>
                      <w:snapToGrid w:val="0"/>
                      <w:szCs w:val="21"/>
                    </w:rPr>
                    <w:t>1.5</w:t>
                  </w:r>
                </w:p>
              </w:tc>
            </w:tr>
            <w:tr w14:paraId="37F86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14:paraId="3D6AB931">
                  <w:pPr>
                    <w:jc w:val="center"/>
                    <w:rPr>
                      <w:szCs w:val="21"/>
                    </w:rPr>
                  </w:pPr>
                  <w:r>
                    <w:rPr>
                      <w:szCs w:val="21"/>
                    </w:rPr>
                    <w:t>3</w:t>
                  </w:r>
                </w:p>
              </w:tc>
              <w:tc>
                <w:tcPr>
                  <w:tcW w:w="0" w:type="auto"/>
                  <w:vAlign w:val="center"/>
                </w:tcPr>
                <w:p w14:paraId="424F7015">
                  <w:pPr>
                    <w:jc w:val="center"/>
                    <w:rPr>
                      <w:szCs w:val="21"/>
                    </w:rPr>
                  </w:pPr>
                  <w:r>
                    <w:rPr>
                      <w:rFonts w:hint="eastAsia"/>
                      <w:szCs w:val="21"/>
                    </w:rPr>
                    <w:t>废包装材料</w:t>
                  </w:r>
                </w:p>
              </w:tc>
              <w:tc>
                <w:tcPr>
                  <w:tcW w:w="247" w:type="pct"/>
                  <w:vMerge w:val="continue"/>
                  <w:vAlign w:val="center"/>
                </w:tcPr>
                <w:p w14:paraId="7C8BA2F4">
                  <w:pPr>
                    <w:jc w:val="center"/>
                    <w:rPr>
                      <w:szCs w:val="21"/>
                    </w:rPr>
                  </w:pPr>
                </w:p>
              </w:tc>
              <w:tc>
                <w:tcPr>
                  <w:tcW w:w="0" w:type="auto"/>
                  <w:vAlign w:val="center"/>
                </w:tcPr>
                <w:p w14:paraId="13F755DE">
                  <w:pPr>
                    <w:spacing w:line="320" w:lineRule="exact"/>
                    <w:jc w:val="center"/>
                    <w:rPr>
                      <w:szCs w:val="21"/>
                    </w:rPr>
                  </w:pPr>
                  <w:r>
                    <w:rPr>
                      <w:rFonts w:hint="eastAsia"/>
                      <w:szCs w:val="21"/>
                    </w:rPr>
                    <w:t>原料包装</w:t>
                  </w:r>
                </w:p>
              </w:tc>
              <w:tc>
                <w:tcPr>
                  <w:tcW w:w="0" w:type="auto"/>
                  <w:vAlign w:val="center"/>
                </w:tcPr>
                <w:p w14:paraId="12A5D66E">
                  <w:pPr>
                    <w:jc w:val="center"/>
                    <w:rPr>
                      <w:szCs w:val="21"/>
                    </w:rPr>
                  </w:pPr>
                  <w:r>
                    <w:rPr>
                      <w:szCs w:val="21"/>
                    </w:rPr>
                    <w:t>固态</w:t>
                  </w:r>
                </w:p>
              </w:tc>
              <w:tc>
                <w:tcPr>
                  <w:tcW w:w="0" w:type="auto"/>
                  <w:vAlign w:val="center"/>
                </w:tcPr>
                <w:p w14:paraId="7F1FF6F3">
                  <w:pPr>
                    <w:jc w:val="center"/>
                    <w:rPr>
                      <w:szCs w:val="21"/>
                    </w:rPr>
                  </w:pPr>
                  <w:r>
                    <w:rPr>
                      <w:rFonts w:hint="eastAsia"/>
                      <w:szCs w:val="21"/>
                    </w:rPr>
                    <w:t>塑料</w:t>
                  </w:r>
                </w:p>
              </w:tc>
              <w:tc>
                <w:tcPr>
                  <w:tcW w:w="853" w:type="pct"/>
                  <w:vMerge w:val="continue"/>
                  <w:vAlign w:val="center"/>
                </w:tcPr>
                <w:p w14:paraId="0851C2F0">
                  <w:pPr>
                    <w:jc w:val="center"/>
                    <w:rPr>
                      <w:szCs w:val="21"/>
                    </w:rPr>
                  </w:pPr>
                </w:p>
              </w:tc>
              <w:tc>
                <w:tcPr>
                  <w:tcW w:w="0" w:type="auto"/>
                  <w:vAlign w:val="center"/>
                </w:tcPr>
                <w:p w14:paraId="43B03200">
                  <w:pPr>
                    <w:jc w:val="center"/>
                    <w:rPr>
                      <w:szCs w:val="21"/>
                    </w:rPr>
                  </w:pPr>
                  <w:r>
                    <w:rPr>
                      <w:szCs w:val="21"/>
                    </w:rPr>
                    <w:t>/</w:t>
                  </w:r>
                </w:p>
              </w:tc>
              <w:tc>
                <w:tcPr>
                  <w:tcW w:w="0" w:type="auto"/>
                  <w:vAlign w:val="center"/>
                </w:tcPr>
                <w:p w14:paraId="597B0869">
                  <w:pPr>
                    <w:spacing w:line="320" w:lineRule="exact"/>
                    <w:jc w:val="center"/>
                    <w:rPr>
                      <w:szCs w:val="21"/>
                    </w:rPr>
                  </w:pPr>
                  <w:r>
                    <w:rPr>
                      <w:szCs w:val="21"/>
                    </w:rPr>
                    <w:t>SW17</w:t>
                  </w:r>
                </w:p>
              </w:tc>
              <w:tc>
                <w:tcPr>
                  <w:tcW w:w="0" w:type="auto"/>
                  <w:vAlign w:val="center"/>
                </w:tcPr>
                <w:p w14:paraId="5FFE78E3">
                  <w:pPr>
                    <w:spacing w:line="320" w:lineRule="exact"/>
                    <w:jc w:val="center"/>
                    <w:rPr>
                      <w:szCs w:val="21"/>
                    </w:rPr>
                  </w:pPr>
                  <w:r>
                    <w:rPr>
                      <w:szCs w:val="21"/>
                    </w:rPr>
                    <w:t>900-003-S17</w:t>
                  </w:r>
                </w:p>
              </w:tc>
              <w:tc>
                <w:tcPr>
                  <w:tcW w:w="0" w:type="auto"/>
                  <w:vAlign w:val="center"/>
                </w:tcPr>
                <w:p w14:paraId="40708703">
                  <w:pPr>
                    <w:jc w:val="center"/>
                    <w:rPr>
                      <w:snapToGrid w:val="0"/>
                      <w:szCs w:val="21"/>
                    </w:rPr>
                  </w:pPr>
                  <w:r>
                    <w:rPr>
                      <w:rFonts w:hint="eastAsia"/>
                      <w:kern w:val="0"/>
                      <w:sz w:val="24"/>
                    </w:rPr>
                    <w:t>1.2</w:t>
                  </w:r>
                </w:p>
              </w:tc>
            </w:tr>
            <w:tr w14:paraId="1DCFB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14:paraId="4F0143BC">
                  <w:pPr>
                    <w:jc w:val="center"/>
                    <w:rPr>
                      <w:szCs w:val="21"/>
                    </w:rPr>
                  </w:pPr>
                  <w:r>
                    <w:rPr>
                      <w:szCs w:val="21"/>
                    </w:rPr>
                    <w:t>4</w:t>
                  </w:r>
                </w:p>
              </w:tc>
              <w:tc>
                <w:tcPr>
                  <w:tcW w:w="0" w:type="auto"/>
                  <w:vAlign w:val="center"/>
                </w:tcPr>
                <w:p w14:paraId="7E905856">
                  <w:pPr>
                    <w:jc w:val="center"/>
                    <w:rPr>
                      <w:szCs w:val="21"/>
                    </w:rPr>
                  </w:pPr>
                  <w:r>
                    <w:rPr>
                      <w:rFonts w:hint="eastAsia"/>
                      <w:szCs w:val="21"/>
                    </w:rPr>
                    <w:t>废滤袋</w:t>
                  </w:r>
                </w:p>
              </w:tc>
              <w:tc>
                <w:tcPr>
                  <w:tcW w:w="247" w:type="pct"/>
                  <w:vMerge w:val="continue"/>
                  <w:vAlign w:val="center"/>
                </w:tcPr>
                <w:p w14:paraId="0299E1AB">
                  <w:pPr>
                    <w:jc w:val="center"/>
                    <w:rPr>
                      <w:szCs w:val="21"/>
                    </w:rPr>
                  </w:pPr>
                </w:p>
              </w:tc>
              <w:tc>
                <w:tcPr>
                  <w:tcW w:w="0" w:type="auto"/>
                  <w:vAlign w:val="center"/>
                </w:tcPr>
                <w:p w14:paraId="64730B80">
                  <w:pPr>
                    <w:spacing w:line="320" w:lineRule="exact"/>
                    <w:jc w:val="center"/>
                    <w:rPr>
                      <w:szCs w:val="21"/>
                    </w:rPr>
                  </w:pPr>
                  <w:r>
                    <w:rPr>
                      <w:rFonts w:hint="eastAsia"/>
                      <w:szCs w:val="21"/>
                    </w:rPr>
                    <w:t>废气处理</w:t>
                  </w:r>
                </w:p>
              </w:tc>
              <w:tc>
                <w:tcPr>
                  <w:tcW w:w="0" w:type="auto"/>
                  <w:vAlign w:val="center"/>
                </w:tcPr>
                <w:p w14:paraId="2C8D180D">
                  <w:pPr>
                    <w:jc w:val="center"/>
                    <w:rPr>
                      <w:szCs w:val="21"/>
                    </w:rPr>
                  </w:pPr>
                  <w:r>
                    <w:rPr>
                      <w:szCs w:val="21"/>
                    </w:rPr>
                    <w:t>固态</w:t>
                  </w:r>
                </w:p>
              </w:tc>
              <w:tc>
                <w:tcPr>
                  <w:tcW w:w="0" w:type="auto"/>
                  <w:vAlign w:val="center"/>
                </w:tcPr>
                <w:p w14:paraId="3BE08071">
                  <w:pPr>
                    <w:jc w:val="center"/>
                    <w:rPr>
                      <w:szCs w:val="21"/>
                    </w:rPr>
                  </w:pPr>
                  <w:r>
                    <w:rPr>
                      <w:rFonts w:hint="eastAsia"/>
                      <w:szCs w:val="21"/>
                    </w:rPr>
                    <w:t>滤袋</w:t>
                  </w:r>
                </w:p>
              </w:tc>
              <w:tc>
                <w:tcPr>
                  <w:tcW w:w="853" w:type="pct"/>
                  <w:vMerge w:val="continue"/>
                  <w:vAlign w:val="center"/>
                </w:tcPr>
                <w:p w14:paraId="2EAC4119">
                  <w:pPr>
                    <w:jc w:val="center"/>
                    <w:rPr>
                      <w:szCs w:val="21"/>
                    </w:rPr>
                  </w:pPr>
                </w:p>
              </w:tc>
              <w:tc>
                <w:tcPr>
                  <w:tcW w:w="0" w:type="auto"/>
                  <w:vAlign w:val="center"/>
                </w:tcPr>
                <w:p w14:paraId="214A31F4">
                  <w:pPr>
                    <w:spacing w:line="320" w:lineRule="exact"/>
                    <w:jc w:val="center"/>
                    <w:rPr>
                      <w:szCs w:val="21"/>
                    </w:rPr>
                  </w:pPr>
                  <w:r>
                    <w:rPr>
                      <w:rFonts w:hint="eastAsia"/>
                      <w:szCs w:val="21"/>
                    </w:rPr>
                    <w:t>/</w:t>
                  </w:r>
                </w:p>
              </w:tc>
              <w:tc>
                <w:tcPr>
                  <w:tcW w:w="0" w:type="auto"/>
                  <w:vAlign w:val="center"/>
                </w:tcPr>
                <w:p w14:paraId="366B1743">
                  <w:pPr>
                    <w:snapToGrid w:val="0"/>
                    <w:jc w:val="center"/>
                    <w:rPr>
                      <w:szCs w:val="21"/>
                    </w:rPr>
                  </w:pPr>
                  <w:r>
                    <w:rPr>
                      <w:szCs w:val="21"/>
                    </w:rPr>
                    <w:t>SW59</w:t>
                  </w:r>
                </w:p>
              </w:tc>
              <w:tc>
                <w:tcPr>
                  <w:tcW w:w="0" w:type="auto"/>
                  <w:vAlign w:val="center"/>
                </w:tcPr>
                <w:p w14:paraId="456832F7">
                  <w:pPr>
                    <w:snapToGrid w:val="0"/>
                    <w:jc w:val="center"/>
                    <w:rPr>
                      <w:szCs w:val="21"/>
                    </w:rPr>
                  </w:pPr>
                  <w:r>
                    <w:rPr>
                      <w:szCs w:val="21"/>
                    </w:rPr>
                    <w:t>900-009-S59</w:t>
                  </w:r>
                </w:p>
              </w:tc>
              <w:tc>
                <w:tcPr>
                  <w:tcW w:w="0" w:type="auto"/>
                  <w:vAlign w:val="center"/>
                </w:tcPr>
                <w:p w14:paraId="49780E76">
                  <w:pPr>
                    <w:jc w:val="center"/>
                    <w:rPr>
                      <w:snapToGrid w:val="0"/>
                      <w:szCs w:val="21"/>
                    </w:rPr>
                  </w:pPr>
                  <w:r>
                    <w:rPr>
                      <w:rFonts w:hint="eastAsia"/>
                      <w:kern w:val="0"/>
                      <w:sz w:val="24"/>
                    </w:rPr>
                    <w:t>0.064</w:t>
                  </w:r>
                </w:p>
              </w:tc>
            </w:tr>
            <w:tr w14:paraId="728A3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shd w:val="clear" w:color="auto" w:fill="auto"/>
                  <w:vAlign w:val="center"/>
                </w:tcPr>
                <w:p w14:paraId="43E55673">
                  <w:pPr>
                    <w:jc w:val="center"/>
                    <w:rPr>
                      <w:szCs w:val="21"/>
                    </w:rPr>
                  </w:pPr>
                  <w:r>
                    <w:rPr>
                      <w:szCs w:val="21"/>
                    </w:rPr>
                    <w:t>5</w:t>
                  </w:r>
                </w:p>
              </w:tc>
              <w:tc>
                <w:tcPr>
                  <w:tcW w:w="0" w:type="auto"/>
                  <w:vAlign w:val="center"/>
                </w:tcPr>
                <w:p w14:paraId="5032441B">
                  <w:pPr>
                    <w:jc w:val="center"/>
                    <w:rPr>
                      <w:szCs w:val="21"/>
                    </w:rPr>
                  </w:pPr>
                  <w:r>
                    <w:rPr>
                      <w:rFonts w:hint="eastAsia"/>
                      <w:szCs w:val="21"/>
                    </w:rPr>
                    <w:t>除尘器收尘</w:t>
                  </w:r>
                </w:p>
              </w:tc>
              <w:tc>
                <w:tcPr>
                  <w:tcW w:w="247" w:type="pct"/>
                  <w:vMerge w:val="continue"/>
                  <w:vAlign w:val="center"/>
                </w:tcPr>
                <w:p w14:paraId="336BA0D8">
                  <w:pPr>
                    <w:jc w:val="center"/>
                    <w:rPr>
                      <w:szCs w:val="21"/>
                    </w:rPr>
                  </w:pPr>
                </w:p>
              </w:tc>
              <w:tc>
                <w:tcPr>
                  <w:tcW w:w="0" w:type="auto"/>
                  <w:shd w:val="clear" w:color="auto" w:fill="auto"/>
                  <w:vAlign w:val="center"/>
                </w:tcPr>
                <w:p w14:paraId="43063A90">
                  <w:pPr>
                    <w:spacing w:line="320" w:lineRule="exact"/>
                    <w:jc w:val="center"/>
                    <w:rPr>
                      <w:szCs w:val="21"/>
                    </w:rPr>
                  </w:pPr>
                  <w:r>
                    <w:rPr>
                      <w:rFonts w:hint="eastAsia"/>
                      <w:szCs w:val="21"/>
                    </w:rPr>
                    <w:t>废气处理</w:t>
                  </w:r>
                </w:p>
              </w:tc>
              <w:tc>
                <w:tcPr>
                  <w:tcW w:w="0" w:type="auto"/>
                  <w:shd w:val="clear" w:color="auto" w:fill="auto"/>
                  <w:vAlign w:val="center"/>
                </w:tcPr>
                <w:p w14:paraId="610173B6">
                  <w:pPr>
                    <w:jc w:val="center"/>
                    <w:rPr>
                      <w:szCs w:val="21"/>
                    </w:rPr>
                  </w:pPr>
                  <w:r>
                    <w:rPr>
                      <w:szCs w:val="21"/>
                    </w:rPr>
                    <w:t>固态</w:t>
                  </w:r>
                </w:p>
              </w:tc>
              <w:tc>
                <w:tcPr>
                  <w:tcW w:w="0" w:type="auto"/>
                  <w:shd w:val="clear" w:color="auto" w:fill="auto"/>
                  <w:vAlign w:val="center"/>
                </w:tcPr>
                <w:p w14:paraId="0FC0FF50">
                  <w:pPr>
                    <w:jc w:val="center"/>
                    <w:rPr>
                      <w:szCs w:val="21"/>
                    </w:rPr>
                  </w:pPr>
                  <w:r>
                    <w:rPr>
                      <w:rFonts w:hint="eastAsia"/>
                      <w:szCs w:val="21"/>
                    </w:rPr>
                    <w:t>塑料</w:t>
                  </w:r>
                </w:p>
              </w:tc>
              <w:tc>
                <w:tcPr>
                  <w:tcW w:w="853" w:type="pct"/>
                  <w:vMerge w:val="continue"/>
                  <w:vAlign w:val="center"/>
                </w:tcPr>
                <w:p w14:paraId="7A0F4CA4">
                  <w:pPr>
                    <w:jc w:val="center"/>
                    <w:rPr>
                      <w:szCs w:val="21"/>
                    </w:rPr>
                  </w:pPr>
                </w:p>
              </w:tc>
              <w:tc>
                <w:tcPr>
                  <w:tcW w:w="0" w:type="auto"/>
                  <w:shd w:val="clear" w:color="auto" w:fill="auto"/>
                  <w:vAlign w:val="center"/>
                </w:tcPr>
                <w:p w14:paraId="37FC32B4">
                  <w:pPr>
                    <w:spacing w:line="320" w:lineRule="exact"/>
                    <w:jc w:val="center"/>
                    <w:rPr>
                      <w:szCs w:val="21"/>
                    </w:rPr>
                  </w:pPr>
                  <w:r>
                    <w:rPr>
                      <w:rFonts w:hint="eastAsia"/>
                      <w:szCs w:val="21"/>
                    </w:rPr>
                    <w:t>/</w:t>
                  </w:r>
                </w:p>
              </w:tc>
              <w:tc>
                <w:tcPr>
                  <w:tcW w:w="0" w:type="auto"/>
                  <w:shd w:val="clear" w:color="auto" w:fill="auto"/>
                  <w:vAlign w:val="center"/>
                </w:tcPr>
                <w:p w14:paraId="6131F86F">
                  <w:pPr>
                    <w:snapToGrid w:val="0"/>
                    <w:jc w:val="center"/>
                    <w:rPr>
                      <w:szCs w:val="21"/>
                    </w:rPr>
                  </w:pPr>
                  <w:r>
                    <w:rPr>
                      <w:szCs w:val="21"/>
                    </w:rPr>
                    <w:t>SW59</w:t>
                  </w:r>
                </w:p>
              </w:tc>
              <w:tc>
                <w:tcPr>
                  <w:tcW w:w="0" w:type="auto"/>
                  <w:shd w:val="clear" w:color="auto" w:fill="auto"/>
                  <w:vAlign w:val="center"/>
                </w:tcPr>
                <w:p w14:paraId="55149A62">
                  <w:pPr>
                    <w:snapToGrid w:val="0"/>
                    <w:jc w:val="center"/>
                    <w:rPr>
                      <w:szCs w:val="21"/>
                    </w:rPr>
                  </w:pPr>
                  <w:r>
                    <w:rPr>
                      <w:szCs w:val="21"/>
                    </w:rPr>
                    <w:t>900-099-S59</w:t>
                  </w:r>
                </w:p>
              </w:tc>
              <w:tc>
                <w:tcPr>
                  <w:tcW w:w="0" w:type="auto"/>
                  <w:shd w:val="clear" w:color="auto" w:fill="auto"/>
                  <w:vAlign w:val="center"/>
                </w:tcPr>
                <w:p w14:paraId="12737633">
                  <w:pPr>
                    <w:jc w:val="center"/>
                    <w:rPr>
                      <w:rFonts w:hint="default" w:eastAsia="宋体"/>
                      <w:snapToGrid w:val="0"/>
                      <w:szCs w:val="21"/>
                      <w:lang w:val="en-US" w:eastAsia="zh-CN"/>
                    </w:rPr>
                  </w:pPr>
                  <w:r>
                    <w:rPr>
                      <w:rFonts w:hint="eastAsia"/>
                      <w:color w:val="auto"/>
                      <w:kern w:val="0"/>
                      <w:sz w:val="24"/>
                      <w:lang w:val="en-US" w:eastAsia="zh-CN"/>
                    </w:rPr>
                    <w:t>1.553</w:t>
                  </w:r>
                </w:p>
              </w:tc>
            </w:tr>
            <w:tr w14:paraId="207D9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 w:type="pct"/>
                  <w:shd w:val="clear" w:color="auto" w:fill="auto"/>
                  <w:vAlign w:val="center"/>
                </w:tcPr>
                <w:p w14:paraId="33935C37">
                  <w:pPr>
                    <w:jc w:val="center"/>
                    <w:rPr>
                      <w:rFonts w:hint="eastAsia" w:eastAsia="宋体"/>
                      <w:szCs w:val="21"/>
                      <w:lang w:eastAsia="zh-CN"/>
                    </w:rPr>
                  </w:pPr>
                  <w:r>
                    <w:rPr>
                      <w:rFonts w:hint="eastAsia"/>
                      <w:szCs w:val="21"/>
                      <w:lang w:val="en-US" w:eastAsia="zh-CN"/>
                    </w:rPr>
                    <w:t>6</w:t>
                  </w:r>
                </w:p>
              </w:tc>
              <w:tc>
                <w:tcPr>
                  <w:tcW w:w="0" w:type="auto"/>
                  <w:vAlign w:val="center"/>
                </w:tcPr>
                <w:p w14:paraId="37457223">
                  <w:pPr>
                    <w:jc w:val="center"/>
                    <w:rPr>
                      <w:szCs w:val="21"/>
                    </w:rPr>
                  </w:pPr>
                  <w:r>
                    <w:rPr>
                      <w:rFonts w:hint="eastAsia"/>
                      <w:szCs w:val="21"/>
                    </w:rPr>
                    <w:t>废包装桶</w:t>
                  </w:r>
                </w:p>
              </w:tc>
              <w:tc>
                <w:tcPr>
                  <w:tcW w:w="247" w:type="pct"/>
                  <w:vMerge w:val="restart"/>
                  <w:vAlign w:val="center"/>
                </w:tcPr>
                <w:p w14:paraId="7E387F7A">
                  <w:pPr>
                    <w:jc w:val="center"/>
                    <w:rPr>
                      <w:szCs w:val="21"/>
                    </w:rPr>
                  </w:pPr>
                  <w:r>
                    <w:rPr>
                      <w:rFonts w:hint="eastAsia"/>
                      <w:szCs w:val="21"/>
                    </w:rPr>
                    <w:t>危险</w:t>
                  </w:r>
                </w:p>
                <w:p w14:paraId="587F788F">
                  <w:pPr>
                    <w:jc w:val="center"/>
                    <w:rPr>
                      <w:szCs w:val="21"/>
                    </w:rPr>
                  </w:pPr>
                  <w:r>
                    <w:rPr>
                      <w:rFonts w:hint="eastAsia"/>
                      <w:szCs w:val="21"/>
                    </w:rPr>
                    <w:t>废物</w:t>
                  </w:r>
                </w:p>
              </w:tc>
              <w:tc>
                <w:tcPr>
                  <w:tcW w:w="0" w:type="auto"/>
                  <w:vAlign w:val="center"/>
                </w:tcPr>
                <w:p w14:paraId="2D40EEED">
                  <w:pPr>
                    <w:spacing w:line="320" w:lineRule="exact"/>
                    <w:jc w:val="center"/>
                    <w:rPr>
                      <w:szCs w:val="21"/>
                    </w:rPr>
                  </w:pPr>
                  <w:r>
                    <w:rPr>
                      <w:rFonts w:hint="eastAsia"/>
                      <w:szCs w:val="21"/>
                    </w:rPr>
                    <w:t>原料包装</w:t>
                  </w:r>
                </w:p>
              </w:tc>
              <w:tc>
                <w:tcPr>
                  <w:tcW w:w="0" w:type="auto"/>
                  <w:vAlign w:val="center"/>
                </w:tcPr>
                <w:p w14:paraId="2F1ABFEF">
                  <w:pPr>
                    <w:jc w:val="center"/>
                    <w:rPr>
                      <w:szCs w:val="21"/>
                    </w:rPr>
                  </w:pPr>
                  <w:r>
                    <w:rPr>
                      <w:szCs w:val="21"/>
                    </w:rPr>
                    <w:t>固态</w:t>
                  </w:r>
                </w:p>
              </w:tc>
              <w:tc>
                <w:tcPr>
                  <w:tcW w:w="0" w:type="auto"/>
                  <w:vAlign w:val="center"/>
                </w:tcPr>
                <w:p w14:paraId="3041F264">
                  <w:pPr>
                    <w:jc w:val="center"/>
                    <w:rPr>
                      <w:szCs w:val="21"/>
                    </w:rPr>
                  </w:pPr>
                  <w:r>
                    <w:rPr>
                      <w:rFonts w:hint="eastAsia"/>
                      <w:szCs w:val="21"/>
                    </w:rPr>
                    <w:t>塑料/金属</w:t>
                  </w:r>
                </w:p>
              </w:tc>
              <w:tc>
                <w:tcPr>
                  <w:tcW w:w="853" w:type="pct"/>
                  <w:vMerge w:val="restart"/>
                  <w:vAlign w:val="center"/>
                </w:tcPr>
                <w:p w14:paraId="6CFCB380">
                  <w:pPr>
                    <w:jc w:val="center"/>
                    <w:rPr>
                      <w:szCs w:val="21"/>
                    </w:rPr>
                  </w:pPr>
                  <w:r>
                    <w:rPr>
                      <w:szCs w:val="21"/>
                    </w:rPr>
                    <w:t>根据《国家危险废物名录》（202</w:t>
                  </w:r>
                  <w:r>
                    <w:rPr>
                      <w:rFonts w:hint="eastAsia"/>
                      <w:szCs w:val="21"/>
                    </w:rPr>
                    <w:t>5年版</w:t>
                  </w:r>
                  <w:r>
                    <w:rPr>
                      <w:szCs w:val="21"/>
                    </w:rPr>
                    <w:t>）</w:t>
                  </w:r>
                </w:p>
              </w:tc>
              <w:tc>
                <w:tcPr>
                  <w:tcW w:w="0" w:type="auto"/>
                  <w:vAlign w:val="center"/>
                </w:tcPr>
                <w:p w14:paraId="357F3926">
                  <w:pPr>
                    <w:spacing w:line="320" w:lineRule="exact"/>
                    <w:jc w:val="center"/>
                    <w:rPr>
                      <w:szCs w:val="21"/>
                    </w:rPr>
                  </w:pPr>
                  <w:r>
                    <w:rPr>
                      <w:szCs w:val="21"/>
                    </w:rPr>
                    <w:t>T/In</w:t>
                  </w:r>
                </w:p>
              </w:tc>
              <w:tc>
                <w:tcPr>
                  <w:tcW w:w="0" w:type="auto"/>
                  <w:vAlign w:val="center"/>
                </w:tcPr>
                <w:p w14:paraId="6CC04630">
                  <w:pPr>
                    <w:snapToGrid w:val="0"/>
                    <w:spacing w:line="320" w:lineRule="exact"/>
                    <w:jc w:val="center"/>
                    <w:rPr>
                      <w:szCs w:val="21"/>
                    </w:rPr>
                  </w:pPr>
                  <w:r>
                    <w:rPr>
                      <w:szCs w:val="21"/>
                    </w:rPr>
                    <w:t>HW49</w:t>
                  </w:r>
                </w:p>
              </w:tc>
              <w:tc>
                <w:tcPr>
                  <w:tcW w:w="0" w:type="auto"/>
                  <w:vAlign w:val="center"/>
                </w:tcPr>
                <w:p w14:paraId="2751820C">
                  <w:pPr>
                    <w:spacing w:line="320" w:lineRule="exact"/>
                    <w:jc w:val="center"/>
                    <w:rPr>
                      <w:szCs w:val="21"/>
                    </w:rPr>
                  </w:pPr>
                  <w:r>
                    <w:rPr>
                      <w:szCs w:val="21"/>
                    </w:rPr>
                    <w:t>900-041-49</w:t>
                  </w:r>
                </w:p>
              </w:tc>
              <w:tc>
                <w:tcPr>
                  <w:tcW w:w="0" w:type="auto"/>
                  <w:vAlign w:val="center"/>
                </w:tcPr>
                <w:p w14:paraId="7CF6BB55">
                  <w:pPr>
                    <w:jc w:val="center"/>
                    <w:rPr>
                      <w:snapToGrid w:val="0"/>
                      <w:szCs w:val="21"/>
                    </w:rPr>
                  </w:pPr>
                  <w:r>
                    <w:rPr>
                      <w:rFonts w:hint="eastAsia"/>
                      <w:sz w:val="24"/>
                    </w:rPr>
                    <w:t>4.64</w:t>
                  </w:r>
                </w:p>
              </w:tc>
            </w:tr>
            <w:tr w14:paraId="1F896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 w:type="pct"/>
                  <w:shd w:val="clear" w:color="auto" w:fill="auto"/>
                  <w:vAlign w:val="center"/>
                </w:tcPr>
                <w:p w14:paraId="0CE9B9DD">
                  <w:pPr>
                    <w:jc w:val="center"/>
                    <w:rPr>
                      <w:rFonts w:hint="eastAsia" w:eastAsia="宋体"/>
                      <w:szCs w:val="21"/>
                      <w:lang w:eastAsia="zh-CN"/>
                    </w:rPr>
                  </w:pPr>
                  <w:r>
                    <w:rPr>
                      <w:rFonts w:hint="eastAsia"/>
                      <w:szCs w:val="21"/>
                      <w:lang w:val="en-US" w:eastAsia="zh-CN"/>
                    </w:rPr>
                    <w:t>7</w:t>
                  </w:r>
                </w:p>
              </w:tc>
              <w:tc>
                <w:tcPr>
                  <w:tcW w:w="0" w:type="auto"/>
                  <w:vAlign w:val="center"/>
                </w:tcPr>
                <w:p w14:paraId="7D8C1093">
                  <w:pPr>
                    <w:jc w:val="center"/>
                    <w:rPr>
                      <w:szCs w:val="21"/>
                    </w:rPr>
                  </w:pPr>
                  <w:r>
                    <w:rPr>
                      <w:rFonts w:hint="eastAsia"/>
                      <w:szCs w:val="21"/>
                    </w:rPr>
                    <w:t>含胶废弃物</w:t>
                  </w:r>
                </w:p>
              </w:tc>
              <w:tc>
                <w:tcPr>
                  <w:tcW w:w="247" w:type="pct"/>
                  <w:vMerge w:val="continue"/>
                  <w:vAlign w:val="center"/>
                </w:tcPr>
                <w:p w14:paraId="0164C793">
                  <w:pPr>
                    <w:jc w:val="center"/>
                    <w:rPr>
                      <w:szCs w:val="21"/>
                    </w:rPr>
                  </w:pPr>
                </w:p>
              </w:tc>
              <w:tc>
                <w:tcPr>
                  <w:tcW w:w="0" w:type="auto"/>
                  <w:vAlign w:val="center"/>
                </w:tcPr>
                <w:p w14:paraId="124902BC">
                  <w:pPr>
                    <w:spacing w:line="320" w:lineRule="exact"/>
                    <w:jc w:val="center"/>
                    <w:rPr>
                      <w:szCs w:val="21"/>
                    </w:rPr>
                  </w:pPr>
                  <w:r>
                    <w:rPr>
                      <w:rFonts w:hint="eastAsia"/>
                      <w:szCs w:val="21"/>
                    </w:rPr>
                    <w:t>背胶</w:t>
                  </w:r>
                </w:p>
              </w:tc>
              <w:tc>
                <w:tcPr>
                  <w:tcW w:w="0" w:type="auto"/>
                  <w:vAlign w:val="center"/>
                </w:tcPr>
                <w:p w14:paraId="15FA9FD9">
                  <w:pPr>
                    <w:jc w:val="center"/>
                    <w:rPr>
                      <w:szCs w:val="21"/>
                    </w:rPr>
                  </w:pPr>
                  <w:r>
                    <w:rPr>
                      <w:szCs w:val="21"/>
                    </w:rPr>
                    <w:t>固态</w:t>
                  </w:r>
                </w:p>
              </w:tc>
              <w:tc>
                <w:tcPr>
                  <w:tcW w:w="0" w:type="auto"/>
                  <w:vAlign w:val="center"/>
                </w:tcPr>
                <w:p w14:paraId="4AD2F3A1">
                  <w:pPr>
                    <w:jc w:val="center"/>
                    <w:rPr>
                      <w:szCs w:val="21"/>
                    </w:rPr>
                  </w:pPr>
                  <w:r>
                    <w:rPr>
                      <w:rFonts w:hint="eastAsia"/>
                      <w:szCs w:val="21"/>
                    </w:rPr>
                    <w:t>胶水</w:t>
                  </w:r>
                </w:p>
              </w:tc>
              <w:tc>
                <w:tcPr>
                  <w:tcW w:w="853" w:type="pct"/>
                  <w:vMerge w:val="continue"/>
                  <w:vAlign w:val="center"/>
                </w:tcPr>
                <w:p w14:paraId="19D934A1">
                  <w:pPr>
                    <w:jc w:val="center"/>
                    <w:rPr>
                      <w:szCs w:val="21"/>
                    </w:rPr>
                  </w:pPr>
                </w:p>
              </w:tc>
              <w:tc>
                <w:tcPr>
                  <w:tcW w:w="0" w:type="auto"/>
                  <w:vAlign w:val="center"/>
                </w:tcPr>
                <w:p w14:paraId="3CC4CB12">
                  <w:pPr>
                    <w:spacing w:line="320" w:lineRule="exact"/>
                    <w:jc w:val="center"/>
                    <w:rPr>
                      <w:szCs w:val="21"/>
                    </w:rPr>
                  </w:pPr>
                  <w:r>
                    <w:rPr>
                      <w:szCs w:val="21"/>
                    </w:rPr>
                    <w:t>T/In</w:t>
                  </w:r>
                </w:p>
              </w:tc>
              <w:tc>
                <w:tcPr>
                  <w:tcW w:w="0" w:type="auto"/>
                  <w:vAlign w:val="center"/>
                </w:tcPr>
                <w:p w14:paraId="64AF4F6C">
                  <w:pPr>
                    <w:snapToGrid w:val="0"/>
                    <w:spacing w:line="320" w:lineRule="exact"/>
                    <w:jc w:val="center"/>
                    <w:rPr>
                      <w:szCs w:val="21"/>
                    </w:rPr>
                  </w:pPr>
                  <w:r>
                    <w:rPr>
                      <w:szCs w:val="21"/>
                    </w:rPr>
                    <w:t>HW49</w:t>
                  </w:r>
                </w:p>
              </w:tc>
              <w:tc>
                <w:tcPr>
                  <w:tcW w:w="0" w:type="auto"/>
                  <w:vAlign w:val="center"/>
                </w:tcPr>
                <w:p w14:paraId="3486D2ED">
                  <w:pPr>
                    <w:spacing w:line="320" w:lineRule="exact"/>
                    <w:jc w:val="center"/>
                    <w:rPr>
                      <w:szCs w:val="21"/>
                    </w:rPr>
                  </w:pPr>
                  <w:r>
                    <w:rPr>
                      <w:szCs w:val="21"/>
                    </w:rPr>
                    <w:t>900-041-49</w:t>
                  </w:r>
                </w:p>
              </w:tc>
              <w:tc>
                <w:tcPr>
                  <w:tcW w:w="0" w:type="auto"/>
                  <w:vAlign w:val="center"/>
                </w:tcPr>
                <w:p w14:paraId="3356AF22">
                  <w:pPr>
                    <w:jc w:val="center"/>
                    <w:rPr>
                      <w:snapToGrid w:val="0"/>
                      <w:szCs w:val="21"/>
                    </w:rPr>
                  </w:pPr>
                  <w:r>
                    <w:rPr>
                      <w:rFonts w:hint="eastAsia"/>
                      <w:snapToGrid w:val="0"/>
                      <w:szCs w:val="21"/>
                    </w:rPr>
                    <w:t>0.1</w:t>
                  </w:r>
                </w:p>
              </w:tc>
            </w:tr>
            <w:tr w14:paraId="76A55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 w:type="pct"/>
                  <w:vAlign w:val="center"/>
                </w:tcPr>
                <w:p w14:paraId="75524DD0">
                  <w:pPr>
                    <w:jc w:val="center"/>
                    <w:rPr>
                      <w:rFonts w:hint="eastAsia" w:eastAsia="宋体"/>
                      <w:szCs w:val="21"/>
                      <w:lang w:eastAsia="zh-CN"/>
                    </w:rPr>
                  </w:pPr>
                  <w:r>
                    <w:rPr>
                      <w:rFonts w:hint="eastAsia"/>
                      <w:szCs w:val="21"/>
                      <w:lang w:val="en-US" w:eastAsia="zh-CN"/>
                    </w:rPr>
                    <w:t>8</w:t>
                  </w:r>
                </w:p>
              </w:tc>
              <w:tc>
                <w:tcPr>
                  <w:tcW w:w="0" w:type="auto"/>
                  <w:vAlign w:val="center"/>
                </w:tcPr>
                <w:p w14:paraId="718016C0">
                  <w:pPr>
                    <w:jc w:val="center"/>
                    <w:rPr>
                      <w:szCs w:val="21"/>
                    </w:rPr>
                  </w:pPr>
                  <w:r>
                    <w:rPr>
                      <w:rFonts w:hint="eastAsia"/>
                      <w:szCs w:val="21"/>
                    </w:rPr>
                    <w:t>废活性炭</w:t>
                  </w:r>
                </w:p>
              </w:tc>
              <w:tc>
                <w:tcPr>
                  <w:tcW w:w="247" w:type="pct"/>
                  <w:vMerge w:val="continue"/>
                  <w:vAlign w:val="center"/>
                </w:tcPr>
                <w:p w14:paraId="59F5BD0F">
                  <w:pPr>
                    <w:jc w:val="center"/>
                    <w:rPr>
                      <w:szCs w:val="21"/>
                    </w:rPr>
                  </w:pPr>
                </w:p>
              </w:tc>
              <w:tc>
                <w:tcPr>
                  <w:tcW w:w="0" w:type="auto"/>
                  <w:vAlign w:val="center"/>
                </w:tcPr>
                <w:p w14:paraId="4362C549">
                  <w:pPr>
                    <w:spacing w:line="320" w:lineRule="exact"/>
                    <w:jc w:val="center"/>
                    <w:rPr>
                      <w:szCs w:val="21"/>
                    </w:rPr>
                  </w:pPr>
                  <w:r>
                    <w:rPr>
                      <w:rFonts w:hint="eastAsia"/>
                      <w:szCs w:val="21"/>
                    </w:rPr>
                    <w:t>废气处理</w:t>
                  </w:r>
                </w:p>
              </w:tc>
              <w:tc>
                <w:tcPr>
                  <w:tcW w:w="0" w:type="auto"/>
                  <w:vAlign w:val="center"/>
                </w:tcPr>
                <w:p w14:paraId="3F375D62">
                  <w:pPr>
                    <w:spacing w:line="320" w:lineRule="exact"/>
                    <w:jc w:val="center"/>
                    <w:rPr>
                      <w:szCs w:val="21"/>
                    </w:rPr>
                  </w:pPr>
                  <w:r>
                    <w:rPr>
                      <w:szCs w:val="21"/>
                    </w:rPr>
                    <w:t>固态</w:t>
                  </w:r>
                </w:p>
              </w:tc>
              <w:tc>
                <w:tcPr>
                  <w:tcW w:w="0" w:type="auto"/>
                  <w:vAlign w:val="center"/>
                </w:tcPr>
                <w:p w14:paraId="4A06469A">
                  <w:pPr>
                    <w:jc w:val="center"/>
                    <w:rPr>
                      <w:szCs w:val="21"/>
                    </w:rPr>
                  </w:pPr>
                  <w:r>
                    <w:rPr>
                      <w:szCs w:val="21"/>
                    </w:rPr>
                    <w:t>吸附有机废气的活性炭</w:t>
                  </w:r>
                </w:p>
              </w:tc>
              <w:tc>
                <w:tcPr>
                  <w:tcW w:w="853" w:type="pct"/>
                  <w:vMerge w:val="continue"/>
                  <w:vAlign w:val="center"/>
                </w:tcPr>
                <w:p w14:paraId="6DCF5F27">
                  <w:pPr>
                    <w:jc w:val="center"/>
                    <w:rPr>
                      <w:szCs w:val="21"/>
                    </w:rPr>
                  </w:pPr>
                </w:p>
              </w:tc>
              <w:tc>
                <w:tcPr>
                  <w:tcW w:w="0" w:type="auto"/>
                  <w:vAlign w:val="center"/>
                </w:tcPr>
                <w:p w14:paraId="478259DF">
                  <w:pPr>
                    <w:spacing w:line="320" w:lineRule="exact"/>
                    <w:jc w:val="center"/>
                    <w:rPr>
                      <w:szCs w:val="21"/>
                    </w:rPr>
                  </w:pPr>
                  <w:r>
                    <w:rPr>
                      <w:szCs w:val="21"/>
                    </w:rPr>
                    <w:t>T</w:t>
                  </w:r>
                </w:p>
              </w:tc>
              <w:tc>
                <w:tcPr>
                  <w:tcW w:w="0" w:type="auto"/>
                  <w:vAlign w:val="center"/>
                </w:tcPr>
                <w:p w14:paraId="6EBE9FD8">
                  <w:pPr>
                    <w:spacing w:line="320" w:lineRule="exact"/>
                    <w:jc w:val="center"/>
                    <w:rPr>
                      <w:szCs w:val="21"/>
                    </w:rPr>
                  </w:pPr>
                  <w:r>
                    <w:rPr>
                      <w:szCs w:val="21"/>
                    </w:rPr>
                    <w:t>HW49</w:t>
                  </w:r>
                </w:p>
              </w:tc>
              <w:tc>
                <w:tcPr>
                  <w:tcW w:w="0" w:type="auto"/>
                  <w:vAlign w:val="center"/>
                </w:tcPr>
                <w:p w14:paraId="22070786">
                  <w:pPr>
                    <w:spacing w:line="320" w:lineRule="exact"/>
                    <w:jc w:val="center"/>
                    <w:rPr>
                      <w:szCs w:val="21"/>
                    </w:rPr>
                  </w:pPr>
                  <w:r>
                    <w:rPr>
                      <w:szCs w:val="21"/>
                    </w:rPr>
                    <w:t>900-039-49</w:t>
                  </w:r>
                </w:p>
              </w:tc>
              <w:tc>
                <w:tcPr>
                  <w:tcW w:w="0" w:type="auto"/>
                  <w:vAlign w:val="center"/>
                </w:tcPr>
                <w:p w14:paraId="02B86272">
                  <w:pPr>
                    <w:jc w:val="center"/>
                    <w:rPr>
                      <w:rFonts w:hint="eastAsia" w:eastAsia="宋体"/>
                      <w:snapToGrid w:val="0"/>
                      <w:szCs w:val="21"/>
                      <w:lang w:eastAsia="zh-CN"/>
                    </w:rPr>
                  </w:pPr>
                  <w:r>
                    <w:rPr>
                      <w:rFonts w:hint="eastAsia"/>
                      <w:snapToGrid w:val="0"/>
                      <w:szCs w:val="21"/>
                      <w:lang w:eastAsia="zh-CN"/>
                    </w:rPr>
                    <w:t>6.591</w:t>
                  </w:r>
                </w:p>
              </w:tc>
            </w:tr>
            <w:tr w14:paraId="135ED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 w:type="pct"/>
                  <w:vAlign w:val="center"/>
                </w:tcPr>
                <w:p w14:paraId="40E6C0FA">
                  <w:pPr>
                    <w:jc w:val="center"/>
                    <w:rPr>
                      <w:rFonts w:hint="eastAsia" w:eastAsia="宋体"/>
                      <w:szCs w:val="21"/>
                      <w:lang w:eastAsia="zh-CN"/>
                    </w:rPr>
                  </w:pPr>
                  <w:r>
                    <w:rPr>
                      <w:rFonts w:hint="eastAsia"/>
                      <w:szCs w:val="21"/>
                      <w:lang w:val="en-US" w:eastAsia="zh-CN"/>
                    </w:rPr>
                    <w:t>9</w:t>
                  </w:r>
                </w:p>
              </w:tc>
              <w:tc>
                <w:tcPr>
                  <w:tcW w:w="0" w:type="auto"/>
                  <w:vAlign w:val="center"/>
                </w:tcPr>
                <w:p w14:paraId="6F861BBF">
                  <w:pPr>
                    <w:jc w:val="center"/>
                    <w:rPr>
                      <w:szCs w:val="21"/>
                    </w:rPr>
                  </w:pPr>
                  <w:r>
                    <w:rPr>
                      <w:szCs w:val="21"/>
                    </w:rPr>
                    <w:t>生活垃圾</w:t>
                  </w:r>
                </w:p>
              </w:tc>
              <w:tc>
                <w:tcPr>
                  <w:tcW w:w="247" w:type="pct"/>
                  <w:vAlign w:val="center"/>
                </w:tcPr>
                <w:p w14:paraId="06E361EE">
                  <w:pPr>
                    <w:jc w:val="center"/>
                    <w:rPr>
                      <w:szCs w:val="21"/>
                    </w:rPr>
                  </w:pPr>
                  <w:r>
                    <w:rPr>
                      <w:szCs w:val="21"/>
                    </w:rPr>
                    <w:t>生活</w:t>
                  </w:r>
                </w:p>
                <w:p w14:paraId="5C309E88">
                  <w:pPr>
                    <w:jc w:val="center"/>
                    <w:rPr>
                      <w:szCs w:val="21"/>
                    </w:rPr>
                  </w:pPr>
                  <w:r>
                    <w:rPr>
                      <w:szCs w:val="21"/>
                    </w:rPr>
                    <w:t>垃圾</w:t>
                  </w:r>
                </w:p>
              </w:tc>
              <w:tc>
                <w:tcPr>
                  <w:tcW w:w="0" w:type="auto"/>
                  <w:vAlign w:val="center"/>
                </w:tcPr>
                <w:p w14:paraId="503EB4A7">
                  <w:pPr>
                    <w:spacing w:line="320" w:lineRule="exact"/>
                    <w:jc w:val="center"/>
                    <w:rPr>
                      <w:szCs w:val="21"/>
                    </w:rPr>
                  </w:pPr>
                  <w:r>
                    <w:rPr>
                      <w:szCs w:val="21"/>
                    </w:rPr>
                    <w:t>日常生活</w:t>
                  </w:r>
                </w:p>
              </w:tc>
              <w:tc>
                <w:tcPr>
                  <w:tcW w:w="0" w:type="auto"/>
                  <w:vAlign w:val="center"/>
                </w:tcPr>
                <w:p w14:paraId="10A53E11">
                  <w:pPr>
                    <w:spacing w:line="320" w:lineRule="exact"/>
                    <w:jc w:val="center"/>
                    <w:rPr>
                      <w:szCs w:val="21"/>
                    </w:rPr>
                  </w:pPr>
                  <w:r>
                    <w:rPr>
                      <w:szCs w:val="21"/>
                    </w:rPr>
                    <w:t>固态</w:t>
                  </w:r>
                </w:p>
              </w:tc>
              <w:tc>
                <w:tcPr>
                  <w:tcW w:w="0" w:type="auto"/>
                  <w:vAlign w:val="center"/>
                </w:tcPr>
                <w:p w14:paraId="2E4ACC06">
                  <w:pPr>
                    <w:jc w:val="center"/>
                    <w:rPr>
                      <w:szCs w:val="21"/>
                    </w:rPr>
                  </w:pPr>
                  <w:r>
                    <w:rPr>
                      <w:szCs w:val="21"/>
                    </w:rPr>
                    <w:t>废纸张、塑料等</w:t>
                  </w:r>
                </w:p>
              </w:tc>
              <w:tc>
                <w:tcPr>
                  <w:tcW w:w="0" w:type="auto"/>
                  <w:vAlign w:val="center"/>
                </w:tcPr>
                <w:p w14:paraId="0681BE5A">
                  <w:pPr>
                    <w:jc w:val="center"/>
                    <w:rPr>
                      <w:szCs w:val="21"/>
                    </w:rPr>
                  </w:pPr>
                  <w:r>
                    <w:rPr>
                      <w:szCs w:val="21"/>
                    </w:rPr>
                    <w:t>/</w:t>
                  </w:r>
                </w:p>
              </w:tc>
              <w:tc>
                <w:tcPr>
                  <w:tcW w:w="0" w:type="auto"/>
                  <w:vAlign w:val="center"/>
                </w:tcPr>
                <w:p w14:paraId="3A7030B4">
                  <w:pPr>
                    <w:jc w:val="center"/>
                    <w:rPr>
                      <w:kern w:val="0"/>
                      <w:szCs w:val="21"/>
                    </w:rPr>
                  </w:pPr>
                  <w:r>
                    <w:rPr>
                      <w:kern w:val="0"/>
                      <w:szCs w:val="21"/>
                    </w:rPr>
                    <w:t>/</w:t>
                  </w:r>
                </w:p>
              </w:tc>
              <w:tc>
                <w:tcPr>
                  <w:tcW w:w="0" w:type="auto"/>
                  <w:vAlign w:val="center"/>
                </w:tcPr>
                <w:p w14:paraId="7D093118">
                  <w:pPr>
                    <w:jc w:val="center"/>
                    <w:rPr>
                      <w:kern w:val="0"/>
                      <w:szCs w:val="21"/>
                    </w:rPr>
                  </w:pPr>
                  <w:r>
                    <w:rPr>
                      <w:szCs w:val="21"/>
                    </w:rPr>
                    <w:t>/</w:t>
                  </w:r>
                </w:p>
              </w:tc>
              <w:tc>
                <w:tcPr>
                  <w:tcW w:w="0" w:type="auto"/>
                  <w:vAlign w:val="center"/>
                </w:tcPr>
                <w:p w14:paraId="64AD5F66">
                  <w:pPr>
                    <w:jc w:val="center"/>
                    <w:rPr>
                      <w:szCs w:val="21"/>
                    </w:rPr>
                  </w:pPr>
                  <w:r>
                    <w:rPr>
                      <w:szCs w:val="21"/>
                    </w:rPr>
                    <w:t>/</w:t>
                  </w:r>
                </w:p>
              </w:tc>
              <w:tc>
                <w:tcPr>
                  <w:tcW w:w="0" w:type="auto"/>
                  <w:vAlign w:val="center"/>
                </w:tcPr>
                <w:p w14:paraId="6A31CBA8">
                  <w:pPr>
                    <w:jc w:val="center"/>
                    <w:rPr>
                      <w:snapToGrid w:val="0"/>
                      <w:szCs w:val="21"/>
                    </w:rPr>
                  </w:pPr>
                  <w:r>
                    <w:rPr>
                      <w:snapToGrid w:val="0"/>
                      <w:szCs w:val="21"/>
                    </w:rPr>
                    <w:t>1</w:t>
                  </w:r>
                  <w:r>
                    <w:rPr>
                      <w:rFonts w:hint="eastAsia"/>
                      <w:snapToGrid w:val="0"/>
                      <w:szCs w:val="21"/>
                    </w:rPr>
                    <w:t>5</w:t>
                  </w:r>
                </w:p>
              </w:tc>
            </w:tr>
          </w:tbl>
          <w:p w14:paraId="37C55792">
            <w:pPr>
              <w:spacing w:line="480" w:lineRule="exact"/>
              <w:jc w:val="center"/>
              <w:rPr>
                <w:b/>
                <w:color w:val="FF0000"/>
                <w:sz w:val="24"/>
              </w:rPr>
            </w:pPr>
          </w:p>
          <w:p w14:paraId="28BD4745">
            <w:pPr>
              <w:spacing w:line="480" w:lineRule="exact"/>
              <w:jc w:val="center"/>
              <w:rPr>
                <w:b/>
                <w:color w:val="FF0000"/>
                <w:sz w:val="24"/>
              </w:rPr>
            </w:pPr>
          </w:p>
          <w:p w14:paraId="0063E3A2">
            <w:pPr>
              <w:spacing w:line="480" w:lineRule="exact"/>
              <w:jc w:val="center"/>
              <w:rPr>
                <w:b/>
                <w:color w:val="FF0000"/>
                <w:sz w:val="24"/>
              </w:rPr>
            </w:pPr>
          </w:p>
          <w:p w14:paraId="13206EDC">
            <w:pPr>
              <w:spacing w:line="480" w:lineRule="exact"/>
              <w:jc w:val="center"/>
              <w:rPr>
                <w:b/>
                <w:color w:val="FF0000"/>
                <w:sz w:val="24"/>
              </w:rPr>
            </w:pPr>
          </w:p>
          <w:p w14:paraId="5E499975">
            <w:pPr>
              <w:spacing w:line="480" w:lineRule="exact"/>
              <w:jc w:val="center"/>
              <w:rPr>
                <w:b/>
                <w:color w:val="FF0000"/>
                <w:sz w:val="24"/>
              </w:rPr>
            </w:pPr>
          </w:p>
          <w:p w14:paraId="4890F3CD">
            <w:pPr>
              <w:pStyle w:val="3"/>
              <w:numPr>
                <w:ilvl w:val="0"/>
                <w:numId w:val="0"/>
              </w:numPr>
              <w:spacing w:line="480" w:lineRule="exact"/>
              <w:jc w:val="center"/>
              <w:rPr>
                <w:color w:val="FF0000"/>
              </w:rPr>
            </w:pPr>
          </w:p>
        </w:tc>
      </w:tr>
    </w:tbl>
    <w:p w14:paraId="3E6C659A">
      <w:pPr>
        <w:pStyle w:val="3"/>
        <w:rPr>
          <w:color w:val="FF0000"/>
        </w:rPr>
        <w:sectPr>
          <w:pgSz w:w="16840" w:h="11907" w:orient="landscape"/>
          <w:pgMar w:top="1797" w:right="1440" w:bottom="1797" w:left="1440" w:header="851" w:footer="851" w:gutter="0"/>
          <w:pgBorders>
            <w:top w:val="none" w:sz="0" w:space="0"/>
            <w:left w:val="none" w:sz="0" w:space="0"/>
            <w:bottom w:val="none" w:sz="0" w:space="0"/>
            <w:right w:val="none" w:sz="0" w:space="0"/>
          </w:pgBorders>
          <w:cols w:space="720" w:num="1"/>
          <w:docGrid w:linePitch="312" w:charSpace="0"/>
        </w:sectPr>
      </w:pPr>
    </w:p>
    <w:tbl>
      <w:tblPr>
        <w:tblStyle w:val="27"/>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7"/>
        <w:gridCol w:w="9161"/>
      </w:tblGrid>
      <w:tr w14:paraId="270817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7" w:hRule="atLeast"/>
          <w:jc w:val="center"/>
        </w:trPr>
        <w:tc>
          <w:tcPr>
            <w:tcW w:w="477" w:type="dxa"/>
            <w:tcBorders>
              <w:tl2br w:val="nil"/>
              <w:tr2bl w:val="nil"/>
            </w:tcBorders>
            <w:tcMar>
              <w:left w:w="28" w:type="dxa"/>
              <w:right w:w="28" w:type="dxa"/>
            </w:tcMar>
            <w:vAlign w:val="center"/>
          </w:tcPr>
          <w:p w14:paraId="5F829D49">
            <w:pPr>
              <w:adjustRightInd w:val="0"/>
              <w:snapToGrid w:val="0"/>
              <w:jc w:val="center"/>
              <w:rPr>
                <w:b/>
                <w:sz w:val="24"/>
              </w:rPr>
            </w:pPr>
            <w:r>
              <w:rPr>
                <w:b/>
                <w:sz w:val="24"/>
              </w:rPr>
              <w:t>运营</w:t>
            </w:r>
          </w:p>
          <w:p w14:paraId="30D8D947">
            <w:pPr>
              <w:adjustRightInd w:val="0"/>
              <w:snapToGrid w:val="0"/>
              <w:jc w:val="center"/>
              <w:rPr>
                <w:b/>
                <w:sz w:val="24"/>
              </w:rPr>
            </w:pPr>
            <w:r>
              <w:rPr>
                <w:b/>
                <w:sz w:val="24"/>
              </w:rPr>
              <w:t>期环</w:t>
            </w:r>
          </w:p>
          <w:p w14:paraId="0A1457E1">
            <w:pPr>
              <w:adjustRightInd w:val="0"/>
              <w:snapToGrid w:val="0"/>
              <w:jc w:val="center"/>
              <w:rPr>
                <w:b/>
                <w:sz w:val="24"/>
              </w:rPr>
            </w:pPr>
            <w:r>
              <w:rPr>
                <w:b/>
                <w:sz w:val="24"/>
              </w:rPr>
              <w:t>境影</w:t>
            </w:r>
          </w:p>
          <w:p w14:paraId="497C1978">
            <w:pPr>
              <w:adjustRightInd w:val="0"/>
              <w:snapToGrid w:val="0"/>
              <w:jc w:val="center"/>
              <w:rPr>
                <w:b/>
                <w:sz w:val="24"/>
              </w:rPr>
            </w:pPr>
            <w:r>
              <w:rPr>
                <w:b/>
                <w:sz w:val="24"/>
              </w:rPr>
              <w:t>响和</w:t>
            </w:r>
          </w:p>
          <w:p w14:paraId="38E9FC6B">
            <w:pPr>
              <w:adjustRightInd w:val="0"/>
              <w:snapToGrid w:val="0"/>
              <w:jc w:val="center"/>
              <w:rPr>
                <w:b/>
                <w:sz w:val="24"/>
              </w:rPr>
            </w:pPr>
            <w:r>
              <w:rPr>
                <w:b/>
                <w:sz w:val="24"/>
              </w:rPr>
              <w:t>保护</w:t>
            </w:r>
          </w:p>
          <w:p w14:paraId="038556F6">
            <w:pPr>
              <w:pStyle w:val="23"/>
              <w:adjustRightInd w:val="0"/>
              <w:snapToGrid w:val="0"/>
              <w:spacing w:before="0" w:beforeAutospacing="0" w:after="0" w:afterAutospacing="0"/>
              <w:jc w:val="center"/>
              <w:rPr>
                <w:rFonts w:ascii="Times New Roman" w:hAnsi="Times New Roman"/>
                <w:color w:val="FF0000"/>
                <w:kern w:val="2"/>
                <w:szCs w:val="24"/>
              </w:rPr>
            </w:pPr>
            <w:r>
              <w:rPr>
                <w:rFonts w:ascii="Times New Roman" w:hAnsi="Times New Roman"/>
                <w:b/>
              </w:rPr>
              <w:t>措施</w:t>
            </w:r>
          </w:p>
        </w:tc>
        <w:tc>
          <w:tcPr>
            <w:tcW w:w="9161" w:type="dxa"/>
            <w:tcBorders>
              <w:tl2br w:val="nil"/>
              <w:tr2bl w:val="nil"/>
            </w:tcBorders>
            <w:vAlign w:val="center"/>
          </w:tcPr>
          <w:p w14:paraId="2D65D6C9">
            <w:pPr>
              <w:spacing w:line="480" w:lineRule="exact"/>
              <w:ind w:firstLine="482" w:firstLineChars="200"/>
              <w:rPr>
                <w:b/>
                <w:bCs/>
                <w:sz w:val="24"/>
              </w:rPr>
            </w:pPr>
            <w:r>
              <w:rPr>
                <w:b/>
                <w:bCs/>
                <w:sz w:val="24"/>
              </w:rPr>
              <w:t>2、固体废物防治措施</w:t>
            </w:r>
          </w:p>
          <w:p w14:paraId="36EDB86F">
            <w:pPr>
              <w:pStyle w:val="99"/>
              <w:spacing w:line="480" w:lineRule="exact"/>
              <w:ind w:firstLine="480"/>
              <w:rPr>
                <w:rFonts w:ascii="Times New Roman" w:hAnsi="Times New Roman" w:cs="Times New Roman"/>
                <w:szCs w:val="24"/>
              </w:rPr>
            </w:pPr>
            <w:r>
              <w:rPr>
                <w:rFonts w:ascii="Times New Roman" w:hAnsi="Times New Roman" w:cs="Times New Roman"/>
                <w:szCs w:val="24"/>
              </w:rPr>
              <w:t>（1）固废分类收集、处理</w:t>
            </w:r>
          </w:p>
          <w:p w14:paraId="58C944E0">
            <w:pPr>
              <w:pStyle w:val="99"/>
              <w:spacing w:line="480" w:lineRule="exact"/>
              <w:ind w:firstLine="480"/>
              <w:rPr>
                <w:rFonts w:ascii="Times New Roman" w:hAnsi="Times New Roman" w:cs="Times New Roman"/>
                <w:szCs w:val="24"/>
              </w:rPr>
            </w:pPr>
            <w:r>
              <w:rPr>
                <w:rFonts w:ascii="Times New Roman" w:hAnsi="Times New Roman" w:cs="Times New Roman"/>
                <w:szCs w:val="24"/>
              </w:rPr>
              <w:t>①生活垃圾由环卫统一清运；</w:t>
            </w:r>
          </w:p>
          <w:p w14:paraId="3C643B50">
            <w:pPr>
              <w:pStyle w:val="99"/>
              <w:spacing w:line="480" w:lineRule="exact"/>
              <w:ind w:firstLine="480"/>
              <w:rPr>
                <w:rFonts w:ascii="Times New Roman" w:hAnsi="Times New Roman" w:cs="Times New Roman"/>
                <w:szCs w:val="24"/>
              </w:rPr>
            </w:pPr>
            <w:r>
              <w:rPr>
                <w:rFonts w:ascii="Times New Roman" w:hAnsi="Times New Roman" w:cs="Times New Roman"/>
                <w:szCs w:val="24"/>
              </w:rPr>
              <w:t>②</w:t>
            </w:r>
            <w:r>
              <w:rPr>
                <w:rFonts w:hint="eastAsia" w:ascii="Times New Roman" w:hAnsi="Times New Roman" w:cs="Times New Roman"/>
                <w:szCs w:val="24"/>
                <w:lang w:val="en-US" w:eastAsia="zh-CN"/>
              </w:rPr>
              <w:t>废</w:t>
            </w:r>
            <w:r>
              <w:rPr>
                <w:rFonts w:hint="eastAsia" w:ascii="Times New Roman" w:hAnsi="Times New Roman" w:cs="Times New Roman"/>
                <w:szCs w:val="24"/>
              </w:rPr>
              <w:t>边角料、不合格品、废包装材料、废滤袋和除尘器收尘</w:t>
            </w:r>
            <w:r>
              <w:rPr>
                <w:rFonts w:ascii="Times New Roman" w:hAnsi="Times New Roman" w:cs="Times New Roman"/>
                <w:szCs w:val="24"/>
              </w:rPr>
              <w:t>收集后外售综合利用</w:t>
            </w:r>
            <w:r>
              <w:rPr>
                <w:rFonts w:hint="eastAsia" w:ascii="Times New Roman" w:hAnsi="Times New Roman" w:cs="Times New Roman"/>
                <w:szCs w:val="24"/>
              </w:rPr>
              <w:t>。</w:t>
            </w:r>
          </w:p>
          <w:p w14:paraId="6C444227">
            <w:pPr>
              <w:pStyle w:val="99"/>
              <w:spacing w:line="480" w:lineRule="exact"/>
              <w:ind w:firstLine="480"/>
              <w:rPr>
                <w:rFonts w:ascii="Times New Roman" w:hAnsi="Times New Roman" w:cs="Times New Roman"/>
                <w:szCs w:val="24"/>
              </w:rPr>
            </w:pPr>
            <w:r>
              <w:rPr>
                <w:rFonts w:ascii="Times New Roman" w:hAnsi="Times New Roman" w:cs="Times New Roman"/>
                <w:szCs w:val="24"/>
              </w:rPr>
              <w:fldChar w:fldCharType="begin"/>
            </w:r>
            <w:r>
              <w:rPr>
                <w:rFonts w:ascii="Times New Roman" w:hAnsi="Times New Roman" w:cs="Times New Roman"/>
                <w:szCs w:val="24"/>
              </w:rPr>
              <w:instrText xml:space="preserve"> = 3 \* GB3 </w:instrText>
            </w:r>
            <w:r>
              <w:rPr>
                <w:rFonts w:ascii="Times New Roman" w:hAnsi="Times New Roman" w:cs="Times New Roman"/>
                <w:szCs w:val="24"/>
              </w:rPr>
              <w:fldChar w:fldCharType="separate"/>
            </w:r>
            <w:r>
              <w:rPr>
                <w:rFonts w:ascii="Times New Roman" w:hAnsi="Times New Roman" w:cs="Times New Roman"/>
                <w:szCs w:val="24"/>
              </w:rPr>
              <w:t>③</w:t>
            </w:r>
            <w:r>
              <w:rPr>
                <w:rFonts w:hint="eastAsia" w:ascii="Times New Roman" w:hAnsi="Times New Roman" w:cs="Times New Roman"/>
                <w:szCs w:val="24"/>
              </w:rPr>
              <w:t>废</w:t>
            </w:r>
            <w:r>
              <w:rPr>
                <w:rFonts w:ascii="Times New Roman" w:hAnsi="Times New Roman" w:cs="Times New Roman"/>
                <w:szCs w:val="24"/>
              </w:rPr>
              <w:fldChar w:fldCharType="end"/>
            </w:r>
            <w:r>
              <w:rPr>
                <w:rFonts w:ascii="Times New Roman" w:hAnsi="Times New Roman" w:cs="Times New Roman"/>
                <w:szCs w:val="24"/>
              </w:rPr>
              <w:t>包装桶、</w:t>
            </w:r>
            <w:r>
              <w:rPr>
                <w:rFonts w:hint="eastAsia" w:ascii="Times New Roman" w:hAnsi="Times New Roman" w:cs="Times New Roman"/>
                <w:szCs w:val="24"/>
              </w:rPr>
              <w:t>含胶废弃物</w:t>
            </w:r>
            <w:r>
              <w:rPr>
                <w:rFonts w:ascii="Times New Roman" w:hAnsi="Times New Roman" w:cs="Times New Roman"/>
                <w:szCs w:val="24"/>
              </w:rPr>
              <w:t>、废活性炭收集后委托有资质的单位处置。</w:t>
            </w:r>
          </w:p>
          <w:p w14:paraId="11AAC70F">
            <w:pPr>
              <w:pStyle w:val="99"/>
              <w:spacing w:line="480" w:lineRule="exact"/>
              <w:ind w:firstLine="480"/>
              <w:rPr>
                <w:rFonts w:ascii="Times New Roman" w:hAnsi="Times New Roman" w:cs="Times New Roman"/>
                <w:szCs w:val="24"/>
              </w:rPr>
            </w:pPr>
            <w:r>
              <w:rPr>
                <w:rFonts w:ascii="Times New Roman" w:hAnsi="Times New Roman" w:cs="Times New Roman"/>
                <w:szCs w:val="24"/>
              </w:rPr>
              <w:t>（2）固废储存场所面积合理性分析</w:t>
            </w:r>
          </w:p>
          <w:p w14:paraId="5FA34BB6">
            <w:pPr>
              <w:pStyle w:val="99"/>
              <w:spacing w:line="480" w:lineRule="exact"/>
              <w:ind w:firstLine="480"/>
              <w:rPr>
                <w:rFonts w:ascii="Times New Roman" w:hAnsi="Times New Roman" w:cs="Times New Roman"/>
                <w:szCs w:val="24"/>
              </w:rPr>
            </w:pPr>
            <w:r>
              <w:rPr>
                <w:rFonts w:ascii="Times New Roman" w:hAnsi="Times New Roman" w:cs="Times New Roman"/>
                <w:szCs w:val="24"/>
              </w:rPr>
              <w:fldChar w:fldCharType="begin"/>
            </w:r>
            <w:r>
              <w:rPr>
                <w:rFonts w:ascii="Times New Roman" w:hAnsi="Times New Roman" w:cs="Times New Roman"/>
                <w:szCs w:val="24"/>
              </w:rPr>
              <w:instrText xml:space="preserve"> = 1 \* GB3 </w:instrText>
            </w:r>
            <w:r>
              <w:rPr>
                <w:rFonts w:ascii="Times New Roman" w:hAnsi="Times New Roman" w:cs="Times New Roman"/>
                <w:szCs w:val="24"/>
              </w:rPr>
              <w:fldChar w:fldCharType="separate"/>
            </w:r>
            <w:r>
              <w:rPr>
                <w:rFonts w:ascii="Times New Roman" w:hAnsi="Times New Roman" w:cs="Times New Roman"/>
                <w:szCs w:val="24"/>
              </w:rPr>
              <w:t>①</w:t>
            </w:r>
            <w:r>
              <w:rPr>
                <w:rFonts w:ascii="Times New Roman" w:hAnsi="Times New Roman" w:cs="Times New Roman"/>
                <w:szCs w:val="24"/>
              </w:rPr>
              <w:fldChar w:fldCharType="end"/>
            </w:r>
            <w:r>
              <w:rPr>
                <w:rFonts w:ascii="Times New Roman" w:hAnsi="Times New Roman" w:cs="Times New Roman"/>
                <w:szCs w:val="24"/>
              </w:rPr>
              <w:t>一般固废堆场面积合理性分析</w:t>
            </w:r>
          </w:p>
          <w:p w14:paraId="169C66FA">
            <w:pPr>
              <w:pStyle w:val="99"/>
              <w:spacing w:line="480" w:lineRule="exact"/>
              <w:ind w:firstLine="480"/>
              <w:rPr>
                <w:rFonts w:ascii="Times New Roman" w:hAnsi="Times New Roman" w:cs="Times New Roman"/>
                <w:szCs w:val="24"/>
              </w:rPr>
            </w:pPr>
            <w:r>
              <w:rPr>
                <w:rFonts w:ascii="Times New Roman" w:hAnsi="Times New Roman" w:cs="Times New Roman"/>
                <w:szCs w:val="24"/>
              </w:rPr>
              <w:t>本项目一般固废产生量计约</w:t>
            </w:r>
            <w:r>
              <w:rPr>
                <w:rFonts w:hint="eastAsia" w:ascii="Times New Roman" w:hAnsi="Times New Roman" w:cs="Times New Roman"/>
                <w:szCs w:val="24"/>
              </w:rPr>
              <w:t>16.817</w:t>
            </w:r>
            <w:r>
              <w:rPr>
                <w:rFonts w:ascii="Times New Roman" w:hAnsi="Times New Roman" w:cs="Times New Roman"/>
                <w:szCs w:val="24"/>
              </w:rPr>
              <w:t>t/a。本项目一般固废堆场面积</w:t>
            </w:r>
            <w:r>
              <w:rPr>
                <w:rFonts w:hint="eastAsia" w:ascii="Times New Roman" w:hAnsi="Times New Roman" w:cs="Times New Roman"/>
                <w:szCs w:val="24"/>
              </w:rPr>
              <w:t>共计1</w:t>
            </w:r>
            <w:r>
              <w:rPr>
                <w:rFonts w:ascii="Times New Roman" w:hAnsi="Times New Roman" w:cs="Times New Roman"/>
                <w:szCs w:val="24"/>
              </w:rPr>
              <w:t>0m</w:t>
            </w:r>
            <w:r>
              <w:rPr>
                <w:rFonts w:ascii="Times New Roman" w:hAnsi="Times New Roman" w:cs="Times New Roman"/>
                <w:szCs w:val="24"/>
                <w:vertAlign w:val="superscript"/>
              </w:rPr>
              <w:t>2</w:t>
            </w:r>
            <w:r>
              <w:rPr>
                <w:rFonts w:ascii="Times New Roman" w:hAnsi="Times New Roman" w:cs="Times New Roman"/>
                <w:szCs w:val="24"/>
              </w:rPr>
              <w:t>，实际堆放面积按80%计，则本项目一般固废堆场有效面积为</w:t>
            </w:r>
            <w:r>
              <w:rPr>
                <w:rFonts w:hint="eastAsia" w:ascii="Times New Roman" w:hAnsi="Times New Roman" w:cs="Times New Roman"/>
                <w:szCs w:val="24"/>
              </w:rPr>
              <w:t>8</w:t>
            </w:r>
            <w:r>
              <w:rPr>
                <w:rFonts w:ascii="Times New Roman" w:hAnsi="Times New Roman" w:cs="Times New Roman"/>
                <w:szCs w:val="24"/>
              </w:rPr>
              <w:t>m</w:t>
            </w:r>
            <w:r>
              <w:rPr>
                <w:rFonts w:ascii="Times New Roman" w:hAnsi="Times New Roman" w:cs="Times New Roman"/>
                <w:szCs w:val="24"/>
                <w:vertAlign w:val="superscript"/>
              </w:rPr>
              <w:t>2</w:t>
            </w:r>
            <w:r>
              <w:rPr>
                <w:rFonts w:ascii="Times New Roman" w:hAnsi="Times New Roman" w:cs="Times New Roman"/>
                <w:szCs w:val="24"/>
              </w:rPr>
              <w:t>，一般固废可堆叠存放，可满足一般固废堆放要求。</w:t>
            </w:r>
          </w:p>
          <w:p w14:paraId="092740D7">
            <w:pPr>
              <w:pStyle w:val="99"/>
              <w:spacing w:line="480" w:lineRule="exact"/>
              <w:ind w:firstLine="480"/>
              <w:rPr>
                <w:rFonts w:ascii="Times New Roman" w:hAnsi="Times New Roman" w:cs="Times New Roman"/>
                <w:szCs w:val="24"/>
              </w:rPr>
            </w:pPr>
            <w:r>
              <w:rPr>
                <w:rFonts w:ascii="Times New Roman" w:hAnsi="Times New Roman" w:cs="Times New Roman"/>
                <w:szCs w:val="24"/>
              </w:rPr>
              <w:fldChar w:fldCharType="begin"/>
            </w:r>
            <w:r>
              <w:rPr>
                <w:rFonts w:ascii="Times New Roman" w:hAnsi="Times New Roman" w:cs="Times New Roman"/>
                <w:szCs w:val="24"/>
              </w:rPr>
              <w:instrText xml:space="preserve"> = 2 \* GB3 </w:instrText>
            </w:r>
            <w:r>
              <w:rPr>
                <w:rFonts w:ascii="Times New Roman" w:hAnsi="Times New Roman" w:cs="Times New Roman"/>
                <w:szCs w:val="24"/>
              </w:rPr>
              <w:fldChar w:fldCharType="separate"/>
            </w:r>
            <w:r>
              <w:rPr>
                <w:rFonts w:ascii="Times New Roman" w:hAnsi="Times New Roman" w:cs="Times New Roman"/>
                <w:szCs w:val="24"/>
              </w:rPr>
              <w:t>②</w:t>
            </w:r>
            <w:r>
              <w:rPr>
                <w:rFonts w:ascii="Times New Roman" w:hAnsi="Times New Roman" w:cs="Times New Roman"/>
                <w:szCs w:val="24"/>
              </w:rPr>
              <w:fldChar w:fldCharType="end"/>
            </w:r>
            <w:r>
              <w:rPr>
                <w:rFonts w:ascii="Times New Roman" w:hAnsi="Times New Roman" w:cs="Times New Roman"/>
                <w:szCs w:val="24"/>
              </w:rPr>
              <w:t>危废堆场面积合理性分析</w:t>
            </w:r>
          </w:p>
          <w:p w14:paraId="41EF3E8A">
            <w:pPr>
              <w:pStyle w:val="3"/>
              <w:numPr>
                <w:ilvl w:val="0"/>
                <w:numId w:val="0"/>
              </w:numPr>
              <w:spacing w:line="480" w:lineRule="exact"/>
              <w:ind w:firstLine="480" w:firstLineChars="200"/>
              <w:rPr>
                <w:sz w:val="24"/>
              </w:rPr>
            </w:pPr>
            <w:r>
              <w:rPr>
                <w:sz w:val="24"/>
              </w:rPr>
              <w:t>本项目拟设置一间危废库房1</w:t>
            </w:r>
            <w:r>
              <w:rPr>
                <w:rFonts w:hint="eastAsia"/>
                <w:sz w:val="24"/>
              </w:rPr>
              <w:t>5</w:t>
            </w:r>
            <w:r>
              <w:rPr>
                <w:sz w:val="24"/>
              </w:rPr>
              <w:t>m</w:t>
            </w:r>
            <w:r>
              <w:rPr>
                <w:sz w:val="24"/>
                <w:vertAlign w:val="superscript"/>
              </w:rPr>
              <w:t>2</w:t>
            </w:r>
            <w:r>
              <w:rPr>
                <w:sz w:val="24"/>
              </w:rPr>
              <w:t>，位于车间西</w:t>
            </w:r>
            <w:r>
              <w:rPr>
                <w:rFonts w:hint="eastAsia"/>
                <w:sz w:val="24"/>
              </w:rPr>
              <w:t>侧</w:t>
            </w:r>
            <w:r>
              <w:rPr>
                <w:sz w:val="24"/>
              </w:rPr>
              <w:t>，本项目</w:t>
            </w:r>
            <w:r>
              <w:rPr>
                <w:bCs/>
                <w:kern w:val="0"/>
                <w:sz w:val="24"/>
              </w:rPr>
              <w:t>共产</w:t>
            </w:r>
            <w:r>
              <w:rPr>
                <w:sz w:val="24"/>
              </w:rPr>
              <w:t>生</w:t>
            </w:r>
            <w:r>
              <w:rPr>
                <w:rFonts w:hint="eastAsia"/>
                <w:sz w:val="24"/>
              </w:rPr>
              <w:t>9.536</w:t>
            </w:r>
            <w:r>
              <w:rPr>
                <w:sz w:val="24"/>
              </w:rPr>
              <w:t>t危险</w:t>
            </w:r>
            <w:r>
              <w:rPr>
                <w:bCs/>
                <w:kern w:val="0"/>
                <w:sz w:val="24"/>
              </w:rPr>
              <w:t>废物，危废周转周期为三</w:t>
            </w:r>
            <w:r>
              <w:rPr>
                <w:sz w:val="24"/>
              </w:rPr>
              <w:t>个月。</w:t>
            </w:r>
          </w:p>
          <w:p w14:paraId="123F0416">
            <w:pPr>
              <w:spacing w:line="480" w:lineRule="exact"/>
              <w:ind w:firstLine="480" w:firstLineChars="200"/>
              <w:rPr>
                <w:sz w:val="24"/>
              </w:rPr>
            </w:pPr>
            <w:r>
              <w:rPr>
                <w:sz w:val="24"/>
              </w:rPr>
              <w:t>废包装桶堆放区设置1m</w:t>
            </w:r>
            <w:r>
              <w:rPr>
                <w:sz w:val="24"/>
                <w:vertAlign w:val="superscript"/>
              </w:rPr>
              <w:t>2</w:t>
            </w:r>
            <w:r>
              <w:rPr>
                <w:sz w:val="24"/>
              </w:rPr>
              <w:t>；</w:t>
            </w:r>
            <w:r>
              <w:rPr>
                <w:rFonts w:hint="eastAsia"/>
                <w:sz w:val="24"/>
              </w:rPr>
              <w:t>含胶废弃物</w:t>
            </w:r>
            <w:r>
              <w:rPr>
                <w:sz w:val="24"/>
              </w:rPr>
              <w:t>袋装后放置托盘内，托盘设置1只，单个托盘占地1m</w:t>
            </w:r>
            <w:r>
              <w:rPr>
                <w:sz w:val="24"/>
                <w:vertAlign w:val="superscript"/>
              </w:rPr>
              <w:t>2</w:t>
            </w:r>
            <w:r>
              <w:rPr>
                <w:sz w:val="24"/>
              </w:rPr>
              <w:t>；</w:t>
            </w:r>
            <w:r>
              <w:rPr>
                <w:rFonts w:hint="eastAsia"/>
                <w:sz w:val="24"/>
              </w:rPr>
              <w:t>废胶渣桶装</w:t>
            </w:r>
            <w:r>
              <w:rPr>
                <w:sz w:val="24"/>
              </w:rPr>
              <w:t>后放置托盘内，托盘设置1只，单个托盘占地1m</w:t>
            </w:r>
            <w:r>
              <w:rPr>
                <w:sz w:val="24"/>
                <w:vertAlign w:val="superscript"/>
              </w:rPr>
              <w:t>2</w:t>
            </w:r>
            <w:r>
              <w:rPr>
                <w:sz w:val="24"/>
              </w:rPr>
              <w:t>；废活性炭堆放区设置</w:t>
            </w:r>
            <w:r>
              <w:rPr>
                <w:rFonts w:hint="eastAsia"/>
                <w:sz w:val="24"/>
              </w:rPr>
              <w:t>8</w:t>
            </w:r>
            <w:r>
              <w:rPr>
                <w:sz w:val="24"/>
              </w:rPr>
              <w:t>m</w:t>
            </w:r>
            <w:r>
              <w:rPr>
                <w:sz w:val="24"/>
                <w:vertAlign w:val="superscript"/>
              </w:rPr>
              <w:t>2</w:t>
            </w:r>
            <w:r>
              <w:rPr>
                <w:sz w:val="24"/>
              </w:rPr>
              <w:t>，废活性炭袋装后可堆叠存放。</w:t>
            </w:r>
          </w:p>
          <w:p w14:paraId="168C6C34">
            <w:pPr>
              <w:spacing w:line="480" w:lineRule="exact"/>
              <w:ind w:firstLine="480" w:firstLineChars="200"/>
              <w:rPr>
                <w:sz w:val="24"/>
              </w:rPr>
            </w:pPr>
            <w:r>
              <w:rPr>
                <w:sz w:val="24"/>
              </w:rPr>
              <w:t>综上，共需</w:t>
            </w:r>
            <w:r>
              <w:rPr>
                <w:rFonts w:hint="eastAsia"/>
                <w:sz w:val="24"/>
              </w:rPr>
              <w:t>11</w:t>
            </w:r>
            <w:r>
              <w:rPr>
                <w:sz w:val="24"/>
              </w:rPr>
              <w:t>m</w:t>
            </w:r>
            <w:r>
              <w:rPr>
                <w:sz w:val="24"/>
                <w:vertAlign w:val="superscript"/>
              </w:rPr>
              <w:t>2</w:t>
            </w:r>
            <w:r>
              <w:rPr>
                <w:sz w:val="24"/>
              </w:rPr>
              <w:t>可满足各类危废更换后存放三个月的要求，危废库房占地面积为</w:t>
            </w:r>
            <w:r>
              <w:rPr>
                <w:rFonts w:hint="eastAsia"/>
                <w:sz w:val="24"/>
              </w:rPr>
              <w:t>15</w:t>
            </w:r>
            <w:r>
              <w:rPr>
                <w:sz w:val="24"/>
              </w:rPr>
              <w:t>m</w:t>
            </w:r>
            <w:r>
              <w:rPr>
                <w:sz w:val="24"/>
                <w:vertAlign w:val="superscript"/>
              </w:rPr>
              <w:t>2</w:t>
            </w:r>
            <w:r>
              <w:rPr>
                <w:sz w:val="24"/>
              </w:rPr>
              <w:t>，满足危废占地要求，同时剩余面积可有效地设置危废间间距与过道，能满足全厂的危废贮存能力。危废库房应做到</w:t>
            </w:r>
            <w:r>
              <w:rPr>
                <w:rFonts w:hint="eastAsia"/>
                <w:sz w:val="24"/>
              </w:rPr>
              <w:t>“</w:t>
            </w:r>
            <w:r>
              <w:rPr>
                <w:sz w:val="24"/>
              </w:rPr>
              <w:t>四防</w:t>
            </w:r>
            <w:r>
              <w:rPr>
                <w:rFonts w:hint="eastAsia"/>
                <w:sz w:val="24"/>
              </w:rPr>
              <w:t>”</w:t>
            </w:r>
            <w:r>
              <w:rPr>
                <w:sz w:val="24"/>
              </w:rPr>
              <w:t>（防风、防雨、防晒、防渗漏），并按照《危险废物贮存污染控制标准》（GB18597-2023）进行设置，并对地面作防渗防腐处理，设置渗漏收集沟以及收集池；按照对危险废物交换和转移管理工作的有关要求，对危险废物进行安全包装，并在包装的明显位置附上危险废物标签。各种危险废物单独的贮存桶均防腐防漏密封，不相互影响，确保不相容的废物不混合收集贮存，委托有资质的专业单位进行运输，避免运输过程中散落、泄漏的可能性。</w:t>
            </w:r>
          </w:p>
          <w:p w14:paraId="241FC0D0">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（3）固废储存场所防护措施</w:t>
            </w:r>
          </w:p>
          <w:p w14:paraId="7134AEB2">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本项目危废库房占地面积为1</w:t>
            </w:r>
            <w:r>
              <w:rPr>
                <w:rFonts w:hint="eastAsia" w:ascii="Times New Roman" w:hAnsi="Times New Roman" w:cs="Times New Roman"/>
                <w:szCs w:val="24"/>
              </w:rPr>
              <w:t>5</w:t>
            </w:r>
            <w:r>
              <w:rPr>
                <w:rFonts w:ascii="Times New Roman" w:hAnsi="Times New Roman" w:cs="Times New Roman"/>
                <w:szCs w:val="24"/>
              </w:rPr>
              <w:t>m</w:t>
            </w:r>
            <w:r>
              <w:rPr>
                <w:rFonts w:ascii="Times New Roman" w:hAnsi="Times New Roman" w:cs="Times New Roman"/>
                <w:szCs w:val="24"/>
                <w:vertAlign w:val="superscript"/>
              </w:rPr>
              <w:t>2</w:t>
            </w:r>
            <w:r>
              <w:rPr>
                <w:rFonts w:ascii="Times New Roman" w:hAnsi="Times New Roman" w:cs="Times New Roman"/>
                <w:szCs w:val="24"/>
              </w:rPr>
              <w:t>，本项目危废固废涉及易燃、易爆类物质，危险废物贮存场所需落实以下要求：</w:t>
            </w:r>
          </w:p>
          <w:p w14:paraId="0D1ED947">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①所有危险废物装入容器内，不同种类的危险废物不得混放、混装。盛装危险废物的容器上须粘贴规范化的标签。</w:t>
            </w:r>
          </w:p>
          <w:p w14:paraId="738240F2">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②危险废物贮存场所地面与裙脚要用坚固、防渗的材料建造，建筑材料必须与危险废物相容。必须有耐腐蚀的硬化地面，且表面无裂隙。</w:t>
            </w:r>
          </w:p>
          <w:p w14:paraId="6702810B">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③危险废物贮存设施应配备通讯设备、照明设施、安全防护服装及工具，并设有应急防护设施。</w:t>
            </w:r>
          </w:p>
          <w:p w14:paraId="661D6A05">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④贮存危险废物时应按危险废物的种类和特性进行分区贮存，每个贮存区域之间宜设置挡墙间隔，并应设置</w:t>
            </w:r>
            <w:r>
              <w:rPr>
                <w:rFonts w:hint="eastAsia" w:ascii="Times New Roman" w:hAnsi="Times New Roman" w:cs="Times New Roman"/>
                <w:szCs w:val="24"/>
              </w:rPr>
              <w:t>“</w:t>
            </w:r>
            <w:r>
              <w:rPr>
                <w:rFonts w:ascii="Times New Roman" w:hAnsi="Times New Roman" w:cs="Times New Roman"/>
                <w:szCs w:val="24"/>
              </w:rPr>
              <w:t>三防</w:t>
            </w:r>
            <w:r>
              <w:rPr>
                <w:rFonts w:hint="eastAsia" w:ascii="Times New Roman" w:hAnsi="Times New Roman" w:cs="Times New Roman"/>
                <w:szCs w:val="24"/>
              </w:rPr>
              <w:t>”</w:t>
            </w:r>
            <w:r>
              <w:rPr>
                <w:rFonts w:ascii="Times New Roman" w:hAnsi="Times New Roman" w:cs="Times New Roman"/>
                <w:szCs w:val="24"/>
              </w:rPr>
              <w:t>（防扬散、防流失、防渗漏）和防腐措施。</w:t>
            </w:r>
          </w:p>
          <w:p w14:paraId="117938A8">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⑤危险废物贮存设施都必须按《环境保护图形标志固体废物贮存（处置）场》（GB15562.2-1995）及修改单的规定设置警示标志。</w:t>
            </w:r>
          </w:p>
          <w:p w14:paraId="727F3BA7">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本项目产生的危险废物废</w:t>
            </w:r>
            <w:r>
              <w:rPr>
                <w:rFonts w:hint="eastAsia" w:ascii="Times New Roman" w:hAnsi="Times New Roman" w:cs="Times New Roman"/>
                <w:szCs w:val="24"/>
              </w:rPr>
              <w:t>胶渣</w:t>
            </w:r>
            <w:r>
              <w:rPr>
                <w:rFonts w:ascii="Times New Roman" w:hAnsi="Times New Roman" w:cs="Times New Roman"/>
                <w:szCs w:val="24"/>
              </w:rPr>
              <w:t>等属于可燃类废物，落实上述措施后，可满足《危险废物贮存污染控制标准》（GB18597-2023）、《危险废物收集贮存运输技术规范》（HJ2025-2012）的要求。</w:t>
            </w:r>
          </w:p>
          <w:p w14:paraId="16205F78">
            <w:pPr>
              <w:pStyle w:val="99"/>
              <w:spacing w:line="480" w:lineRule="exact"/>
              <w:ind w:firstLine="480"/>
              <w:rPr>
                <w:rFonts w:ascii="Times New Roman" w:hAnsi="Times New Roman" w:cs="Times New Roman"/>
                <w:szCs w:val="24"/>
              </w:rPr>
            </w:pPr>
            <w:r>
              <w:rPr>
                <w:rFonts w:ascii="Times New Roman" w:hAnsi="Times New Roman" w:cs="Times New Roman"/>
                <w:szCs w:val="24"/>
              </w:rPr>
              <w:t>（4）危险废物贮存及转运要求</w:t>
            </w:r>
          </w:p>
          <w:p w14:paraId="72FB4459">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根据《危险废物贮存污染控制标准》（GB18597-2023）以及《危险废物收集、贮存、运输技术规范》（HJ2025-2012），对危险废物的贮存要求如下：</w:t>
            </w:r>
          </w:p>
          <w:p w14:paraId="2C7A0EA8">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①在常温常压下不水解、不挥发的固体废物可在贮存设施内分别堆放；</w:t>
            </w:r>
          </w:p>
          <w:p w14:paraId="6191147A">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②禁止将不相容（相互反应）的危险废物在同一容器内混装；</w:t>
            </w:r>
          </w:p>
          <w:p w14:paraId="15CB772C">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③无法装入常用容器的危险废物可用防漏胶袋等盛装；</w:t>
            </w:r>
          </w:p>
          <w:p w14:paraId="39A78736">
            <w:pPr>
              <w:pStyle w:val="99"/>
              <w:autoSpaceDE w:val="0"/>
              <w:autoSpaceDN w:val="0"/>
              <w:spacing w:line="480" w:lineRule="exact"/>
              <w:ind w:firstLine="480"/>
              <w:jc w:val="both"/>
              <w:rPr>
                <w:rFonts w:ascii="Times New Roman" w:hAnsi="Times New Roman" w:cs="Times New Roman"/>
              </w:rPr>
            </w:pPr>
            <w:r>
              <w:rPr>
                <w:rFonts w:ascii="Times New Roman" w:hAnsi="Times New Roman" w:cs="Times New Roman"/>
              </w:rPr>
              <w:t>根据《关于进一步加强危险废物规范化环境管理有关工作的通知》（环办固体</w:t>
            </w:r>
            <w:r>
              <w:rPr>
                <w:rFonts w:hint="eastAsia" w:ascii="Times New Roman" w:hAnsi="Times New Roman" w:cs="Times New Roman"/>
              </w:rPr>
              <w:t>〔2023〕17号</w:t>
            </w:r>
            <w:r>
              <w:rPr>
                <w:rFonts w:ascii="Times New Roman" w:hAnsi="Times New Roman" w:cs="Times New Roman"/>
              </w:rPr>
              <w:t>），</w:t>
            </w:r>
            <w:r>
              <w:rPr>
                <w:rFonts w:ascii="Times New Roman" w:hAnsi="Times New Roman" w:cs="Times New Roman"/>
                <w:szCs w:val="24"/>
              </w:rPr>
              <w:t>对危险废物的贮存及转运要求如下：</w:t>
            </w:r>
          </w:p>
          <w:p w14:paraId="6AFAED3E">
            <w:pPr>
              <w:pStyle w:val="99"/>
              <w:autoSpaceDE w:val="0"/>
              <w:autoSpaceDN w:val="0"/>
              <w:spacing w:line="480" w:lineRule="exact"/>
              <w:ind w:firstLine="480"/>
              <w:jc w:val="both"/>
              <w:rPr>
                <w:rFonts w:ascii="Times New Roman" w:hAnsi="Times New Roman" w:cs="Times New Roman"/>
              </w:rPr>
            </w:pPr>
            <w:r>
              <w:rPr>
                <w:rFonts w:ascii="Times New Roman" w:hAnsi="Times New Roman" w:cs="Times New Roman"/>
              </w:rPr>
              <w:t>（四）实行电子标签，规范源头管理：</w:t>
            </w:r>
          </w:p>
          <w:p w14:paraId="376C606E">
            <w:pPr>
              <w:pStyle w:val="99"/>
              <w:autoSpaceDE w:val="0"/>
              <w:autoSpaceDN w:val="0"/>
              <w:spacing w:line="480" w:lineRule="exact"/>
              <w:ind w:firstLine="480"/>
              <w:jc w:val="both"/>
              <w:rPr>
                <w:rFonts w:ascii="Times New Roman" w:hAnsi="Times New Roman" w:cs="Times New Roman"/>
              </w:rPr>
            </w:pPr>
            <w:r>
              <w:rPr>
                <w:rFonts w:ascii="Times New Roman" w:hAnsi="Times New Roman" w:cs="Times New Roman"/>
              </w:rPr>
              <w:t>全面统一危险废物电子标签标志二维码。2024年1月1日起，危险废物环境重点监管单位应通过国家固废系统生成并领取危险废物电子标签标志二维码；按国家关于制定危险废物电子管理台账的要求，建立与国家固废系统实时对接的电子管理台账。</w:t>
            </w:r>
          </w:p>
          <w:p w14:paraId="53BC2E02">
            <w:pPr>
              <w:pStyle w:val="99"/>
              <w:autoSpaceDE w:val="0"/>
              <w:autoSpaceDN w:val="0"/>
              <w:spacing w:line="480" w:lineRule="exact"/>
              <w:ind w:firstLine="480"/>
              <w:jc w:val="both"/>
              <w:rPr>
                <w:rFonts w:ascii="Times New Roman" w:hAnsi="Times New Roman" w:cs="Times New Roman"/>
              </w:rPr>
            </w:pPr>
            <w:r>
              <w:rPr>
                <w:rFonts w:ascii="Times New Roman" w:hAnsi="Times New Roman" w:cs="Times New Roman"/>
              </w:rPr>
              <w:t>（五）运行电子联单，规范转移跟踪</w:t>
            </w:r>
          </w:p>
          <w:p w14:paraId="753DD897">
            <w:pPr>
              <w:pStyle w:val="99"/>
              <w:autoSpaceDE w:val="0"/>
              <w:autoSpaceDN w:val="0"/>
              <w:spacing w:line="480" w:lineRule="exact"/>
              <w:ind w:firstLine="480"/>
              <w:jc w:val="both"/>
              <w:rPr>
                <w:rFonts w:ascii="Times New Roman" w:hAnsi="Times New Roman" w:cs="Times New Roman"/>
              </w:rPr>
            </w:pPr>
            <w:r>
              <w:rPr>
                <w:rFonts w:ascii="Times New Roman" w:hAnsi="Times New Roman" w:cs="Times New Roman"/>
              </w:rPr>
              <w:t>全面实行全国统一编号的危险废物电子转移联单。2024年1月1日起，转移危险废物的单位，应使用国家固废系统及其APP等实时记录转移轨迹；采用其他方式的，应确保实时转移轨迹与国家固废系统实时对接。转移的危险废物包装容器具有电子标签的，应与电子转移联单关联。鼓励持证单位在自有危险废物运输车辆安装车载卫星定位、视频监控等设备。</w:t>
            </w:r>
          </w:p>
          <w:p w14:paraId="60AB1F33">
            <w:pPr>
              <w:pStyle w:val="99"/>
              <w:autoSpaceDE w:val="0"/>
              <w:autoSpaceDN w:val="0"/>
              <w:spacing w:line="480" w:lineRule="exact"/>
              <w:ind w:firstLine="480"/>
              <w:rPr>
                <w:rFonts w:ascii="Times New Roman" w:hAnsi="Times New Roman" w:cs="Times New Roman"/>
              </w:rPr>
            </w:pPr>
            <w:r>
              <w:rPr>
                <w:rFonts w:ascii="Times New Roman" w:hAnsi="Times New Roman" w:cs="Times New Roman"/>
              </w:rPr>
              <w:t>全面实行危险废物跨省转移商请全流程无纸化运转。危险废物跨省转移商请函及相关单位申请材料、复函、审批决定等均应通过国家固废系统运转。</w:t>
            </w:r>
          </w:p>
          <w:p w14:paraId="1FD8DB98">
            <w:pPr>
              <w:pStyle w:val="99"/>
              <w:spacing w:line="480" w:lineRule="exact"/>
              <w:ind w:firstLine="480"/>
              <w:rPr>
                <w:rFonts w:ascii="Times New Roman" w:hAnsi="Times New Roman" w:cs="Times New Roman"/>
                <w:szCs w:val="24"/>
              </w:rPr>
            </w:pPr>
            <w:r>
              <w:rPr>
                <w:rFonts w:ascii="Times New Roman" w:hAnsi="Times New Roman" w:cs="Times New Roman"/>
                <w:szCs w:val="24"/>
              </w:rPr>
              <w:t>（5）危险废物贮存容器要求</w:t>
            </w:r>
          </w:p>
          <w:p w14:paraId="5D6D178E">
            <w:pPr>
              <w:pStyle w:val="99"/>
              <w:spacing w:line="480" w:lineRule="exact"/>
              <w:ind w:firstLine="480"/>
              <w:rPr>
                <w:rFonts w:ascii="Times New Roman" w:hAnsi="Times New Roman" w:cs="Times New Roman"/>
                <w:szCs w:val="24"/>
              </w:rPr>
            </w:pPr>
            <w:r>
              <w:rPr>
                <w:rFonts w:ascii="Times New Roman" w:hAnsi="Times New Roman" w:cs="Times New Roman"/>
                <w:szCs w:val="24"/>
              </w:rPr>
              <w:t>根据《危险废物贮存污染控制标准》（GB18597-2023）及以及《危险废物收集、贮存、运输技术规范》（HJ2025-2012），危险废物贮存容器要求如下：</w:t>
            </w:r>
          </w:p>
          <w:p w14:paraId="3D2D8B69">
            <w:pPr>
              <w:pStyle w:val="99"/>
              <w:spacing w:line="480" w:lineRule="exact"/>
              <w:ind w:firstLine="480"/>
              <w:rPr>
                <w:rFonts w:ascii="Times New Roman" w:hAnsi="Times New Roman" w:cs="Times New Roman"/>
                <w:szCs w:val="24"/>
              </w:rPr>
            </w:pPr>
            <w:r>
              <w:rPr>
                <w:rFonts w:ascii="Times New Roman" w:hAnsi="Times New Roman" w:cs="Times New Roman"/>
                <w:szCs w:val="24"/>
              </w:rPr>
              <w:t>①应当使用符合标准的容器盛装危险废物；</w:t>
            </w:r>
          </w:p>
          <w:p w14:paraId="174A1968">
            <w:pPr>
              <w:pStyle w:val="99"/>
              <w:spacing w:line="480" w:lineRule="exact"/>
              <w:ind w:firstLine="480"/>
              <w:rPr>
                <w:rFonts w:ascii="Times New Roman" w:hAnsi="Times New Roman" w:cs="Times New Roman"/>
                <w:szCs w:val="24"/>
              </w:rPr>
            </w:pPr>
            <w:r>
              <w:rPr>
                <w:rFonts w:ascii="Times New Roman" w:hAnsi="Times New Roman" w:cs="Times New Roman"/>
                <w:szCs w:val="24"/>
              </w:rPr>
              <w:t>②盛装危险废物的容器及材质要满足相应的强度要求；</w:t>
            </w:r>
          </w:p>
          <w:p w14:paraId="10BD7197">
            <w:pPr>
              <w:pStyle w:val="99"/>
              <w:spacing w:line="480" w:lineRule="exact"/>
              <w:ind w:firstLine="480"/>
              <w:rPr>
                <w:rFonts w:ascii="Times New Roman" w:hAnsi="Times New Roman" w:cs="Times New Roman"/>
                <w:szCs w:val="24"/>
              </w:rPr>
            </w:pPr>
            <w:r>
              <w:rPr>
                <w:rFonts w:ascii="Times New Roman" w:hAnsi="Times New Roman" w:cs="Times New Roman"/>
                <w:szCs w:val="24"/>
              </w:rPr>
              <w:t>③盛装危险废物的容器必须完好无损；</w:t>
            </w:r>
          </w:p>
          <w:p w14:paraId="4EBB7A48">
            <w:pPr>
              <w:pStyle w:val="99"/>
              <w:spacing w:line="480" w:lineRule="exact"/>
              <w:ind w:firstLine="480"/>
              <w:rPr>
                <w:rFonts w:ascii="Times New Roman" w:hAnsi="Times New Roman" w:cs="Times New Roman"/>
                <w:szCs w:val="24"/>
              </w:rPr>
            </w:pPr>
            <w:r>
              <w:rPr>
                <w:rFonts w:ascii="Times New Roman" w:hAnsi="Times New Roman" w:cs="Times New Roman"/>
                <w:szCs w:val="24"/>
              </w:rPr>
              <w:t>④盛装危险废物的容器材质和衬里要与危险废物相容（不相互反应）</w:t>
            </w:r>
            <w:r>
              <w:rPr>
                <w:rFonts w:hint="eastAsia" w:ascii="Times New Roman" w:hAnsi="Times New Roman" w:cs="Times New Roman"/>
                <w:szCs w:val="24"/>
              </w:rPr>
              <w:t>。</w:t>
            </w:r>
          </w:p>
          <w:p w14:paraId="094F007D">
            <w:pPr>
              <w:pStyle w:val="99"/>
              <w:spacing w:line="480" w:lineRule="exact"/>
              <w:ind w:firstLine="480"/>
              <w:rPr>
                <w:rFonts w:ascii="Times New Roman" w:hAnsi="Times New Roman" w:cs="Times New Roman"/>
                <w:szCs w:val="24"/>
              </w:rPr>
            </w:pPr>
            <w:r>
              <w:rPr>
                <w:rFonts w:ascii="Times New Roman" w:hAnsi="Times New Roman" w:cs="Times New Roman"/>
                <w:szCs w:val="24"/>
              </w:rPr>
              <w:t>（6）危险废物的堆放</w:t>
            </w:r>
          </w:p>
          <w:p w14:paraId="36D27734">
            <w:pPr>
              <w:pStyle w:val="99"/>
              <w:spacing w:line="480" w:lineRule="exact"/>
              <w:ind w:firstLine="480"/>
              <w:rPr>
                <w:rFonts w:ascii="Times New Roman" w:hAnsi="Times New Roman" w:cs="Times New Roman"/>
                <w:szCs w:val="24"/>
              </w:rPr>
            </w:pPr>
            <w:r>
              <w:rPr>
                <w:rFonts w:ascii="Times New Roman" w:hAnsi="Times New Roman" w:cs="Times New Roman"/>
                <w:szCs w:val="24"/>
              </w:rPr>
              <w:t>①危险废物在堆场内分类存放。一般包装容器底座设置垫不直接与地面接触。</w:t>
            </w:r>
          </w:p>
          <w:p w14:paraId="4333DDC8">
            <w:pPr>
              <w:pStyle w:val="99"/>
              <w:spacing w:line="480" w:lineRule="exact"/>
              <w:ind w:firstLine="480"/>
              <w:rPr>
                <w:rFonts w:ascii="Times New Roman" w:hAnsi="Times New Roman" w:cs="Times New Roman"/>
                <w:szCs w:val="24"/>
              </w:rPr>
            </w:pPr>
            <w:r>
              <w:rPr>
                <w:rFonts w:ascii="Times New Roman" w:hAnsi="Times New Roman" w:cs="Times New Roman"/>
                <w:szCs w:val="24"/>
              </w:rPr>
              <w:t>②堆场周边设置径流疏导系统雨水收集。</w:t>
            </w:r>
          </w:p>
          <w:p w14:paraId="37D01DF8">
            <w:pPr>
              <w:pStyle w:val="99"/>
              <w:spacing w:line="480" w:lineRule="exact"/>
              <w:ind w:firstLine="480"/>
              <w:rPr>
                <w:rFonts w:ascii="Times New Roman" w:hAnsi="Times New Roman" w:cs="Times New Roman"/>
                <w:szCs w:val="24"/>
              </w:rPr>
            </w:pPr>
            <w:r>
              <w:rPr>
                <w:rFonts w:ascii="Times New Roman" w:hAnsi="Times New Roman" w:cs="Times New Roman"/>
                <w:szCs w:val="24"/>
              </w:rPr>
              <w:t>③废物堆做好</w:t>
            </w:r>
            <w:r>
              <w:rPr>
                <w:rFonts w:hint="eastAsia" w:ascii="Times New Roman" w:hAnsi="Times New Roman" w:cs="Times New Roman"/>
                <w:szCs w:val="24"/>
              </w:rPr>
              <w:t>“</w:t>
            </w:r>
            <w:r>
              <w:rPr>
                <w:rFonts w:ascii="Times New Roman" w:hAnsi="Times New Roman" w:cs="Times New Roman"/>
                <w:szCs w:val="24"/>
              </w:rPr>
              <w:t>三防</w:t>
            </w:r>
            <w:r>
              <w:rPr>
                <w:rFonts w:hint="eastAsia" w:ascii="Times New Roman" w:hAnsi="Times New Roman" w:cs="Times New Roman"/>
                <w:szCs w:val="24"/>
              </w:rPr>
              <w:t>”</w:t>
            </w:r>
            <w:r>
              <w:rPr>
                <w:rFonts w:ascii="Times New Roman" w:hAnsi="Times New Roman" w:cs="Times New Roman"/>
                <w:szCs w:val="24"/>
              </w:rPr>
              <w:t>（防扬散、防流失、防渗漏）和防腐措施。</w:t>
            </w:r>
          </w:p>
          <w:p w14:paraId="461A848A">
            <w:pPr>
              <w:pStyle w:val="99"/>
              <w:spacing w:line="480" w:lineRule="exact"/>
              <w:ind w:firstLine="480"/>
              <w:rPr>
                <w:rFonts w:ascii="Times New Roman" w:hAnsi="Times New Roman" w:cs="Times New Roman"/>
                <w:szCs w:val="24"/>
              </w:rPr>
            </w:pPr>
            <w:r>
              <w:rPr>
                <w:rFonts w:ascii="Times New Roman" w:hAnsi="Times New Roman" w:cs="Times New Roman"/>
                <w:szCs w:val="24"/>
              </w:rPr>
              <w:t>（7）固废申报</w:t>
            </w:r>
          </w:p>
          <w:p w14:paraId="025B8CFC">
            <w:pPr>
              <w:pStyle w:val="99"/>
              <w:spacing w:line="480" w:lineRule="exact"/>
              <w:ind w:firstLine="480"/>
              <w:rPr>
                <w:rFonts w:ascii="Times New Roman" w:hAnsi="Times New Roman" w:cs="Times New Roman"/>
                <w:szCs w:val="24"/>
              </w:rPr>
            </w:pPr>
            <w:r>
              <w:rPr>
                <w:rFonts w:ascii="Times New Roman" w:hAnsi="Times New Roman" w:cs="Times New Roman"/>
                <w:szCs w:val="24"/>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14:paraId="0D3C53C6">
            <w:pPr>
              <w:pStyle w:val="99"/>
              <w:spacing w:line="480" w:lineRule="exact"/>
              <w:ind w:firstLine="480"/>
              <w:rPr>
                <w:rFonts w:ascii="Times New Roman" w:hAnsi="Times New Roman" w:cs="Times New Roman"/>
                <w:szCs w:val="24"/>
              </w:rPr>
            </w:pPr>
            <w:r>
              <w:rPr>
                <w:rFonts w:ascii="Times New Roman" w:hAnsi="Times New Roman" w:cs="Times New Roman"/>
                <w:szCs w:val="24"/>
              </w:rPr>
              <w:t>此外，对照《省生态环境厅关于印发江苏省危险废物贮存规范化管理专项整治行动方案的通知》（苏环办</w:t>
            </w:r>
            <w:r>
              <w:rPr>
                <w:rFonts w:hint="eastAsia" w:ascii="Times New Roman" w:hAnsi="Times New Roman" w:cs="Times New Roman"/>
                <w:szCs w:val="24"/>
              </w:rPr>
              <w:t>〔2019〕149号</w:t>
            </w:r>
            <w:r>
              <w:rPr>
                <w:rFonts w:ascii="Times New Roman" w:hAnsi="Times New Roman" w:cs="Times New Roman"/>
                <w:szCs w:val="24"/>
              </w:rPr>
              <w:t>）中排查内容及整治要求：</w:t>
            </w:r>
          </w:p>
          <w:p w14:paraId="5E669D8F">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本项目需在明显位置按照《环境保护图形标志固体废物贮存（处置）场》（GB15562.2-1995）</w:t>
            </w:r>
            <w:r>
              <w:rPr>
                <w:rFonts w:hint="eastAsia" w:ascii="Times New Roman" w:hAnsi="Times New Roman" w:cs="Times New Roman"/>
                <w:szCs w:val="24"/>
              </w:rPr>
              <w:t>及修改单、《危险废物识别标志设置技术规范》（HJ1276-2022）等文件</w:t>
            </w:r>
            <w:r>
              <w:rPr>
                <w:rFonts w:ascii="Times New Roman" w:hAnsi="Times New Roman" w:cs="Times New Roman"/>
                <w:szCs w:val="24"/>
              </w:rPr>
              <w:t>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进行预处理后进入贮存设施贮存，否则按易爆、易燃危险品贮存；贮存废弃剧毒化学品的，采用双钥匙封闭式管理，且有专人24小时看管。</w:t>
            </w:r>
          </w:p>
          <w:p w14:paraId="21B7647D">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建立规范的危险废物贮存台账，如实记录废物名称、种类、数量、来源、出入库时间、去向、交接人签字等内容；产生废弃危险化学品的单位根据《关于废弃危险化学品纳入危险废物管理的条件和程序的复函》（环办土壤函</w:t>
            </w:r>
            <w:r>
              <w:rPr>
                <w:rFonts w:hint="eastAsia" w:ascii="Times New Roman" w:hAnsi="Times New Roman" w:cs="Times New Roman"/>
                <w:szCs w:val="24"/>
              </w:rPr>
              <w:t>〔2018〕245号</w:t>
            </w:r>
            <w:r>
              <w:rPr>
                <w:rFonts w:ascii="Times New Roman" w:hAnsi="Times New Roman" w:cs="Times New Roman"/>
                <w:szCs w:val="24"/>
              </w:rPr>
              <w:t>）要求，将拟抛弃或者放弃的危险化学品种类、数量等信息纳入危险废物管理计划，向属地生态环境部门申报，经生态环境部门备案后，将贮存设施和贮存情况纳入环境监管范围。</w:t>
            </w:r>
          </w:p>
          <w:p w14:paraId="1396C908">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1AAB0589">
            <w:pPr>
              <w:pStyle w:val="99"/>
              <w:spacing w:line="480" w:lineRule="exact"/>
              <w:ind w:firstLine="480"/>
              <w:rPr>
                <w:rFonts w:ascii="Times New Roman" w:hAnsi="Times New Roman" w:cs="Times New Roman"/>
                <w:szCs w:val="24"/>
              </w:rPr>
            </w:pPr>
            <w:r>
              <w:rPr>
                <w:rFonts w:ascii="Times New Roman" w:hAnsi="Times New Roman" w:cs="Times New Roman"/>
                <w:szCs w:val="24"/>
              </w:rPr>
              <w:t>（8）危废暂存间管理要求</w:t>
            </w:r>
          </w:p>
          <w:p w14:paraId="2E001324">
            <w:pPr>
              <w:pStyle w:val="99"/>
              <w:spacing w:line="480" w:lineRule="exact"/>
              <w:ind w:firstLine="480"/>
              <w:jc w:val="both"/>
              <w:rPr>
                <w:rFonts w:ascii="Times New Roman" w:hAnsi="Times New Roman" w:cs="Times New Roman"/>
                <w:szCs w:val="24"/>
              </w:rPr>
            </w:pPr>
            <w:r>
              <w:rPr>
                <w:rFonts w:ascii="Times New Roman" w:hAnsi="Times New Roman" w:cs="Times New Roman"/>
                <w:szCs w:val="24"/>
              </w:rPr>
              <w:t>根据《省生态环境厅关于印发〈江苏省固体废物全过程环境监管工作意见〉的通知》（苏环办</w:t>
            </w:r>
            <w:r>
              <w:rPr>
                <w:rFonts w:hint="eastAsia" w:ascii="Times New Roman" w:hAnsi="Times New Roman" w:cs="Times New Roman"/>
                <w:szCs w:val="24"/>
              </w:rPr>
              <w:t>〔2024〕16号</w:t>
            </w:r>
            <w:r>
              <w:rPr>
                <w:rFonts w:ascii="Times New Roman" w:hAnsi="Times New Roman" w:cs="Times New Roman"/>
                <w:szCs w:val="24"/>
              </w:rPr>
              <w:t>）要求，危废贮存场所管理要求见表4-</w:t>
            </w:r>
            <w:r>
              <w:rPr>
                <w:rFonts w:hint="eastAsia" w:ascii="Times New Roman" w:hAnsi="Times New Roman" w:cs="Times New Roman"/>
                <w:szCs w:val="24"/>
              </w:rPr>
              <w:t>24</w:t>
            </w:r>
            <w:r>
              <w:rPr>
                <w:rFonts w:ascii="Times New Roman" w:hAnsi="Times New Roman" w:cs="Times New Roman"/>
                <w:szCs w:val="24"/>
              </w:rPr>
              <w:t>。</w:t>
            </w:r>
          </w:p>
          <w:p w14:paraId="57BAC858">
            <w:pPr>
              <w:pStyle w:val="6"/>
              <w:spacing w:line="480" w:lineRule="exact"/>
              <w:ind w:firstLine="0" w:firstLineChars="0"/>
              <w:jc w:val="center"/>
              <w:textAlignment w:val="baseline"/>
              <w:rPr>
                <w:b/>
                <w:bCs/>
                <w:color w:val="auto"/>
                <w:sz w:val="24"/>
              </w:rPr>
            </w:pPr>
            <w:r>
              <w:rPr>
                <w:b/>
                <w:bCs/>
                <w:color w:val="auto"/>
                <w:sz w:val="24"/>
              </w:rPr>
              <w:t>表4</w:t>
            </w:r>
            <w:r>
              <w:rPr>
                <w:rFonts w:hint="eastAsia"/>
                <w:b/>
                <w:bCs/>
                <w:color w:val="auto"/>
                <w:sz w:val="24"/>
              </w:rPr>
              <w:t>-2</w:t>
            </w:r>
            <w:r>
              <w:rPr>
                <w:rFonts w:hint="eastAsia"/>
                <w:b/>
                <w:bCs/>
                <w:color w:val="auto"/>
                <w:sz w:val="24"/>
                <w:lang w:val="en-US" w:eastAsia="zh-CN"/>
              </w:rPr>
              <w:t>6</w:t>
            </w:r>
            <w:r>
              <w:rPr>
                <w:b/>
                <w:bCs/>
                <w:color w:val="auto"/>
                <w:sz w:val="24"/>
              </w:rPr>
              <w:t xml:space="preserve"> 危险废物贮存场所管理要求一览表</w:t>
            </w:r>
          </w:p>
          <w:tbl>
            <w:tblPr>
              <w:tblStyle w:val="27"/>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13"/>
              <w:gridCol w:w="7932"/>
            </w:tblGrid>
            <w:tr w14:paraId="000B8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6" w:type="pct"/>
                  <w:vAlign w:val="center"/>
                </w:tcPr>
                <w:p w14:paraId="33A4C690">
                  <w:pPr>
                    <w:pStyle w:val="113"/>
                    <w:rPr>
                      <w:b/>
                      <w:szCs w:val="21"/>
                    </w:rPr>
                  </w:pPr>
                  <w:r>
                    <w:rPr>
                      <w:b/>
                      <w:szCs w:val="21"/>
                    </w:rPr>
                    <w:t>管理类别</w:t>
                  </w:r>
                </w:p>
              </w:tc>
              <w:tc>
                <w:tcPr>
                  <w:tcW w:w="4433" w:type="pct"/>
                  <w:vAlign w:val="center"/>
                </w:tcPr>
                <w:p w14:paraId="5362600C">
                  <w:pPr>
                    <w:pStyle w:val="113"/>
                    <w:rPr>
                      <w:b/>
                      <w:szCs w:val="21"/>
                    </w:rPr>
                  </w:pPr>
                  <w:r>
                    <w:rPr>
                      <w:b/>
                      <w:szCs w:val="21"/>
                    </w:rPr>
                    <w:t>管理要求</w:t>
                  </w:r>
                </w:p>
              </w:tc>
            </w:tr>
            <w:tr w14:paraId="5FC10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6" w:type="pct"/>
                  <w:vAlign w:val="center"/>
                </w:tcPr>
                <w:p w14:paraId="567E34CF">
                  <w:pPr>
                    <w:pStyle w:val="113"/>
                    <w:rPr>
                      <w:szCs w:val="21"/>
                    </w:rPr>
                  </w:pPr>
                  <w:r>
                    <w:rPr>
                      <w:szCs w:val="21"/>
                    </w:rPr>
                    <w:t>规范贮存管理要求</w:t>
                  </w:r>
                </w:p>
              </w:tc>
              <w:tc>
                <w:tcPr>
                  <w:tcW w:w="4433" w:type="pct"/>
                  <w:vAlign w:val="center"/>
                </w:tcPr>
                <w:p w14:paraId="42BCCAE8">
                  <w:pPr>
                    <w:pStyle w:val="113"/>
                    <w:jc w:val="both"/>
                    <w:rPr>
                      <w:szCs w:val="21"/>
                    </w:rPr>
                  </w:pPr>
                  <w:r>
                    <w:rPr>
                      <w:szCs w:val="21"/>
                    </w:rPr>
                    <w:t>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w:t>
                  </w:r>
                  <w:r>
                    <w:rPr>
                      <w:rFonts w:hint="eastAsia"/>
                      <w:szCs w:val="21"/>
                    </w:rPr>
                    <w:t>〔2021〕290号</w:t>
                  </w:r>
                  <w:r>
                    <w:rPr>
                      <w:szCs w:val="21"/>
                    </w:rPr>
                    <w:t>）中关于贮存周期和贮存量的要求，I级、Ⅱ级、Ⅲ级危险废物贮存时间分别不得超过30天、60天、90天，最大贮存量不得超过1吨。</w:t>
                  </w:r>
                </w:p>
              </w:tc>
            </w:tr>
            <w:tr w14:paraId="7561E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6" w:type="pct"/>
                  <w:vAlign w:val="center"/>
                </w:tcPr>
                <w:p w14:paraId="0B6AA8B6">
                  <w:pPr>
                    <w:pStyle w:val="113"/>
                    <w:rPr>
                      <w:szCs w:val="21"/>
                    </w:rPr>
                  </w:pPr>
                  <w:r>
                    <w:rPr>
                      <w:szCs w:val="21"/>
                    </w:rPr>
                    <w:t>强化转移过程管理</w:t>
                  </w:r>
                </w:p>
              </w:tc>
              <w:tc>
                <w:tcPr>
                  <w:tcW w:w="4433" w:type="pct"/>
                  <w:vAlign w:val="center"/>
                </w:tcPr>
                <w:p w14:paraId="15D70831">
                  <w:pPr>
                    <w:pStyle w:val="113"/>
                    <w:jc w:val="both"/>
                    <w:rPr>
                      <w:szCs w:val="21"/>
                    </w:rPr>
                  </w:pPr>
                  <w:r>
                    <w:rPr>
                      <w:szCs w:val="21"/>
                    </w:rPr>
                    <w:t>全面落实危险废物转移电子联单制度，实行省内全域扫描</w:t>
                  </w:r>
                  <w:r>
                    <w:rPr>
                      <w:rFonts w:hint="eastAsia"/>
                      <w:szCs w:val="21"/>
                    </w:rPr>
                    <w:t>“</w:t>
                  </w:r>
                  <w:r>
                    <w:rPr>
                      <w:szCs w:val="21"/>
                    </w:rPr>
                    <w:t>二维码</w:t>
                  </w:r>
                  <w:r>
                    <w:rPr>
                      <w:rFonts w:hint="eastAsia"/>
                      <w:szCs w:val="21"/>
                    </w:rPr>
                    <w:t>”</w:t>
                  </w:r>
                  <w:r>
                    <w:rPr>
                      <w:szCs w:val="21"/>
                    </w:rPr>
                    <w:t>转移。加强与危险货物道路运输电子运单数据共享，实现运输轨迹可溯可查。产废单位须依法核实经营单位主体资格和技术能力，并直接签订利用处置合同，违法委托的，应当与造成环境污染和生态破坏的受托方承担连带责任；经营单位须按包装物扫码签收，签收人、车辆信息等须拍照上传至系统，严禁</w:t>
                  </w:r>
                  <w:r>
                    <w:rPr>
                      <w:rFonts w:hint="eastAsia"/>
                      <w:szCs w:val="21"/>
                    </w:rPr>
                    <w:t>“</w:t>
                  </w:r>
                  <w:r>
                    <w:rPr>
                      <w:szCs w:val="21"/>
                    </w:rPr>
                    <w:t>空转</w:t>
                  </w:r>
                  <w:r>
                    <w:rPr>
                      <w:rFonts w:hint="eastAsia"/>
                      <w:szCs w:val="21"/>
                    </w:rPr>
                    <w:t>”</w:t>
                  </w:r>
                  <w:r>
                    <w:rPr>
                      <w:szCs w:val="21"/>
                    </w:rPr>
                    <w:t>二维码。积极推行一般工业固体废物转移电子联单制度，优先选择环境风险较大的污泥、矿渣等试行。</w:t>
                  </w:r>
                </w:p>
              </w:tc>
            </w:tr>
            <w:tr w14:paraId="7CCDA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6" w:type="pct"/>
                  <w:vAlign w:val="center"/>
                </w:tcPr>
                <w:p w14:paraId="486E6B99">
                  <w:pPr>
                    <w:pStyle w:val="113"/>
                    <w:rPr>
                      <w:szCs w:val="21"/>
                    </w:rPr>
                  </w:pPr>
                  <w:r>
                    <w:rPr>
                      <w:szCs w:val="21"/>
                    </w:rPr>
                    <w:t>推进固废就近利用处置</w:t>
                  </w:r>
                </w:p>
              </w:tc>
              <w:tc>
                <w:tcPr>
                  <w:tcW w:w="4433" w:type="pct"/>
                  <w:vAlign w:val="center"/>
                </w:tcPr>
                <w:p w14:paraId="4F22957D">
                  <w:pPr>
                    <w:pStyle w:val="113"/>
                    <w:jc w:val="both"/>
                    <w:rPr>
                      <w:szCs w:val="21"/>
                    </w:rPr>
                  </w:pPr>
                  <w:r>
                    <w:rPr>
                      <w:szCs w:val="21"/>
                    </w:rPr>
                    <w:t>各地要提请属地政府，根据实际需求统筹推进本地危险废物利用处置能力建设。依托固废管理信息系统就近利用处置提醒功能，及时引导企业合理选择利用处置去向，实现危险废物市内消纳率逐步提升，防范长距离运输带来的环境风险。开展危险废物经营许可能力分类申报备案试点，支持经营单位根据辖区内实际需求，对同一利用处置工艺对应的不同代码，在不突破许可能力的情况下，按季度自主调整分配各类代码的经营能力，尽可能适应市场需求。</w:t>
                  </w:r>
                </w:p>
              </w:tc>
            </w:tr>
            <w:tr w14:paraId="76185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6" w:type="pct"/>
                  <w:vAlign w:val="center"/>
                </w:tcPr>
                <w:p w14:paraId="79517861">
                  <w:pPr>
                    <w:pStyle w:val="113"/>
                    <w:rPr>
                      <w:szCs w:val="21"/>
                    </w:rPr>
                  </w:pPr>
                  <w:r>
                    <w:rPr>
                      <w:szCs w:val="21"/>
                    </w:rPr>
                    <w:t>加强企业产物监管</w:t>
                  </w:r>
                </w:p>
              </w:tc>
              <w:tc>
                <w:tcPr>
                  <w:tcW w:w="4433" w:type="pct"/>
                  <w:vAlign w:val="center"/>
                </w:tcPr>
                <w:p w14:paraId="45840DF6">
                  <w:pPr>
                    <w:pStyle w:val="113"/>
                    <w:jc w:val="both"/>
                    <w:rPr>
                      <w:szCs w:val="21"/>
                    </w:rPr>
                  </w:pPr>
                  <w:r>
                    <w:rPr>
                      <w:szCs w:val="21"/>
                    </w:rPr>
                    <w:t>危险废物利用单位的所有产物须按照本文件第2条明确的五类属性进行分类管理，其中按产品管理的需要对其特征污染物开展检测分析，严防污染物向下游转移。鼓励利用单位积极参与产品质量团体标准制定，符合团体标准的产物，其环境风险评价仅需阐述标准落实情况，并可在标准适用范围内按照产品管理。</w:t>
                  </w:r>
                </w:p>
              </w:tc>
            </w:tr>
            <w:tr w14:paraId="513F6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6" w:type="pct"/>
                  <w:vAlign w:val="center"/>
                </w:tcPr>
                <w:p w14:paraId="20118FE6">
                  <w:pPr>
                    <w:pStyle w:val="113"/>
                    <w:rPr>
                      <w:szCs w:val="21"/>
                    </w:rPr>
                  </w:pPr>
                  <w:r>
                    <w:rPr>
                      <w:szCs w:val="21"/>
                    </w:rPr>
                    <w:t>开展监督性监测</w:t>
                  </w:r>
                </w:p>
              </w:tc>
              <w:tc>
                <w:tcPr>
                  <w:tcW w:w="4433" w:type="pct"/>
                  <w:vAlign w:val="center"/>
                </w:tcPr>
                <w:p w14:paraId="5CCA2021">
                  <w:pPr>
                    <w:pStyle w:val="113"/>
                    <w:jc w:val="both"/>
                    <w:rPr>
                      <w:szCs w:val="21"/>
                    </w:rPr>
                  </w:pPr>
                  <w:r>
                    <w:rPr>
                      <w:szCs w:val="21"/>
                    </w:rPr>
                    <w:t>各地要认真组织好辖区内危险废物经营单位监督性监测工作，将入厂危废和产物中特征污染物纳入监测范围。现场采样须采取</w:t>
                  </w:r>
                  <w:r>
                    <w:rPr>
                      <w:rFonts w:hint="eastAsia"/>
                      <w:szCs w:val="21"/>
                    </w:rPr>
                    <w:t>“</w:t>
                  </w:r>
                  <w:r>
                    <w:rPr>
                      <w:szCs w:val="21"/>
                    </w:rPr>
                    <w:t>四不两直</w:t>
                  </w:r>
                  <w:r>
                    <w:rPr>
                      <w:rFonts w:hint="eastAsia"/>
                      <w:szCs w:val="21"/>
                    </w:rPr>
                    <w:t>”</w:t>
                  </w:r>
                  <w:r>
                    <w:rPr>
                      <w:szCs w:val="21"/>
                    </w:rPr>
                    <w:t>方式，分别根据排污许可证（或许可条件）、产品标准确定入厂危废和产物监测指标，不得缺项漏项。入场危废不符合接收标准的，视同未按照许可证规定从事危险废物经营活动。产物中特征污染物含量超出标准限值的，仍须按照危险废物进行管理，严禁作为产品出售；因超标导致污染环境、破坏生态的，依法予以立案查处。</w:t>
                  </w:r>
                </w:p>
              </w:tc>
            </w:tr>
            <w:tr w14:paraId="72039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6" w:type="pct"/>
                  <w:vAlign w:val="center"/>
                </w:tcPr>
                <w:p w14:paraId="085D9E19">
                  <w:pPr>
                    <w:pStyle w:val="113"/>
                    <w:rPr>
                      <w:szCs w:val="21"/>
                    </w:rPr>
                  </w:pPr>
                  <w:r>
                    <w:rPr>
                      <w:szCs w:val="21"/>
                    </w:rPr>
                    <w:t>规范一般工业固废管理</w:t>
                  </w:r>
                </w:p>
              </w:tc>
              <w:tc>
                <w:tcPr>
                  <w:tcW w:w="4433" w:type="pct"/>
                  <w:vAlign w:val="center"/>
                </w:tcPr>
                <w:p w14:paraId="0A86D770">
                  <w:pPr>
                    <w:pStyle w:val="113"/>
                    <w:jc w:val="both"/>
                    <w:rPr>
                      <w:szCs w:val="21"/>
                    </w:rPr>
                  </w:pPr>
                  <w:r>
                    <w:rPr>
                      <w:szCs w:val="21"/>
                    </w:rPr>
                    <w:t>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DB15/T2763-2022）执行。</w:t>
                  </w:r>
                </w:p>
              </w:tc>
            </w:tr>
          </w:tbl>
          <w:p w14:paraId="4F387FAD">
            <w:pPr>
              <w:pStyle w:val="99"/>
              <w:autoSpaceDE w:val="0"/>
              <w:autoSpaceDN w:val="0"/>
              <w:spacing w:line="480" w:lineRule="exact"/>
              <w:ind w:firstLine="480"/>
              <w:rPr>
                <w:rFonts w:ascii="Times New Roman" w:hAnsi="Times New Roman" w:cs="Times New Roman"/>
                <w:szCs w:val="24"/>
              </w:rPr>
            </w:pPr>
            <w:r>
              <w:rPr>
                <w:rFonts w:ascii="Times New Roman" w:hAnsi="Times New Roman" w:cs="Times New Roman"/>
                <w:szCs w:val="24"/>
              </w:rPr>
              <w:t>危废贮存场所视频监控设施布设基本要求见表4-</w:t>
            </w:r>
            <w:r>
              <w:rPr>
                <w:rFonts w:hint="eastAsia" w:ascii="Times New Roman" w:hAnsi="Times New Roman" w:cs="Times New Roman"/>
                <w:szCs w:val="24"/>
              </w:rPr>
              <w:t>2</w:t>
            </w:r>
            <w:r>
              <w:rPr>
                <w:rFonts w:hint="eastAsia" w:ascii="Times New Roman" w:hAnsi="Times New Roman" w:cs="Times New Roman"/>
                <w:szCs w:val="24"/>
                <w:lang w:val="en-US" w:eastAsia="zh-CN"/>
              </w:rPr>
              <w:t>6</w:t>
            </w:r>
            <w:r>
              <w:rPr>
                <w:rFonts w:ascii="Times New Roman" w:hAnsi="Times New Roman" w:cs="Times New Roman"/>
                <w:szCs w:val="24"/>
              </w:rPr>
              <w:t>。</w:t>
            </w:r>
          </w:p>
          <w:p w14:paraId="4586FD3E">
            <w:pPr>
              <w:pStyle w:val="6"/>
              <w:spacing w:line="480" w:lineRule="exact"/>
              <w:ind w:firstLine="0" w:firstLineChars="0"/>
              <w:jc w:val="center"/>
              <w:textAlignment w:val="baseline"/>
              <w:rPr>
                <w:b/>
                <w:bCs/>
                <w:color w:val="auto"/>
                <w:sz w:val="24"/>
              </w:rPr>
            </w:pPr>
            <w:r>
              <w:rPr>
                <w:b/>
                <w:bCs/>
                <w:color w:val="auto"/>
                <w:sz w:val="24"/>
              </w:rPr>
              <w:t>表4-</w:t>
            </w:r>
            <w:r>
              <w:rPr>
                <w:rFonts w:hint="eastAsia"/>
                <w:b/>
                <w:bCs/>
                <w:color w:val="auto"/>
                <w:sz w:val="24"/>
              </w:rPr>
              <w:t>2</w:t>
            </w:r>
            <w:r>
              <w:rPr>
                <w:rFonts w:hint="eastAsia"/>
                <w:b/>
                <w:bCs/>
                <w:color w:val="auto"/>
                <w:sz w:val="24"/>
                <w:lang w:val="en-US" w:eastAsia="zh-CN"/>
              </w:rPr>
              <w:t>7</w:t>
            </w:r>
            <w:r>
              <w:rPr>
                <w:rFonts w:hint="eastAsia"/>
                <w:b/>
                <w:bCs/>
                <w:color w:val="auto"/>
                <w:sz w:val="24"/>
              </w:rPr>
              <w:t xml:space="preserve"> </w:t>
            </w:r>
            <w:r>
              <w:rPr>
                <w:b/>
                <w:bCs/>
                <w:color w:val="auto"/>
                <w:sz w:val="24"/>
              </w:rPr>
              <w:t xml:space="preserve"> 危险废物贮存场所（设施）监控设施布设要求表</w:t>
            </w:r>
          </w:p>
          <w:tbl>
            <w:tblPr>
              <w:tblStyle w:val="28"/>
              <w:tblpPr w:leftFromText="180" w:rightFromText="180" w:vertAnchor="text" w:tblpXSpec="center" w:tblpY="1"/>
              <w:tblOverlap w:val="never"/>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9"/>
              <w:gridCol w:w="960"/>
              <w:gridCol w:w="2415"/>
              <w:gridCol w:w="1110"/>
              <w:gridCol w:w="2175"/>
              <w:gridCol w:w="1781"/>
            </w:tblGrid>
            <w:tr w14:paraId="7B7A7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gridSpan w:val="2"/>
                  <w:vMerge w:val="restart"/>
                  <w:vAlign w:val="center"/>
                </w:tcPr>
                <w:p w14:paraId="66AE14DA">
                  <w:pPr>
                    <w:pStyle w:val="113"/>
                    <w:rPr>
                      <w:b/>
                    </w:rPr>
                  </w:pPr>
                  <w:r>
                    <w:rPr>
                      <w:b/>
                    </w:rPr>
                    <w:t>设置位置</w:t>
                  </w:r>
                </w:p>
              </w:tc>
              <w:tc>
                <w:tcPr>
                  <w:tcW w:w="1350" w:type="pct"/>
                  <w:vMerge w:val="restart"/>
                  <w:vAlign w:val="center"/>
                </w:tcPr>
                <w:p w14:paraId="3F62ED86">
                  <w:pPr>
                    <w:pStyle w:val="113"/>
                    <w:rPr>
                      <w:b/>
                    </w:rPr>
                  </w:pPr>
                  <w:r>
                    <w:rPr>
                      <w:b/>
                    </w:rPr>
                    <w:t>监控范围</w:t>
                  </w:r>
                </w:p>
              </w:tc>
              <w:tc>
                <w:tcPr>
                  <w:tcW w:w="2833" w:type="pct"/>
                  <w:gridSpan w:val="3"/>
                  <w:vAlign w:val="center"/>
                </w:tcPr>
                <w:p w14:paraId="513F10F5">
                  <w:pPr>
                    <w:pStyle w:val="113"/>
                    <w:rPr>
                      <w:b/>
                    </w:rPr>
                  </w:pPr>
                  <w:r>
                    <w:rPr>
                      <w:b/>
                    </w:rPr>
                    <w:t>监控系统要求</w:t>
                  </w:r>
                </w:p>
              </w:tc>
            </w:tr>
            <w:tr w14:paraId="7F45C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gridSpan w:val="2"/>
                  <w:vMerge w:val="continue"/>
                  <w:vAlign w:val="center"/>
                </w:tcPr>
                <w:p w14:paraId="24C1C386">
                  <w:pPr>
                    <w:pStyle w:val="113"/>
                    <w:rPr>
                      <w:b/>
                    </w:rPr>
                  </w:pPr>
                </w:p>
              </w:tc>
              <w:tc>
                <w:tcPr>
                  <w:tcW w:w="1350" w:type="pct"/>
                  <w:vMerge w:val="continue"/>
                  <w:vAlign w:val="center"/>
                </w:tcPr>
                <w:p w14:paraId="3876C2D2">
                  <w:pPr>
                    <w:pStyle w:val="113"/>
                    <w:rPr>
                      <w:b/>
                    </w:rPr>
                  </w:pPr>
                </w:p>
              </w:tc>
              <w:tc>
                <w:tcPr>
                  <w:tcW w:w="620" w:type="pct"/>
                  <w:vAlign w:val="center"/>
                </w:tcPr>
                <w:p w14:paraId="3F1CD5A5">
                  <w:pPr>
                    <w:pStyle w:val="113"/>
                    <w:rPr>
                      <w:b/>
                    </w:rPr>
                  </w:pPr>
                  <w:r>
                    <w:rPr>
                      <w:b/>
                    </w:rPr>
                    <w:t>设置标准</w:t>
                  </w:r>
                </w:p>
              </w:tc>
              <w:tc>
                <w:tcPr>
                  <w:tcW w:w="1216" w:type="pct"/>
                  <w:vAlign w:val="center"/>
                </w:tcPr>
                <w:p w14:paraId="503CEF3C">
                  <w:pPr>
                    <w:pStyle w:val="113"/>
                    <w:rPr>
                      <w:b/>
                    </w:rPr>
                  </w:pPr>
                  <w:r>
                    <w:rPr>
                      <w:b/>
                    </w:rPr>
                    <w:t>监控质量要求</w:t>
                  </w:r>
                </w:p>
              </w:tc>
              <w:tc>
                <w:tcPr>
                  <w:tcW w:w="996" w:type="pct"/>
                  <w:vAlign w:val="center"/>
                </w:tcPr>
                <w:p w14:paraId="4CB2B7E6">
                  <w:pPr>
                    <w:pStyle w:val="113"/>
                    <w:rPr>
                      <w:b/>
                    </w:rPr>
                  </w:pPr>
                  <w:r>
                    <w:rPr>
                      <w:b/>
                    </w:rPr>
                    <w:t>存储传输</w:t>
                  </w:r>
                </w:p>
              </w:tc>
            </w:tr>
            <w:tr w14:paraId="312D7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restart"/>
                  <w:vAlign w:val="center"/>
                </w:tcPr>
                <w:p w14:paraId="33631481">
                  <w:pPr>
                    <w:pStyle w:val="113"/>
                  </w:pPr>
                  <w:r>
                    <w:t>一、贮存设施</w:t>
                  </w:r>
                </w:p>
              </w:tc>
              <w:tc>
                <w:tcPr>
                  <w:tcW w:w="536" w:type="pct"/>
                  <w:vAlign w:val="center"/>
                </w:tcPr>
                <w:p w14:paraId="7B165CD2">
                  <w:pPr>
                    <w:pStyle w:val="113"/>
                  </w:pPr>
                  <w:r>
                    <w:t>全封闭式仓库出入口</w:t>
                  </w:r>
                </w:p>
              </w:tc>
              <w:tc>
                <w:tcPr>
                  <w:tcW w:w="1350" w:type="pct"/>
                  <w:vAlign w:val="center"/>
                </w:tcPr>
                <w:p w14:paraId="23F3DAD4">
                  <w:pPr>
                    <w:pStyle w:val="113"/>
                    <w:rPr>
                      <w:lang w:val="zh-TW"/>
                    </w:rPr>
                  </w:pPr>
                  <w:r>
                    <w:t>全景视频监控，清晰记录危险废物入库、出库行为。</w:t>
                  </w:r>
                </w:p>
              </w:tc>
              <w:tc>
                <w:tcPr>
                  <w:tcW w:w="620" w:type="pct"/>
                  <w:vMerge w:val="restart"/>
                  <w:tcMar>
                    <w:top w:w="0" w:type="dxa"/>
                    <w:left w:w="57" w:type="dxa"/>
                    <w:bottom w:w="0" w:type="dxa"/>
                    <w:right w:w="57" w:type="dxa"/>
                  </w:tcMar>
                  <w:vAlign w:val="center"/>
                </w:tcPr>
                <w:p w14:paraId="5D1EB847">
                  <w:pPr>
                    <w:pStyle w:val="113"/>
                    <w:jc w:val="left"/>
                  </w:pPr>
                  <w:r>
                    <w:t>1、监控系统须满足《公共安全视频监控联网系统信息传输、交换、控制技术要求》</w:t>
                  </w:r>
                  <w:r>
                    <w:rPr>
                      <w:lang w:bidi="en-US"/>
                    </w:rPr>
                    <w:t>（GB/T28181-2016），</w:t>
                  </w:r>
                  <w:r>
                    <w:t>《安全防范高清视频监控系统技术要求》</w:t>
                  </w:r>
                  <w:r>
                    <w:rPr>
                      <w:lang w:bidi="en-US"/>
                    </w:rPr>
                    <w:t>（GA/T1211-2014）</w:t>
                  </w:r>
                  <w:r>
                    <w:t>等标准；</w:t>
                  </w:r>
                </w:p>
                <w:p w14:paraId="7E905DA5">
                  <w:pPr>
                    <w:pStyle w:val="113"/>
                    <w:jc w:val="left"/>
                  </w:pPr>
                  <w:r>
                    <w:t>2、所有摄像机须支持</w:t>
                  </w:r>
                  <w:r>
                    <w:rPr>
                      <w:lang w:bidi="en-US"/>
                    </w:rPr>
                    <w:t>0NVIF</w:t>
                  </w:r>
                  <w:r>
                    <w:t>、</w:t>
                  </w:r>
                  <w:r>
                    <w:rPr>
                      <w:lang w:bidi="en-US"/>
                    </w:rPr>
                    <w:t>GB/T28181-2016</w:t>
                  </w:r>
                  <w:r>
                    <w:t>标准协议。</w:t>
                  </w:r>
                </w:p>
              </w:tc>
              <w:tc>
                <w:tcPr>
                  <w:tcW w:w="1216" w:type="pct"/>
                  <w:vMerge w:val="restart"/>
                  <w:vAlign w:val="center"/>
                </w:tcPr>
                <w:p w14:paraId="03658BB1">
                  <w:pPr>
                    <w:pStyle w:val="113"/>
                    <w:jc w:val="both"/>
                  </w:pPr>
                  <w:r>
                    <w:t>1、须连续记录危险废物出入库情况和物流情况，包含录制日期及时间显示，不得对原始影像文件进行拼接、剪辑和编辑，保证影像连贯；</w:t>
                  </w:r>
                </w:p>
                <w:p w14:paraId="69ACA571">
                  <w:pPr>
                    <w:pStyle w:val="113"/>
                    <w:jc w:val="both"/>
                  </w:pPr>
                  <w:r>
                    <w:t>2、摄像头距离监控对象的位置应保证监控对象全部摄入监控视频中，同时避免人员、设备、建筑物等的遮挡，清楚辨识贮存、处理等关键环节；</w:t>
                  </w:r>
                </w:p>
                <w:p w14:paraId="1F53DD55">
                  <w:pPr>
                    <w:pStyle w:val="113"/>
                    <w:jc w:val="both"/>
                  </w:pPr>
                  <w:r>
                    <w:t>3、监控区域24小时须有足够的光源以保证画面清晰辨识。无法保证24小时足够光源的区域，应安装全景红外夜视高清视频监控；</w:t>
                  </w:r>
                </w:p>
                <w:p w14:paraId="6F5ED454">
                  <w:pPr>
                    <w:pStyle w:val="113"/>
                    <w:jc w:val="both"/>
                  </w:pPr>
                  <w:r>
                    <w:t>4、视频监控录像画面分辨率须达到300万像素以上。</w:t>
                  </w:r>
                </w:p>
              </w:tc>
              <w:tc>
                <w:tcPr>
                  <w:tcW w:w="996" w:type="pct"/>
                  <w:vMerge w:val="restart"/>
                  <w:vAlign w:val="center"/>
                </w:tcPr>
                <w:p w14:paraId="24047B2D">
                  <w:pPr>
                    <w:pStyle w:val="113"/>
                    <w:jc w:val="both"/>
                  </w:pPr>
                  <w:r>
                    <w:t>1、包含储罐、贮槽液位计在内的视频监控系统应与中控室联网，并存储于中控系统。没有配备中控系统的，应采用硬盘或其他安全的方式存储，鼓励使用云存储方式，将视频记录传输至网络云端按相关规定存储；</w:t>
                  </w:r>
                </w:p>
                <w:p w14:paraId="5AF62D1C">
                  <w:pPr>
                    <w:pStyle w:val="113"/>
                    <w:jc w:val="both"/>
                  </w:pPr>
                  <w:r>
                    <w:t>2、企业应当做好备用电源、视频双备份等保障措施，确保视频监控全天24小时不间断录像，监控视频保存时间至少为3个月。</w:t>
                  </w:r>
                </w:p>
              </w:tc>
            </w:tr>
            <w:tr w14:paraId="51F862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vAlign w:val="center"/>
                </w:tcPr>
                <w:p w14:paraId="38D8EF9C">
                  <w:pPr>
                    <w:pStyle w:val="113"/>
                  </w:pPr>
                </w:p>
              </w:tc>
              <w:tc>
                <w:tcPr>
                  <w:tcW w:w="536" w:type="pct"/>
                  <w:vAlign w:val="center"/>
                </w:tcPr>
                <w:p w14:paraId="756D18F9">
                  <w:pPr>
                    <w:pStyle w:val="113"/>
                  </w:pPr>
                  <w:r>
                    <w:t>全封闭式仓库内部</w:t>
                  </w:r>
                </w:p>
              </w:tc>
              <w:tc>
                <w:tcPr>
                  <w:tcW w:w="1350" w:type="pct"/>
                  <w:vAlign w:val="center"/>
                </w:tcPr>
                <w:p w14:paraId="7563F879">
                  <w:pPr>
                    <w:pStyle w:val="113"/>
                    <w:rPr>
                      <w:lang w:val="zh-TW"/>
                    </w:rPr>
                  </w:pPr>
                  <w:r>
                    <w:t>全景视频监控，清晰记录仓库内部所有位置危险废物情况。</w:t>
                  </w:r>
                </w:p>
              </w:tc>
              <w:tc>
                <w:tcPr>
                  <w:tcW w:w="620" w:type="pct"/>
                  <w:vMerge w:val="continue"/>
                  <w:vAlign w:val="center"/>
                </w:tcPr>
                <w:p w14:paraId="17402914">
                  <w:pPr>
                    <w:pStyle w:val="113"/>
                  </w:pPr>
                </w:p>
              </w:tc>
              <w:tc>
                <w:tcPr>
                  <w:tcW w:w="1216" w:type="pct"/>
                  <w:vMerge w:val="continue"/>
                  <w:vAlign w:val="center"/>
                </w:tcPr>
                <w:p w14:paraId="1374A621">
                  <w:pPr>
                    <w:pStyle w:val="113"/>
                  </w:pPr>
                </w:p>
              </w:tc>
              <w:tc>
                <w:tcPr>
                  <w:tcW w:w="996" w:type="pct"/>
                  <w:vMerge w:val="continue"/>
                  <w:vAlign w:val="center"/>
                </w:tcPr>
                <w:p w14:paraId="7D160CDC">
                  <w:pPr>
                    <w:pStyle w:val="113"/>
                  </w:pPr>
                </w:p>
              </w:tc>
            </w:tr>
            <w:tr w14:paraId="69BD5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vAlign w:val="center"/>
                </w:tcPr>
                <w:p w14:paraId="40D6C951">
                  <w:pPr>
                    <w:pStyle w:val="113"/>
                  </w:pPr>
                </w:p>
              </w:tc>
              <w:tc>
                <w:tcPr>
                  <w:tcW w:w="536" w:type="pct"/>
                  <w:vAlign w:val="center"/>
                </w:tcPr>
                <w:p w14:paraId="0AF60989">
                  <w:pPr>
                    <w:pStyle w:val="113"/>
                  </w:pPr>
                  <w:r>
                    <w:t>围墙、防护栅栏隔离区域</w:t>
                  </w:r>
                </w:p>
              </w:tc>
              <w:tc>
                <w:tcPr>
                  <w:tcW w:w="1350" w:type="pct"/>
                  <w:vAlign w:val="center"/>
                </w:tcPr>
                <w:p w14:paraId="1BD88FD5">
                  <w:pPr>
                    <w:pStyle w:val="113"/>
                  </w:pPr>
                  <w:r>
                    <w:t>全景视频监控，画面须完全覆盖围墙围挡区域、防护栅栏隔离区域。</w:t>
                  </w:r>
                </w:p>
              </w:tc>
              <w:tc>
                <w:tcPr>
                  <w:tcW w:w="620" w:type="pct"/>
                  <w:vMerge w:val="continue"/>
                  <w:vAlign w:val="center"/>
                </w:tcPr>
                <w:p w14:paraId="5E12A7A8">
                  <w:pPr>
                    <w:pStyle w:val="113"/>
                  </w:pPr>
                </w:p>
              </w:tc>
              <w:tc>
                <w:tcPr>
                  <w:tcW w:w="1216" w:type="pct"/>
                  <w:vMerge w:val="continue"/>
                  <w:vAlign w:val="center"/>
                </w:tcPr>
                <w:p w14:paraId="0CB6CA9A">
                  <w:pPr>
                    <w:pStyle w:val="113"/>
                  </w:pPr>
                </w:p>
              </w:tc>
              <w:tc>
                <w:tcPr>
                  <w:tcW w:w="996" w:type="pct"/>
                  <w:vMerge w:val="continue"/>
                  <w:vAlign w:val="center"/>
                </w:tcPr>
                <w:p w14:paraId="5B871F01">
                  <w:pPr>
                    <w:pStyle w:val="113"/>
                  </w:pPr>
                </w:p>
              </w:tc>
            </w:tr>
            <w:tr w14:paraId="524C0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gridSpan w:val="2"/>
                  <w:vAlign w:val="center"/>
                </w:tcPr>
                <w:p w14:paraId="1FE14FDF">
                  <w:pPr>
                    <w:pStyle w:val="113"/>
                  </w:pPr>
                  <w:r>
                    <w:t>二、装卸区域</w:t>
                  </w:r>
                </w:p>
              </w:tc>
              <w:tc>
                <w:tcPr>
                  <w:tcW w:w="1350" w:type="pct"/>
                  <w:vAlign w:val="center"/>
                </w:tcPr>
                <w:p w14:paraId="21C1DE87">
                  <w:pPr>
                    <w:pStyle w:val="113"/>
                  </w:pPr>
                  <w:r>
                    <w:t>全景视频监控，能清晰记录装卸过程，抓拍驾驶员和运输车辆车牌号码等信息。</w:t>
                  </w:r>
                </w:p>
              </w:tc>
              <w:tc>
                <w:tcPr>
                  <w:tcW w:w="620" w:type="pct"/>
                  <w:vAlign w:val="center"/>
                </w:tcPr>
                <w:p w14:paraId="2582A395">
                  <w:pPr>
                    <w:pStyle w:val="113"/>
                  </w:pPr>
                  <w:r>
                    <w:t>同上</w:t>
                  </w:r>
                </w:p>
              </w:tc>
              <w:tc>
                <w:tcPr>
                  <w:tcW w:w="1216" w:type="pct"/>
                  <w:vAlign w:val="center"/>
                </w:tcPr>
                <w:p w14:paraId="1FCA49FF">
                  <w:pPr>
                    <w:pStyle w:val="113"/>
                  </w:pPr>
                  <w:r>
                    <w:t>同上</w:t>
                  </w:r>
                </w:p>
              </w:tc>
              <w:tc>
                <w:tcPr>
                  <w:tcW w:w="996" w:type="pct"/>
                  <w:vAlign w:val="center"/>
                </w:tcPr>
                <w:p w14:paraId="2E857E53">
                  <w:pPr>
                    <w:pStyle w:val="113"/>
                  </w:pPr>
                  <w:r>
                    <w:t>同上</w:t>
                  </w:r>
                </w:p>
              </w:tc>
            </w:tr>
            <w:tr w14:paraId="3B755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pct"/>
                  <w:gridSpan w:val="2"/>
                  <w:vAlign w:val="center"/>
                </w:tcPr>
                <w:p w14:paraId="491A2B73">
                  <w:pPr>
                    <w:pStyle w:val="113"/>
                  </w:pPr>
                  <w:r>
                    <w:t>三、危废运输车辆通道（含车辆出口和入口）</w:t>
                  </w:r>
                </w:p>
              </w:tc>
              <w:tc>
                <w:tcPr>
                  <w:tcW w:w="1350" w:type="pct"/>
                  <w:vAlign w:val="center"/>
                </w:tcPr>
                <w:p w14:paraId="0C01A855">
                  <w:pPr>
                    <w:pStyle w:val="113"/>
                    <w:jc w:val="both"/>
                  </w:pPr>
                  <w:r>
                    <w:t>1、全景视频监控，清晰记录车辆出入情况；</w:t>
                  </w:r>
                </w:p>
                <w:p w14:paraId="36A37848">
                  <w:pPr>
                    <w:pStyle w:val="113"/>
                    <w:jc w:val="both"/>
                  </w:pPr>
                  <w:r>
                    <w:t>2、摄像机应具备抓拍驾驶员和车牌号码功能。</w:t>
                  </w:r>
                </w:p>
              </w:tc>
              <w:tc>
                <w:tcPr>
                  <w:tcW w:w="620" w:type="pct"/>
                  <w:vAlign w:val="center"/>
                </w:tcPr>
                <w:p w14:paraId="384A2CDC">
                  <w:pPr>
                    <w:pStyle w:val="113"/>
                  </w:pPr>
                  <w:r>
                    <w:t>同上</w:t>
                  </w:r>
                </w:p>
              </w:tc>
              <w:tc>
                <w:tcPr>
                  <w:tcW w:w="1216" w:type="pct"/>
                  <w:vAlign w:val="center"/>
                </w:tcPr>
                <w:p w14:paraId="10A7D170">
                  <w:pPr>
                    <w:pStyle w:val="113"/>
                  </w:pPr>
                  <w:r>
                    <w:t>同上</w:t>
                  </w:r>
                </w:p>
              </w:tc>
              <w:tc>
                <w:tcPr>
                  <w:tcW w:w="996" w:type="pct"/>
                  <w:vAlign w:val="center"/>
                </w:tcPr>
                <w:p w14:paraId="111A5D2E">
                  <w:pPr>
                    <w:pStyle w:val="113"/>
                  </w:pPr>
                  <w:r>
                    <w:t>同上</w:t>
                  </w:r>
                </w:p>
              </w:tc>
            </w:tr>
          </w:tbl>
          <w:p w14:paraId="1F88F259">
            <w:pPr>
              <w:pStyle w:val="99"/>
              <w:autoSpaceDE w:val="0"/>
              <w:autoSpaceDN w:val="0"/>
              <w:spacing w:line="480" w:lineRule="exact"/>
              <w:ind w:firstLine="480"/>
              <w:rPr>
                <w:rFonts w:ascii="Times New Roman" w:hAnsi="Times New Roman" w:cs="Times New Roman"/>
              </w:rPr>
            </w:pPr>
            <w:bookmarkStart w:id="3" w:name="_Toc10009"/>
            <w:bookmarkStart w:id="4" w:name="_Toc8484"/>
            <w:bookmarkStart w:id="5" w:name="_Toc21936"/>
            <w:r>
              <w:rPr>
                <w:rFonts w:ascii="Times New Roman" w:hAnsi="Times New Roman" w:cs="Times New Roman"/>
              </w:rPr>
              <w:t>（9）采用委托利用处置的污染防治措施</w:t>
            </w:r>
            <w:bookmarkEnd w:id="3"/>
            <w:bookmarkEnd w:id="4"/>
            <w:bookmarkEnd w:id="5"/>
          </w:p>
          <w:p w14:paraId="63C5F8FA">
            <w:pPr>
              <w:pStyle w:val="99"/>
              <w:autoSpaceDE w:val="0"/>
              <w:autoSpaceDN w:val="0"/>
              <w:spacing w:line="480" w:lineRule="exact"/>
              <w:ind w:firstLine="480"/>
              <w:jc w:val="both"/>
              <w:rPr>
                <w:rFonts w:ascii="Times New Roman" w:hAnsi="Times New Roman" w:cs="Times New Roman"/>
              </w:rPr>
            </w:pPr>
            <w:r>
              <w:rPr>
                <w:rFonts w:ascii="Times New Roman" w:hAnsi="Times New Roman" w:cs="Times New Roman"/>
              </w:rPr>
              <w:t>本项目建成后将与有资质单位签订危险废物处理协议，定期交由有资质单位处置。危险废物的处置应在江苏省危险废物环境监管平台，在线填报并提交危险废物省内转移信息，保证运输安全，防止非法转移和非法处置，保证危险废物的安全监控，防止危险废物污染事故发生。</w:t>
            </w:r>
          </w:p>
          <w:p w14:paraId="3CED74F3">
            <w:pPr>
              <w:spacing w:line="480" w:lineRule="exact"/>
              <w:ind w:firstLine="482" w:firstLineChars="200"/>
              <w:rPr>
                <w:b/>
                <w:bCs/>
                <w:sz w:val="24"/>
              </w:rPr>
            </w:pPr>
            <w:r>
              <w:rPr>
                <w:b/>
                <w:bCs/>
                <w:sz w:val="24"/>
              </w:rPr>
              <w:t>五、环境风险评价</w:t>
            </w:r>
          </w:p>
          <w:p w14:paraId="178418A7">
            <w:pPr>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（1）评价工作等级划分</w:t>
            </w:r>
          </w:p>
          <w:p w14:paraId="0B466517">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bCs/>
                <w:sz w:val="24"/>
              </w:rPr>
              <w:t>根</w:t>
            </w:r>
            <w:r>
              <w:rPr>
                <w:rFonts w:hint="default" w:ascii="Times New Roman" w:hAnsi="Times New Roman" w:cs="Times New Roman"/>
                <w:sz w:val="24"/>
              </w:rPr>
              <w:t>据《建设项目环境风险评价技术导则》（HJ169—2018），首先对本项目危险物质数量及临界量比值（Q）进行计算。</w:t>
            </w:r>
          </w:p>
          <w:p w14:paraId="06A5112B">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计算所涉及的每种危险物质在厂界内的最大存在总量与其在附录中对应临界量的比值Q时，在不同厂区的同一种物质，按其在厂界内的最大存在总量计算。对于长输管线项目，按照两个截断阀室之间管段危险物质最大存在总量计算。</w:t>
            </w:r>
          </w:p>
          <w:p w14:paraId="61FDAB8E">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当只涉及一种危险物质时，计算该物质的总量与其临界量比值，即为Q；</w:t>
            </w:r>
          </w:p>
          <w:p w14:paraId="0EECE57A">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当存在多种危险物质时，则按式（C.1）计算物质总量与其临界量比值（Q）；</w:t>
            </w:r>
          </w:p>
          <w:p w14:paraId="6D1233ED">
            <w:pPr>
              <w:snapToGrid w:val="0"/>
              <w:spacing w:line="360" w:lineRule="auto"/>
              <w:ind w:firstLine="480" w:firstLineChars="200"/>
              <w:jc w:val="center"/>
              <w:rPr>
                <w:rFonts w:hint="default" w:ascii="Times New Roman" w:hAnsi="Times New Roman" w:cs="Times New Roman"/>
                <w:bCs/>
                <w:sz w:val="24"/>
              </w:rPr>
            </w:pPr>
            <w:r>
              <w:rPr>
                <w:rFonts w:hint="default" w:ascii="Times New Roman" w:hAnsi="Times New Roman" w:cs="Times New Roman"/>
                <w:bCs/>
                <w:position w:val="-30"/>
                <w:sz w:val="24"/>
              </w:rPr>
              <w:object>
                <v:shape id="_x0000_i1061" o:spt="75" type="#_x0000_t75" style="height:34pt;width:108pt;" o:ole="t" filled="f" o:preferrelative="t" stroked="f" coordsize="21600,21600">
                  <v:path/>
                  <v:fill on="f" focussize="0,0"/>
                  <v:stroke on="f"/>
                  <v:imagedata r:id="rId89" o:title=""/>
                  <o:lock v:ext="edit" aspectratio="t"/>
                  <w10:wrap type="none"/>
                  <w10:anchorlock/>
                </v:shape>
                <o:OLEObject Type="Embed" ProgID="Equation.KSEE3" ShapeID="_x0000_i1061" DrawAspect="Content" ObjectID="_1468075761" r:id="rId88">
                  <o:LockedField>false</o:LockedField>
                </o:OLEObject>
              </w:object>
            </w:r>
          </w:p>
          <w:p w14:paraId="49EA743F">
            <w:pPr>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式中：q</w:t>
            </w:r>
            <w:r>
              <w:rPr>
                <w:rFonts w:hint="default" w:ascii="Times New Roman" w:hAnsi="Times New Roman" w:cs="Times New Roman"/>
                <w:bCs/>
                <w:sz w:val="24"/>
                <w:vertAlign w:val="subscript"/>
              </w:rPr>
              <w:t>1</w:t>
            </w:r>
            <w:r>
              <w:rPr>
                <w:rFonts w:hint="default" w:ascii="Times New Roman" w:hAnsi="Times New Roman" w:cs="Times New Roman"/>
                <w:bCs/>
                <w:sz w:val="24"/>
              </w:rPr>
              <w:t>、q</w:t>
            </w:r>
            <w:r>
              <w:rPr>
                <w:rFonts w:hint="default" w:ascii="Times New Roman" w:hAnsi="Times New Roman" w:cs="Times New Roman"/>
                <w:bCs/>
                <w:sz w:val="24"/>
                <w:vertAlign w:val="subscript"/>
              </w:rPr>
              <w:t>2</w:t>
            </w:r>
            <w:r>
              <w:rPr>
                <w:rFonts w:hint="default" w:ascii="Times New Roman" w:hAnsi="Times New Roman" w:cs="Times New Roman"/>
                <w:bCs/>
                <w:sz w:val="24"/>
              </w:rPr>
              <w:t>、…q</w:t>
            </w:r>
            <w:r>
              <w:rPr>
                <w:rFonts w:hint="default" w:ascii="Times New Roman" w:hAnsi="Times New Roman" w:cs="Times New Roman"/>
                <w:bCs/>
                <w:sz w:val="24"/>
                <w:vertAlign w:val="subscript"/>
              </w:rPr>
              <w:t>n</w:t>
            </w:r>
            <w:r>
              <w:rPr>
                <w:rFonts w:hint="default" w:ascii="Times New Roman" w:hAnsi="Times New Roman" w:cs="Times New Roman"/>
                <w:bCs/>
                <w:sz w:val="24"/>
              </w:rPr>
              <w:t>----每种环境风险物质的存在量，t；</w:t>
            </w:r>
          </w:p>
          <w:p w14:paraId="6BC42748">
            <w:pPr>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Q</w:t>
            </w:r>
            <w:r>
              <w:rPr>
                <w:rFonts w:hint="default" w:ascii="Times New Roman" w:hAnsi="Times New Roman" w:cs="Times New Roman"/>
                <w:bCs/>
                <w:sz w:val="24"/>
                <w:vertAlign w:val="subscript"/>
              </w:rPr>
              <w:t>1</w:t>
            </w:r>
            <w:r>
              <w:rPr>
                <w:rFonts w:hint="default" w:ascii="Times New Roman" w:hAnsi="Times New Roman" w:cs="Times New Roman"/>
                <w:bCs/>
                <w:sz w:val="24"/>
              </w:rPr>
              <w:t>、Q</w:t>
            </w:r>
            <w:r>
              <w:rPr>
                <w:rFonts w:hint="default" w:ascii="Times New Roman" w:hAnsi="Times New Roman" w:cs="Times New Roman"/>
                <w:bCs/>
                <w:sz w:val="24"/>
                <w:vertAlign w:val="subscript"/>
              </w:rPr>
              <w:t>2</w:t>
            </w:r>
            <w:r>
              <w:rPr>
                <w:rFonts w:hint="default" w:ascii="Times New Roman" w:hAnsi="Times New Roman" w:cs="Times New Roman"/>
                <w:bCs/>
                <w:sz w:val="24"/>
              </w:rPr>
              <w:t>、…Q</w:t>
            </w:r>
            <w:r>
              <w:rPr>
                <w:rFonts w:hint="default" w:ascii="Times New Roman" w:hAnsi="Times New Roman" w:cs="Times New Roman"/>
                <w:bCs/>
                <w:sz w:val="24"/>
                <w:vertAlign w:val="subscript"/>
              </w:rPr>
              <w:t>n</w:t>
            </w:r>
            <w:r>
              <w:rPr>
                <w:rFonts w:hint="default" w:ascii="Times New Roman" w:hAnsi="Times New Roman" w:cs="Times New Roman"/>
                <w:bCs/>
                <w:sz w:val="24"/>
              </w:rPr>
              <w:t>----每种环境风险物质的临界量，t。</w:t>
            </w:r>
          </w:p>
          <w:p w14:paraId="23F49C07">
            <w:pPr>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当Q＜1时，该项目环境风险潜势为I。</w:t>
            </w:r>
          </w:p>
          <w:p w14:paraId="61375173">
            <w:pPr>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当Q≥1，将Q值划分为：（1）1≤Q＜10；（2）10≤Q＜100；</w:t>
            </w:r>
          </w:p>
          <w:p w14:paraId="7AC5CFAC">
            <w:pPr>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企业存有一定数量的冷轧油，危废仓库存有一定数量的废活性炭和废冷轧油。若上述原辅料等进入雨水管网，会对周围水体造成一定的影响。根据导则附录B，本项目危险物质数量及临界量比值（Q）统计如下。</w:t>
            </w:r>
          </w:p>
          <w:p w14:paraId="5B40D5BD">
            <w:pPr>
              <w:snapToGrid w:val="0"/>
              <w:jc w:val="center"/>
              <w:rPr>
                <w:rFonts w:hint="default" w:ascii="Times New Roman" w:hAnsi="Times New Roman" w:cs="Times New Roman"/>
                <w:b/>
                <w:sz w:val="24"/>
              </w:rPr>
            </w:pPr>
            <w:r>
              <w:rPr>
                <w:rFonts w:hint="default" w:ascii="Times New Roman" w:hAnsi="Times New Roman" w:cs="Times New Roman"/>
                <w:b/>
                <w:sz w:val="24"/>
              </w:rPr>
              <w:t>表4-</w:t>
            </w:r>
            <w:r>
              <w:rPr>
                <w:rFonts w:hint="eastAsia" w:ascii="Times New Roman" w:hAnsi="Times New Roman" w:cs="Times New Roman"/>
                <w:b/>
                <w:sz w:val="24"/>
                <w:lang w:val="en-US" w:eastAsia="zh-CN"/>
              </w:rPr>
              <w:t>2</w:t>
            </w:r>
            <w:r>
              <w:rPr>
                <w:rFonts w:hint="eastAsia" w:cs="Times New Roman"/>
                <w:b/>
                <w:sz w:val="24"/>
                <w:lang w:val="en-US" w:eastAsia="zh-CN"/>
              </w:rPr>
              <w:t>8</w:t>
            </w:r>
            <w:r>
              <w:rPr>
                <w:rFonts w:hint="default" w:ascii="Times New Roman" w:hAnsi="Times New Roman" w:cs="Times New Roman"/>
                <w:b/>
                <w:sz w:val="24"/>
              </w:rPr>
              <w:t xml:space="preserve">  本项目危险物质数量及临界量比值（Q）一览表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8"/>
              <w:gridCol w:w="632"/>
              <w:gridCol w:w="714"/>
              <w:gridCol w:w="2489"/>
              <w:gridCol w:w="2505"/>
              <w:gridCol w:w="1079"/>
              <w:gridCol w:w="1018"/>
            </w:tblGrid>
            <w:tr w14:paraId="107BD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83" w:type="pct"/>
                  <w:noWrap w:val="0"/>
                  <w:vAlign w:val="center"/>
                </w:tcPr>
                <w:p w14:paraId="6499D98A">
                  <w:pPr>
                    <w:keepNext w:val="0"/>
                    <w:keepLines w:val="0"/>
                    <w:pageBreakBefore w:val="0"/>
                    <w:kinsoku/>
                    <w:wordWrap/>
                    <w:overflowPunct/>
                    <w:topLinePunct w:val="0"/>
                    <w:autoSpaceDE/>
                    <w:autoSpaceDN/>
                    <w:bidi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2143" w:type="pct"/>
                  <w:gridSpan w:val="3"/>
                  <w:noWrap w:val="0"/>
                  <w:vAlign w:val="center"/>
                </w:tcPr>
                <w:p w14:paraId="0FCE9D59">
                  <w:pPr>
                    <w:keepNext w:val="0"/>
                    <w:keepLines w:val="0"/>
                    <w:pageBreakBefore w:val="0"/>
                    <w:kinsoku/>
                    <w:wordWrap/>
                    <w:overflowPunct/>
                    <w:topLinePunct w:val="0"/>
                    <w:autoSpaceDE/>
                    <w:autoSpaceDN/>
                    <w:bidi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名称</w:t>
                  </w:r>
                </w:p>
              </w:tc>
              <w:tc>
                <w:tcPr>
                  <w:tcW w:w="1400" w:type="pct"/>
                  <w:noWrap w:val="0"/>
                  <w:vAlign w:val="center"/>
                </w:tcPr>
                <w:p w14:paraId="450C7825">
                  <w:pPr>
                    <w:keepNext w:val="0"/>
                    <w:keepLines w:val="0"/>
                    <w:pageBreakBefore w:val="0"/>
                    <w:kinsoku/>
                    <w:wordWrap/>
                    <w:overflowPunct/>
                    <w:topLinePunct w:val="0"/>
                    <w:autoSpaceDE/>
                    <w:autoSpaceDN/>
                    <w:bidi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最大存在总量（t）（包括车间暂存量及存储区量）</w:t>
                  </w:r>
                </w:p>
              </w:tc>
              <w:tc>
                <w:tcPr>
                  <w:tcW w:w="603" w:type="pct"/>
                  <w:noWrap w:val="0"/>
                  <w:vAlign w:val="center"/>
                </w:tcPr>
                <w:p w14:paraId="15DDEE68">
                  <w:pPr>
                    <w:keepNext w:val="0"/>
                    <w:keepLines w:val="0"/>
                    <w:pageBreakBefore w:val="0"/>
                    <w:kinsoku/>
                    <w:wordWrap/>
                    <w:overflowPunct/>
                    <w:topLinePunct w:val="0"/>
                    <w:autoSpaceDE/>
                    <w:autoSpaceDN/>
                    <w:bidi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临界量（t）</w:t>
                  </w:r>
                </w:p>
              </w:tc>
              <w:tc>
                <w:tcPr>
                  <w:tcW w:w="569" w:type="pct"/>
                  <w:noWrap w:val="0"/>
                  <w:vAlign w:val="center"/>
                </w:tcPr>
                <w:p w14:paraId="58CA1DE1">
                  <w:pPr>
                    <w:keepNext w:val="0"/>
                    <w:keepLines w:val="0"/>
                    <w:pageBreakBefore w:val="0"/>
                    <w:kinsoku/>
                    <w:wordWrap/>
                    <w:overflowPunct/>
                    <w:topLinePunct w:val="0"/>
                    <w:autoSpaceDE/>
                    <w:autoSpaceDN/>
                    <w:bidi w:val="0"/>
                    <w:snapToGrid w:val="0"/>
                    <w:jc w:val="center"/>
                    <w:rPr>
                      <w:rFonts w:hint="default" w:ascii="Times New Roman" w:hAnsi="Times New Roman" w:cs="Times New Roman"/>
                      <w:b/>
                      <w:bCs/>
                      <w:szCs w:val="21"/>
                    </w:rPr>
                  </w:pPr>
                  <w:r>
                    <w:rPr>
                      <w:rFonts w:hint="default" w:ascii="Times New Roman" w:hAnsi="Times New Roman" w:cs="Times New Roman"/>
                      <w:b/>
                      <w:bCs/>
                      <w:szCs w:val="21"/>
                    </w:rPr>
                    <w:object>
                      <v:shape id="_x0000_i1062" o:spt="75" type="#_x0000_t75" style="height:34pt;width:17pt;" o:ole="t" filled="f" o:preferrelative="t" stroked="f" coordsize="21600,21600">
                        <v:path/>
                        <v:fill on="f" focussize="0,0"/>
                        <v:stroke on="f"/>
                        <v:imagedata r:id="rId91" o:title=""/>
                        <o:lock v:ext="edit" aspectratio="t"/>
                        <w10:wrap type="none"/>
                        <w10:anchorlock/>
                      </v:shape>
                      <o:OLEObject Type="Embed" ProgID="Equation.KSEE3" ShapeID="_x0000_i1062" DrawAspect="Content" ObjectID="_1468075762" r:id="rId90">
                        <o:LockedField>false</o:LockedField>
                      </o:OLEObject>
                    </w:object>
                  </w:r>
                </w:p>
              </w:tc>
            </w:tr>
            <w:tr w14:paraId="0200A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83" w:type="pct"/>
                  <w:noWrap w:val="0"/>
                  <w:vAlign w:val="center"/>
                </w:tcPr>
                <w:p w14:paraId="12DD6752">
                  <w:pPr>
                    <w:keepNext w:val="0"/>
                    <w:keepLines w:val="0"/>
                    <w:pageBreakBefore w:val="0"/>
                    <w:kinsoku/>
                    <w:wordWrap/>
                    <w:overflowPunct/>
                    <w:topLinePunct w:val="0"/>
                    <w:autoSpaceDE/>
                    <w:autoSpaceDN/>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Cs w:val="21"/>
                    </w:rPr>
                    <w:t>1</w:t>
                  </w:r>
                </w:p>
              </w:tc>
              <w:tc>
                <w:tcPr>
                  <w:tcW w:w="353" w:type="pct"/>
                  <w:vMerge w:val="restart"/>
                  <w:noWrap w:val="0"/>
                  <w:vAlign w:val="center"/>
                </w:tcPr>
                <w:p w14:paraId="5A69B18A">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default" w:ascii="Times New Roman" w:hAnsi="Times New Roman" w:eastAsia="宋体" w:cs="Times New Roman"/>
                      <w:kern w:val="2"/>
                      <w:sz w:val="21"/>
                      <w:szCs w:val="21"/>
                      <w:lang w:val="en-US" w:eastAsia="zh-CN"/>
                    </w:rPr>
                  </w:pPr>
                  <w:r>
                    <w:rPr>
                      <w:rStyle w:val="141"/>
                      <w:rFonts w:hint="eastAsia" w:ascii="Times New Roman" w:hAnsi="Times New Roman" w:eastAsia="宋体" w:cs="Times New Roman"/>
                      <w:kern w:val="2"/>
                      <w:sz w:val="21"/>
                      <w:szCs w:val="21"/>
                      <w:lang w:val="en-US" w:eastAsia="zh-CN"/>
                    </w:rPr>
                    <w:t>原辅料</w:t>
                  </w:r>
                </w:p>
              </w:tc>
              <w:tc>
                <w:tcPr>
                  <w:tcW w:w="1790" w:type="pct"/>
                  <w:gridSpan w:val="2"/>
                  <w:noWrap w:val="0"/>
                  <w:vAlign w:val="center"/>
                </w:tcPr>
                <w:p w14:paraId="5A983436">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default" w:ascii="Times New Roman" w:hAnsi="Times New Roman" w:eastAsia="宋体" w:cs="Times New Roman"/>
                      <w:kern w:val="2"/>
                      <w:sz w:val="21"/>
                      <w:szCs w:val="21"/>
                      <w:lang w:val="en-US" w:eastAsia="zh-CN"/>
                    </w:rPr>
                  </w:pPr>
                  <w:r>
                    <w:rPr>
                      <w:rStyle w:val="141"/>
                      <w:rFonts w:hint="eastAsia" w:ascii="Times New Roman" w:hAnsi="Times New Roman" w:eastAsia="宋体" w:cs="Times New Roman"/>
                      <w:kern w:val="2"/>
                      <w:sz w:val="21"/>
                      <w:szCs w:val="21"/>
                      <w:lang w:val="en-US" w:eastAsia="zh-CN"/>
                    </w:rPr>
                    <w:t>丁苯乳胶</w:t>
                  </w:r>
                </w:p>
              </w:tc>
              <w:tc>
                <w:tcPr>
                  <w:tcW w:w="1400" w:type="pct"/>
                  <w:noWrap w:val="0"/>
                  <w:vAlign w:val="center"/>
                </w:tcPr>
                <w:p w14:paraId="6D487FAE">
                  <w:pPr>
                    <w:jc w:val="center"/>
                    <w:rPr>
                      <w:rFonts w:hint="eastAsia" w:ascii="Times New Roman" w:hAnsi="Times New Roman" w:eastAsia="宋体" w:cs="Times New Roman"/>
                      <w:color w:val="000000"/>
                      <w:kern w:val="0"/>
                      <w:sz w:val="21"/>
                      <w:szCs w:val="21"/>
                      <w:lang w:val="en-US" w:eastAsia="zh-CN" w:bidi="ar-SA"/>
                    </w:rPr>
                  </w:pPr>
                  <w:r>
                    <w:rPr>
                      <w:rFonts w:hint="eastAsia"/>
                      <w:szCs w:val="21"/>
                      <w:lang w:val="en-US" w:eastAsia="zh-CN"/>
                    </w:rPr>
                    <w:t>3（含搅拌罐在线量）</w:t>
                  </w:r>
                </w:p>
              </w:tc>
              <w:tc>
                <w:tcPr>
                  <w:tcW w:w="603" w:type="pct"/>
                  <w:noWrap w:val="0"/>
                  <w:vAlign w:val="center"/>
                </w:tcPr>
                <w:p w14:paraId="02BCDC23">
                  <w:pPr>
                    <w:jc w:val="center"/>
                    <w:rPr>
                      <w:rFonts w:hint="default" w:ascii="Times New Roman" w:hAnsi="Times New Roman" w:cs="Times New Roman"/>
                      <w:b w:val="0"/>
                      <w:bCs w:val="0"/>
                      <w:color w:val="auto"/>
                      <w:kern w:val="0"/>
                      <w:sz w:val="21"/>
                      <w:szCs w:val="21"/>
                      <w:lang w:val="en-US" w:eastAsia="zh-CN" w:bidi="ar-SA"/>
                    </w:rPr>
                  </w:pPr>
                  <w:r>
                    <w:rPr>
                      <w:rFonts w:hint="eastAsia"/>
                      <w:szCs w:val="21"/>
                    </w:rPr>
                    <w:t>50</w:t>
                  </w:r>
                </w:p>
              </w:tc>
              <w:tc>
                <w:tcPr>
                  <w:tcW w:w="569" w:type="pct"/>
                  <w:noWrap w:val="0"/>
                  <w:vAlign w:val="center"/>
                </w:tcPr>
                <w:p w14:paraId="607149FA">
                  <w:pPr>
                    <w:keepNext w:val="0"/>
                    <w:keepLines w:val="0"/>
                    <w:widowControl/>
                    <w:suppressLineNumbers w:val="0"/>
                    <w:jc w:val="center"/>
                    <w:textAlignment w:val="center"/>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0.06</w:t>
                  </w:r>
                </w:p>
              </w:tc>
            </w:tr>
            <w:tr w14:paraId="785FB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83" w:type="pct"/>
                  <w:noWrap w:val="0"/>
                  <w:vAlign w:val="center"/>
                </w:tcPr>
                <w:p w14:paraId="509B6CBF">
                  <w:pPr>
                    <w:keepNext w:val="0"/>
                    <w:keepLines w:val="0"/>
                    <w:pageBreakBefore w:val="0"/>
                    <w:kinsoku/>
                    <w:wordWrap/>
                    <w:overflowPunct/>
                    <w:topLinePunct w:val="0"/>
                    <w:autoSpaceDE/>
                    <w:autoSpaceDN/>
                    <w:bidi w:val="0"/>
                    <w:jc w:val="center"/>
                    <w:rPr>
                      <w:rFonts w:hint="default" w:ascii="Times New Roman" w:hAnsi="Times New Roman" w:cs="Times New Roman"/>
                      <w:szCs w:val="21"/>
                    </w:rPr>
                  </w:pPr>
                </w:p>
              </w:tc>
              <w:tc>
                <w:tcPr>
                  <w:tcW w:w="353" w:type="pct"/>
                  <w:vMerge w:val="continue"/>
                  <w:noWrap w:val="0"/>
                  <w:vAlign w:val="center"/>
                </w:tcPr>
                <w:p w14:paraId="0BDAD50D">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eastAsia" w:ascii="Times New Roman" w:hAnsi="Times New Roman" w:eastAsia="宋体" w:cs="Times New Roman"/>
                      <w:kern w:val="2"/>
                      <w:sz w:val="21"/>
                      <w:szCs w:val="21"/>
                      <w:lang w:val="en-US" w:eastAsia="zh-CN"/>
                    </w:rPr>
                  </w:pPr>
                </w:p>
              </w:tc>
              <w:tc>
                <w:tcPr>
                  <w:tcW w:w="399" w:type="pct"/>
                  <w:vMerge w:val="restart"/>
                  <w:noWrap w:val="0"/>
                  <w:tcMar>
                    <w:top w:w="0" w:type="dxa"/>
                    <w:left w:w="57" w:type="dxa"/>
                    <w:bottom w:w="0" w:type="dxa"/>
                    <w:right w:w="57" w:type="dxa"/>
                  </w:tcMar>
                  <w:vAlign w:val="center"/>
                </w:tcPr>
                <w:p w14:paraId="2F4FF130">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default" w:ascii="Times New Roman" w:hAnsi="Times New Roman" w:eastAsia="宋体" w:cs="Times New Roman"/>
                      <w:kern w:val="2"/>
                      <w:sz w:val="21"/>
                      <w:szCs w:val="21"/>
                      <w:highlight w:val="none"/>
                      <w:lang w:val="en-US" w:eastAsia="zh-CN"/>
                    </w:rPr>
                  </w:pPr>
                  <w:r>
                    <w:rPr>
                      <w:rStyle w:val="141"/>
                      <w:rFonts w:hint="eastAsia" w:cs="Times New Roman"/>
                      <w:kern w:val="2"/>
                      <w:sz w:val="21"/>
                      <w:szCs w:val="21"/>
                      <w:highlight w:val="none"/>
                      <w:lang w:val="en-US" w:eastAsia="zh-CN"/>
                    </w:rPr>
                    <w:t>双组分PU胶</w:t>
                  </w:r>
                </w:p>
              </w:tc>
              <w:tc>
                <w:tcPr>
                  <w:tcW w:w="1391" w:type="pct"/>
                  <w:noWrap w:val="0"/>
                  <w:vAlign w:val="center"/>
                </w:tcPr>
                <w:p w14:paraId="1D583DE3">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eastAsia" w:cs="Times New Roman"/>
                      <w:kern w:val="2"/>
                      <w:sz w:val="21"/>
                      <w:szCs w:val="21"/>
                      <w:highlight w:val="none"/>
                      <w:lang w:val="en-US" w:eastAsia="zh-CN"/>
                    </w:rPr>
                  </w:pPr>
                  <w:r>
                    <w:rPr>
                      <w:rStyle w:val="141"/>
                      <w:rFonts w:hint="eastAsia" w:cs="Times New Roman"/>
                      <w:kern w:val="2"/>
                      <w:sz w:val="21"/>
                      <w:szCs w:val="21"/>
                      <w:highlight w:val="none"/>
                      <w:lang w:val="en-US" w:eastAsia="zh-CN"/>
                    </w:rPr>
                    <w:t>YF-6265：碳酸钙40-65%、多元醇35-60%</w:t>
                  </w:r>
                </w:p>
              </w:tc>
              <w:tc>
                <w:tcPr>
                  <w:tcW w:w="1400" w:type="pct"/>
                  <w:noWrap w:val="0"/>
                  <w:vAlign w:val="center"/>
                </w:tcPr>
                <w:p w14:paraId="64E12344">
                  <w:pPr>
                    <w:jc w:val="center"/>
                    <w:rPr>
                      <w:rFonts w:hint="default"/>
                      <w:szCs w:val="21"/>
                      <w:highlight w:val="none"/>
                      <w:lang w:val="en-US" w:eastAsia="zh-CN"/>
                    </w:rPr>
                  </w:pPr>
                  <w:r>
                    <w:rPr>
                      <w:rFonts w:hint="eastAsia"/>
                      <w:szCs w:val="21"/>
                      <w:highlight w:val="none"/>
                      <w:lang w:val="en-US" w:eastAsia="zh-CN"/>
                    </w:rPr>
                    <w:t>1</w:t>
                  </w:r>
                </w:p>
              </w:tc>
              <w:tc>
                <w:tcPr>
                  <w:tcW w:w="603" w:type="pct"/>
                  <w:noWrap w:val="0"/>
                  <w:vAlign w:val="center"/>
                </w:tcPr>
                <w:p w14:paraId="51C4EB62">
                  <w:pPr>
                    <w:jc w:val="center"/>
                    <w:rPr>
                      <w:rFonts w:hint="default" w:eastAsia="宋体"/>
                      <w:szCs w:val="21"/>
                      <w:highlight w:val="none"/>
                      <w:lang w:val="en-US" w:eastAsia="zh-CN"/>
                    </w:rPr>
                  </w:pPr>
                  <w:r>
                    <w:rPr>
                      <w:rFonts w:hint="eastAsia"/>
                      <w:szCs w:val="21"/>
                      <w:highlight w:val="none"/>
                      <w:lang w:val="en-US" w:eastAsia="zh-CN"/>
                    </w:rPr>
                    <w:t>50</w:t>
                  </w:r>
                </w:p>
              </w:tc>
              <w:tc>
                <w:tcPr>
                  <w:tcW w:w="569" w:type="pct"/>
                  <w:noWrap w:val="0"/>
                  <w:vAlign w:val="center"/>
                </w:tcPr>
                <w:p w14:paraId="72FA90E9">
                  <w:pPr>
                    <w:keepNext w:val="0"/>
                    <w:keepLines w:val="0"/>
                    <w:widowControl/>
                    <w:suppressLineNumbers w:val="0"/>
                    <w:jc w:val="center"/>
                    <w:textAlignment w:val="center"/>
                    <w:rPr>
                      <w:rFonts w:hint="default" w:ascii="Times New Roman" w:hAnsi="Times New Roman" w:cs="Times New Roman"/>
                      <w:bCs/>
                      <w:szCs w:val="21"/>
                      <w:highlight w:val="none"/>
                      <w:lang w:val="en-US" w:eastAsia="zh-CN"/>
                    </w:rPr>
                  </w:pPr>
                  <w:r>
                    <w:rPr>
                      <w:rFonts w:hint="eastAsia" w:cs="Times New Roman"/>
                      <w:bCs/>
                      <w:szCs w:val="21"/>
                      <w:highlight w:val="none"/>
                      <w:lang w:val="en-US" w:eastAsia="zh-CN"/>
                    </w:rPr>
                    <w:t>0.02</w:t>
                  </w:r>
                </w:p>
              </w:tc>
            </w:tr>
            <w:tr w14:paraId="05CDE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83" w:type="pct"/>
                  <w:noWrap w:val="0"/>
                  <w:vAlign w:val="center"/>
                </w:tcPr>
                <w:p w14:paraId="6766B29D">
                  <w:pPr>
                    <w:keepNext w:val="0"/>
                    <w:keepLines w:val="0"/>
                    <w:pageBreakBefore w:val="0"/>
                    <w:kinsoku/>
                    <w:wordWrap/>
                    <w:overflowPunct/>
                    <w:topLinePunct w:val="0"/>
                    <w:autoSpaceDE/>
                    <w:autoSpaceDN/>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Cs w:val="21"/>
                    </w:rPr>
                    <w:t>2</w:t>
                  </w:r>
                </w:p>
              </w:tc>
              <w:tc>
                <w:tcPr>
                  <w:tcW w:w="353" w:type="pct"/>
                  <w:vMerge w:val="continue"/>
                  <w:noWrap w:val="0"/>
                  <w:vAlign w:val="center"/>
                </w:tcPr>
                <w:p w14:paraId="18B72060">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default" w:ascii="Times New Roman" w:hAnsi="Times New Roman" w:eastAsia="宋体" w:cs="Times New Roman"/>
                      <w:kern w:val="2"/>
                      <w:sz w:val="21"/>
                      <w:szCs w:val="21"/>
                      <w:lang w:val="en-US" w:eastAsia="zh-CN"/>
                    </w:rPr>
                  </w:pPr>
                </w:p>
              </w:tc>
              <w:tc>
                <w:tcPr>
                  <w:tcW w:w="399" w:type="pct"/>
                  <w:vMerge w:val="continue"/>
                  <w:noWrap w:val="0"/>
                  <w:vAlign w:val="center"/>
                </w:tcPr>
                <w:p w14:paraId="089FF6BA">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eastAsia" w:ascii="Times New Roman" w:hAnsi="Times New Roman" w:eastAsia="宋体" w:cs="Times New Roman"/>
                      <w:kern w:val="2"/>
                      <w:sz w:val="21"/>
                      <w:szCs w:val="21"/>
                      <w:highlight w:val="none"/>
                      <w:lang w:val="en-US" w:eastAsia="zh-CN"/>
                    </w:rPr>
                  </w:pPr>
                </w:p>
              </w:tc>
              <w:tc>
                <w:tcPr>
                  <w:tcW w:w="1391" w:type="pct"/>
                  <w:noWrap w:val="0"/>
                  <w:vAlign w:val="center"/>
                </w:tcPr>
                <w:p w14:paraId="5016CB5F">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eastAsia" w:ascii="Times New Roman" w:hAnsi="Times New Roman" w:eastAsia="宋体" w:cs="Times New Roman"/>
                      <w:kern w:val="2"/>
                      <w:sz w:val="21"/>
                      <w:szCs w:val="21"/>
                      <w:highlight w:val="none"/>
                      <w:lang w:val="en-US" w:eastAsia="zh-CN"/>
                    </w:rPr>
                  </w:pPr>
                  <w:r>
                    <w:rPr>
                      <w:rStyle w:val="141"/>
                      <w:rFonts w:hint="eastAsia" w:ascii="Times New Roman" w:hAnsi="Times New Roman" w:eastAsia="宋体" w:cs="Times New Roman"/>
                      <w:kern w:val="2"/>
                      <w:sz w:val="21"/>
                      <w:szCs w:val="21"/>
                      <w:highlight w:val="none"/>
                      <w:lang w:val="en-US" w:eastAsia="zh-CN"/>
                    </w:rPr>
                    <w:t>YF-6201</w:t>
                  </w:r>
                  <w:r>
                    <w:rPr>
                      <w:rStyle w:val="141"/>
                      <w:rFonts w:hint="eastAsia" w:cs="Times New Roman"/>
                      <w:kern w:val="2"/>
                      <w:sz w:val="21"/>
                      <w:szCs w:val="21"/>
                      <w:highlight w:val="none"/>
                      <w:lang w:val="en-US" w:eastAsia="zh-CN"/>
                    </w:rPr>
                    <w:t>：</w:t>
                  </w:r>
                  <w:r>
                    <w:rPr>
                      <w:rStyle w:val="141"/>
                      <w:rFonts w:hint="eastAsia" w:ascii="Times New Roman" w:hAnsi="Times New Roman" w:eastAsia="宋体" w:cs="Times New Roman"/>
                      <w:kern w:val="2"/>
                      <w:sz w:val="21"/>
                      <w:szCs w:val="21"/>
                      <w:highlight w:val="none"/>
                      <w:lang w:val="en-US" w:eastAsia="zh-CN"/>
                    </w:rPr>
                    <w:t>异氰酸聚亚甲基聚亚苯基酯</w:t>
                  </w:r>
                </w:p>
              </w:tc>
              <w:tc>
                <w:tcPr>
                  <w:tcW w:w="1400" w:type="pct"/>
                  <w:noWrap w:val="0"/>
                  <w:vAlign w:val="center"/>
                </w:tcPr>
                <w:p w14:paraId="6619C96F">
                  <w:pPr>
                    <w:jc w:val="center"/>
                    <w:rPr>
                      <w:rFonts w:hint="default" w:ascii="Times New Roman" w:hAnsi="Times New Roman" w:eastAsia="宋体" w:cs="Times New Roman"/>
                      <w:color w:val="000000"/>
                      <w:kern w:val="0"/>
                      <w:sz w:val="21"/>
                      <w:szCs w:val="21"/>
                      <w:highlight w:val="none"/>
                      <w:lang w:val="en-US" w:eastAsia="zh-CN" w:bidi="ar-SA"/>
                    </w:rPr>
                  </w:pPr>
                  <w:r>
                    <w:rPr>
                      <w:rFonts w:hint="eastAsia"/>
                      <w:szCs w:val="21"/>
                      <w:highlight w:val="none"/>
                      <w:lang w:val="en-US" w:eastAsia="zh-CN"/>
                    </w:rPr>
                    <w:t>0.25</w:t>
                  </w:r>
                </w:p>
              </w:tc>
              <w:tc>
                <w:tcPr>
                  <w:tcW w:w="603" w:type="pct"/>
                  <w:noWrap w:val="0"/>
                  <w:vAlign w:val="center"/>
                </w:tcPr>
                <w:p w14:paraId="012C104E">
                  <w:pPr>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szCs w:val="21"/>
                      <w:highlight w:val="none"/>
                      <w:lang w:val="en-US" w:eastAsia="zh-CN"/>
                    </w:rPr>
                    <w:t>0.5</w:t>
                  </w:r>
                </w:p>
              </w:tc>
              <w:tc>
                <w:tcPr>
                  <w:tcW w:w="569" w:type="pct"/>
                  <w:noWrap w:val="0"/>
                  <w:vAlign w:val="center"/>
                </w:tcPr>
                <w:p w14:paraId="58B05B38">
                  <w:pPr>
                    <w:keepNext w:val="0"/>
                    <w:keepLines w:val="0"/>
                    <w:widowControl/>
                    <w:suppressLineNumbers w:val="0"/>
                    <w:jc w:val="center"/>
                    <w:textAlignment w:val="center"/>
                    <w:rPr>
                      <w:rFonts w:hint="default" w:ascii="Times New Roman" w:hAnsi="Times New Roman" w:eastAsia="宋体" w:cs="Times New Roman"/>
                      <w:bCs/>
                      <w:szCs w:val="21"/>
                      <w:highlight w:val="none"/>
                      <w:lang w:val="en-US" w:eastAsia="zh-CN"/>
                    </w:rPr>
                  </w:pPr>
                  <w:r>
                    <w:rPr>
                      <w:rFonts w:hint="eastAsia" w:ascii="Times New Roman" w:hAnsi="Times New Roman" w:cs="Times New Roman"/>
                      <w:bCs/>
                      <w:szCs w:val="21"/>
                      <w:highlight w:val="none"/>
                      <w:lang w:val="en-US" w:eastAsia="zh-CN"/>
                    </w:rPr>
                    <w:t>0.</w:t>
                  </w:r>
                  <w:r>
                    <w:rPr>
                      <w:rFonts w:hint="eastAsia" w:cs="Times New Roman"/>
                      <w:bCs/>
                      <w:szCs w:val="21"/>
                      <w:highlight w:val="none"/>
                      <w:lang w:val="en-US" w:eastAsia="zh-CN"/>
                    </w:rPr>
                    <w:t>5</w:t>
                  </w:r>
                </w:p>
              </w:tc>
            </w:tr>
            <w:tr w14:paraId="73205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83" w:type="pct"/>
                  <w:noWrap w:val="0"/>
                  <w:vAlign w:val="center"/>
                </w:tcPr>
                <w:p w14:paraId="6B76C3E4">
                  <w:pPr>
                    <w:keepNext w:val="0"/>
                    <w:keepLines w:val="0"/>
                    <w:pageBreakBefore w:val="0"/>
                    <w:kinsoku/>
                    <w:wordWrap/>
                    <w:overflowPunct/>
                    <w:topLinePunct w:val="0"/>
                    <w:autoSpaceDE/>
                    <w:autoSpaceDN/>
                    <w:bidi w:val="0"/>
                    <w:jc w:val="center"/>
                    <w:rPr>
                      <w:rFonts w:hint="default" w:ascii="Times New Roman" w:hAnsi="Times New Roman" w:cs="Times New Roman"/>
                      <w:szCs w:val="21"/>
                    </w:rPr>
                  </w:pPr>
                </w:p>
              </w:tc>
              <w:tc>
                <w:tcPr>
                  <w:tcW w:w="353" w:type="pct"/>
                  <w:vMerge w:val="continue"/>
                  <w:noWrap w:val="0"/>
                  <w:vAlign w:val="center"/>
                </w:tcPr>
                <w:p w14:paraId="061938AA">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default" w:ascii="Times New Roman" w:hAnsi="Times New Roman" w:eastAsia="宋体" w:cs="Times New Roman"/>
                      <w:kern w:val="2"/>
                      <w:sz w:val="21"/>
                      <w:szCs w:val="21"/>
                      <w:lang w:val="en-US" w:eastAsia="zh-CN"/>
                    </w:rPr>
                  </w:pPr>
                </w:p>
              </w:tc>
              <w:tc>
                <w:tcPr>
                  <w:tcW w:w="1790" w:type="pct"/>
                  <w:gridSpan w:val="2"/>
                  <w:noWrap w:val="0"/>
                  <w:vAlign w:val="center"/>
                </w:tcPr>
                <w:p w14:paraId="109C3979">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default" w:ascii="Times New Roman" w:hAnsi="Times New Roman" w:eastAsia="宋体" w:cs="Times New Roman"/>
                      <w:kern w:val="2"/>
                      <w:sz w:val="21"/>
                      <w:szCs w:val="21"/>
                      <w:lang w:val="en-US" w:eastAsia="zh-CN"/>
                    </w:rPr>
                  </w:pPr>
                  <w:r>
                    <w:rPr>
                      <w:rStyle w:val="141"/>
                      <w:rFonts w:hint="eastAsia" w:ascii="Times New Roman" w:hAnsi="Times New Roman" w:eastAsia="宋体" w:cs="Times New Roman"/>
                      <w:kern w:val="2"/>
                      <w:sz w:val="21"/>
                      <w:szCs w:val="21"/>
                      <w:lang w:val="en-US" w:eastAsia="zh-CN"/>
                    </w:rPr>
                    <w:t>天然气（甲烷）</w:t>
                  </w:r>
                </w:p>
              </w:tc>
              <w:tc>
                <w:tcPr>
                  <w:tcW w:w="1400" w:type="pct"/>
                  <w:noWrap w:val="0"/>
                  <w:vAlign w:val="center"/>
                </w:tcPr>
                <w:p w14:paraId="39AE6F8D">
                  <w:pPr>
                    <w:widowControl/>
                    <w:jc w:val="center"/>
                    <w:textAlignment w:val="center"/>
                    <w:rPr>
                      <w:rFonts w:hint="default" w:eastAsia="宋体"/>
                      <w:szCs w:val="21"/>
                      <w:lang w:val="en-US" w:eastAsia="zh-CN"/>
                    </w:rPr>
                  </w:pPr>
                  <w:r>
                    <w:rPr>
                      <w:rFonts w:hint="eastAsia"/>
                      <w:szCs w:val="21"/>
                      <w:lang w:val="en-US" w:eastAsia="zh-CN"/>
                    </w:rPr>
                    <w:t>约0.14</w:t>
                  </w:r>
                </w:p>
              </w:tc>
              <w:tc>
                <w:tcPr>
                  <w:tcW w:w="603" w:type="pct"/>
                  <w:noWrap w:val="0"/>
                  <w:vAlign w:val="center"/>
                </w:tcPr>
                <w:p w14:paraId="571049F0">
                  <w:pPr>
                    <w:widowControl/>
                    <w:jc w:val="center"/>
                    <w:textAlignment w:val="center"/>
                    <w:rPr>
                      <w:rFonts w:hint="default" w:eastAsia="宋体"/>
                      <w:szCs w:val="21"/>
                      <w:lang w:val="en-US" w:eastAsia="zh-CN"/>
                    </w:rPr>
                  </w:pPr>
                  <w:r>
                    <w:rPr>
                      <w:rFonts w:hint="eastAsia"/>
                      <w:szCs w:val="21"/>
                      <w:lang w:val="en-US" w:eastAsia="zh-CN"/>
                    </w:rPr>
                    <w:t>10</w:t>
                  </w:r>
                </w:p>
              </w:tc>
              <w:tc>
                <w:tcPr>
                  <w:tcW w:w="569" w:type="pct"/>
                  <w:noWrap w:val="0"/>
                  <w:vAlign w:val="center"/>
                </w:tcPr>
                <w:p w14:paraId="1CE95ECC">
                  <w:pPr>
                    <w:keepNext w:val="0"/>
                    <w:keepLines w:val="0"/>
                    <w:widowControl/>
                    <w:suppressLineNumbers w:val="0"/>
                    <w:jc w:val="center"/>
                    <w:textAlignment w:val="center"/>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0.014</w:t>
                  </w:r>
                </w:p>
              </w:tc>
            </w:tr>
            <w:tr w14:paraId="577B7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83" w:type="pct"/>
                  <w:noWrap w:val="0"/>
                  <w:vAlign w:val="center"/>
                </w:tcPr>
                <w:p w14:paraId="66612AE7">
                  <w:pPr>
                    <w:keepNext w:val="0"/>
                    <w:keepLines w:val="0"/>
                    <w:pageBreakBefore w:val="0"/>
                    <w:kinsoku/>
                    <w:wordWrap/>
                    <w:overflowPunct/>
                    <w:topLinePunct w:val="0"/>
                    <w:autoSpaceDE/>
                    <w:autoSpaceDN/>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Cs w:val="21"/>
                    </w:rPr>
                    <w:t>3</w:t>
                  </w:r>
                </w:p>
              </w:tc>
              <w:tc>
                <w:tcPr>
                  <w:tcW w:w="353" w:type="pct"/>
                  <w:vMerge w:val="continue"/>
                  <w:noWrap w:val="0"/>
                  <w:vAlign w:val="center"/>
                </w:tcPr>
                <w:p w14:paraId="63107210">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default" w:ascii="Times New Roman" w:hAnsi="Times New Roman" w:eastAsia="宋体" w:cs="Times New Roman"/>
                      <w:kern w:val="2"/>
                      <w:sz w:val="21"/>
                      <w:szCs w:val="21"/>
                      <w:lang w:val="en-US" w:eastAsia="zh-CN"/>
                    </w:rPr>
                  </w:pPr>
                </w:p>
              </w:tc>
              <w:tc>
                <w:tcPr>
                  <w:tcW w:w="1790" w:type="pct"/>
                  <w:gridSpan w:val="2"/>
                  <w:shd w:val="clear" w:color="auto" w:fill="auto"/>
                  <w:noWrap w:val="0"/>
                  <w:vAlign w:val="center"/>
                </w:tcPr>
                <w:p w14:paraId="0AD66FEC">
                  <w:pPr>
                    <w:pStyle w:val="2"/>
                    <w:keepNext w:val="0"/>
                    <w:keepLines w:val="0"/>
                    <w:pageBreakBefore w:val="0"/>
                    <w:kinsoku/>
                    <w:wordWrap/>
                    <w:overflowPunct/>
                    <w:topLinePunct w:val="0"/>
                    <w:autoSpaceDE/>
                    <w:autoSpaceDN/>
                    <w:bidi w:val="0"/>
                    <w:spacing w:before="0" w:after="0" w:line="240" w:lineRule="auto"/>
                    <w:ind w:right="113" w:rightChars="0"/>
                    <w:jc w:val="center"/>
                    <w:rPr>
                      <w:rFonts w:hint="default" w:ascii="Times New Roman" w:hAnsi="Times New Roman" w:eastAsia="宋体" w:cs="Times New Roman"/>
                      <w:kern w:val="2"/>
                      <w:sz w:val="21"/>
                      <w:szCs w:val="21"/>
                      <w:lang w:val="en-US" w:eastAsia="zh-CN" w:bidi="ar-SA"/>
                    </w:rPr>
                  </w:pPr>
                  <w:r>
                    <w:rPr>
                      <w:rStyle w:val="141"/>
                      <w:rFonts w:hint="eastAsia" w:ascii="Times New Roman" w:hAnsi="Times New Roman" w:eastAsia="宋体" w:cs="Times New Roman"/>
                      <w:kern w:val="2"/>
                      <w:sz w:val="21"/>
                      <w:szCs w:val="21"/>
                      <w:lang w:val="en-US" w:eastAsia="zh-CN"/>
                    </w:rPr>
                    <w:t>机油</w:t>
                  </w:r>
                </w:p>
              </w:tc>
              <w:tc>
                <w:tcPr>
                  <w:tcW w:w="1400" w:type="pct"/>
                  <w:shd w:val="clear" w:color="auto" w:fill="auto"/>
                  <w:noWrap w:val="0"/>
                  <w:vAlign w:val="center"/>
                </w:tcPr>
                <w:p w14:paraId="36BBBB1A">
                  <w:pPr>
                    <w:widowControl/>
                    <w:jc w:val="center"/>
                    <w:textAlignment w:val="center"/>
                    <w:rPr>
                      <w:rFonts w:hint="eastAsia" w:ascii="Times New Roman" w:hAnsi="Times New Roman" w:eastAsia="宋体" w:cs="Times New Roman"/>
                      <w:color w:val="000000"/>
                      <w:kern w:val="0"/>
                      <w:sz w:val="21"/>
                      <w:szCs w:val="21"/>
                      <w:lang w:val="en-US" w:eastAsia="zh-CN" w:bidi="ar-SA"/>
                    </w:rPr>
                  </w:pPr>
                  <w:r>
                    <w:rPr>
                      <w:rFonts w:hint="eastAsia"/>
                      <w:szCs w:val="21"/>
                    </w:rPr>
                    <w:t>0.25</w:t>
                  </w:r>
                  <w:r>
                    <w:rPr>
                      <w:rFonts w:hint="eastAsia"/>
                      <w:szCs w:val="21"/>
                      <w:lang w:val="en-US" w:eastAsia="zh-CN"/>
                    </w:rPr>
                    <w:t>（设备在线量）</w:t>
                  </w:r>
                </w:p>
              </w:tc>
              <w:tc>
                <w:tcPr>
                  <w:tcW w:w="603" w:type="pct"/>
                  <w:shd w:val="clear" w:color="auto" w:fill="auto"/>
                  <w:noWrap w:val="0"/>
                  <w:vAlign w:val="center"/>
                </w:tcPr>
                <w:p w14:paraId="3F7F10DF">
                  <w:pPr>
                    <w:widowControl/>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eastAsia"/>
                      <w:szCs w:val="21"/>
                    </w:rPr>
                    <w:t>2500</w:t>
                  </w:r>
                </w:p>
              </w:tc>
              <w:tc>
                <w:tcPr>
                  <w:tcW w:w="569" w:type="pct"/>
                  <w:shd w:val="clear" w:color="auto" w:fill="auto"/>
                  <w:noWrap w:val="0"/>
                  <w:vAlign w:val="center"/>
                </w:tcPr>
                <w:p w14:paraId="23B897B4">
                  <w:pPr>
                    <w:keepNext w:val="0"/>
                    <w:keepLines w:val="0"/>
                    <w:widowControl/>
                    <w:suppressLineNumbers w:val="0"/>
                    <w:jc w:val="center"/>
                    <w:textAlignment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cs="Times New Roman"/>
                      <w:bCs/>
                      <w:szCs w:val="21"/>
                      <w:lang w:val="en-US" w:eastAsia="zh-CN"/>
                    </w:rPr>
                    <w:t>0.0001</w:t>
                  </w:r>
                </w:p>
              </w:tc>
            </w:tr>
            <w:tr w14:paraId="67976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83" w:type="pct"/>
                  <w:noWrap w:val="0"/>
                  <w:vAlign w:val="center"/>
                </w:tcPr>
                <w:p w14:paraId="492EE89F">
                  <w:pPr>
                    <w:keepNext w:val="0"/>
                    <w:keepLines w:val="0"/>
                    <w:pageBreakBefore w:val="0"/>
                    <w:kinsoku/>
                    <w:wordWrap/>
                    <w:overflowPunct/>
                    <w:topLinePunct w:val="0"/>
                    <w:autoSpaceDE/>
                    <w:autoSpaceDN/>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Cs w:val="21"/>
                    </w:rPr>
                    <w:t>4</w:t>
                  </w:r>
                </w:p>
              </w:tc>
              <w:tc>
                <w:tcPr>
                  <w:tcW w:w="353" w:type="pct"/>
                  <w:vMerge w:val="restart"/>
                  <w:noWrap w:val="0"/>
                  <w:vAlign w:val="center"/>
                </w:tcPr>
                <w:p w14:paraId="2D11FCEA">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eastAsia" w:ascii="Times New Roman" w:hAnsi="Times New Roman" w:eastAsia="宋体" w:cs="Times New Roman"/>
                      <w:kern w:val="2"/>
                      <w:sz w:val="21"/>
                      <w:szCs w:val="21"/>
                      <w:lang w:val="en-US" w:eastAsia="zh-CN"/>
                    </w:rPr>
                  </w:pPr>
                  <w:r>
                    <w:rPr>
                      <w:rStyle w:val="141"/>
                      <w:rFonts w:hint="eastAsia" w:ascii="Times New Roman" w:hAnsi="Times New Roman" w:eastAsia="宋体" w:cs="Times New Roman"/>
                      <w:kern w:val="2"/>
                      <w:sz w:val="21"/>
                      <w:szCs w:val="21"/>
                      <w:lang w:val="en-US" w:eastAsia="zh-CN"/>
                    </w:rPr>
                    <w:t>危险</w:t>
                  </w:r>
                </w:p>
                <w:p w14:paraId="0208CB10">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default" w:ascii="Times New Roman" w:hAnsi="Times New Roman" w:eastAsia="宋体" w:cs="Times New Roman"/>
                      <w:kern w:val="2"/>
                      <w:sz w:val="21"/>
                      <w:szCs w:val="21"/>
                      <w:lang w:val="en-US" w:eastAsia="zh-CN"/>
                    </w:rPr>
                  </w:pPr>
                  <w:r>
                    <w:rPr>
                      <w:rStyle w:val="141"/>
                      <w:rFonts w:hint="eastAsia" w:ascii="Times New Roman" w:hAnsi="Times New Roman" w:eastAsia="宋体" w:cs="Times New Roman"/>
                      <w:kern w:val="2"/>
                      <w:sz w:val="21"/>
                      <w:szCs w:val="21"/>
                      <w:lang w:val="en-US" w:eastAsia="zh-CN"/>
                    </w:rPr>
                    <w:t>废物</w:t>
                  </w:r>
                </w:p>
              </w:tc>
              <w:tc>
                <w:tcPr>
                  <w:tcW w:w="1790" w:type="pct"/>
                  <w:gridSpan w:val="2"/>
                  <w:noWrap w:val="0"/>
                  <w:vAlign w:val="center"/>
                </w:tcPr>
                <w:p w14:paraId="3ABA9DB6">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default" w:ascii="Times New Roman" w:hAnsi="Times New Roman" w:eastAsia="宋体" w:cs="Times New Roman"/>
                      <w:kern w:val="2"/>
                      <w:sz w:val="21"/>
                      <w:szCs w:val="21"/>
                      <w:lang w:val="en-US" w:eastAsia="zh-CN"/>
                    </w:rPr>
                  </w:pPr>
                  <w:r>
                    <w:rPr>
                      <w:rStyle w:val="141"/>
                      <w:rFonts w:hint="eastAsia" w:ascii="Times New Roman" w:hAnsi="Times New Roman" w:eastAsia="宋体" w:cs="Times New Roman"/>
                      <w:kern w:val="2"/>
                      <w:sz w:val="21"/>
                      <w:szCs w:val="21"/>
                      <w:lang w:val="en-US" w:eastAsia="zh-CN"/>
                    </w:rPr>
                    <w:t>废活性炭</w:t>
                  </w:r>
                </w:p>
              </w:tc>
              <w:tc>
                <w:tcPr>
                  <w:tcW w:w="1400" w:type="pct"/>
                  <w:noWrap w:val="0"/>
                  <w:vAlign w:val="center"/>
                </w:tcPr>
                <w:p w14:paraId="7BF29B66">
                  <w:pPr>
                    <w:widowControl/>
                    <w:jc w:val="center"/>
                    <w:textAlignment w:val="center"/>
                    <w:rPr>
                      <w:rFonts w:hint="eastAsia" w:cs="Times New Roman"/>
                      <w:color w:val="000000"/>
                      <w:kern w:val="0"/>
                      <w:sz w:val="21"/>
                      <w:szCs w:val="21"/>
                      <w:lang w:val="en-US" w:eastAsia="zh-CN" w:bidi="ar-SA"/>
                    </w:rPr>
                  </w:pPr>
                  <w:r>
                    <w:rPr>
                      <w:rFonts w:hint="eastAsia"/>
                      <w:snapToGrid w:val="0"/>
                      <w:szCs w:val="21"/>
                    </w:rPr>
                    <w:t>4.765</w:t>
                  </w:r>
                </w:p>
              </w:tc>
              <w:tc>
                <w:tcPr>
                  <w:tcW w:w="603" w:type="pct"/>
                  <w:noWrap w:val="0"/>
                  <w:vAlign w:val="center"/>
                </w:tcPr>
                <w:p w14:paraId="64B40A88">
                  <w:pPr>
                    <w:widowControl/>
                    <w:jc w:val="center"/>
                    <w:textAlignment w:val="center"/>
                    <w:rPr>
                      <w:rFonts w:hint="default" w:cs="Times New Roman"/>
                      <w:b w:val="0"/>
                      <w:bCs w:val="0"/>
                      <w:color w:val="auto"/>
                      <w:kern w:val="0"/>
                      <w:sz w:val="21"/>
                      <w:szCs w:val="21"/>
                      <w:lang w:val="en-US" w:eastAsia="zh-CN" w:bidi="ar-SA"/>
                    </w:rPr>
                  </w:pPr>
                  <w:r>
                    <w:rPr>
                      <w:rFonts w:hint="eastAsia"/>
                      <w:szCs w:val="21"/>
                    </w:rPr>
                    <w:t>50</w:t>
                  </w:r>
                </w:p>
              </w:tc>
              <w:tc>
                <w:tcPr>
                  <w:tcW w:w="569" w:type="pct"/>
                  <w:noWrap w:val="0"/>
                  <w:vAlign w:val="center"/>
                </w:tcPr>
                <w:p w14:paraId="27D4E0F1">
                  <w:pPr>
                    <w:keepNext w:val="0"/>
                    <w:keepLines w:val="0"/>
                    <w:widowControl/>
                    <w:suppressLineNumbers w:val="0"/>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0.0953</w:t>
                  </w:r>
                </w:p>
              </w:tc>
            </w:tr>
            <w:tr w14:paraId="78A591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83" w:type="pct"/>
                  <w:noWrap w:val="0"/>
                  <w:vAlign w:val="center"/>
                </w:tcPr>
                <w:p w14:paraId="35FE1237">
                  <w:pPr>
                    <w:keepNext w:val="0"/>
                    <w:keepLines w:val="0"/>
                    <w:pageBreakBefore w:val="0"/>
                    <w:kinsoku/>
                    <w:wordWrap/>
                    <w:overflowPunct/>
                    <w:topLinePunct w:val="0"/>
                    <w:autoSpaceDE/>
                    <w:autoSpaceDN/>
                    <w:bidi w:val="0"/>
                    <w:jc w:val="center"/>
                    <w:rPr>
                      <w:rFonts w:hint="default" w:ascii="Times New Roman" w:hAnsi="Times New Roman" w:cs="Times New Roman"/>
                      <w:szCs w:val="21"/>
                    </w:rPr>
                  </w:pPr>
                </w:p>
              </w:tc>
              <w:tc>
                <w:tcPr>
                  <w:tcW w:w="353" w:type="pct"/>
                  <w:vMerge w:val="continue"/>
                  <w:noWrap w:val="0"/>
                  <w:vAlign w:val="center"/>
                </w:tcPr>
                <w:p w14:paraId="73A4944B">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eastAsia" w:ascii="Times New Roman" w:hAnsi="Times New Roman" w:eastAsia="宋体" w:cs="Times New Roman"/>
                      <w:kern w:val="2"/>
                      <w:sz w:val="21"/>
                      <w:szCs w:val="21"/>
                      <w:lang w:val="en-US" w:eastAsia="zh-CN"/>
                    </w:rPr>
                  </w:pPr>
                </w:p>
              </w:tc>
              <w:tc>
                <w:tcPr>
                  <w:tcW w:w="1790" w:type="pct"/>
                  <w:gridSpan w:val="2"/>
                  <w:noWrap w:val="0"/>
                  <w:vAlign w:val="center"/>
                </w:tcPr>
                <w:p w14:paraId="6CF6DC56">
                  <w:pPr>
                    <w:jc w:val="center"/>
                    <w:rPr>
                      <w:rStyle w:val="141"/>
                      <w:rFonts w:hint="eastAsia" w:ascii="Times New Roman" w:hAnsi="Times New Roman" w:eastAsia="宋体" w:cs="Times New Roman"/>
                      <w:kern w:val="2"/>
                      <w:sz w:val="21"/>
                      <w:szCs w:val="21"/>
                      <w:lang w:val="en-US" w:eastAsia="zh-CN"/>
                    </w:rPr>
                  </w:pPr>
                  <w:r>
                    <w:rPr>
                      <w:rFonts w:hint="eastAsia"/>
                      <w:szCs w:val="21"/>
                    </w:rPr>
                    <w:t>废包装桶</w:t>
                  </w:r>
                </w:p>
              </w:tc>
              <w:tc>
                <w:tcPr>
                  <w:tcW w:w="1400" w:type="pct"/>
                  <w:noWrap w:val="0"/>
                  <w:vAlign w:val="center"/>
                </w:tcPr>
                <w:p w14:paraId="5466C4D9">
                  <w:pPr>
                    <w:widowControl/>
                    <w:jc w:val="center"/>
                    <w:textAlignment w:val="center"/>
                    <w:rPr>
                      <w:rFonts w:hint="eastAsia" w:ascii="Times New Roman" w:hAnsi="Times New Roman" w:cs="Times New Roman"/>
                      <w:color w:val="000000"/>
                      <w:kern w:val="0"/>
                      <w:sz w:val="21"/>
                      <w:szCs w:val="21"/>
                      <w:lang w:val="en-US" w:eastAsia="zh-CN" w:bidi="ar-SA"/>
                    </w:rPr>
                  </w:pPr>
                  <w:r>
                    <w:rPr>
                      <w:rFonts w:hint="eastAsia"/>
                      <w:szCs w:val="21"/>
                    </w:rPr>
                    <w:t>4.74</w:t>
                  </w:r>
                </w:p>
              </w:tc>
              <w:tc>
                <w:tcPr>
                  <w:tcW w:w="603" w:type="pct"/>
                  <w:noWrap w:val="0"/>
                  <w:vAlign w:val="center"/>
                </w:tcPr>
                <w:p w14:paraId="684CB4D7">
                  <w:pPr>
                    <w:widowControl/>
                    <w:jc w:val="center"/>
                    <w:textAlignment w:val="center"/>
                    <w:rPr>
                      <w:rFonts w:hint="eastAsia" w:cs="Times New Roman"/>
                      <w:b w:val="0"/>
                      <w:bCs w:val="0"/>
                      <w:color w:val="auto"/>
                      <w:sz w:val="21"/>
                      <w:szCs w:val="21"/>
                      <w:lang w:val="en-US" w:eastAsia="zh-CN"/>
                    </w:rPr>
                  </w:pPr>
                  <w:r>
                    <w:rPr>
                      <w:rFonts w:hint="eastAsia"/>
                      <w:szCs w:val="21"/>
                    </w:rPr>
                    <w:t>100</w:t>
                  </w:r>
                </w:p>
              </w:tc>
              <w:tc>
                <w:tcPr>
                  <w:tcW w:w="569" w:type="pct"/>
                  <w:noWrap w:val="0"/>
                  <w:vAlign w:val="center"/>
                </w:tcPr>
                <w:p w14:paraId="203A76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0.0474</w:t>
                  </w:r>
                </w:p>
              </w:tc>
            </w:tr>
            <w:tr w14:paraId="14A01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83" w:type="pct"/>
                  <w:noWrap w:val="0"/>
                  <w:vAlign w:val="center"/>
                </w:tcPr>
                <w:p w14:paraId="7E27EDE5">
                  <w:pPr>
                    <w:keepNext w:val="0"/>
                    <w:keepLines w:val="0"/>
                    <w:pageBreakBefore w:val="0"/>
                    <w:kinsoku/>
                    <w:wordWrap/>
                    <w:overflowPunct/>
                    <w:topLinePunct w:val="0"/>
                    <w:autoSpaceDE/>
                    <w:autoSpaceDN/>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Cs w:val="21"/>
                    </w:rPr>
                    <w:t>5</w:t>
                  </w:r>
                </w:p>
              </w:tc>
              <w:tc>
                <w:tcPr>
                  <w:tcW w:w="353" w:type="pct"/>
                  <w:vMerge w:val="continue"/>
                  <w:noWrap w:val="0"/>
                  <w:vAlign w:val="center"/>
                </w:tcPr>
                <w:p w14:paraId="5F488915">
                  <w:pPr>
                    <w:pStyle w:val="2"/>
                    <w:keepNext w:val="0"/>
                    <w:keepLines w:val="0"/>
                    <w:pageBreakBefore w:val="0"/>
                    <w:kinsoku/>
                    <w:wordWrap/>
                    <w:overflowPunct/>
                    <w:topLinePunct w:val="0"/>
                    <w:autoSpaceDE/>
                    <w:autoSpaceDN/>
                    <w:bidi w:val="0"/>
                    <w:spacing w:before="0" w:after="0" w:line="240" w:lineRule="auto"/>
                    <w:ind w:right="113" w:rightChars="0"/>
                    <w:jc w:val="center"/>
                    <w:rPr>
                      <w:rStyle w:val="141"/>
                      <w:rFonts w:hint="default" w:ascii="Times New Roman" w:hAnsi="Times New Roman" w:eastAsia="宋体" w:cs="Times New Roman"/>
                      <w:kern w:val="2"/>
                      <w:sz w:val="21"/>
                      <w:szCs w:val="21"/>
                      <w:lang w:val="en-US" w:eastAsia="zh-CN"/>
                    </w:rPr>
                  </w:pPr>
                </w:p>
              </w:tc>
              <w:tc>
                <w:tcPr>
                  <w:tcW w:w="1790" w:type="pct"/>
                  <w:gridSpan w:val="2"/>
                  <w:noWrap w:val="0"/>
                  <w:vAlign w:val="center"/>
                </w:tcPr>
                <w:p w14:paraId="53F3CF2A">
                  <w:pPr>
                    <w:jc w:val="center"/>
                    <w:rPr>
                      <w:rStyle w:val="141"/>
                      <w:rFonts w:hint="default" w:ascii="Times New Roman" w:hAnsi="Times New Roman" w:eastAsia="宋体" w:cs="Times New Roman"/>
                      <w:kern w:val="2"/>
                      <w:sz w:val="21"/>
                      <w:szCs w:val="21"/>
                      <w:lang w:val="en-US" w:eastAsia="zh-CN"/>
                    </w:rPr>
                  </w:pPr>
                  <w:r>
                    <w:rPr>
                      <w:rFonts w:hint="eastAsia"/>
                      <w:szCs w:val="21"/>
                    </w:rPr>
                    <w:t>含胶废弃物</w:t>
                  </w:r>
                </w:p>
              </w:tc>
              <w:tc>
                <w:tcPr>
                  <w:tcW w:w="1400" w:type="pct"/>
                  <w:noWrap w:val="0"/>
                  <w:vAlign w:val="center"/>
                </w:tcPr>
                <w:p w14:paraId="0F32DFA9">
                  <w:pPr>
                    <w:jc w:val="center"/>
                    <w:rPr>
                      <w:rFonts w:hint="default" w:cs="Times New Roman"/>
                      <w:color w:val="000000"/>
                      <w:kern w:val="0"/>
                      <w:sz w:val="21"/>
                      <w:szCs w:val="21"/>
                      <w:lang w:val="en-US" w:eastAsia="zh-CN" w:bidi="ar-SA"/>
                    </w:rPr>
                  </w:pPr>
                  <w:r>
                    <w:rPr>
                      <w:rFonts w:hint="eastAsia"/>
                      <w:szCs w:val="21"/>
                    </w:rPr>
                    <w:t>1</w:t>
                  </w:r>
                </w:p>
              </w:tc>
              <w:tc>
                <w:tcPr>
                  <w:tcW w:w="603" w:type="pct"/>
                  <w:noWrap w:val="0"/>
                  <w:vAlign w:val="center"/>
                </w:tcPr>
                <w:p w14:paraId="43067502">
                  <w:pPr>
                    <w:jc w:val="center"/>
                    <w:rPr>
                      <w:rFonts w:hint="default" w:ascii="Times New Roman" w:hAnsi="Times New Roman" w:eastAsia="宋体" w:cs="Times New Roman"/>
                      <w:b w:val="0"/>
                      <w:bCs w:val="0"/>
                      <w:color w:val="auto"/>
                      <w:kern w:val="0"/>
                      <w:sz w:val="21"/>
                      <w:szCs w:val="21"/>
                      <w:lang w:val="en-US" w:eastAsia="zh-CN" w:bidi="ar-SA"/>
                    </w:rPr>
                  </w:pPr>
                  <w:r>
                    <w:rPr>
                      <w:rFonts w:hint="eastAsia"/>
                      <w:szCs w:val="21"/>
                      <w:lang w:val="en-US" w:eastAsia="zh-CN"/>
                    </w:rPr>
                    <w:t>100</w:t>
                  </w:r>
                </w:p>
              </w:tc>
              <w:tc>
                <w:tcPr>
                  <w:tcW w:w="569" w:type="pct"/>
                  <w:noWrap w:val="0"/>
                  <w:vAlign w:val="center"/>
                </w:tcPr>
                <w:p w14:paraId="7E25BAC1">
                  <w:pPr>
                    <w:keepNext w:val="0"/>
                    <w:keepLines w:val="0"/>
                    <w:widowControl/>
                    <w:suppressLineNumbers w:val="0"/>
                    <w:jc w:val="center"/>
                    <w:textAlignment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r>
            <w:tr w14:paraId="3D01B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430" w:type="pct"/>
                  <w:gridSpan w:val="6"/>
                  <w:noWrap w:val="0"/>
                  <w:vAlign w:val="center"/>
                </w:tcPr>
                <w:p w14:paraId="0FA0DFC0">
                  <w:pPr>
                    <w:pStyle w:val="6"/>
                    <w:keepNext w:val="0"/>
                    <w:keepLines w:val="0"/>
                    <w:pageBreakBefore w:val="0"/>
                    <w:kinsoku/>
                    <w:wordWrap/>
                    <w:overflowPunct/>
                    <w:topLinePunct w:val="0"/>
                    <w:autoSpaceDE/>
                    <w:autoSpaceDN/>
                    <w:bidi w:val="0"/>
                    <w:snapToGrid w:val="0"/>
                    <w:ind w:firstLine="0"/>
                    <w:jc w:val="center"/>
                    <w:rPr>
                      <w:rFonts w:hint="default" w:ascii="Times New Roman" w:hAnsi="Times New Roman" w:cs="Times New Roman"/>
                      <w:bCs/>
                      <w:szCs w:val="21"/>
                    </w:rPr>
                  </w:pPr>
                  <w:r>
                    <w:rPr>
                      <w:rFonts w:hint="default" w:ascii="Times New Roman" w:hAnsi="Times New Roman" w:cs="Times New Roman"/>
                      <w:szCs w:val="21"/>
                    </w:rPr>
                    <w:t>合计</w:t>
                  </w:r>
                </w:p>
              </w:tc>
              <w:tc>
                <w:tcPr>
                  <w:tcW w:w="569" w:type="pct"/>
                  <w:noWrap w:val="0"/>
                  <w:vAlign w:val="center"/>
                </w:tcPr>
                <w:p w14:paraId="77B83B0B">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0.7468</w:t>
                  </w:r>
                </w:p>
              </w:tc>
            </w:tr>
          </w:tbl>
          <w:p w14:paraId="3F5B1A43">
            <w:pPr>
              <w:snapToGrid w:val="0"/>
              <w:spacing w:line="360" w:lineRule="auto"/>
              <w:ind w:firstLine="422" w:firstLineChars="200"/>
              <w:rPr>
                <w:rFonts w:hint="default" w:ascii="Times New Roman" w:hAnsi="Times New Roman" w:eastAsia="宋体" w:cs="Times New Roman"/>
                <w:bCs/>
                <w:sz w:val="21"/>
                <w:szCs w:val="21"/>
                <w:lang w:val="en-US" w:eastAsia="zh-CN"/>
              </w:rPr>
            </w:pPr>
            <w:r>
              <w:rPr>
                <w:rFonts w:hint="eastAsia" w:ascii="Times New Roman" w:hAnsi="Times New Roman" w:cs="Times New Roman"/>
                <w:b/>
                <w:bCs w:val="0"/>
                <w:sz w:val="21"/>
                <w:szCs w:val="21"/>
                <w:lang w:val="en-US" w:eastAsia="zh-CN"/>
              </w:rPr>
              <w:t>注：</w:t>
            </w:r>
            <w:r>
              <w:rPr>
                <w:rFonts w:hint="eastAsia" w:ascii="Times New Roman" w:hAnsi="Times New Roman" w:cs="Times New Roman"/>
                <w:bCs/>
                <w:sz w:val="21"/>
                <w:szCs w:val="21"/>
                <w:lang w:val="en-US" w:eastAsia="zh-CN"/>
              </w:rPr>
              <w:t>本项目设备运维委外，故原辅料不涉及机油，仅设备内存留在线量。</w:t>
            </w:r>
          </w:p>
          <w:p w14:paraId="2D83CFB6">
            <w:pPr>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经分析可知，本项目Q＜1，环境风险势能直接判断为I等级，根据《建设项目环境风险评价技术导则》（HJ169—2018）相关要求，对本项目评价内容进行简单分析。</w:t>
            </w:r>
          </w:p>
          <w:p w14:paraId="1380A0F8">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（2）风险评价</w:t>
            </w:r>
          </w:p>
          <w:p w14:paraId="6CE9A18D">
            <w:pPr>
              <w:adjustRightInd w:val="0"/>
              <w:snapToGrid w:val="0"/>
              <w:spacing w:line="360" w:lineRule="auto"/>
              <w:ind w:firstLine="482" w:firstLineChars="200"/>
              <w:rPr>
                <w:rFonts w:hint="default" w:ascii="Times New Roman" w:hAnsi="Times New Roman" w:cs="Times New Roman"/>
                <w:bCs/>
                <w:sz w:val="24"/>
              </w:rPr>
            </w:pPr>
            <w:r>
              <w:rPr>
                <w:rFonts w:hint="default" w:ascii="Times New Roman" w:hAnsi="Times New Roman" w:cs="Times New Roman"/>
                <w:b/>
                <w:bCs w:val="0"/>
                <w:sz w:val="24"/>
              </w:rPr>
              <w:t>①评价依据：</w:t>
            </w:r>
            <w:r>
              <w:rPr>
                <w:rFonts w:hint="default" w:ascii="Times New Roman" w:hAnsi="Times New Roman" w:cs="Times New Roman"/>
                <w:bCs/>
                <w:sz w:val="24"/>
              </w:rPr>
              <w:t>根据评价工作等级划分，本项目 Q＜1，环境风险势能直接判断为I等级。</w:t>
            </w:r>
          </w:p>
          <w:p w14:paraId="0A0BE050">
            <w:pPr>
              <w:adjustRightInd w:val="0"/>
              <w:snapToGrid w:val="0"/>
              <w:spacing w:line="360" w:lineRule="auto"/>
              <w:ind w:firstLine="482" w:firstLineChars="200"/>
              <w:rPr>
                <w:rFonts w:hint="default" w:ascii="Times New Roman" w:hAnsi="Times New Roman" w:cs="Times New Roman"/>
                <w:bCs/>
                <w:sz w:val="24"/>
              </w:rPr>
            </w:pPr>
            <w:r>
              <w:rPr>
                <w:rFonts w:hint="default" w:ascii="Times New Roman" w:hAnsi="Times New Roman" w:cs="Times New Roman"/>
                <w:b/>
                <w:bCs w:val="0"/>
                <w:sz w:val="24"/>
              </w:rPr>
              <w:t>②环境敏感目标概况：</w:t>
            </w:r>
            <w:r>
              <w:rPr>
                <w:rFonts w:hint="default" w:ascii="Times New Roman" w:hAnsi="Times New Roman" w:cs="Times New Roman"/>
                <w:bCs/>
                <w:sz w:val="24"/>
              </w:rPr>
              <w:t>周边500m范围内无民井及地下取水口。</w:t>
            </w:r>
          </w:p>
          <w:p w14:paraId="0F319DAE">
            <w:pPr>
              <w:adjustRightInd w:val="0"/>
              <w:snapToGrid w:val="0"/>
              <w:spacing w:line="360" w:lineRule="auto"/>
              <w:ind w:firstLine="482" w:firstLineChars="200"/>
              <w:rPr>
                <w:rFonts w:hint="default" w:ascii="Times New Roman" w:hAnsi="Times New Roman" w:eastAsia="宋体" w:cs="Times New Roman"/>
                <w:bCs/>
                <w:sz w:val="24"/>
                <w:lang w:val="en-US" w:eastAsia="zh-CN"/>
              </w:rPr>
            </w:pPr>
            <w:r>
              <w:rPr>
                <w:rFonts w:hint="default" w:ascii="Times New Roman" w:hAnsi="Times New Roman" w:cs="Times New Roman"/>
                <w:b/>
                <w:bCs w:val="0"/>
                <w:sz w:val="24"/>
              </w:rPr>
              <w:t>③环境风险识别：</w:t>
            </w:r>
            <w:r>
              <w:rPr>
                <w:rFonts w:hint="default" w:ascii="Times New Roman" w:hAnsi="Times New Roman" w:cs="Times New Roman"/>
                <w:bCs/>
                <w:sz w:val="24"/>
              </w:rPr>
              <w:t>原辅料仓库存有一定数量的</w:t>
            </w:r>
            <w:r>
              <w:rPr>
                <w:rFonts w:hint="eastAsia" w:ascii="Times New Roman" w:hAnsi="Times New Roman" w:cs="Times New Roman"/>
                <w:bCs/>
                <w:sz w:val="24"/>
                <w:lang w:val="en-US" w:eastAsia="zh-CN"/>
              </w:rPr>
              <w:t>胶水</w:t>
            </w:r>
            <w:r>
              <w:rPr>
                <w:rFonts w:hint="default" w:ascii="Times New Roman" w:hAnsi="Times New Roman" w:cs="Times New Roman"/>
                <w:bCs/>
                <w:sz w:val="24"/>
              </w:rPr>
              <w:t>，危废暂存间内有少量的</w:t>
            </w:r>
            <w:r>
              <w:rPr>
                <w:rFonts w:hint="eastAsia" w:ascii="Times New Roman" w:hAnsi="Times New Roman" w:cs="Times New Roman"/>
                <w:bCs/>
                <w:sz w:val="24"/>
                <w:lang w:val="en-US" w:eastAsia="zh-CN"/>
              </w:rPr>
              <w:t>危险废物</w:t>
            </w:r>
            <w:r>
              <w:rPr>
                <w:rFonts w:hint="default" w:ascii="Times New Roman" w:hAnsi="Times New Roman" w:cs="Times New Roman"/>
                <w:bCs/>
                <w:sz w:val="24"/>
              </w:rPr>
              <w:t>等，对水环境存在一定风险。</w:t>
            </w:r>
            <w:r>
              <w:rPr>
                <w:rFonts w:hint="eastAsia" w:ascii="Times New Roman" w:hAnsi="Times New Roman" w:cs="Times New Roman"/>
                <w:bCs/>
                <w:sz w:val="24"/>
                <w:lang w:val="en-US" w:eastAsia="zh-CN"/>
              </w:rPr>
              <w:t>天然气泄露与明火发生火灾爆炸，对大气环境存在一定风险。异氰酸聚亚甲基聚亚苯基酯与明火燃烧产生的伴生/次生污染物，对大气环境存在一定风险。</w:t>
            </w:r>
          </w:p>
          <w:p w14:paraId="18DC7D68">
            <w:pPr>
              <w:adjustRightInd w:val="0"/>
              <w:snapToGrid w:val="0"/>
              <w:spacing w:line="360" w:lineRule="auto"/>
              <w:ind w:firstLine="482" w:firstLineChars="200"/>
              <w:rPr>
                <w:rFonts w:hint="default" w:ascii="Times New Roman" w:hAnsi="Times New Roman" w:cs="Times New Roman"/>
                <w:bCs/>
                <w:sz w:val="24"/>
              </w:rPr>
            </w:pPr>
            <w:r>
              <w:rPr>
                <w:rFonts w:hint="default" w:ascii="Times New Roman" w:hAnsi="Times New Roman" w:cs="Times New Roman"/>
                <w:b/>
                <w:bCs w:val="0"/>
                <w:sz w:val="24"/>
              </w:rPr>
              <w:t>④环境风险分析：</w:t>
            </w:r>
            <w:r>
              <w:rPr>
                <w:rFonts w:hint="default" w:ascii="Times New Roman" w:hAnsi="Times New Roman" w:cs="Times New Roman"/>
                <w:bCs/>
                <w:sz w:val="24"/>
              </w:rPr>
              <w:t>若原辅料仓库及危废暂存间中暂存的</w:t>
            </w:r>
            <w:r>
              <w:rPr>
                <w:rFonts w:hint="eastAsia" w:ascii="Times New Roman" w:hAnsi="Times New Roman" w:cs="Times New Roman"/>
                <w:bCs/>
                <w:sz w:val="24"/>
                <w:lang w:val="en-US" w:eastAsia="zh-CN"/>
              </w:rPr>
              <w:t>胶水</w:t>
            </w:r>
            <w:r>
              <w:rPr>
                <w:rFonts w:hint="default" w:ascii="Times New Roman" w:hAnsi="Times New Roman" w:cs="Times New Roman"/>
                <w:bCs/>
                <w:sz w:val="24"/>
              </w:rPr>
              <w:t>泄漏进入雨水管网，会对周围水体造成一定的影响。另外，车间内电路破碎存在触电的危险，短路造成的火灾、爆炸等危险；机械设备还可能导致机械伤害、触电等事故。</w:t>
            </w:r>
          </w:p>
          <w:p w14:paraId="54F81369">
            <w:pPr>
              <w:adjustRightInd w:val="0"/>
              <w:snapToGrid w:val="0"/>
              <w:spacing w:line="360" w:lineRule="auto"/>
              <w:ind w:firstLine="482" w:firstLineChars="200"/>
              <w:rPr>
                <w:rFonts w:hint="default" w:ascii="Times New Roman" w:hAnsi="Times New Roman" w:cs="Times New Roman"/>
                <w:b/>
                <w:bCs w:val="0"/>
                <w:sz w:val="24"/>
              </w:rPr>
            </w:pPr>
            <w:r>
              <w:rPr>
                <w:rFonts w:hint="default" w:ascii="Times New Roman" w:hAnsi="Times New Roman" w:cs="Times New Roman"/>
                <w:b/>
                <w:bCs w:val="0"/>
                <w:sz w:val="24"/>
              </w:rPr>
              <w:t>⑤环境风险防范措施及应急要求：</w:t>
            </w:r>
          </w:p>
          <w:p w14:paraId="553574BA">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a.使用防爆、防火电缆，电气设施进行了触电保护，爆炸危险区域的划分、防爆电器（气）的安装和布防必须符合《爆炸和火灾环境电力装置设计规范</w:t>
            </w:r>
            <w:r>
              <w:rPr>
                <w:rFonts w:hint="eastAsia" w:ascii="Times New Roman" w:hAnsi="Times New Roman" w:cs="Times New Roman"/>
                <w:bCs/>
                <w:sz w:val="24"/>
                <w:lang w:eastAsia="zh-CN"/>
              </w:rPr>
              <w:t>（</w:t>
            </w:r>
            <w:r>
              <w:rPr>
                <w:rFonts w:hint="default" w:ascii="Times New Roman" w:hAnsi="Times New Roman" w:cs="Times New Roman"/>
                <w:bCs/>
                <w:sz w:val="24"/>
              </w:rPr>
              <w:t>GB50058</w:t>
            </w:r>
            <w:r>
              <w:rPr>
                <w:rFonts w:hint="eastAsia" w:ascii="Times New Roman" w:hAnsi="Times New Roman" w:cs="Times New Roman"/>
                <w:bCs/>
                <w:sz w:val="24"/>
                <w:lang w:eastAsia="zh-CN"/>
              </w:rPr>
              <w:t>）</w:t>
            </w:r>
            <w:r>
              <w:rPr>
                <w:rFonts w:hint="default" w:ascii="Times New Roman" w:hAnsi="Times New Roman" w:cs="Times New Roman"/>
                <w:bCs/>
                <w:sz w:val="24"/>
              </w:rPr>
              <w:t>》要求。各装置防静电设计应符合《防止静电事故通用导则》（GB12518）以及《工业企业静电接地设计规程》（HGJ28）；各装置防静电设计应根据生产工艺要求，作业环境特点和物料性质采取相应的防静电措施；各生产装置在防爆区域内的所有金属设备、管道等都必须设计静电接地装置，且接地电阻符合规范要求：不大于10Ω；非导电设备、管道等应设计间接接地或采用屏蔽方法，屏蔽体必须可靠接地；根据生产特点配置必要的静电检测仪器、仪表。</w:t>
            </w:r>
          </w:p>
          <w:p w14:paraId="5D508C27">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b.定期检查、维护生产中使用的设备、仓库，确保各设施、设备正常运行。</w:t>
            </w:r>
          </w:p>
          <w:p w14:paraId="05C4E84D">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c.生产车间、仓库、危废暂存间均配备黄沙箱、吸油毡、应急桶等，用于泄漏的</w:t>
            </w:r>
            <w:r>
              <w:rPr>
                <w:rFonts w:hint="eastAsia" w:ascii="Times New Roman" w:hAnsi="Times New Roman" w:cs="Times New Roman"/>
                <w:bCs/>
                <w:sz w:val="24"/>
                <w:lang w:val="en-US" w:eastAsia="zh-CN"/>
              </w:rPr>
              <w:t>胶水</w:t>
            </w:r>
            <w:r>
              <w:rPr>
                <w:rFonts w:hint="default" w:ascii="Times New Roman" w:hAnsi="Times New Roman" w:cs="Times New Roman"/>
                <w:bCs/>
                <w:sz w:val="24"/>
              </w:rPr>
              <w:t>应急暂存。</w:t>
            </w:r>
          </w:p>
          <w:p w14:paraId="08854A61">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d.生产区和各仓库设置干粉灭火器和泡沫灭火器、消防砂；厂内采用电话报警，专人负责，发生火灾时，及时向有关负责人通报火警；根据实际情况设置感烟、感温探测器及手动报警按钮等。</w:t>
            </w:r>
          </w:p>
          <w:p w14:paraId="0713096B">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e.生产现场设置各种安全标志。按照规范对凡需要迅速发现并引起注意以防发生事故的场所、部位均按要求涂安全色。</w:t>
            </w:r>
          </w:p>
          <w:p w14:paraId="0C47467C">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f.一旦发生火灾，应立即停止生产，迅速使用厂内灭火器材，同时，通知镇、区消防支队；并迅速疏散厂内职工和周围群众撤离现场。</w:t>
            </w:r>
          </w:p>
          <w:p w14:paraId="189A5E3B">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g.加强工厂、车间的安全环保管理，对全厂职工进行安全环保的教育和培训，实行上岗证制度。</w:t>
            </w:r>
          </w:p>
          <w:p w14:paraId="1AE8308A">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h.定期检查生产和原料贮存区，杜绝事故隐患，降低事故发生概率。</w:t>
            </w:r>
          </w:p>
          <w:p w14:paraId="05E7DE48">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i.配备24小时有效的报警装置，建立有效的内部、外部通讯联络手段。上述措施可满足本项目风险防范及应急需求且具有可行性。在采取规范化环境风险防范措施和应急措施的前提下，本项目环境风险可控。</w:t>
            </w:r>
          </w:p>
          <w:p w14:paraId="5855FE4B">
            <w:pPr>
              <w:adjustRightInd w:val="0"/>
              <w:snapToGrid w:val="0"/>
              <w:spacing w:line="360" w:lineRule="auto"/>
              <w:ind w:firstLine="480" w:firstLineChars="200"/>
              <w:rPr>
                <w:rFonts w:hint="default" w:ascii="Times New Roman" w:hAnsi="Times New Roman" w:eastAsia="宋体" w:cs="Times New Roman"/>
                <w:bCs/>
                <w:sz w:val="24"/>
              </w:rPr>
            </w:pPr>
            <w:r>
              <w:rPr>
                <w:rFonts w:hint="eastAsia" w:ascii="Times New Roman" w:hAnsi="Times New Roman" w:eastAsia="宋体" w:cs="Times New Roman"/>
                <w:bCs/>
                <w:sz w:val="24"/>
              </w:rPr>
              <w:t>本行业系统的历史事故统计及事故原因分析可引以为鉴，作为企业事故防范的参考资料。收集相关行业典型突发环境事件案例，如下表4.1-1所示。</w:t>
            </w:r>
          </w:p>
          <w:p w14:paraId="3BE3135A">
            <w:pPr>
              <w:snapToGrid w:val="0"/>
              <w:jc w:val="center"/>
              <w:rPr>
                <w:rFonts w:hint="default" w:ascii="Times New Roman" w:hAnsi="Times New Roman" w:eastAsia="宋体" w:cs="Times New Roman"/>
                <w:b/>
                <w:sz w:val="24"/>
                <w:lang w:val="en-US" w:eastAsia="zh-CN"/>
              </w:rPr>
            </w:pPr>
            <w:r>
              <w:rPr>
                <w:rFonts w:hint="eastAsia" w:ascii="Times New Roman" w:hAnsi="Times New Roman" w:eastAsia="宋体" w:cs="Times New Roman"/>
                <w:b/>
                <w:sz w:val="24"/>
              </w:rPr>
              <w:t>表4-</w:t>
            </w:r>
            <w:r>
              <w:rPr>
                <w:rFonts w:hint="eastAsia" w:ascii="Times New Roman" w:hAnsi="Times New Roman" w:eastAsia="宋体" w:cs="Times New Roman"/>
                <w:b/>
                <w:sz w:val="24"/>
                <w:lang w:val="en-US" w:eastAsia="zh-CN"/>
              </w:rPr>
              <w:t>2</w:t>
            </w:r>
            <w:r>
              <w:rPr>
                <w:rFonts w:hint="eastAsia" w:cs="Times New Roman"/>
                <w:b/>
                <w:sz w:val="24"/>
                <w:lang w:val="en-US" w:eastAsia="zh-CN"/>
              </w:rPr>
              <w:t>9</w:t>
            </w:r>
            <w:r>
              <w:rPr>
                <w:rFonts w:hint="eastAsia" w:ascii="Times New Roman" w:hAnsi="Times New Roman" w:eastAsia="宋体" w:cs="Times New Roman"/>
                <w:b/>
                <w:sz w:val="24"/>
              </w:rPr>
              <w:t xml:space="preserve"> 同类企业突发环境事件典型</w:t>
            </w:r>
            <w:r>
              <w:rPr>
                <w:rFonts w:hint="eastAsia" w:ascii="Times New Roman" w:hAnsi="Times New Roman" w:eastAsia="宋体" w:cs="Times New Roman"/>
                <w:b/>
                <w:sz w:val="24"/>
                <w:lang w:val="en-US" w:eastAsia="zh-CN"/>
              </w:rPr>
              <w:t>事故情形</w:t>
            </w:r>
          </w:p>
          <w:tbl>
            <w:tblPr>
              <w:tblStyle w:val="27"/>
              <w:tblW w:w="86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7510"/>
            </w:tblGrid>
            <w:tr w14:paraId="7960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2" w:type="dxa"/>
                  <w:vAlign w:val="center"/>
                </w:tcPr>
                <w:p w14:paraId="22FE350D">
                  <w:pPr>
                    <w:rPr>
                      <w:rFonts w:ascii="Times New Roman" w:hAnsi="Times New Roman" w:eastAsia="宋体" w:cs="仿宋"/>
                      <w:b/>
                      <w:bCs/>
                      <w:color w:val="auto"/>
                      <w:szCs w:val="21"/>
                    </w:rPr>
                  </w:pPr>
                  <w:r>
                    <w:rPr>
                      <w:rFonts w:hint="eastAsia" w:ascii="Times New Roman" w:hAnsi="Times New Roman" w:eastAsia="宋体" w:cs="仿宋"/>
                      <w:b/>
                      <w:bCs/>
                      <w:color w:val="auto"/>
                      <w:szCs w:val="21"/>
                    </w:rPr>
                    <w:t>事故类型</w:t>
                  </w:r>
                </w:p>
              </w:tc>
              <w:tc>
                <w:tcPr>
                  <w:tcW w:w="7510" w:type="dxa"/>
                  <w:vAlign w:val="center"/>
                </w:tcPr>
                <w:p w14:paraId="1D9BEFF0">
                  <w:pPr>
                    <w:rPr>
                      <w:rFonts w:ascii="Times New Roman" w:hAnsi="Times New Roman" w:eastAsia="宋体" w:cs="仿宋"/>
                      <w:color w:val="auto"/>
                      <w:szCs w:val="21"/>
                    </w:rPr>
                  </w:pPr>
                  <w:r>
                    <w:rPr>
                      <w:rFonts w:hint="eastAsia" w:ascii="Times New Roman" w:hAnsi="Times New Roman" w:eastAsia="宋体" w:cs="仿宋"/>
                      <w:color w:val="auto"/>
                      <w:szCs w:val="21"/>
                    </w:rPr>
                    <w:t>火灾</w:t>
                  </w:r>
                </w:p>
              </w:tc>
            </w:tr>
            <w:tr w14:paraId="6E4D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182" w:type="dxa"/>
                  <w:vAlign w:val="center"/>
                </w:tcPr>
                <w:p w14:paraId="23C017BF">
                  <w:pPr>
                    <w:rPr>
                      <w:rFonts w:hint="eastAsia" w:ascii="Times New Roman" w:hAnsi="Times New Roman" w:eastAsia="宋体" w:cs="仿宋"/>
                      <w:color w:val="auto"/>
                      <w:szCs w:val="21"/>
                    </w:rPr>
                  </w:pPr>
                  <w:r>
                    <w:rPr>
                      <w:rFonts w:hint="eastAsia" w:ascii="Times New Roman" w:hAnsi="Times New Roman" w:eastAsia="宋体" w:cs="仿宋"/>
                      <w:color w:val="auto"/>
                      <w:szCs w:val="21"/>
                    </w:rPr>
                    <w:t>事故概况</w:t>
                  </w:r>
                </w:p>
              </w:tc>
              <w:tc>
                <w:tcPr>
                  <w:tcW w:w="7510" w:type="dxa"/>
                  <w:vAlign w:val="center"/>
                </w:tcPr>
                <w:p w14:paraId="3B14ED7C">
                  <w:pPr>
                    <w:rPr>
                      <w:rFonts w:hint="eastAsia" w:ascii="Times New Roman" w:hAnsi="Times New Roman" w:eastAsia="宋体" w:cs="仿宋"/>
                      <w:color w:val="auto"/>
                      <w:szCs w:val="21"/>
                    </w:rPr>
                  </w:pPr>
                  <w:r>
                    <w:rPr>
                      <w:rFonts w:hint="eastAsia" w:ascii="Times New Roman" w:hAnsi="Times New Roman" w:eastAsia="宋体" w:cs="仿宋"/>
                      <w:color w:val="auto"/>
                      <w:szCs w:val="21"/>
                    </w:rPr>
                    <w:t>2019年9月16日21时30分许，位于广州市增城区中新镇的广州慧谷工程材料有限公司（以下简称“慧谷公司”）C1仓库（丙类仓库）首层的其中1个防火分区（约40平方米）发生爆燃事故，造成2人死亡。</w:t>
                  </w:r>
                </w:p>
              </w:tc>
            </w:tr>
            <w:tr w14:paraId="4A9D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1182" w:type="dxa"/>
                  <w:vAlign w:val="center"/>
                </w:tcPr>
                <w:p w14:paraId="3E2964F2">
                  <w:pPr>
                    <w:rPr>
                      <w:rFonts w:hint="eastAsia" w:ascii="Times New Roman" w:hAnsi="Times New Roman" w:eastAsia="宋体" w:cs="仿宋"/>
                      <w:color w:val="auto"/>
                      <w:szCs w:val="21"/>
                    </w:rPr>
                  </w:pPr>
                  <w:r>
                    <w:rPr>
                      <w:rFonts w:hint="eastAsia" w:ascii="Times New Roman" w:hAnsi="Times New Roman" w:eastAsia="宋体" w:cs="仿宋"/>
                      <w:color w:val="auto"/>
                      <w:szCs w:val="21"/>
                    </w:rPr>
                    <w:t>事故教训</w:t>
                  </w:r>
                </w:p>
              </w:tc>
              <w:tc>
                <w:tcPr>
                  <w:tcW w:w="7510" w:type="dxa"/>
                  <w:vAlign w:val="center"/>
                </w:tcPr>
                <w:p w14:paraId="4CD36BFE">
                  <w:pPr>
                    <w:rPr>
                      <w:rFonts w:hint="eastAsia" w:ascii="Times New Roman" w:hAnsi="Times New Roman" w:eastAsia="宋体" w:cs="仿宋"/>
                      <w:color w:val="auto"/>
                      <w:szCs w:val="21"/>
                    </w:rPr>
                  </w:pPr>
                  <w:r>
                    <w:rPr>
                      <w:rFonts w:hint="eastAsia" w:ascii="Times New Roman" w:hAnsi="Times New Roman" w:eastAsia="宋体" w:cs="仿宋"/>
                      <w:color w:val="auto"/>
                      <w:szCs w:val="21"/>
                    </w:rPr>
                    <w:t>对引发剂泄漏危险判断不足，没有严格按照化学品安全技术说明书要求，用大量清水冲洗或惰性吸附剂吸附，而是用棉纱吸收和擦拭地面泄漏物料，导致在处置过程中引发事故。 同时，事故暴露广州市、增城区应急管理部门贯彻落实省厅近期关于吸取清远、肇庆、茂名危险化学品火灾事故教训通报精神不认真、防范事故措施不得力，对企业主要负责人安全责任悬空问题缺乏斗争勇气;日常监管、检查执法工作不严不细，风险隐患排查整治存在盲区</w:t>
                  </w:r>
                </w:p>
              </w:tc>
            </w:tr>
            <w:tr w14:paraId="239B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2" w:type="dxa"/>
                  <w:vAlign w:val="center"/>
                </w:tcPr>
                <w:p w14:paraId="3E24CD5B">
                  <w:pPr>
                    <w:rPr>
                      <w:rFonts w:hint="eastAsia" w:ascii="Times New Roman" w:hAnsi="Times New Roman" w:eastAsia="宋体" w:cs="仿宋"/>
                      <w:color w:val="auto"/>
                      <w:szCs w:val="21"/>
                    </w:rPr>
                  </w:pPr>
                  <w:r>
                    <w:rPr>
                      <w:rFonts w:hint="eastAsia" w:ascii="Times New Roman" w:hAnsi="Times New Roman" w:eastAsia="宋体" w:cs="仿宋"/>
                      <w:color w:val="auto"/>
                      <w:szCs w:val="21"/>
                    </w:rPr>
                    <w:t>事故处理</w:t>
                  </w:r>
                </w:p>
              </w:tc>
              <w:tc>
                <w:tcPr>
                  <w:tcW w:w="7510" w:type="dxa"/>
                  <w:vAlign w:val="center"/>
                </w:tcPr>
                <w:p w14:paraId="6D98A9FE">
                  <w:pPr>
                    <w:rPr>
                      <w:rFonts w:hint="eastAsia" w:ascii="Times New Roman" w:hAnsi="Times New Roman" w:eastAsia="宋体" w:cs="仿宋"/>
                      <w:color w:val="auto"/>
                      <w:szCs w:val="21"/>
                    </w:rPr>
                  </w:pPr>
                  <w:r>
                    <w:rPr>
                      <w:rFonts w:hint="eastAsia" w:ascii="Times New Roman" w:hAnsi="Times New Roman" w:eastAsia="宋体" w:cs="仿宋"/>
                      <w:color w:val="auto"/>
                      <w:szCs w:val="21"/>
                    </w:rPr>
                    <w:t>经过</w:t>
                  </w:r>
                  <w:r>
                    <w:rPr>
                      <w:rFonts w:hint="eastAsia" w:ascii="Times New Roman" w:hAnsi="Times New Roman" w:eastAsia="宋体" w:cs="仿宋"/>
                      <w:color w:val="auto"/>
                      <w:szCs w:val="21"/>
                    </w:rPr>
                    <w:fldChar w:fldCharType="begin"/>
                  </w:r>
                  <w:r>
                    <w:rPr>
                      <w:rFonts w:hint="eastAsia" w:ascii="Times New Roman" w:hAnsi="Times New Roman" w:eastAsia="宋体" w:cs="仿宋"/>
                      <w:color w:val="auto"/>
                      <w:szCs w:val="21"/>
                    </w:rPr>
                    <w:instrText xml:space="preserve"> HYPERLINK "http://www.fire.hc360.com/" \t "_blank" </w:instrText>
                  </w:r>
                  <w:r>
                    <w:rPr>
                      <w:rFonts w:hint="eastAsia" w:ascii="Times New Roman" w:hAnsi="Times New Roman" w:eastAsia="宋体" w:cs="仿宋"/>
                      <w:color w:val="auto"/>
                      <w:szCs w:val="21"/>
                    </w:rPr>
                    <w:fldChar w:fldCharType="separate"/>
                  </w:r>
                  <w:r>
                    <w:rPr>
                      <w:rFonts w:hint="eastAsia" w:ascii="Times New Roman" w:hAnsi="Times New Roman" w:eastAsia="宋体" w:cs="仿宋"/>
                      <w:color w:val="auto"/>
                      <w:szCs w:val="21"/>
                    </w:rPr>
                    <w:t>消防</w:t>
                  </w:r>
                  <w:r>
                    <w:rPr>
                      <w:rFonts w:hint="eastAsia" w:ascii="Times New Roman" w:hAnsi="Times New Roman" w:eastAsia="宋体" w:cs="仿宋"/>
                      <w:color w:val="auto"/>
                      <w:szCs w:val="21"/>
                    </w:rPr>
                    <w:fldChar w:fldCharType="end"/>
                  </w:r>
                  <w:r>
                    <w:rPr>
                      <w:rFonts w:hint="eastAsia" w:ascii="Times New Roman" w:hAnsi="Times New Roman" w:eastAsia="宋体" w:cs="仿宋"/>
                      <w:color w:val="auto"/>
                      <w:szCs w:val="21"/>
                    </w:rPr>
                    <w:t>官兵2个多小时奋战，火场终于被彻底控制。</w:t>
                  </w:r>
                </w:p>
              </w:tc>
            </w:tr>
            <w:tr w14:paraId="4028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6" w:hRule="atLeast"/>
              </w:trPr>
              <w:tc>
                <w:tcPr>
                  <w:tcW w:w="1182" w:type="dxa"/>
                  <w:vAlign w:val="center"/>
                </w:tcPr>
                <w:p w14:paraId="24FC61FF">
                  <w:pPr>
                    <w:rPr>
                      <w:rFonts w:hint="eastAsia" w:ascii="Times New Roman" w:hAnsi="Times New Roman" w:eastAsia="宋体" w:cs="仿宋"/>
                      <w:color w:val="auto"/>
                      <w:szCs w:val="21"/>
                    </w:rPr>
                  </w:pPr>
                  <w:r>
                    <w:rPr>
                      <w:rFonts w:hint="eastAsia" w:ascii="Times New Roman" w:hAnsi="Times New Roman" w:eastAsia="宋体" w:cs="仿宋"/>
                      <w:color w:val="auto"/>
                      <w:szCs w:val="21"/>
                    </w:rPr>
                    <w:t>事故原因分析</w:t>
                  </w:r>
                </w:p>
              </w:tc>
              <w:tc>
                <w:tcPr>
                  <w:tcW w:w="7510" w:type="dxa"/>
                  <w:vAlign w:val="center"/>
                </w:tcPr>
                <w:p w14:paraId="4C1D0FCB">
                  <w:pPr>
                    <w:rPr>
                      <w:rFonts w:hint="eastAsia" w:ascii="Times New Roman" w:hAnsi="Times New Roman" w:eastAsia="宋体" w:cs="仿宋"/>
                      <w:color w:val="auto"/>
                      <w:szCs w:val="21"/>
                    </w:rPr>
                  </w:pPr>
                  <w:r>
                    <w:rPr>
                      <w:rFonts w:hint="eastAsia" w:ascii="Times New Roman" w:hAnsi="Times New Roman" w:eastAsia="宋体" w:cs="仿宋"/>
                      <w:color w:val="auto"/>
                      <w:szCs w:val="21"/>
                    </w:rPr>
                    <w:t>事发仓库主要储存丙烯酸树脂生产所用的引发剂(主要成分是过氧化苯甲酸叔丁酯，属有机过氧化物，受热容易分解，需低温保存，建议储存温度10-15℃)。 企业在仓库内设有防爆冰箱储存。 事发前冰箱因故障停止制冷时间较长，箱内温度上升，超出建议储存温度，造成引发剂受热分解膨胀，涨破包装物，并流淌至冰箱外地面。</w:t>
                  </w:r>
                </w:p>
                <w:p w14:paraId="189E9454">
                  <w:pPr>
                    <w:rPr>
                      <w:rFonts w:hint="eastAsia" w:ascii="Times New Roman" w:hAnsi="Times New Roman" w:eastAsia="宋体" w:cs="仿宋"/>
                      <w:color w:val="auto"/>
                      <w:szCs w:val="21"/>
                    </w:rPr>
                  </w:pPr>
                  <w:r>
                    <w:rPr>
                      <w:rFonts w:hint="eastAsia" w:ascii="Times New Roman" w:hAnsi="Times New Roman" w:eastAsia="宋体" w:cs="仿宋"/>
                      <w:color w:val="auto"/>
                      <w:szCs w:val="21"/>
                    </w:rPr>
                    <w:t>企业组织人员使用棉纱对泄漏的引发剂进行吸附和擦拭时，操作不当(没有按化学品安全技术说明书要求用大量清水冲洗或惰性吸附剂吸附)，不排除动作过大造成震动或摩擦，引起泄漏的引发剂发生闪爆，并引发火灾</w:t>
                  </w:r>
                </w:p>
              </w:tc>
            </w:tr>
          </w:tbl>
          <w:p w14:paraId="2EBDF527">
            <w:pPr>
              <w:spacing w:line="360" w:lineRule="auto"/>
              <w:ind w:firstLine="482" w:firstLineChars="200"/>
              <w:jc w:val="left"/>
              <w:rPr>
                <w:rFonts w:hint="default" w:ascii="Times New Roman" w:hAnsi="Times New Roman" w:cs="Times New Roman"/>
                <w:b/>
                <w:sz w:val="24"/>
              </w:rPr>
            </w:pPr>
            <w:r>
              <w:rPr>
                <w:rFonts w:hint="default" w:ascii="Times New Roman" w:hAnsi="Times New Roman" w:cs="Times New Roman"/>
                <w:b/>
                <w:sz w:val="24"/>
              </w:rPr>
              <w:t>（4）环境风险防范措施</w:t>
            </w:r>
          </w:p>
          <w:p w14:paraId="210C9B01">
            <w:pPr>
              <w:keepNext w:val="0"/>
              <w:keepLines w:val="0"/>
              <w:pageBreakBefore w:val="0"/>
              <w:kinsoku/>
              <w:wordWrap/>
              <w:overflowPunct/>
              <w:topLinePunct w:val="0"/>
              <w:bidi w:val="0"/>
              <w:adjustRightInd/>
              <w:snapToGrid/>
              <w:spacing w:line="360" w:lineRule="auto"/>
              <w:ind w:right="0" w:firstLine="600" w:firstLineChars="250"/>
              <w:textAlignment w:val="auto"/>
              <w:rPr>
                <w:rFonts w:hint="default" w:ascii="Times New Roman" w:hAnsi="Times New Roman" w:cs="Times New Roman"/>
                <w:b/>
                <w:color w:val="auto"/>
                <w:sz w:val="24"/>
              </w:rPr>
            </w:pPr>
            <w:r>
              <w:rPr>
                <w:rFonts w:hint="default" w:ascii="Times New Roman" w:hAnsi="Times New Roman" w:cs="Times New Roman"/>
                <w:bCs/>
                <w:color w:val="auto"/>
                <w:sz w:val="24"/>
                <w:szCs w:val="24"/>
              </w:rPr>
              <w:t>①</w:t>
            </w:r>
            <w:r>
              <w:rPr>
                <w:rFonts w:hint="default" w:ascii="Times New Roman" w:hAnsi="Times New Roman" w:cs="Times New Roman"/>
                <w:color w:val="auto"/>
                <w:sz w:val="24"/>
              </w:rPr>
              <w:t>泄漏事故</w:t>
            </w:r>
          </w:p>
          <w:p w14:paraId="48D914EC">
            <w:pPr>
              <w:pStyle w:val="6"/>
              <w:keepNext w:val="0"/>
              <w:keepLines w:val="0"/>
              <w:pageBreakBefore w:val="0"/>
              <w:kinsoku/>
              <w:wordWrap/>
              <w:overflowPunct/>
              <w:topLinePunct w:val="0"/>
              <w:bidi w:val="0"/>
              <w:adjustRightInd/>
              <w:snapToGrid/>
              <w:spacing w:line="360" w:lineRule="auto"/>
              <w:ind w:right="0" w:firstLine="48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泄漏事故的预防是物料储运中最重要的环节，发生泄漏事故可能引起火灾和爆炸等一系列重大事故。经验表明：设备失灵和人为的操作失误是引发泄漏的主要原因。因此选用较好的设备、精心设计、认真管理和操作人员的责任心是减少泄漏事故的关键。本项目应主要采取以下预防措施：</w:t>
            </w:r>
          </w:p>
          <w:p w14:paraId="37734A8D">
            <w:pPr>
              <w:pStyle w:val="6"/>
              <w:keepNext w:val="0"/>
              <w:keepLines w:val="0"/>
              <w:pageBreakBefore w:val="0"/>
              <w:kinsoku/>
              <w:wordWrap/>
              <w:overflowPunct/>
              <w:topLinePunct w:val="0"/>
              <w:bidi w:val="0"/>
              <w:adjustRightInd/>
              <w:snapToGrid/>
              <w:spacing w:line="360" w:lineRule="auto"/>
              <w:ind w:right="0" w:firstLine="48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Ⅰ.在</w:t>
            </w:r>
            <w:r>
              <w:rPr>
                <w:rFonts w:hint="eastAsia" w:cs="Times New Roman"/>
                <w:bCs/>
                <w:color w:val="auto"/>
                <w:sz w:val="24"/>
                <w:szCs w:val="24"/>
                <w:lang w:val="en-US" w:eastAsia="zh-CN"/>
              </w:rPr>
              <w:t>危废库</w:t>
            </w:r>
            <w:r>
              <w:rPr>
                <w:rFonts w:hint="default" w:ascii="Times New Roman" w:hAnsi="Times New Roman" w:cs="Times New Roman"/>
                <w:bCs/>
                <w:color w:val="auto"/>
                <w:sz w:val="24"/>
                <w:szCs w:val="24"/>
              </w:rPr>
              <w:t>等所在区域设置防渗漏的地基并设置围堰（混凝土），以确保任何物质的冒溢能被回收，并配有收集沟和泵，从而防止地下水环境污染。</w:t>
            </w:r>
          </w:p>
          <w:p w14:paraId="69BCB036">
            <w:pPr>
              <w:pStyle w:val="6"/>
              <w:keepNext w:val="0"/>
              <w:keepLines w:val="0"/>
              <w:pageBreakBefore w:val="0"/>
              <w:kinsoku/>
              <w:wordWrap/>
              <w:overflowPunct/>
              <w:topLinePunct w:val="0"/>
              <w:bidi w:val="0"/>
              <w:adjustRightInd/>
              <w:snapToGrid/>
              <w:spacing w:line="360" w:lineRule="auto"/>
              <w:ind w:right="0" w:firstLine="48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Ⅱ.经常检查管道，地上管道应防止汽车碰撞，并控制管道支撑的磨损。定期系统试压、定期检漏。</w:t>
            </w:r>
          </w:p>
          <w:p w14:paraId="57ABF9AF">
            <w:pPr>
              <w:pStyle w:val="2"/>
              <w:keepNext w:val="0"/>
              <w:keepLines w:val="0"/>
              <w:pageBreakBefore w:val="0"/>
              <w:kinsoku/>
              <w:wordWrap/>
              <w:overflowPunct/>
              <w:topLinePunct w:val="0"/>
              <w:bidi w:val="0"/>
              <w:adjustRightInd/>
              <w:snapToGrid/>
              <w:spacing w:before="0" w:after="0" w:line="360" w:lineRule="auto"/>
              <w:ind w:right="0" w:firstLine="480" w:firstLineChars="200"/>
              <w:jc w:val="left"/>
              <w:textAlignment w:val="auto"/>
              <w:rPr>
                <w:rFonts w:hint="default" w:ascii="Times New Roman" w:hAnsi="Times New Roman" w:cs="Times New Roman"/>
                <w:b w:val="0"/>
                <w:bCs w:val="0"/>
                <w:color w:val="auto"/>
                <w:sz w:val="24"/>
                <w:szCs w:val="24"/>
                <w:lang w:val="zh-CN" w:eastAsia="zh-CN"/>
              </w:rPr>
            </w:pPr>
            <w:r>
              <w:rPr>
                <w:rFonts w:hint="default" w:ascii="Times New Roman" w:hAnsi="Times New Roman" w:cs="Times New Roman"/>
                <w:bCs/>
                <w:color w:val="auto"/>
                <w:sz w:val="24"/>
                <w:szCs w:val="24"/>
              </w:rPr>
              <w:t>Ⅲ.项目涉及原料及产品采用公路运输，运输主要依赖于社会运输力量和接发货企业自运的运输方式，确保物料运输的稳定和安全。</w:t>
            </w:r>
          </w:p>
          <w:p w14:paraId="36B7C56E">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三级防控措施</w:t>
            </w:r>
          </w:p>
          <w:p w14:paraId="4A934C6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根据《事故状态下水体污染的预防与控制技术要求》（Q/SY1190-2013</w:t>
            </w:r>
            <w:r>
              <w:rPr>
                <w:rFonts w:hint="default" w:ascii="Times New Roman" w:hAnsi="Times New Roman" w:eastAsia="宋体"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lang w:val="en-US" w:eastAsia="zh-CN"/>
              </w:rPr>
              <w:t>项目针对废水排放釆取三级防控措施来杜绝环境风险事故对环境的造成污染事件，</w:t>
            </w:r>
            <w:r>
              <w:rPr>
                <w:rFonts w:hint="default" w:ascii="Times New Roman" w:hAnsi="Times New Roman" w:eastAsia="宋体" w:cs="Times New Roman"/>
                <w:color w:val="auto"/>
                <w:sz w:val="24"/>
                <w:szCs w:val="24"/>
                <w:highlight w:val="none"/>
                <w:lang w:val="en-US" w:eastAsia="zh-CN"/>
              </w:rPr>
              <w:t xml:space="preserve">将环境风险事故排水及污染物控制在厂区内，环境风险事故排水及污染物控制在排水系统事故池内。 </w:t>
            </w:r>
          </w:p>
          <w:p w14:paraId="3A6EA99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I.</w:t>
            </w:r>
            <w:r>
              <w:rPr>
                <w:rFonts w:hint="default" w:ascii="Times New Roman" w:hAnsi="Times New Roman" w:eastAsia="宋体" w:cs="Times New Roman"/>
                <w:color w:val="auto"/>
                <w:sz w:val="24"/>
                <w:szCs w:val="24"/>
                <w:highlight w:val="none"/>
                <w:lang w:val="en-US" w:eastAsia="zh-CN"/>
              </w:rPr>
              <w:t xml:space="preserve">第一级防控措施 </w:t>
            </w:r>
          </w:p>
          <w:p w14:paraId="02442F9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防止容器破裂而造成储存液体泄漏至外环境，设置围堰，拦截、收集泄漏的物料，防止泄漏物料进入附近水体，污染环境。涉水区域、危废仓库等设导流沟，导流沟、集液坑、地面均采取防腐防渗，铺设不发火地坪，门口设置防溢流坡，配备围挡物、吸附材料、灭火器材等应急物资。若发生少量泄漏，采用吸附剂或其他惰性吸附材料进行吸附，及时转移进废弃物容器内；若发生大量泄漏，采用挡板、沙土或沙包进行围挡，用应急泵泵入废弃物容器内，并采用吸附材料清理地面。收集的泄漏物及沾染了泄漏物的吸附材料均作为危险废物，委托有资质单位处置。构筑生产过程中环境安全的第一层防控网，将泄漏物料控制在上述区域内部，防止污染雨水和轻微事故泄漏造成的环境污染。</w:t>
            </w:r>
          </w:p>
          <w:p w14:paraId="7FBE6DE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 xml:space="preserve">II.第二级防控措施 </w:t>
            </w:r>
          </w:p>
          <w:p w14:paraId="3FE3E16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 xml:space="preserve">当企业发生火灾、爆炸事故，需采用灭火器、消防栓灭火，同时外部结合水冷却控制火情，该过程产生消防尾水。在厂区内设置事故收集池，并设计相应的切换装置，参照《江苏省重点行业工业企业雨水排放环境管理办法（试行）》（苏污防攻坚指办〔2023〕71号），规范化设置初期雨水池。正常生产运行时，打开雨水管道门，收集的雨水直接排入园区雨水管网。事故状态下打开切换装置，收集的雨水和事故消防水排入厂内事故池，切断污染物与外部的通道，将污染物控制在厂区内，防止重大事故泄漏物料和污染消防水造成的环境污染。 </w:t>
            </w:r>
          </w:p>
          <w:p w14:paraId="1CC17E4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 xml:space="preserve">III.第三级防控措施 </w:t>
            </w:r>
          </w:p>
          <w:p w14:paraId="78F382F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若未及时收集，消防废水或泄漏物料通过雨水管网流到厂外，立即关闭内部雨水排放口阀门，同时上报企业应急管理机构，迅速向上级管理部门报告并请求外部增援。</w:t>
            </w:r>
          </w:p>
          <w:p w14:paraId="65D7EAC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企业应急管理机构接通知后第一时间携应急物资赶赴现场进行应急处置，同时寻求园区及外部互助单位援助，使用堵漏工具对厂区雨水排放口进行封堵，构筑围堤、造坑导流、挖坑收容，避免事故废水进入市政雨水管网；就地投加药剂处置，降低危险性；启动应急泵，收集事故废水，利用厂区及周边企业事故应急池、槽车或专用收集池等进行暂存。若事故废水不慎进入河流，相关管理部门应立即启动园区/区域环境风险防控措施：关闭关联河道上闸阀；视情况在污染区上、下游使用拦污索或筑坝拦截污染物，阻隔污染物进一步扩散至附近水体；投加活性炭等吸附材料，就地投加药剂处置，或将污染水抽至安全地方处置。同时根据泄漏液特性进行泄漏液收集、开展河水上下游的水质监测。</w:t>
            </w:r>
          </w:p>
          <w:p w14:paraId="6EBB3B3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三级防控体系能确保事故状态下的泄漏物料、消防废水等全部处于受控状态，实现对事故废水源头、过程和终端的预防和控制，使环境风险可控，降低对厂区外界环境造成的影响。</w:t>
            </w:r>
          </w:p>
          <w:p w14:paraId="6AD2A652">
            <w:pPr>
              <w:pStyle w:val="2"/>
              <w:keepNext w:val="0"/>
              <w:keepLines w:val="0"/>
              <w:pageBreakBefore w:val="0"/>
              <w:kinsoku/>
              <w:wordWrap/>
              <w:overflowPunct/>
              <w:topLinePunct w:val="0"/>
              <w:bidi w:val="0"/>
              <w:adjustRightInd/>
              <w:snapToGrid/>
              <w:spacing w:before="0" w:after="0" w:line="360" w:lineRule="auto"/>
              <w:ind w:right="0" w:firstLine="482" w:firstLineChars="200"/>
              <w:jc w:val="left"/>
              <w:textAlignment w:val="auto"/>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次生/伴生污染防范措施</w:t>
            </w:r>
          </w:p>
          <w:p w14:paraId="6246B425">
            <w:pPr>
              <w:pStyle w:val="2"/>
              <w:keepNext w:val="0"/>
              <w:keepLines w:val="0"/>
              <w:pageBreakBefore w:val="0"/>
              <w:kinsoku/>
              <w:wordWrap/>
              <w:overflowPunct/>
              <w:topLinePunct w:val="0"/>
              <w:bidi w:val="0"/>
              <w:adjustRightInd/>
              <w:snapToGrid/>
              <w:spacing w:before="0" w:after="0" w:line="360" w:lineRule="auto"/>
              <w:ind w:right="0"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企业实行“雨污分流体制”。发生火灾后，首先要进行灭火，降低着火事件，减少燃烧产物对环境空气造成的影响；事故救援过程中产生的消防废水应引入厂内消防废水收集池暂时收集。为避免事故状况下泄漏的有毒物质以及火灾爆炸期间消防污水污染水环境，企业必须制定严格的排水规划，设置事故池、管网、切断阀和监控池等，使消防水排水处于监控状态，严禁事故废水排出厂外，次生危害造成水体污染。</w:t>
            </w:r>
          </w:p>
          <w:p w14:paraId="7C556639">
            <w:pPr>
              <w:pStyle w:val="2"/>
              <w:keepNext w:val="0"/>
              <w:keepLines w:val="0"/>
              <w:pageBreakBefore w:val="0"/>
              <w:kinsoku/>
              <w:wordWrap/>
              <w:overflowPunct/>
              <w:topLinePunct w:val="0"/>
              <w:bidi w:val="0"/>
              <w:adjustRightInd/>
              <w:snapToGrid/>
              <w:spacing w:before="0" w:after="0" w:line="360" w:lineRule="auto"/>
              <w:ind w:right="0" w:firstLine="480"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另外异氰酸聚亚甲基聚亚苯基酯燃烧的伴生/次生污染物主要为CO，CO为无色、无臭、无刺激性的气体，进入人体后会导致机体组织出现缺氧，导致人体窒息死亡；石油气为剧毒物质，猛然吸入后会有中毒危害，出现眼及上呼吸道明显的刺激症状、眼结膜及咽充血、头晕、恶心、呕吐等情况；铬粉尘、镍粉尘被吸入后，可刺激呼吸道，引起咳嗽、咳痰、胸痛和呼吸困难等症状。在高浓度吸入的情况下，可能会导致化学性肺炎和肺水肿。因此，应在车间内提供充分的局部排风和全面通风，同时，救护人员需佩戴防毒面具。通过以上相应措施，可有效地控制次生/伴生污染对外环境造成二次污染。</w:t>
            </w:r>
          </w:p>
          <w:p w14:paraId="71F46DE3">
            <w:pPr>
              <w:pStyle w:val="2"/>
              <w:keepNext w:val="0"/>
              <w:keepLines w:val="0"/>
              <w:pageBreakBefore w:val="0"/>
              <w:kinsoku/>
              <w:wordWrap/>
              <w:overflowPunct/>
              <w:topLinePunct w:val="0"/>
              <w:bidi w:val="0"/>
              <w:adjustRightInd/>
              <w:snapToGrid/>
              <w:spacing w:before="0" w:after="0" w:line="360" w:lineRule="auto"/>
              <w:ind w:right="0" w:firstLine="480" w:firstLineChars="200"/>
              <w:jc w:val="left"/>
              <w:textAlignment w:val="auto"/>
              <w:rPr>
                <w:rFonts w:hint="default" w:ascii="Times New Roman" w:hAnsi="Times New Roman" w:cs="Times New Roman"/>
                <w:b w:val="0"/>
                <w:bCs w:val="0"/>
                <w:color w:val="auto"/>
                <w:sz w:val="24"/>
                <w:szCs w:val="24"/>
                <w:lang w:val="zh-CN" w:eastAsia="zh-CN"/>
              </w:rPr>
            </w:pPr>
            <w:r>
              <w:rPr>
                <w:rFonts w:hint="default" w:ascii="Times New Roman" w:hAnsi="Times New Roman" w:cs="Times New Roman"/>
                <w:bCs/>
                <w:color w:val="auto"/>
                <w:sz w:val="24"/>
                <w:szCs w:val="24"/>
              </w:rPr>
              <w:t>②</w:t>
            </w:r>
            <w:r>
              <w:rPr>
                <w:rFonts w:hint="default" w:ascii="Times New Roman" w:hAnsi="Times New Roman" w:cs="Times New Roman"/>
                <w:color w:val="auto"/>
                <w:sz w:val="24"/>
              </w:rPr>
              <w:t>火灾爆炸事故</w:t>
            </w:r>
          </w:p>
          <w:p w14:paraId="54656E30">
            <w:pPr>
              <w:pStyle w:val="2"/>
              <w:keepNext w:val="0"/>
              <w:keepLines w:val="0"/>
              <w:pageBreakBefore w:val="0"/>
              <w:kinsoku/>
              <w:wordWrap/>
              <w:overflowPunct/>
              <w:topLinePunct w:val="0"/>
              <w:bidi w:val="0"/>
              <w:adjustRightInd/>
              <w:snapToGrid/>
              <w:spacing w:before="0" w:after="0" w:line="360" w:lineRule="auto"/>
              <w:ind w:right="0" w:firstLine="480" w:firstLineChars="200"/>
              <w:jc w:val="left"/>
              <w:textAlignment w:val="auto"/>
              <w:rPr>
                <w:rFonts w:hint="default" w:ascii="Times New Roman" w:hAnsi="Times New Roman" w:cs="Times New Roman"/>
                <w:b w:val="0"/>
                <w:bCs w:val="0"/>
                <w:color w:val="auto"/>
                <w:sz w:val="24"/>
                <w:szCs w:val="24"/>
                <w:lang w:val="zh-CN" w:eastAsia="zh-CN"/>
              </w:rPr>
            </w:pPr>
            <w:r>
              <w:rPr>
                <w:rFonts w:hint="default" w:ascii="Times New Roman" w:hAnsi="Times New Roman" w:cs="Times New Roman"/>
                <w:b w:val="0"/>
                <w:bCs w:val="0"/>
                <w:color w:val="auto"/>
                <w:sz w:val="24"/>
                <w:szCs w:val="24"/>
                <w:lang w:val="zh-CN" w:eastAsia="zh-CN"/>
              </w:rPr>
              <w:t>为减少火灾爆炸事故的产生和影响，企业应采取相应的措施。</w:t>
            </w:r>
          </w:p>
          <w:p w14:paraId="5D9B2D9A">
            <w:pPr>
              <w:keepNext w:val="0"/>
              <w:keepLines w:val="0"/>
              <w:pageBreakBefore w:val="0"/>
              <w:kinsoku/>
              <w:wordWrap/>
              <w:overflowPunct/>
              <w:topLinePunct w:val="0"/>
              <w:bidi w:val="0"/>
              <w:adjustRightInd/>
              <w:snapToGrid/>
              <w:spacing w:line="360" w:lineRule="auto"/>
              <w:ind w:right="0" w:firstLine="480" w:firstLineChars="200"/>
              <w:jc w:val="left"/>
              <w:textAlignment w:val="auto"/>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Ⅰ.</w:t>
            </w:r>
            <w:r>
              <w:rPr>
                <w:rFonts w:hint="default" w:ascii="Times New Roman" w:hAnsi="Times New Roman" w:cs="Times New Roman"/>
                <w:color w:val="auto"/>
                <w:sz w:val="24"/>
                <w:szCs w:val="24"/>
              </w:rPr>
              <w:t>企业需建立健全安全操作规程及值勤制度，设置通讯、报警装置，并</w:t>
            </w:r>
            <w:r>
              <w:rPr>
                <w:rFonts w:hint="default" w:ascii="Times New Roman" w:hAnsi="Times New Roman" w:cs="Times New Roman"/>
                <w:color w:val="auto"/>
                <w:sz w:val="24"/>
                <w:szCs w:val="24"/>
                <w:lang w:val="zh-CN"/>
              </w:rPr>
              <w:t>确保其处于完好状态；对储存危险化学品的容器，应设置明显的标识及警示牌，对使用危险化学品的名称、数量进行严格登记；凡储存、使用危险化学品的岗位，都应配置合格的消防器材，并确保其处于完好状态；所有进入储存、使用危险化学品岗位的人员，都必须严格遵守《危险化学品管理制度》。</w:t>
            </w:r>
          </w:p>
          <w:p w14:paraId="1FA74D6B">
            <w:pPr>
              <w:keepNext w:val="0"/>
              <w:keepLines w:val="0"/>
              <w:pageBreakBefore w:val="0"/>
              <w:kinsoku/>
              <w:wordWrap/>
              <w:overflowPunct/>
              <w:topLinePunct w:val="0"/>
              <w:bidi w:val="0"/>
              <w:adjustRightInd/>
              <w:snapToGrid/>
              <w:spacing w:line="360" w:lineRule="auto"/>
              <w:ind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Ⅱ</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在原</w:t>
            </w:r>
            <w:r>
              <w:rPr>
                <w:rFonts w:hint="eastAsia" w:ascii="Times New Roman" w:hAnsi="Times New Roman" w:eastAsia="宋体" w:cs="Times New Roman"/>
                <w:color w:val="auto"/>
                <w:sz w:val="24"/>
                <w:szCs w:val="24"/>
                <w:lang w:val="en-US" w:eastAsia="zh-CN"/>
              </w:rPr>
              <w:t>辅料仓库及调配、背胶等生产区域设置托盘或者围堰，防止液态物料泄露。</w:t>
            </w:r>
          </w:p>
          <w:p w14:paraId="64EC075B">
            <w:pPr>
              <w:pStyle w:val="6"/>
              <w:keepNext w:val="0"/>
              <w:keepLines w:val="0"/>
              <w:pageBreakBefore w:val="0"/>
              <w:kinsoku/>
              <w:wordWrap/>
              <w:overflowPunct/>
              <w:topLinePunct w:val="0"/>
              <w:bidi w:val="0"/>
              <w:adjustRightInd/>
              <w:snapToGrid/>
              <w:spacing w:line="360" w:lineRule="auto"/>
              <w:ind w:right="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建设单位应建设一定容量的事故池，以接纳事故情况下排放的污水，保证事故情况下不向外环境排放污水。在事故结束之后，再对事故废水进行处理。本项目拟建设一座事故池。</w:t>
            </w:r>
          </w:p>
          <w:p w14:paraId="1C84FBC2">
            <w:pPr>
              <w:pStyle w:val="2"/>
              <w:keepNext w:val="0"/>
              <w:keepLines w:val="0"/>
              <w:pageBreakBefore w:val="0"/>
              <w:kinsoku/>
              <w:wordWrap/>
              <w:overflowPunct/>
              <w:topLinePunct w:val="0"/>
              <w:bidi w:val="0"/>
              <w:adjustRightInd/>
              <w:snapToGrid/>
              <w:spacing w:before="0" w:after="0" w:line="360" w:lineRule="auto"/>
              <w:ind w:right="0"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根据《水体污染防控紧急措施设计导则》，事故池计算方法如下：</w:t>
            </w:r>
          </w:p>
          <w:p w14:paraId="4424A1DC">
            <w:pPr>
              <w:pStyle w:val="142"/>
              <w:keepNext w:val="0"/>
              <w:keepLines w:val="0"/>
              <w:pageBreakBefore w:val="0"/>
              <w:kinsoku/>
              <w:wordWrap/>
              <w:overflowPunct/>
              <w:topLinePunct w:val="0"/>
              <w:bidi w:val="0"/>
              <w:adjustRightInd/>
              <w:snapToGrid/>
              <w:ind w:right="0" w:firstLine="20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bCs w:val="0"/>
                <w:color w:val="auto"/>
                <w:lang w:val="en-US" w:eastAsia="zh-CN"/>
              </w:rPr>
              <w:t>V</w:t>
            </w:r>
            <w:r>
              <w:rPr>
                <w:rFonts w:hint="default" w:ascii="Times New Roman" w:hAnsi="Times New Roman" w:cs="Times New Roman"/>
                <w:bCs w:val="0"/>
                <w:color w:val="auto"/>
                <w:vertAlign w:val="subscript"/>
                <w:lang w:val="en-US" w:eastAsia="zh-CN"/>
              </w:rPr>
              <w:t>总</w:t>
            </w:r>
            <w:r>
              <w:rPr>
                <w:rFonts w:hint="default" w:ascii="Times New Roman" w:hAnsi="Times New Roman" w:cs="Times New Roman"/>
                <w:bCs w:val="0"/>
                <w:color w:val="auto"/>
                <w:lang w:val="en-US" w:eastAsia="zh-CN"/>
              </w:rPr>
              <w:t>=</w:t>
            </w:r>
            <w:r>
              <w:rPr>
                <w:rFonts w:hint="default" w:ascii="Times New Roman" w:hAnsi="Times New Roman" w:cs="Times New Roman"/>
                <w:color w:val="auto"/>
                <w:lang w:val="en-US" w:eastAsia="zh-CN"/>
              </w:rPr>
              <w:t>（V</w:t>
            </w:r>
            <w:r>
              <w:rPr>
                <w:rFonts w:hint="default" w:ascii="Times New Roman" w:hAnsi="Times New Roman" w:cs="Times New Roman"/>
                <w:color w:val="auto"/>
                <w:vertAlign w:val="subscript"/>
                <w:lang w:val="en-US" w:eastAsia="zh-CN"/>
              </w:rPr>
              <w:t>1</w:t>
            </w:r>
            <w:r>
              <w:rPr>
                <w:rFonts w:hint="default" w:ascii="Times New Roman" w:hAnsi="Times New Roman" w:cs="Times New Roman"/>
                <w:color w:val="auto"/>
                <w:lang w:val="en-US" w:eastAsia="zh-CN"/>
              </w:rPr>
              <w:t>+ V</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 V</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w:t>
            </w:r>
            <w:r>
              <w:rPr>
                <w:rFonts w:hint="default" w:ascii="Times New Roman" w:hAnsi="Times New Roman" w:cs="Times New Roman"/>
                <w:color w:val="auto"/>
                <w:vertAlign w:val="subscript"/>
                <w:lang w:val="en-US" w:eastAsia="zh-CN"/>
              </w:rPr>
              <w:t>max</w:t>
            </w:r>
            <w:r>
              <w:rPr>
                <w:rFonts w:hint="default" w:ascii="Times New Roman" w:hAnsi="Times New Roman" w:cs="Times New Roman"/>
                <w:color w:val="auto"/>
                <w:lang w:val="en-US" w:eastAsia="zh-CN"/>
              </w:rPr>
              <w:t>+V</w:t>
            </w:r>
            <w:r>
              <w:rPr>
                <w:rFonts w:hint="default" w:ascii="Times New Roman" w:hAnsi="Times New Roman" w:cs="Times New Roman"/>
                <w:color w:val="auto"/>
                <w:vertAlign w:val="subscript"/>
                <w:lang w:val="en-US" w:eastAsia="zh-CN"/>
              </w:rPr>
              <w:t>4</w:t>
            </w:r>
            <w:r>
              <w:rPr>
                <w:rFonts w:hint="default" w:ascii="Times New Roman" w:hAnsi="Times New Roman" w:cs="Times New Roman"/>
                <w:color w:val="auto"/>
                <w:lang w:val="en-US" w:eastAsia="zh-CN"/>
              </w:rPr>
              <w:t>+V</w:t>
            </w:r>
            <w:r>
              <w:rPr>
                <w:rFonts w:hint="default" w:ascii="Times New Roman" w:hAnsi="Times New Roman" w:cs="Times New Roman"/>
                <w:color w:val="auto"/>
                <w:vertAlign w:val="subscript"/>
                <w:lang w:val="en-US" w:eastAsia="zh-CN"/>
              </w:rPr>
              <w:t>5</w:t>
            </w:r>
          </w:p>
          <w:p w14:paraId="3E6B41CE">
            <w:pPr>
              <w:keepNext w:val="0"/>
              <w:keepLines w:val="0"/>
              <w:pageBreakBefore w:val="0"/>
              <w:kinsoku/>
              <w:wordWrap/>
              <w:overflowPunct/>
              <w:topLinePunct w:val="0"/>
              <w:bidi w:val="0"/>
              <w:adjustRightInd/>
              <w:snapToGrid/>
              <w:spacing w:line="360" w:lineRule="auto"/>
              <w:ind w:right="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注（V</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）max是指对收集系统范围内不同罐组或装置分别计V</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，取其中最大值。</w:t>
            </w:r>
          </w:p>
          <w:p w14:paraId="65784741">
            <w:pPr>
              <w:pStyle w:val="2"/>
              <w:keepNext w:val="0"/>
              <w:keepLines w:val="0"/>
              <w:pageBreakBefore w:val="0"/>
              <w:kinsoku/>
              <w:wordWrap/>
              <w:overflowPunct/>
              <w:topLinePunct w:val="0"/>
              <w:bidi w:val="0"/>
              <w:adjustRightInd/>
              <w:snapToGrid/>
              <w:spacing w:before="0" w:after="0" w:line="360" w:lineRule="auto"/>
              <w:ind w:right="0" w:firstLine="480" w:firstLineChars="200"/>
              <w:jc w:val="lef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V</w:t>
            </w:r>
            <w:r>
              <w:rPr>
                <w:rFonts w:hint="default" w:ascii="Times New Roman" w:hAnsi="Times New Roman" w:cs="Times New Roman"/>
                <w:b w:val="0"/>
                <w:bCs w:val="0"/>
                <w:color w:val="auto"/>
                <w:sz w:val="24"/>
                <w:szCs w:val="24"/>
                <w:vertAlign w:val="subscript"/>
                <w:lang w:val="en-US" w:eastAsia="zh-CN"/>
              </w:rPr>
              <w:t>1</w:t>
            </w:r>
            <w:r>
              <w:rPr>
                <w:rFonts w:hint="default" w:ascii="Times New Roman" w:hAnsi="Times New Roman" w:cs="Times New Roman"/>
                <w:b w:val="0"/>
                <w:bCs w:val="0"/>
                <w:color w:val="auto"/>
                <w:sz w:val="24"/>
                <w:szCs w:val="24"/>
                <w:lang w:val="en-US" w:eastAsia="zh-CN"/>
              </w:rPr>
              <w:t>—收集系统范围内发生事故的1个罐组或1套装置的物料量；本项目按照事故时一个装置物料的量，一个丁苯乳胶包装桶装填量V1=0.</w:t>
            </w:r>
            <w:r>
              <w:rPr>
                <w:rFonts w:hint="eastAsia" w:ascii="Times New Roman" w:hAnsi="Times New Roman" w:cs="Times New Roman"/>
                <w:b w:val="0"/>
                <w:bCs w:val="0"/>
                <w:color w:val="auto"/>
                <w:sz w:val="24"/>
                <w:szCs w:val="24"/>
                <w:lang w:val="en-US" w:eastAsia="zh-CN"/>
              </w:rPr>
              <w:t>5</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w:t>
            </w:r>
          </w:p>
          <w:p w14:paraId="6A310D02">
            <w:pPr>
              <w:pStyle w:val="2"/>
              <w:keepNext w:val="0"/>
              <w:keepLines w:val="0"/>
              <w:pageBreakBefore w:val="0"/>
              <w:kinsoku/>
              <w:wordWrap/>
              <w:overflowPunct/>
              <w:topLinePunct w:val="0"/>
              <w:bidi w:val="0"/>
              <w:adjustRightInd/>
              <w:snapToGrid/>
              <w:spacing w:before="0" w:after="0" w:line="360" w:lineRule="auto"/>
              <w:ind w:right="0" w:firstLine="480" w:firstLineChars="200"/>
              <w:jc w:val="lef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V</w:t>
            </w:r>
            <w:r>
              <w:rPr>
                <w:rFonts w:hint="default" w:ascii="Times New Roman" w:hAnsi="Times New Roman" w:cs="Times New Roman"/>
                <w:b w:val="0"/>
                <w:bCs w:val="0"/>
                <w:color w:val="auto"/>
                <w:sz w:val="24"/>
                <w:szCs w:val="24"/>
                <w:vertAlign w:val="subscript"/>
                <w:lang w:val="en-US" w:eastAsia="zh-CN"/>
              </w:rPr>
              <w:t>2</w:t>
            </w:r>
            <w:r>
              <w:rPr>
                <w:rFonts w:hint="default" w:ascii="Times New Roman" w:hAnsi="Times New Roman" w:cs="Times New Roman"/>
                <w:b w:val="0"/>
                <w:bCs w:val="0"/>
                <w:color w:val="auto"/>
                <w:sz w:val="24"/>
                <w:szCs w:val="24"/>
                <w:lang w:val="en-US" w:eastAsia="zh-CN"/>
              </w:rPr>
              <w:t>—发生事故的储罐或装置的消防用水量，m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；V</w:t>
            </w:r>
            <w:r>
              <w:rPr>
                <w:rFonts w:hint="default" w:ascii="Times New Roman" w:hAnsi="Times New Roman" w:cs="Times New Roman"/>
                <w:b w:val="0"/>
                <w:bCs w:val="0"/>
                <w:color w:val="auto"/>
                <w:sz w:val="24"/>
                <w:szCs w:val="24"/>
                <w:vertAlign w:val="subscript"/>
                <w:lang w:val="en-US" w:eastAsia="zh-CN"/>
              </w:rPr>
              <w:t>2</w:t>
            </w:r>
            <w:r>
              <w:rPr>
                <w:rFonts w:hint="default" w:ascii="Times New Roman" w:hAnsi="Times New Roman" w:cs="Times New Roman"/>
                <w:b w:val="0"/>
                <w:bCs w:val="0"/>
                <w:color w:val="auto"/>
                <w:sz w:val="24"/>
                <w:szCs w:val="24"/>
                <w:lang w:val="en-US" w:eastAsia="zh-CN"/>
              </w:rPr>
              <w:t>=∑Q消×t消（Q消为发生事故的储罐或装置的同时使用的消防设施给水流量，m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/h；t消为消防设施对应的设计消防历时，h</w:t>
            </w:r>
            <w:r>
              <w:rPr>
                <w:rFonts w:hint="default" w:ascii="Times New Roman" w:hAnsi="Times New Roman" w:cs="Times New Roman"/>
                <w:b w:val="0"/>
                <w:bCs w:val="0"/>
                <w:color w:val="auto"/>
                <w:kern w:val="44"/>
                <w:sz w:val="24"/>
                <w:szCs w:val="24"/>
                <w:lang w:val="en-US" w:eastAsia="zh-CN"/>
              </w:rPr>
              <w:t>）。根据《消防给水及消火栓系统技术规范》（GB50974-2014）第3.3.2条规定，最大建筑体积为车间（V=</w:t>
            </w:r>
            <w:r>
              <w:rPr>
                <w:rFonts w:hint="eastAsia" w:ascii="Times New Roman" w:hAnsi="Times New Roman" w:cs="Times New Roman"/>
                <w:b w:val="0"/>
                <w:bCs w:val="0"/>
                <w:color w:val="auto"/>
                <w:kern w:val="44"/>
                <w:sz w:val="24"/>
                <w:szCs w:val="24"/>
                <w:lang w:val="en-US" w:eastAsia="zh-CN"/>
              </w:rPr>
              <w:t>2</w:t>
            </w:r>
            <w:r>
              <w:rPr>
                <w:rFonts w:hint="default" w:ascii="Times New Roman" w:hAnsi="Times New Roman" w:cs="Times New Roman"/>
                <w:b w:val="0"/>
                <w:bCs w:val="0"/>
                <w:color w:val="auto"/>
                <w:kern w:val="44"/>
                <w:sz w:val="24"/>
                <w:szCs w:val="24"/>
                <w:lang w:val="en-US" w:eastAsia="zh-CN"/>
              </w:rPr>
              <w:t>000m</w:t>
            </w:r>
            <w:r>
              <w:rPr>
                <w:rFonts w:hint="default" w:ascii="Times New Roman" w:hAnsi="Times New Roman" w:cs="Times New Roman"/>
                <w:b w:val="0"/>
                <w:bCs w:val="0"/>
                <w:color w:val="auto"/>
                <w:kern w:val="44"/>
                <w:sz w:val="24"/>
                <w:szCs w:val="24"/>
                <w:vertAlign w:val="superscript"/>
                <w:lang w:val="en-US" w:eastAsia="zh-CN"/>
              </w:rPr>
              <w:t>2</w:t>
            </w:r>
            <w:r>
              <w:rPr>
                <w:rFonts w:hint="default" w:ascii="Times New Roman" w:hAnsi="Times New Roman" w:cs="Times New Roman"/>
                <w:b w:val="0"/>
                <w:bCs w:val="0"/>
                <w:color w:val="auto"/>
                <w:kern w:val="44"/>
                <w:sz w:val="24"/>
                <w:szCs w:val="24"/>
                <w:lang w:val="en-US" w:eastAsia="zh-CN"/>
              </w:rPr>
              <w:t>×10m=</w:t>
            </w:r>
            <w:r>
              <w:rPr>
                <w:rFonts w:hint="eastAsia" w:ascii="Times New Roman" w:hAnsi="Times New Roman" w:cs="Times New Roman"/>
                <w:b w:val="0"/>
                <w:bCs w:val="0"/>
                <w:color w:val="auto"/>
                <w:kern w:val="44"/>
                <w:sz w:val="24"/>
                <w:szCs w:val="24"/>
                <w:lang w:val="en-US" w:eastAsia="zh-CN"/>
              </w:rPr>
              <w:t>2</w:t>
            </w:r>
            <w:r>
              <w:rPr>
                <w:rFonts w:hint="default" w:ascii="Times New Roman" w:hAnsi="Times New Roman" w:cs="Times New Roman"/>
                <w:b w:val="0"/>
                <w:bCs w:val="0"/>
                <w:color w:val="auto"/>
                <w:kern w:val="44"/>
                <w:sz w:val="24"/>
                <w:szCs w:val="24"/>
                <w:lang w:val="en-US" w:eastAsia="zh-CN"/>
              </w:rPr>
              <w:t>0000m</w:t>
            </w:r>
            <w:r>
              <w:rPr>
                <w:rFonts w:hint="default" w:ascii="Times New Roman" w:hAnsi="Times New Roman" w:cs="Times New Roman"/>
                <w:b w:val="0"/>
                <w:bCs w:val="0"/>
                <w:color w:val="auto"/>
                <w:kern w:val="44"/>
                <w:sz w:val="24"/>
                <w:szCs w:val="24"/>
                <w:vertAlign w:val="superscript"/>
                <w:lang w:val="en-US" w:eastAsia="zh-CN"/>
              </w:rPr>
              <w:t>3</w:t>
            </w:r>
            <w:r>
              <w:rPr>
                <w:rFonts w:hint="default" w:ascii="Times New Roman" w:hAnsi="Times New Roman" w:cs="Times New Roman"/>
                <w:b w:val="0"/>
                <w:bCs w:val="0"/>
                <w:color w:val="auto"/>
                <w:kern w:val="44"/>
                <w:sz w:val="24"/>
                <w:szCs w:val="24"/>
                <w:lang w:val="en-US" w:eastAsia="zh-CN"/>
              </w:rPr>
              <w:t>）可知，消防用水流量为2</w:t>
            </w:r>
            <w:r>
              <w:rPr>
                <w:rFonts w:hint="eastAsia" w:ascii="Times New Roman" w:hAnsi="Times New Roman" w:cs="Times New Roman"/>
                <w:b w:val="0"/>
                <w:bCs w:val="0"/>
                <w:color w:val="auto"/>
                <w:kern w:val="44"/>
                <w:sz w:val="24"/>
                <w:szCs w:val="24"/>
                <w:lang w:val="en-US" w:eastAsia="zh-CN"/>
              </w:rPr>
              <w:t>0</w:t>
            </w:r>
            <w:r>
              <w:rPr>
                <w:rFonts w:hint="default" w:ascii="Times New Roman" w:hAnsi="Times New Roman" w:cs="Times New Roman"/>
                <w:b w:val="0"/>
                <w:bCs w:val="0"/>
                <w:color w:val="auto"/>
                <w:kern w:val="44"/>
                <w:sz w:val="24"/>
                <w:szCs w:val="24"/>
                <w:lang w:val="en-US" w:eastAsia="zh-CN"/>
              </w:rPr>
              <w:t>L/s，假设事故持续0.5h，则消防用水量约</w:t>
            </w:r>
            <w:r>
              <w:rPr>
                <w:rFonts w:hint="eastAsia" w:ascii="Times New Roman" w:hAnsi="Times New Roman" w:cs="Times New Roman"/>
                <w:b w:val="0"/>
                <w:bCs w:val="0"/>
                <w:color w:val="auto"/>
                <w:kern w:val="44"/>
                <w:sz w:val="24"/>
                <w:szCs w:val="24"/>
                <w:lang w:val="en-US" w:eastAsia="zh-CN"/>
              </w:rPr>
              <w:t>36</w:t>
            </w:r>
            <w:r>
              <w:rPr>
                <w:rFonts w:hint="default" w:ascii="Times New Roman" w:hAnsi="Times New Roman" w:cs="Times New Roman"/>
                <w:b w:val="0"/>
                <w:bCs w:val="0"/>
                <w:color w:val="auto"/>
                <w:kern w:val="44"/>
                <w:sz w:val="24"/>
                <w:szCs w:val="24"/>
                <w:lang w:val="en-US" w:eastAsia="zh-CN"/>
              </w:rPr>
              <w:t>m</w:t>
            </w:r>
            <w:r>
              <w:rPr>
                <w:rFonts w:hint="default" w:ascii="Times New Roman" w:hAnsi="Times New Roman" w:cs="Times New Roman"/>
                <w:b w:val="0"/>
                <w:bCs w:val="0"/>
                <w:color w:val="auto"/>
                <w:kern w:val="44"/>
                <w:sz w:val="24"/>
                <w:szCs w:val="24"/>
                <w:vertAlign w:val="superscript"/>
                <w:lang w:val="en-US" w:eastAsia="zh-CN"/>
              </w:rPr>
              <w:t>3</w:t>
            </w:r>
            <w:r>
              <w:rPr>
                <w:rFonts w:hint="default" w:ascii="Times New Roman" w:hAnsi="Times New Roman" w:cs="Times New Roman"/>
                <w:b w:val="0"/>
                <w:bCs w:val="0"/>
                <w:color w:val="auto"/>
                <w:kern w:val="44"/>
                <w:sz w:val="24"/>
                <w:szCs w:val="24"/>
                <w:lang w:val="en-US" w:eastAsia="zh-CN"/>
              </w:rPr>
              <w:t>。</w:t>
            </w:r>
          </w:p>
          <w:p w14:paraId="769C1F02">
            <w:pPr>
              <w:pStyle w:val="2"/>
              <w:keepNext w:val="0"/>
              <w:keepLines w:val="0"/>
              <w:pageBreakBefore w:val="0"/>
              <w:kinsoku/>
              <w:wordWrap/>
              <w:overflowPunct/>
              <w:topLinePunct w:val="0"/>
              <w:bidi w:val="0"/>
              <w:adjustRightInd/>
              <w:snapToGrid/>
              <w:spacing w:before="0" w:after="0" w:line="360" w:lineRule="auto"/>
              <w:ind w:right="0" w:firstLine="480" w:firstLineChars="200"/>
              <w:jc w:val="lef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V</w:t>
            </w:r>
            <w:r>
              <w:rPr>
                <w:rFonts w:hint="default" w:ascii="Times New Roman" w:hAnsi="Times New Roman" w:cs="Times New Roman"/>
                <w:b w:val="0"/>
                <w:bCs w:val="0"/>
                <w:color w:val="auto"/>
                <w:sz w:val="24"/>
                <w:szCs w:val="24"/>
                <w:vertAlign w:val="subscript"/>
                <w:lang w:val="en-US" w:eastAsia="zh-CN"/>
              </w:rPr>
              <w:t>3</w:t>
            </w:r>
            <w:r>
              <w:rPr>
                <w:rFonts w:hint="default" w:ascii="Times New Roman" w:hAnsi="Times New Roman" w:cs="Times New Roman"/>
                <w:b w:val="0"/>
                <w:bCs w:val="0"/>
                <w:color w:val="auto"/>
                <w:sz w:val="24"/>
                <w:szCs w:val="24"/>
                <w:lang w:val="en-US" w:eastAsia="zh-CN"/>
              </w:rPr>
              <w:t>—发生事故时可以转输到其他储存或处理设施的物料量，m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；V</w:t>
            </w:r>
            <w:r>
              <w:rPr>
                <w:rFonts w:hint="default" w:ascii="Times New Roman" w:hAnsi="Times New Roman" w:cs="Times New Roman"/>
                <w:b w:val="0"/>
                <w:bCs w:val="0"/>
                <w:color w:val="auto"/>
                <w:sz w:val="24"/>
                <w:szCs w:val="24"/>
                <w:vertAlign w:val="subscript"/>
                <w:lang w:val="en-US" w:eastAsia="zh-CN"/>
              </w:rPr>
              <w:t>3</w:t>
            </w:r>
            <w:r>
              <w:rPr>
                <w:rFonts w:hint="default" w:ascii="Times New Roman" w:hAnsi="Times New Roman" w:cs="Times New Roman"/>
                <w:b w:val="0"/>
                <w:bCs w:val="0"/>
                <w:color w:val="auto"/>
                <w:sz w:val="24"/>
                <w:szCs w:val="24"/>
                <w:lang w:val="en-US" w:eastAsia="zh-CN"/>
              </w:rPr>
              <w:t>＝</w:t>
            </w:r>
            <w:r>
              <w:rPr>
                <w:rFonts w:hint="eastAsia" w:cs="Times New Roman"/>
                <w:b w:val="0"/>
                <w:bCs w:val="0"/>
                <w:color w:val="auto"/>
                <w:sz w:val="24"/>
                <w:szCs w:val="24"/>
                <w:lang w:val="en-US" w:eastAsia="zh-CN"/>
              </w:rPr>
              <w:t>0</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w:t>
            </w:r>
          </w:p>
          <w:p w14:paraId="52C34B41">
            <w:pPr>
              <w:keepNext w:val="0"/>
              <w:keepLines w:val="0"/>
              <w:pageBreakBefore w:val="0"/>
              <w:kinsoku/>
              <w:wordWrap/>
              <w:overflowPunct/>
              <w:topLinePunct w:val="0"/>
              <w:bidi w:val="0"/>
              <w:adjustRightInd/>
              <w:snapToGrid/>
              <w:spacing w:line="360" w:lineRule="auto"/>
              <w:ind w:right="0" w:firstLine="480" w:firstLineChars="200"/>
              <w:contextualSpacing/>
              <w:jc w:val="left"/>
              <w:textAlignment w:val="auto"/>
              <w:rPr>
                <w:rFonts w:hint="default" w:ascii="Times New Roman" w:hAnsi="Times New Roman" w:cs="Times New Roman"/>
                <w:color w:val="auto"/>
                <w:szCs w:val="24"/>
              </w:rPr>
            </w:pPr>
            <w:r>
              <w:rPr>
                <w:rFonts w:hint="default" w:ascii="Times New Roman" w:hAnsi="Times New Roman" w:cs="Times New Roman"/>
                <w:color w:val="auto"/>
                <w:sz w:val="24"/>
                <w:szCs w:val="24"/>
              </w:rPr>
              <w:t>V4—发生事故时仍必须进入该收集系统的生产废水量，m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103554DA">
            <w:pPr>
              <w:pStyle w:val="142"/>
              <w:keepNext w:val="0"/>
              <w:keepLines w:val="0"/>
              <w:pageBreakBefore w:val="0"/>
              <w:kinsoku/>
              <w:wordWrap/>
              <w:overflowPunct/>
              <w:topLinePunct w:val="0"/>
              <w:bidi w:val="0"/>
              <w:adjustRightInd/>
              <w:snapToGrid/>
              <w:ind w:right="0"/>
              <w:textAlignment w:val="auto"/>
              <w:rPr>
                <w:rFonts w:hint="eastAsia"/>
                <w:color w:val="auto"/>
                <w:sz w:val="24"/>
                <w:lang w:val="en-US" w:eastAsia="zh-CN"/>
              </w:rPr>
            </w:pPr>
            <w:r>
              <w:rPr>
                <w:color w:val="auto"/>
                <w:lang w:val="en-US" w:eastAsia="zh-CN"/>
              </w:rPr>
              <w:t>V</w:t>
            </w:r>
            <w:r>
              <w:rPr>
                <w:color w:val="auto"/>
                <w:vertAlign w:val="subscript"/>
                <w:lang w:val="en-US" w:eastAsia="zh-CN"/>
              </w:rPr>
              <w:t>5</w:t>
            </w:r>
            <w:r>
              <w:rPr>
                <w:color w:val="auto"/>
                <w:lang w:val="en-US" w:eastAsia="zh-CN"/>
              </w:rPr>
              <w:t>—发生事故时可能进入该系统的降雨量，m</w:t>
            </w:r>
            <w:r>
              <w:rPr>
                <w:color w:val="auto"/>
                <w:vertAlign w:val="superscript"/>
                <w:lang w:val="en-US" w:eastAsia="zh-CN"/>
              </w:rPr>
              <w:t>3</w:t>
            </w:r>
            <w:r>
              <w:rPr>
                <w:color w:val="auto"/>
                <w:lang w:val="en-US" w:eastAsia="zh-CN"/>
              </w:rPr>
              <w:t>；</w:t>
            </w:r>
            <w:r>
              <w:rPr>
                <w:rFonts w:hint="eastAsia"/>
                <w:color w:val="auto"/>
                <w:sz w:val="24"/>
                <w:lang w:val="en-US" w:eastAsia="zh-CN"/>
              </w:rPr>
              <w:t>V</w:t>
            </w:r>
            <w:r>
              <w:rPr>
                <w:rFonts w:hint="eastAsia"/>
                <w:color w:val="auto"/>
                <w:sz w:val="24"/>
                <w:vertAlign w:val="subscript"/>
                <w:lang w:val="en-US" w:eastAsia="zh-CN"/>
              </w:rPr>
              <w:t>5</w:t>
            </w:r>
            <w:r>
              <w:rPr>
                <w:rFonts w:hint="eastAsia"/>
                <w:color w:val="auto"/>
                <w:sz w:val="24"/>
                <w:lang w:val="en-US" w:eastAsia="zh-CN"/>
              </w:rPr>
              <w:t>=10qF</w:t>
            </w:r>
          </w:p>
          <w:p w14:paraId="211A6FB4">
            <w:pPr>
              <w:pStyle w:val="142"/>
              <w:keepNext w:val="0"/>
              <w:keepLines w:val="0"/>
              <w:pageBreakBefore w:val="0"/>
              <w:kinsoku/>
              <w:wordWrap/>
              <w:overflowPunct/>
              <w:topLinePunct w:val="0"/>
              <w:bidi w:val="0"/>
              <w:adjustRightInd/>
              <w:snapToGrid/>
              <w:ind w:right="0"/>
              <w:textAlignment w:val="auto"/>
              <w:rPr>
                <w:rFonts w:hint="eastAsia"/>
                <w:color w:val="auto"/>
                <w:sz w:val="24"/>
                <w:lang w:val="en-US" w:eastAsia="zh-CN"/>
              </w:rPr>
            </w:pPr>
            <w:r>
              <w:rPr>
                <w:rFonts w:hint="eastAsia"/>
                <w:color w:val="auto"/>
                <w:sz w:val="24"/>
                <w:lang w:val="en-US" w:eastAsia="zh-CN"/>
              </w:rPr>
              <w:t>式中：</w:t>
            </w:r>
          </w:p>
          <w:p w14:paraId="670B6121">
            <w:pPr>
              <w:pStyle w:val="142"/>
              <w:keepNext w:val="0"/>
              <w:keepLines w:val="0"/>
              <w:pageBreakBefore w:val="0"/>
              <w:kinsoku/>
              <w:wordWrap/>
              <w:overflowPunct/>
              <w:topLinePunct w:val="0"/>
              <w:bidi w:val="0"/>
              <w:adjustRightInd/>
              <w:snapToGrid/>
              <w:ind w:right="0"/>
              <w:textAlignment w:val="auto"/>
              <w:rPr>
                <w:rFonts w:hint="eastAsia"/>
                <w:color w:val="auto"/>
                <w:sz w:val="24"/>
                <w:lang w:val="en-US" w:eastAsia="zh-CN"/>
              </w:rPr>
            </w:pPr>
            <w:r>
              <w:rPr>
                <w:rFonts w:hint="eastAsia"/>
                <w:color w:val="auto"/>
                <w:sz w:val="24"/>
                <w:lang w:val="en-US" w:eastAsia="zh-CN"/>
              </w:rPr>
              <w:t>q：降雨量强度，mm；q=8.52mm；</w:t>
            </w:r>
          </w:p>
          <w:p w14:paraId="6F3884C1">
            <w:pPr>
              <w:pStyle w:val="142"/>
              <w:keepNext w:val="0"/>
              <w:keepLines w:val="0"/>
              <w:pageBreakBefore w:val="0"/>
              <w:kinsoku/>
              <w:wordWrap/>
              <w:overflowPunct/>
              <w:topLinePunct w:val="0"/>
              <w:bidi w:val="0"/>
              <w:adjustRightInd/>
              <w:snapToGrid/>
              <w:ind w:right="0"/>
              <w:textAlignment w:val="auto"/>
              <w:rPr>
                <w:rFonts w:hint="eastAsia"/>
                <w:color w:val="auto"/>
                <w:sz w:val="24"/>
                <w:lang w:val="en-US" w:eastAsia="zh-CN"/>
              </w:rPr>
            </w:pPr>
            <w:r>
              <w:rPr>
                <w:rFonts w:hint="eastAsia"/>
                <w:color w:val="auto"/>
                <w:sz w:val="24"/>
                <w:lang w:val="en-US" w:eastAsia="zh-CN"/>
              </w:rPr>
              <w:t>F：必须进入事故废水收集系统的雨水汇水面积，ha；取值0.1；</w:t>
            </w:r>
          </w:p>
          <w:p w14:paraId="514543A5">
            <w:pPr>
              <w:pStyle w:val="142"/>
              <w:keepNext w:val="0"/>
              <w:keepLines w:val="0"/>
              <w:pageBreakBefore w:val="0"/>
              <w:kinsoku/>
              <w:wordWrap/>
              <w:overflowPunct/>
              <w:topLinePunct w:val="0"/>
              <w:bidi w:val="0"/>
              <w:adjustRightInd/>
              <w:snapToGrid/>
              <w:ind w:right="0"/>
              <w:textAlignment w:val="auto"/>
              <w:rPr>
                <w:color w:val="auto"/>
                <w:lang w:val="en-US" w:eastAsia="zh-CN"/>
              </w:rPr>
            </w:pPr>
            <w:r>
              <w:rPr>
                <w:color w:val="auto"/>
                <w:lang w:val="en-US" w:eastAsia="zh-CN"/>
              </w:rPr>
              <w:t>计算</w:t>
            </w:r>
            <w:r>
              <w:rPr>
                <w:rFonts w:hint="eastAsia"/>
                <w:color w:val="auto"/>
                <w:lang w:val="en-US" w:eastAsia="zh-CN"/>
              </w:rPr>
              <w:t>V</w:t>
            </w:r>
            <w:r>
              <w:rPr>
                <w:rFonts w:hint="eastAsia"/>
                <w:color w:val="auto"/>
                <w:vertAlign w:val="subscript"/>
                <w:lang w:val="en-US" w:eastAsia="zh-CN"/>
              </w:rPr>
              <w:t>5</w:t>
            </w:r>
            <w:r>
              <w:rPr>
                <w:rFonts w:hint="eastAsia"/>
                <w:color w:val="auto"/>
                <w:lang w:val="en-US" w:eastAsia="zh-CN"/>
              </w:rPr>
              <w:t>=10×8.52×0.1≈8.52m</w:t>
            </w:r>
            <w:r>
              <w:rPr>
                <w:rFonts w:hint="eastAsia"/>
                <w:color w:val="auto"/>
                <w:vertAlign w:val="superscript"/>
                <w:lang w:val="en-US" w:eastAsia="zh-CN"/>
              </w:rPr>
              <w:t>3</w:t>
            </w:r>
            <w:r>
              <w:rPr>
                <w:rFonts w:hint="eastAsia"/>
                <w:color w:val="auto"/>
                <w:lang w:val="en-US" w:eastAsia="zh-CN"/>
              </w:rPr>
              <w:t>（降雨量）</w:t>
            </w:r>
            <w:r>
              <w:rPr>
                <w:color w:val="auto"/>
                <w:lang w:val="en-US" w:eastAsia="zh-CN"/>
              </w:rPr>
              <w:t>。</w:t>
            </w:r>
          </w:p>
          <w:p w14:paraId="3A398E95">
            <w:pPr>
              <w:keepNext w:val="0"/>
              <w:keepLines w:val="0"/>
              <w:pageBreakBefore w:val="0"/>
              <w:kinsoku/>
              <w:wordWrap/>
              <w:overflowPunct/>
              <w:topLinePunct w:val="0"/>
              <w:bidi w:val="0"/>
              <w:adjustRightInd/>
              <w:snapToGrid/>
              <w:spacing w:line="360" w:lineRule="auto"/>
              <w:ind w:right="0" w:firstLine="480" w:firstLineChars="200"/>
              <w:jc w:val="left"/>
              <w:textAlignment w:val="auto"/>
              <w:rPr>
                <w:bCs/>
                <w:color w:val="auto"/>
                <w:kern w:val="44"/>
                <w:sz w:val="24"/>
                <w:szCs w:val="24"/>
              </w:rPr>
            </w:pPr>
            <w:r>
              <w:rPr>
                <w:bCs/>
                <w:color w:val="auto"/>
                <w:kern w:val="44"/>
                <w:sz w:val="24"/>
                <w:szCs w:val="24"/>
              </w:rPr>
              <w:t>事故储存能力核算（V总）：</w:t>
            </w:r>
          </w:p>
          <w:p w14:paraId="5F1FCB32">
            <w:pPr>
              <w:keepNext w:val="0"/>
              <w:keepLines w:val="0"/>
              <w:pageBreakBefore w:val="0"/>
              <w:kinsoku/>
              <w:wordWrap/>
              <w:overflowPunct/>
              <w:topLinePunct w:val="0"/>
              <w:bidi w:val="0"/>
              <w:adjustRightInd/>
              <w:snapToGrid/>
              <w:spacing w:line="360" w:lineRule="auto"/>
              <w:ind w:right="0" w:firstLine="480" w:firstLineChars="200"/>
              <w:jc w:val="left"/>
              <w:textAlignment w:val="auto"/>
              <w:rPr>
                <w:bCs/>
                <w:color w:val="auto"/>
                <w:kern w:val="44"/>
                <w:sz w:val="24"/>
                <w:szCs w:val="24"/>
              </w:rPr>
            </w:pPr>
            <w:r>
              <w:rPr>
                <w:bCs/>
                <w:color w:val="auto"/>
                <w:kern w:val="44"/>
                <w:sz w:val="24"/>
                <w:szCs w:val="24"/>
              </w:rPr>
              <w:t>V</w:t>
            </w:r>
            <w:r>
              <w:rPr>
                <w:bCs/>
                <w:color w:val="auto"/>
                <w:kern w:val="44"/>
                <w:sz w:val="24"/>
                <w:szCs w:val="24"/>
                <w:vertAlign w:val="subscript"/>
              </w:rPr>
              <w:t>总</w:t>
            </w:r>
            <w:r>
              <w:rPr>
                <w:bCs/>
                <w:color w:val="auto"/>
                <w:kern w:val="44"/>
                <w:sz w:val="24"/>
                <w:szCs w:val="24"/>
              </w:rPr>
              <w:t>=（V</w:t>
            </w:r>
            <w:r>
              <w:rPr>
                <w:bCs/>
                <w:color w:val="auto"/>
                <w:kern w:val="44"/>
                <w:sz w:val="24"/>
                <w:szCs w:val="24"/>
                <w:vertAlign w:val="subscript"/>
              </w:rPr>
              <w:t>1</w:t>
            </w:r>
            <w:r>
              <w:rPr>
                <w:bCs/>
                <w:color w:val="auto"/>
                <w:kern w:val="44"/>
                <w:sz w:val="24"/>
                <w:szCs w:val="24"/>
              </w:rPr>
              <w:t>+V</w:t>
            </w:r>
            <w:r>
              <w:rPr>
                <w:bCs/>
                <w:color w:val="auto"/>
                <w:kern w:val="44"/>
                <w:sz w:val="24"/>
                <w:szCs w:val="24"/>
                <w:vertAlign w:val="subscript"/>
              </w:rPr>
              <w:t>2</w:t>
            </w:r>
            <w:r>
              <w:rPr>
                <w:bCs/>
                <w:color w:val="auto"/>
                <w:kern w:val="44"/>
                <w:sz w:val="24"/>
                <w:szCs w:val="24"/>
              </w:rPr>
              <w:t>-V</w:t>
            </w:r>
            <w:r>
              <w:rPr>
                <w:bCs/>
                <w:color w:val="auto"/>
                <w:kern w:val="44"/>
                <w:sz w:val="24"/>
                <w:szCs w:val="24"/>
                <w:vertAlign w:val="subscript"/>
              </w:rPr>
              <w:t>3</w:t>
            </w:r>
            <w:r>
              <w:rPr>
                <w:bCs/>
                <w:color w:val="auto"/>
                <w:kern w:val="44"/>
                <w:sz w:val="24"/>
                <w:szCs w:val="24"/>
              </w:rPr>
              <w:t>）max+V</w:t>
            </w:r>
            <w:r>
              <w:rPr>
                <w:bCs/>
                <w:color w:val="auto"/>
                <w:kern w:val="44"/>
                <w:sz w:val="24"/>
                <w:szCs w:val="24"/>
                <w:vertAlign w:val="subscript"/>
              </w:rPr>
              <w:t>4</w:t>
            </w:r>
            <w:r>
              <w:rPr>
                <w:bCs/>
                <w:color w:val="auto"/>
                <w:kern w:val="44"/>
                <w:sz w:val="24"/>
                <w:szCs w:val="24"/>
              </w:rPr>
              <w:t>+V</w:t>
            </w:r>
            <w:r>
              <w:rPr>
                <w:bCs/>
                <w:color w:val="auto"/>
                <w:kern w:val="44"/>
                <w:sz w:val="24"/>
                <w:szCs w:val="24"/>
                <w:vertAlign w:val="subscript"/>
              </w:rPr>
              <w:t>5</w:t>
            </w:r>
            <w:r>
              <w:rPr>
                <w:bCs/>
                <w:color w:val="auto"/>
                <w:kern w:val="44"/>
                <w:sz w:val="24"/>
                <w:szCs w:val="24"/>
              </w:rPr>
              <w:t>=</w:t>
            </w:r>
            <w:r>
              <w:rPr>
                <w:rFonts w:hint="eastAsia"/>
                <w:bCs/>
                <w:color w:val="auto"/>
                <w:kern w:val="44"/>
                <w:sz w:val="24"/>
                <w:szCs w:val="24"/>
              </w:rPr>
              <w:t>（0.</w:t>
            </w:r>
            <w:r>
              <w:rPr>
                <w:rFonts w:hint="eastAsia"/>
                <w:bCs/>
                <w:color w:val="auto"/>
                <w:kern w:val="44"/>
                <w:sz w:val="24"/>
                <w:szCs w:val="24"/>
                <w:lang w:val="en-US" w:eastAsia="zh-CN"/>
              </w:rPr>
              <w:t>5</w:t>
            </w:r>
            <w:r>
              <w:rPr>
                <w:rFonts w:hint="eastAsia"/>
                <w:bCs/>
                <w:color w:val="auto"/>
                <w:kern w:val="44"/>
                <w:sz w:val="24"/>
                <w:szCs w:val="24"/>
              </w:rPr>
              <w:t>+</w:t>
            </w:r>
            <w:r>
              <w:rPr>
                <w:rFonts w:hint="eastAsia"/>
                <w:bCs/>
                <w:color w:val="auto"/>
                <w:kern w:val="44"/>
                <w:sz w:val="24"/>
                <w:szCs w:val="24"/>
                <w:lang w:val="en-US" w:eastAsia="zh-CN"/>
              </w:rPr>
              <w:t>36</w:t>
            </w:r>
            <w:r>
              <w:rPr>
                <w:rFonts w:hint="eastAsia"/>
                <w:bCs/>
                <w:color w:val="auto"/>
                <w:kern w:val="44"/>
                <w:sz w:val="24"/>
                <w:szCs w:val="24"/>
              </w:rPr>
              <w:t>-0）+0+</w:t>
            </w:r>
            <w:r>
              <w:rPr>
                <w:rFonts w:hint="eastAsia"/>
                <w:bCs/>
                <w:color w:val="auto"/>
                <w:kern w:val="44"/>
                <w:sz w:val="24"/>
                <w:szCs w:val="24"/>
                <w:lang w:val="en-US" w:eastAsia="zh-CN"/>
              </w:rPr>
              <w:t>8.52</w:t>
            </w:r>
            <w:r>
              <w:rPr>
                <w:bCs/>
                <w:color w:val="auto"/>
                <w:kern w:val="44"/>
                <w:sz w:val="24"/>
                <w:szCs w:val="24"/>
              </w:rPr>
              <w:t>=</w:t>
            </w:r>
            <w:r>
              <w:rPr>
                <w:rFonts w:hint="eastAsia"/>
                <w:bCs/>
                <w:color w:val="auto"/>
                <w:kern w:val="44"/>
                <w:sz w:val="24"/>
                <w:szCs w:val="24"/>
                <w:lang w:val="en-US" w:eastAsia="zh-CN"/>
              </w:rPr>
              <w:t>45.02</w:t>
            </w:r>
            <w:r>
              <w:rPr>
                <w:bCs/>
                <w:color w:val="auto"/>
                <w:kern w:val="44"/>
                <w:sz w:val="24"/>
                <w:szCs w:val="24"/>
              </w:rPr>
              <w:t>m</w:t>
            </w:r>
            <w:r>
              <w:rPr>
                <w:bCs/>
                <w:color w:val="auto"/>
                <w:kern w:val="44"/>
                <w:sz w:val="24"/>
                <w:szCs w:val="24"/>
                <w:vertAlign w:val="superscript"/>
              </w:rPr>
              <w:t>3</w:t>
            </w:r>
          </w:p>
          <w:p w14:paraId="41A132BE">
            <w:pPr>
              <w:keepNext w:val="0"/>
              <w:keepLines w:val="0"/>
              <w:pageBreakBefore w:val="0"/>
              <w:kinsoku/>
              <w:wordWrap/>
              <w:overflowPunct/>
              <w:topLinePunct w:val="0"/>
              <w:bidi w:val="0"/>
              <w:adjustRightInd/>
              <w:snapToGrid/>
              <w:spacing w:line="360" w:lineRule="auto"/>
              <w:ind w:right="0" w:firstLine="480" w:firstLineChars="200"/>
              <w:contextualSpacing/>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根据计算，</w:t>
            </w:r>
            <w:r>
              <w:rPr>
                <w:color w:val="auto"/>
                <w:sz w:val="24"/>
                <w:szCs w:val="24"/>
              </w:rPr>
              <w:t>本项目</w:t>
            </w:r>
            <w:r>
              <w:rPr>
                <w:rFonts w:hint="eastAsia"/>
                <w:color w:val="auto"/>
                <w:sz w:val="24"/>
                <w:szCs w:val="24"/>
                <w:lang w:val="en-US" w:eastAsia="zh-CN"/>
              </w:rPr>
              <w:t>拟</w:t>
            </w:r>
            <w:r>
              <w:rPr>
                <w:color w:val="auto"/>
                <w:sz w:val="24"/>
                <w:szCs w:val="24"/>
              </w:rPr>
              <w:t>新建</w:t>
            </w:r>
            <w:r>
              <w:rPr>
                <w:color w:val="auto"/>
                <w:sz w:val="24"/>
                <w:szCs w:val="24"/>
                <w:highlight w:val="none"/>
              </w:rPr>
              <w:t>一个</w:t>
            </w:r>
            <w:r>
              <w:rPr>
                <w:rFonts w:hint="eastAsia"/>
                <w:color w:val="auto"/>
                <w:sz w:val="24"/>
                <w:szCs w:val="24"/>
                <w:highlight w:val="none"/>
                <w:lang w:val="en-US" w:eastAsia="zh-CN"/>
              </w:rPr>
              <w:t>50</w:t>
            </w:r>
            <w:r>
              <w:rPr>
                <w:color w:val="auto"/>
                <w:sz w:val="24"/>
                <w:szCs w:val="24"/>
                <w:highlight w:val="none"/>
              </w:rPr>
              <w:t>m</w:t>
            </w:r>
            <w:r>
              <w:rPr>
                <w:color w:val="auto"/>
                <w:sz w:val="24"/>
                <w:szCs w:val="24"/>
                <w:highlight w:val="none"/>
                <w:vertAlign w:val="superscript"/>
              </w:rPr>
              <w:t>3</w:t>
            </w:r>
            <w:r>
              <w:rPr>
                <w:rFonts w:hint="eastAsia"/>
                <w:color w:val="auto"/>
                <w:sz w:val="24"/>
                <w:szCs w:val="24"/>
                <w:highlight w:val="none"/>
                <w:lang w:eastAsia="zh-CN"/>
              </w:rPr>
              <w:t>（</w:t>
            </w:r>
            <w:r>
              <w:rPr>
                <w:color w:val="auto"/>
                <w:sz w:val="24"/>
                <w:szCs w:val="24"/>
                <w:highlight w:val="none"/>
              </w:rPr>
              <w:t>计算</w:t>
            </w:r>
            <w:r>
              <w:rPr>
                <w:rFonts w:hint="eastAsia"/>
                <w:bCs/>
                <w:color w:val="auto"/>
                <w:kern w:val="44"/>
                <w:sz w:val="24"/>
                <w:szCs w:val="24"/>
                <w:lang w:val="en-US" w:eastAsia="zh-CN"/>
              </w:rPr>
              <w:t>45.02</w:t>
            </w:r>
            <w:r>
              <w:rPr>
                <w:color w:val="auto"/>
                <w:sz w:val="24"/>
                <w:szCs w:val="24"/>
                <w:highlight w:val="none"/>
              </w:rPr>
              <w:t>m</w:t>
            </w:r>
            <w:r>
              <w:rPr>
                <w:color w:val="auto"/>
                <w:sz w:val="24"/>
                <w:szCs w:val="24"/>
                <w:highlight w:val="none"/>
                <w:vertAlign w:val="superscript"/>
              </w:rPr>
              <w:t>3</w:t>
            </w:r>
            <w:r>
              <w:rPr>
                <w:rFonts w:hint="eastAsia"/>
                <w:color w:val="auto"/>
                <w:sz w:val="24"/>
                <w:szCs w:val="24"/>
                <w:highlight w:val="none"/>
                <w:lang w:eastAsia="zh-CN"/>
              </w:rPr>
              <w:t>）</w:t>
            </w:r>
            <w:r>
              <w:rPr>
                <w:color w:val="auto"/>
                <w:sz w:val="24"/>
                <w:szCs w:val="24"/>
                <w:highlight w:val="none"/>
              </w:rPr>
              <w:t>事故池，作为事故废水</w:t>
            </w:r>
            <w:r>
              <w:rPr>
                <w:rFonts w:hint="eastAsia"/>
                <w:color w:val="auto"/>
                <w:sz w:val="24"/>
                <w:szCs w:val="24"/>
                <w:highlight w:val="none"/>
                <w:lang w:eastAsia="zh-CN"/>
              </w:rPr>
              <w:t>（</w:t>
            </w:r>
            <w:r>
              <w:rPr>
                <w:color w:val="auto"/>
                <w:sz w:val="24"/>
                <w:szCs w:val="24"/>
                <w:highlight w:val="none"/>
              </w:rPr>
              <w:t>消防尾水</w:t>
            </w:r>
            <w:r>
              <w:rPr>
                <w:rFonts w:hint="eastAsia"/>
                <w:color w:val="auto"/>
                <w:sz w:val="24"/>
                <w:szCs w:val="24"/>
                <w:highlight w:val="none"/>
                <w:lang w:eastAsia="zh-CN"/>
              </w:rPr>
              <w:t>）</w:t>
            </w:r>
            <w:r>
              <w:rPr>
                <w:color w:val="auto"/>
                <w:sz w:val="24"/>
                <w:szCs w:val="24"/>
                <w:highlight w:val="none"/>
              </w:rPr>
              <w:t>临时贮存池。</w:t>
            </w:r>
            <w:r>
              <w:rPr>
                <w:rFonts w:hint="default" w:ascii="Times New Roman" w:hAnsi="Times New Roman" w:cs="Times New Roman"/>
                <w:color w:val="auto"/>
                <w:sz w:val="24"/>
                <w:szCs w:val="24"/>
              </w:rPr>
              <w:t>通过完善事故废水收集、处理、排放系统，保证发生泄漏事故时，泄漏物料能迅速、安全地集中到事故应急池，然后针对水质实际情况进行必要的处理，避免对评价范围内的周围农田和河流造成影响。</w:t>
            </w:r>
          </w:p>
          <w:p w14:paraId="396785D3">
            <w:pPr>
              <w:keepNext w:val="0"/>
              <w:keepLines w:val="0"/>
              <w:pageBreakBefore w:val="0"/>
              <w:kinsoku/>
              <w:wordWrap/>
              <w:overflowPunct/>
              <w:topLinePunct w:val="0"/>
              <w:bidi w:val="0"/>
              <w:adjustRightInd/>
              <w:snapToGrid/>
              <w:spacing w:line="360" w:lineRule="auto"/>
              <w:ind w:right="0" w:firstLine="480" w:firstLineChars="200"/>
              <w:contextualSpacing/>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事故应急</w:t>
            </w:r>
            <w:r>
              <w:rPr>
                <w:rFonts w:hint="default" w:ascii="Times New Roman" w:hAnsi="Times New Roman" w:cs="Times New Roman"/>
                <w:color w:val="auto"/>
                <w:sz w:val="24"/>
                <w:szCs w:val="24"/>
                <w:lang w:val="en-US" w:eastAsia="zh-CN"/>
              </w:rPr>
              <w:t>系统采用自流的形式，</w:t>
            </w:r>
            <w:r>
              <w:rPr>
                <w:rFonts w:hint="default" w:ascii="Times New Roman" w:hAnsi="Times New Roman" w:cs="Times New Roman"/>
                <w:color w:val="auto"/>
                <w:sz w:val="24"/>
                <w:szCs w:val="24"/>
              </w:rPr>
              <w:t>并且在厂区内集、排水系统管网中设置截流阀。正常情况下通向雨水系统的阀门关闭，通向应急事故池、污水收集系统的阀门打开，发生泄露、火灾或爆炸事故时，泄露物、事故伴生、次生消防水流入雨水收集系统或污水收集系统，紧急关闭污水收集系统的截流阀，可将泄露物、消防水截流在雨水收集系统或污水收集系统内，然后通过系统泵，将伴生、次生污水打入事故应急池，事故废水经处理达标后方可接入污水管网，若建设单位不能处理泄露物，必须委托有资质的单位安全处置，杜绝以任何形式进入区域的污水管网和雨水管网。事故应急池和导排系统应满足防腐防渗抗震的要求，平时必须保证事故池空置，不得作为它用。</w:t>
            </w:r>
          </w:p>
          <w:p w14:paraId="62690117">
            <w:pPr>
              <w:pStyle w:val="13"/>
              <w:keepNext w:val="0"/>
              <w:keepLines w:val="0"/>
              <w:pageBreakBefore w:val="0"/>
              <w:kinsoku/>
              <w:wordWrap/>
              <w:overflowPunct/>
              <w:topLinePunct w:val="0"/>
              <w:bidi w:val="0"/>
              <w:adjustRightInd/>
              <w:snapToGrid/>
              <w:spacing w:line="360" w:lineRule="auto"/>
              <w:ind w:right="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lang w:val="en-US" w:eastAsia="zh-CN"/>
              </w:rPr>
              <w:t>Ⅱ.应加强火源的管理，严禁烟火带入，对设备需进行维修焊接，应经安全部门确认、准许，并有记录。机动车在厂内行驶，须安装阻火器，必要设备安装防火、防爆装置。</w:t>
            </w:r>
          </w:p>
          <w:p w14:paraId="151F4E19">
            <w:pPr>
              <w:pStyle w:val="13"/>
              <w:keepNext w:val="0"/>
              <w:keepLines w:val="0"/>
              <w:pageBreakBefore w:val="0"/>
              <w:kinsoku/>
              <w:wordWrap/>
              <w:overflowPunct/>
              <w:topLinePunct w:val="0"/>
              <w:bidi w:val="0"/>
              <w:adjustRightInd/>
              <w:snapToGrid/>
              <w:spacing w:line="360" w:lineRule="auto"/>
              <w:ind w:right="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lang w:val="en-US" w:eastAsia="zh-CN"/>
              </w:rPr>
              <w:t>Ⅲ.</w:t>
            </w:r>
            <w:r>
              <w:rPr>
                <w:rFonts w:hint="default" w:ascii="Times New Roman" w:hAnsi="Times New Roman" w:cs="Times New Roman"/>
                <w:color w:val="auto"/>
                <w:sz w:val="24"/>
                <w:szCs w:val="24"/>
                <w:lang w:val="en-US" w:eastAsia="zh-CN"/>
              </w:rPr>
              <w:t>项目</w:t>
            </w:r>
            <w:r>
              <w:rPr>
                <w:rFonts w:hint="eastAsia" w:ascii="Times New Roman" w:hAnsi="Times New Roman" w:cs="Times New Roman"/>
                <w:color w:val="auto"/>
                <w:sz w:val="24"/>
                <w:szCs w:val="24"/>
                <w:lang w:val="en-US" w:eastAsia="zh-CN"/>
              </w:rPr>
              <w:t>车间内</w:t>
            </w:r>
            <w:r>
              <w:rPr>
                <w:rFonts w:hint="default" w:ascii="Times New Roman" w:hAnsi="Times New Roman" w:cs="Times New Roman"/>
                <w:color w:val="auto"/>
                <w:sz w:val="24"/>
                <w:szCs w:val="24"/>
                <w:lang w:val="en-US" w:eastAsia="zh-CN"/>
              </w:rPr>
              <w:t>设置一套火灾报警系统，该系统由火灾报警控制器、感烟探测器、感温探测器、手动报警按钮及声光报警器等组成。当本工程各装置区内发生火灾时，以便控制室的工作人员对火灾现场情况做相应的处理。</w:t>
            </w:r>
          </w:p>
          <w:p w14:paraId="2E09CCBA">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auto"/>
                <w:sz w:val="24"/>
              </w:rPr>
              <w:t>Ⅵ.</w:t>
            </w:r>
            <w:r>
              <w:rPr>
                <w:rFonts w:hint="default" w:ascii="Times New Roman" w:hAnsi="Times New Roman" w:cs="Times New Roman"/>
                <w:color w:val="auto"/>
                <w:sz w:val="24"/>
                <w:szCs w:val="24"/>
                <w:lang w:val="zh-CN"/>
              </w:rPr>
              <w:t>设备的安全管理：定期对设备进行安全检测，检测内容、时间、人员应有记录保存。安全检测应根据设备的安全性、危险性设定检测频次。</w:t>
            </w:r>
          </w:p>
          <w:p w14:paraId="180F2821">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（4）环境风险分析</w:t>
            </w:r>
          </w:p>
          <w:p w14:paraId="22965884">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通过雨水冲刷和下渗影响土壤、地表水和地下水。</w:t>
            </w:r>
          </w:p>
          <w:p w14:paraId="672BE62E">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（5）环境风险防范措施及应急要求</w:t>
            </w:r>
          </w:p>
          <w:p w14:paraId="0E60D138">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企业需组建安全环保管理机构，配备管理人员，通过技能培训，承担运行中的环保安全工作。安全环保机构将根据相关的环境管理要求，结合当地具体情况，制定各项安全生产管理制度、严格的生产操作规则和完善的事故应急计划及相应的应急处理手段和设施，同时加强安全教育，以提高职工的安全意识和安全防范能力。</w:t>
            </w:r>
          </w:p>
          <w:p w14:paraId="2B067561">
            <w:pPr>
              <w:spacing w:line="360" w:lineRule="auto"/>
              <w:ind w:firstLine="482" w:firstLineChars="200"/>
              <w:rPr>
                <w:rFonts w:hint="eastAsia" w:ascii="Times New Roman" w:hAnsi="Times New Roman" w:cs="Times New Roman"/>
                <w:b/>
                <w:bCs/>
                <w:sz w:val="24"/>
                <w:szCs w:val="24"/>
                <w:lang w:val="en-US" w:eastAsia="zh-CN"/>
              </w:rPr>
            </w:pPr>
            <w:r>
              <w:rPr>
                <w:rFonts w:hint="default" w:ascii="Times New Roman" w:hAnsi="Times New Roman" w:cs="Times New Roman"/>
                <w:b/>
                <w:sz w:val="24"/>
              </w:rPr>
              <w:t>（</w:t>
            </w:r>
            <w:r>
              <w:rPr>
                <w:rFonts w:hint="eastAsia" w:ascii="Times New Roman" w:hAnsi="Times New Roman" w:cs="Times New Roman"/>
                <w:b/>
                <w:sz w:val="24"/>
                <w:lang w:val="en-US" w:eastAsia="zh-CN"/>
              </w:rPr>
              <w:t>5</w:t>
            </w:r>
            <w:r>
              <w:rPr>
                <w:rFonts w:hint="default" w:ascii="Times New Roman" w:hAnsi="Times New Roman" w:cs="Times New Roman"/>
                <w:b/>
                <w:sz w:val="24"/>
              </w:rPr>
              <w:t>）</w:t>
            </w:r>
            <w:r>
              <w:rPr>
                <w:rFonts w:hint="eastAsia" w:ascii="Times New Roman" w:hAnsi="Times New Roman" w:cs="Times New Roman"/>
                <w:b/>
                <w:bCs/>
                <w:sz w:val="24"/>
                <w:szCs w:val="24"/>
                <w:lang w:val="en-US" w:eastAsia="zh-CN"/>
              </w:rPr>
              <w:t>应急管理制度：</w:t>
            </w:r>
          </w:p>
          <w:p w14:paraId="085EA235">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最早发现者应立即向单位领导、119消防部门、120医疗急救部门电话报警，现场指挥人员应当立即组织自救，主要自救方式为使用消防器材，如使用灭火器、灭火栓取水等方法进行灭火，在可能的情况下，采取有效措施切断易燃或可燃物的泄漏源，并转移有可能引燃或引爆的物料。</w:t>
            </w:r>
          </w:p>
          <w:p w14:paraId="3231DDAF">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②单位领导接到报警后，应迅速通知有关部门和人员，下达按应急救援预案处置的指令，同时发出警报，召集安全领导小组展开应急救援工作，并通知义务消防队进入现场进行事故应急救援工作。</w:t>
            </w:r>
          </w:p>
          <w:p w14:paraId="26EE5AA9">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③由安全领导小组副组长迅速将事故的简要情况向消防、安监、公安、环保、卫生等部门报告。</w:t>
            </w:r>
          </w:p>
          <w:p w14:paraId="0931520F">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A门卫和保安人员接到报警后应立即封锁周围的可能进入危险区的通道，阻止周围不相关人员或车辆进入危险区。</w:t>
            </w:r>
          </w:p>
          <w:p w14:paraId="53ABC3F6">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B凡能经切断物料或用自有灭火器材扑灭火灾而消除事故的，则以自救为主。如泄漏部位自身不能控制的，应向安全领导小组报告事故的具体情况及严重性。</w:t>
            </w:r>
          </w:p>
          <w:p w14:paraId="24B708FD">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C办公室文员接到报警后立即赶往事故现场查明有无受伤人员，以最快速度将受伤或中毒者脱离现场，轻者可自行在安全区内抢救，严重者尽快送医院抢救。</w:t>
            </w:r>
          </w:p>
          <w:p w14:paraId="219BF0AC">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D若自身无法控制事故的发展，特别是发生爆炸性事故时，安全领导小组应当立即向各部门发布紧急疏散的指令，办公室文员接到指令后应当立即组织本单位人员按照本预案提供的安全疏散通道进行疏散撤离，在事故影响有可能波及临近单位或居民时，应向周围企事业单位发出警报，报告事故发生情况，并派人协助对方进行应急处理或疏散撤离。</w:t>
            </w:r>
          </w:p>
          <w:p w14:paraId="38B955CE">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E消防队到达事故现场后，现场应急救援指挥交由消防部门统一指挥。</w:t>
            </w:r>
          </w:p>
          <w:p w14:paraId="08143DD6">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F医疗救护部门到达现场后，办公室文员应与之配合，立即救护伤员和中毒人员，对中毒人员应根据中毒症状及时采取相应的急救措施，对伤员进行清洗包扎或输氧急救，重伤员及时送往医院抢救。</w:t>
            </w:r>
          </w:p>
          <w:p w14:paraId="76990C95">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G抢修危险队到达后，应戴自给正压式呼吸器，对中毒人员展开搜救，并使用消防砂灭火、清除渗漏液等。</w:t>
            </w:r>
          </w:p>
          <w:p w14:paraId="144D5BC0">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H事故监测队到达现场后，应会同厂方相关工程技术人员，了解事故发生原因、源强，并根据风向，查明污染物排放浓度和扩散情况，对事故影响的范围及程度进行分析预测，并向事故现场指挥部报告监测情况。</w:t>
            </w:r>
          </w:p>
          <w:p w14:paraId="34426563">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I当事故得到控制，立即成立二个专门工作小组。</w:t>
            </w:r>
          </w:p>
          <w:p w14:paraId="4B9A7D18">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在安全领导小组组长的指挥下组成事故调查小组，调查事故发生原因和研究制定防范措施。</w:t>
            </w:r>
          </w:p>
          <w:p w14:paraId="23405485">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在安全领导小组指挥下，由生产部人员、仓库管理人员、维修人员组成抢修小组，研究制定抢修方案并立即组织抢修，尽早恢复生产。</w:t>
            </w:r>
          </w:p>
          <w:p w14:paraId="231B76A1">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原料桶不得露天堆放，储存于阴凉通风仓间，远离火种、热源，防止阳光直射，应与易燃或可燃物分开存放。搬运时轻装轻卸，防止原料桶破损或倾倒。划定禁火区，在明显地点设有警示标志，输配电线、灯具、火灾事故照明和疏散指示标志均应符合安全要求；严禁未安装灭火星装置的车辆出入生产装置区。发生大量泄漏：引流入环形沟收容；用泡沫覆盖，抑制蒸发；小量泄漏时应用活性炭或其它惰性材料吸收。合理规划运输路线及时间，加强危险化学物品运输车辆的管理，严格遵守危险品运输管理规定，避免运输过程事故的发生。</w:t>
            </w:r>
          </w:p>
          <w:p w14:paraId="0FE3CE5A">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本项目应根据要求制定环境风险事故应急预案，并根据环境风险事故应急预案要求设置事故应急池、雨水截留阀等应急设施，相应环境风险单元应按照要求配备环境风险事故应急物资等。</w:t>
            </w:r>
          </w:p>
          <w:p w14:paraId="18B0AF56">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发生泄漏事故后，最早发现者应立即通知公司负责人及值班领导报110，报告危险物料外泄部位（或装置），并召集应急救援小组，及时采取一切办法控制泄漏蔓延。如果是车间等发生泄漏，立即检查泄漏事故所在车间的事故废水收集系统切断装置，确保其均处于切断状态，如果是运输、装卸过程中（室外）发生泄漏，则应立即检查厂区雨水管网切断装置，确保其处于切断状态，从而防止泄漏的废液通过雨水管网流入外环境。一旦事故污染物进入雨水管网，本单位立即启动应急预案，并报告相关主管部门，及时根据应急预案做好隔离措施和应对处理方案。</w:t>
            </w:r>
          </w:p>
          <w:p w14:paraId="14B43BDF">
            <w:pPr>
              <w:spacing w:line="360" w:lineRule="auto"/>
              <w:ind w:firstLine="482" w:firstLineChars="200"/>
              <w:jc w:val="left"/>
              <w:rPr>
                <w:rFonts w:hint="default" w:ascii="Times New Roman" w:hAnsi="Times New Roman" w:cs="Times New Roman"/>
                <w:b/>
                <w:sz w:val="24"/>
              </w:rPr>
            </w:pPr>
            <w:r>
              <w:rPr>
                <w:rFonts w:hint="default" w:ascii="Times New Roman" w:hAnsi="Times New Roman" w:cs="Times New Roman"/>
                <w:b/>
                <w:sz w:val="24"/>
              </w:rPr>
              <w:t>（</w:t>
            </w:r>
            <w:r>
              <w:rPr>
                <w:rFonts w:hint="eastAsia" w:ascii="Times New Roman" w:hAnsi="Times New Roman" w:cs="Times New Roman"/>
                <w:b/>
                <w:sz w:val="24"/>
                <w:lang w:val="en-US" w:eastAsia="zh-CN"/>
              </w:rPr>
              <w:t>6</w:t>
            </w:r>
            <w:r>
              <w:rPr>
                <w:rFonts w:hint="default" w:ascii="Times New Roman" w:hAnsi="Times New Roman" w:cs="Times New Roman"/>
                <w:b/>
                <w:sz w:val="24"/>
              </w:rPr>
              <w:t>）结论</w:t>
            </w:r>
          </w:p>
          <w:p w14:paraId="329729B1">
            <w:pPr>
              <w:pStyle w:val="12"/>
              <w:spacing w:after="0" w:line="360" w:lineRule="auto"/>
              <w:ind w:left="0" w:leftChars="0" w:right="0" w:rightChars="0" w:firstLine="480" w:firstLineChars="200"/>
              <w:rPr>
                <w:rFonts w:hint="default" w:ascii="Times New Roman" w:hAnsi="Times New Roman" w:cs="Times New Roman"/>
              </w:rPr>
            </w:pPr>
            <w:r>
              <w:rPr>
                <w:rFonts w:hint="default" w:ascii="Times New Roman" w:hAnsi="Times New Roman" w:cs="Times New Roman"/>
                <w:sz w:val="24"/>
              </w:rPr>
              <w:t>建设项目经采取有效的事故防范、减缓措施，加强风险防范和应急预案，环境风险可控。</w:t>
            </w:r>
          </w:p>
          <w:p w14:paraId="7B0B99D8">
            <w:pPr>
              <w:snapToGrid w:val="0"/>
              <w:jc w:val="center"/>
              <w:rPr>
                <w:rFonts w:hint="default" w:ascii="Times New Roman" w:hAnsi="Times New Roman" w:cs="Times New Roman"/>
                <w:b/>
                <w:bCs/>
                <w:sz w:val="24"/>
              </w:rPr>
            </w:pPr>
            <w:r>
              <w:rPr>
                <w:rFonts w:hint="default" w:ascii="Times New Roman" w:hAnsi="Times New Roman" w:cs="Times New Roman"/>
                <w:b/>
                <w:bCs/>
                <w:sz w:val="24"/>
              </w:rPr>
              <w:t>表</w:t>
            </w:r>
            <w:r>
              <w:rPr>
                <w:rFonts w:hint="default" w:ascii="Times New Roman" w:hAnsi="Times New Roman" w:cs="Times New Roman"/>
                <w:b/>
                <w:sz w:val="24"/>
              </w:rPr>
              <w:t>4-</w:t>
            </w:r>
            <w:r>
              <w:rPr>
                <w:rFonts w:hint="eastAsia" w:cs="Times New Roman"/>
                <w:b/>
                <w:sz w:val="24"/>
                <w:lang w:val="en-US" w:eastAsia="zh-CN"/>
              </w:rPr>
              <w:t>30</w:t>
            </w:r>
            <w:r>
              <w:rPr>
                <w:rFonts w:hint="default" w:ascii="Times New Roman" w:hAnsi="Times New Roman" w:cs="Times New Roman"/>
                <w:b/>
                <w:bCs/>
                <w:sz w:val="24"/>
              </w:rPr>
              <w:t xml:space="preserve">  本项目环境风险简单分析内容表</w:t>
            </w:r>
          </w:p>
          <w:tbl>
            <w:tblPr>
              <w:tblStyle w:val="27"/>
              <w:tblW w:w="85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902"/>
              <w:gridCol w:w="1585"/>
              <w:gridCol w:w="1228"/>
              <w:gridCol w:w="1148"/>
              <w:gridCol w:w="799"/>
              <w:gridCol w:w="1897"/>
            </w:tblGrid>
            <w:tr w14:paraId="33C53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1902" w:type="dxa"/>
                  <w:noWrap w:val="0"/>
                  <w:vAlign w:val="center"/>
                </w:tcPr>
                <w:p w14:paraId="6F6565C5">
                  <w:pPr>
                    <w:snapToGrid w:val="0"/>
                    <w:jc w:val="center"/>
                    <w:rPr>
                      <w:rFonts w:hint="default" w:ascii="Times New Roman" w:hAnsi="Times New Roman" w:cs="Times New Roman"/>
                      <w:szCs w:val="21"/>
                    </w:rPr>
                  </w:pPr>
                  <w:r>
                    <w:rPr>
                      <w:rFonts w:hint="default" w:ascii="Times New Roman" w:hAnsi="Times New Roman" w:cs="Times New Roman"/>
                      <w:szCs w:val="21"/>
                    </w:rPr>
                    <w:t>建设项目名称</w:t>
                  </w:r>
                </w:p>
              </w:tc>
              <w:tc>
                <w:tcPr>
                  <w:tcW w:w="6657" w:type="dxa"/>
                  <w:gridSpan w:val="5"/>
                  <w:noWrap w:val="0"/>
                  <w:vAlign w:val="center"/>
                </w:tcPr>
                <w:p w14:paraId="0C96030E">
                  <w:pPr>
                    <w:autoSpaceDE w:val="0"/>
                    <w:autoSpaceDN w:val="0"/>
                    <w:adjustRightInd w:val="0"/>
                    <w:jc w:val="center"/>
                    <w:rPr>
                      <w:rFonts w:hint="default" w:ascii="Times New Roman" w:hAnsi="Times New Roman" w:cs="Times New Roman"/>
                      <w:szCs w:val="21"/>
                    </w:rPr>
                  </w:pPr>
                  <w:r>
                    <w:rPr>
                      <w:rFonts w:hint="eastAsia"/>
                      <w:szCs w:val="21"/>
                    </w:rPr>
                    <w:t>年产1000万平方米人造草坪项目</w:t>
                  </w:r>
                </w:p>
              </w:tc>
            </w:tr>
            <w:tr w14:paraId="2B5C6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4" w:hRule="atLeast"/>
                <w:jc w:val="center"/>
              </w:trPr>
              <w:tc>
                <w:tcPr>
                  <w:tcW w:w="1902" w:type="dxa"/>
                  <w:noWrap w:val="0"/>
                  <w:vAlign w:val="center"/>
                </w:tcPr>
                <w:p w14:paraId="7E650573">
                  <w:pPr>
                    <w:snapToGrid w:val="0"/>
                    <w:jc w:val="center"/>
                    <w:rPr>
                      <w:rFonts w:hint="default" w:ascii="Times New Roman" w:hAnsi="Times New Roman" w:cs="Times New Roman"/>
                      <w:szCs w:val="21"/>
                    </w:rPr>
                  </w:pPr>
                  <w:r>
                    <w:rPr>
                      <w:rFonts w:hint="default" w:ascii="Times New Roman" w:hAnsi="Times New Roman" w:cs="Times New Roman"/>
                      <w:szCs w:val="21"/>
                    </w:rPr>
                    <w:t>建设地点</w:t>
                  </w:r>
                </w:p>
              </w:tc>
              <w:tc>
                <w:tcPr>
                  <w:tcW w:w="1585" w:type="dxa"/>
                  <w:noWrap w:val="0"/>
                  <w:vAlign w:val="center"/>
                </w:tcPr>
                <w:p w14:paraId="47A65CEE">
                  <w:pPr>
                    <w:autoSpaceDE w:val="0"/>
                    <w:autoSpaceDN w:val="0"/>
                    <w:adjustRightInd w:val="0"/>
                    <w:jc w:val="center"/>
                    <w:rPr>
                      <w:rFonts w:hint="eastAsia" w:ascii="Times New Roman" w:hAnsi="Times New Roman" w:eastAsia="宋体" w:cs="Times New Roman"/>
                      <w:szCs w:val="21"/>
                      <w:lang w:eastAsia="zh-CN"/>
                    </w:rPr>
                  </w:pPr>
                  <w:r>
                    <w:rPr>
                      <w:szCs w:val="21"/>
                    </w:rPr>
                    <w:t>江苏省</w:t>
                  </w:r>
                </w:p>
              </w:tc>
              <w:tc>
                <w:tcPr>
                  <w:tcW w:w="1228" w:type="dxa"/>
                  <w:noWrap w:val="0"/>
                  <w:vAlign w:val="center"/>
                </w:tcPr>
                <w:p w14:paraId="6764B819">
                  <w:pPr>
                    <w:autoSpaceDE w:val="0"/>
                    <w:autoSpaceDN w:val="0"/>
                    <w:adjustRightInd w:val="0"/>
                    <w:jc w:val="center"/>
                  </w:pPr>
                  <w:r>
                    <w:rPr>
                      <w:szCs w:val="21"/>
                    </w:rPr>
                    <w:t>常州市</w:t>
                  </w:r>
                </w:p>
              </w:tc>
              <w:tc>
                <w:tcPr>
                  <w:tcW w:w="1148" w:type="dxa"/>
                  <w:noWrap w:val="0"/>
                  <w:vAlign w:val="center"/>
                </w:tcPr>
                <w:p w14:paraId="4FAECBA6">
                  <w:pPr>
                    <w:autoSpaceDE w:val="0"/>
                    <w:autoSpaceDN w:val="0"/>
                    <w:adjustRightInd w:val="0"/>
                    <w:jc w:val="center"/>
                  </w:pPr>
                  <w:r>
                    <w:rPr>
                      <w:szCs w:val="21"/>
                    </w:rPr>
                    <w:t>金坛区</w:t>
                  </w:r>
                </w:p>
              </w:tc>
              <w:tc>
                <w:tcPr>
                  <w:tcW w:w="799" w:type="dxa"/>
                  <w:noWrap w:val="0"/>
                  <w:vAlign w:val="center"/>
                </w:tcPr>
                <w:p w14:paraId="4294D045">
                  <w:pPr>
                    <w:autoSpaceDE w:val="0"/>
                    <w:autoSpaceDN w:val="0"/>
                    <w:adjustRightInd w:val="0"/>
                    <w:jc w:val="center"/>
                  </w:pPr>
                  <w:r>
                    <w:rPr>
                      <w:szCs w:val="21"/>
                    </w:rPr>
                    <w:t>县</w:t>
                  </w:r>
                </w:p>
              </w:tc>
              <w:tc>
                <w:tcPr>
                  <w:tcW w:w="1897" w:type="dxa"/>
                  <w:noWrap w:val="0"/>
                  <w:vAlign w:val="center"/>
                </w:tcPr>
                <w:p w14:paraId="2EB516CA">
                  <w:pPr>
                    <w:autoSpaceDE w:val="0"/>
                    <w:autoSpaceDN w:val="0"/>
                    <w:adjustRightInd w:val="0"/>
                    <w:jc w:val="center"/>
                  </w:pPr>
                  <w:r>
                    <w:rPr>
                      <w:rFonts w:hint="eastAsia"/>
                      <w:szCs w:val="21"/>
                    </w:rPr>
                    <w:t>常州市金坛区朱林镇永顺路2号</w:t>
                  </w:r>
                </w:p>
              </w:tc>
            </w:tr>
            <w:tr w14:paraId="059D7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4" w:hRule="atLeast"/>
                <w:jc w:val="center"/>
              </w:trPr>
              <w:tc>
                <w:tcPr>
                  <w:tcW w:w="1902" w:type="dxa"/>
                  <w:noWrap w:val="0"/>
                  <w:vAlign w:val="center"/>
                </w:tcPr>
                <w:p w14:paraId="3A4EA187">
                  <w:pPr>
                    <w:snapToGrid w:val="0"/>
                    <w:jc w:val="center"/>
                    <w:rPr>
                      <w:rFonts w:hint="default" w:ascii="Times New Roman" w:hAnsi="Times New Roman" w:cs="Times New Roman"/>
                      <w:szCs w:val="21"/>
                    </w:rPr>
                  </w:pPr>
                  <w:r>
                    <w:rPr>
                      <w:rFonts w:hint="default" w:ascii="Times New Roman" w:hAnsi="Times New Roman" w:cs="Times New Roman"/>
                      <w:szCs w:val="21"/>
                    </w:rPr>
                    <w:t>地理坐标</w:t>
                  </w:r>
                </w:p>
              </w:tc>
              <w:tc>
                <w:tcPr>
                  <w:tcW w:w="2813" w:type="dxa"/>
                  <w:gridSpan w:val="2"/>
                  <w:noWrap w:val="0"/>
                  <w:vAlign w:val="center"/>
                </w:tcPr>
                <w:p w14:paraId="4210A491">
                  <w:pPr>
                    <w:autoSpaceDE w:val="0"/>
                    <w:autoSpaceDN w:val="0"/>
                    <w:adjustRightInd w:val="0"/>
                    <w:jc w:val="center"/>
                    <w:rPr>
                      <w:rFonts w:hint="default" w:ascii="Times New Roman" w:hAnsi="Times New Roman" w:cs="Times New Roman"/>
                      <w:szCs w:val="21"/>
                    </w:rPr>
                  </w:pPr>
                  <w:r>
                    <w:rPr>
                      <w:szCs w:val="21"/>
                    </w:rPr>
                    <w:t>119度</w:t>
                  </w:r>
                  <w:r>
                    <w:rPr>
                      <w:rFonts w:hint="eastAsia"/>
                      <w:szCs w:val="21"/>
                    </w:rPr>
                    <w:t>25</w:t>
                  </w:r>
                  <w:r>
                    <w:rPr>
                      <w:szCs w:val="21"/>
                    </w:rPr>
                    <w:t>分</w:t>
                  </w:r>
                  <w:r>
                    <w:rPr>
                      <w:rFonts w:hint="eastAsia"/>
                      <w:szCs w:val="21"/>
                    </w:rPr>
                    <w:t>50.657</w:t>
                  </w:r>
                  <w:r>
                    <w:rPr>
                      <w:szCs w:val="21"/>
                    </w:rPr>
                    <w:t>秒</w:t>
                  </w:r>
                </w:p>
              </w:tc>
              <w:tc>
                <w:tcPr>
                  <w:tcW w:w="1148" w:type="dxa"/>
                  <w:noWrap w:val="0"/>
                  <w:vAlign w:val="center"/>
                </w:tcPr>
                <w:p w14:paraId="3F2C0F77">
                  <w:pPr>
                    <w:autoSpaceDE w:val="0"/>
                    <w:autoSpaceDN w:val="0"/>
                    <w:adjustRightInd w:val="0"/>
                    <w:jc w:val="center"/>
                    <w:rPr>
                      <w:rFonts w:hint="eastAsia" w:ascii="Times New Roman" w:hAnsi="Times New Roman" w:eastAsia="宋体" w:cs="Times New Roman"/>
                      <w:szCs w:val="21"/>
                      <w:lang w:eastAsia="zh-CN"/>
                    </w:rPr>
                  </w:pPr>
                  <w:r>
                    <w:rPr>
                      <w:szCs w:val="21"/>
                    </w:rPr>
                    <w:t>纬度</w:t>
                  </w:r>
                </w:p>
              </w:tc>
              <w:tc>
                <w:tcPr>
                  <w:tcW w:w="2696" w:type="dxa"/>
                  <w:gridSpan w:val="2"/>
                  <w:noWrap w:val="0"/>
                  <w:vAlign w:val="center"/>
                </w:tcPr>
                <w:p w14:paraId="2CB3F185">
                  <w:pPr>
                    <w:autoSpaceDE w:val="0"/>
                    <w:autoSpaceDN w:val="0"/>
                    <w:adjustRightInd w:val="0"/>
                    <w:jc w:val="center"/>
                    <w:rPr>
                      <w:rFonts w:hint="default" w:ascii="Times New Roman" w:hAnsi="Times New Roman" w:cs="Times New Roman"/>
                      <w:szCs w:val="21"/>
                    </w:rPr>
                  </w:pPr>
                  <w:r>
                    <w:rPr>
                      <w:szCs w:val="21"/>
                    </w:rPr>
                    <w:t>31度</w:t>
                  </w:r>
                  <w:r>
                    <w:rPr>
                      <w:rFonts w:hint="eastAsia"/>
                      <w:szCs w:val="21"/>
                    </w:rPr>
                    <w:t>44</w:t>
                  </w:r>
                  <w:r>
                    <w:rPr>
                      <w:szCs w:val="21"/>
                    </w:rPr>
                    <w:t>分</w:t>
                  </w:r>
                  <w:r>
                    <w:rPr>
                      <w:rFonts w:hint="eastAsia"/>
                      <w:szCs w:val="21"/>
                    </w:rPr>
                    <w:t>22.308</w:t>
                  </w:r>
                  <w:r>
                    <w:rPr>
                      <w:szCs w:val="21"/>
                    </w:rPr>
                    <w:t>秒</w:t>
                  </w:r>
                </w:p>
              </w:tc>
            </w:tr>
            <w:tr w14:paraId="5F86E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1" w:hRule="atLeast"/>
                <w:jc w:val="center"/>
              </w:trPr>
              <w:tc>
                <w:tcPr>
                  <w:tcW w:w="1902" w:type="dxa"/>
                  <w:noWrap w:val="0"/>
                  <w:vAlign w:val="center"/>
                </w:tcPr>
                <w:p w14:paraId="56314964">
                  <w:pPr>
                    <w:snapToGrid w:val="0"/>
                    <w:jc w:val="center"/>
                    <w:rPr>
                      <w:rFonts w:hint="default" w:ascii="Times New Roman" w:hAnsi="Times New Roman" w:cs="Times New Roman"/>
                      <w:szCs w:val="21"/>
                    </w:rPr>
                  </w:pPr>
                  <w:r>
                    <w:rPr>
                      <w:rFonts w:hint="default" w:ascii="Times New Roman" w:hAnsi="Times New Roman" w:cs="Times New Roman"/>
                      <w:spacing w:val="-4"/>
                      <w:szCs w:val="21"/>
                    </w:rPr>
                    <w:t>主要危险物质及分布</w:t>
                  </w:r>
                </w:p>
              </w:tc>
              <w:tc>
                <w:tcPr>
                  <w:tcW w:w="6657" w:type="dxa"/>
                  <w:gridSpan w:val="5"/>
                  <w:noWrap w:val="0"/>
                  <w:vAlign w:val="center"/>
                </w:tcPr>
                <w:p w14:paraId="0BF7819B">
                  <w:pPr>
                    <w:autoSpaceDE w:val="0"/>
                    <w:autoSpaceDN w:val="0"/>
                    <w:adjustRightInd w:val="0"/>
                    <w:jc w:val="center"/>
                    <w:rPr>
                      <w:rFonts w:hint="default" w:ascii="宋体" w:hAnsi="宋体" w:eastAsia="宋体" w:cs="宋体"/>
                      <w:szCs w:val="21"/>
                      <w:lang w:val="en-US" w:eastAsia="zh-CN"/>
                    </w:rPr>
                  </w:pPr>
                  <w:r>
                    <w:rPr>
                      <w:rFonts w:hint="eastAsia"/>
                      <w:szCs w:val="21"/>
                    </w:rPr>
                    <w:t>车间（机油、丁苯胶乳、PU胶</w:t>
                  </w:r>
                  <w:r>
                    <w:rPr>
                      <w:rStyle w:val="35"/>
                      <w:rFonts w:hint="eastAsia"/>
                      <w:kern w:val="0"/>
                      <w:szCs w:val="20"/>
                      <w:lang w:val="en-US" w:eastAsia="zh-CN"/>
                    </w:rPr>
                    <w:t>、天然气</w:t>
                  </w:r>
                  <w:r>
                    <w:rPr>
                      <w:rFonts w:hint="eastAsia"/>
                      <w:szCs w:val="21"/>
                    </w:rPr>
                    <w:t>）、</w:t>
                  </w:r>
                  <w:r>
                    <w:rPr>
                      <w:rStyle w:val="35"/>
                      <w:rFonts w:hint="eastAsia"/>
                      <w:kern w:val="0"/>
                      <w:szCs w:val="20"/>
                    </w:rPr>
                    <w:t>危废仓库（各类危废）</w:t>
                  </w:r>
                </w:p>
              </w:tc>
            </w:tr>
            <w:tr w14:paraId="16269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3" w:hRule="atLeast"/>
                <w:jc w:val="center"/>
              </w:trPr>
              <w:tc>
                <w:tcPr>
                  <w:tcW w:w="1902" w:type="dxa"/>
                  <w:noWrap w:val="0"/>
                  <w:vAlign w:val="center"/>
                </w:tcPr>
                <w:p w14:paraId="15E05878">
                  <w:pPr>
                    <w:snapToGrid w:val="0"/>
                    <w:jc w:val="center"/>
                    <w:rPr>
                      <w:rFonts w:hint="default" w:ascii="Times New Roman" w:hAnsi="Times New Roman" w:cs="Times New Roman"/>
                      <w:szCs w:val="21"/>
                    </w:rPr>
                  </w:pPr>
                  <w:r>
                    <w:rPr>
                      <w:rFonts w:hint="default" w:ascii="Times New Roman" w:hAnsi="Times New Roman" w:cs="Times New Roman"/>
                      <w:spacing w:val="-4"/>
                      <w:szCs w:val="21"/>
                    </w:rPr>
                    <w:t>环境影响途径及危害后果（大气、地表水、地下水等）</w:t>
                  </w:r>
                </w:p>
              </w:tc>
              <w:tc>
                <w:tcPr>
                  <w:tcW w:w="6657" w:type="dxa"/>
                  <w:gridSpan w:val="5"/>
                  <w:noWrap w:val="0"/>
                  <w:vAlign w:val="center"/>
                </w:tcPr>
                <w:p w14:paraId="489019F0">
                  <w:pPr>
                    <w:numPr>
                      <w:ilvl w:val="0"/>
                      <w:numId w:val="11"/>
                    </w:numPr>
                    <w:autoSpaceDE w:val="0"/>
                    <w:autoSpaceDN w:val="0"/>
                    <w:adjustRightInd w:val="0"/>
                    <w:rPr>
                      <w:szCs w:val="21"/>
                    </w:rPr>
                  </w:pPr>
                  <w:r>
                    <w:rPr>
                      <w:szCs w:val="21"/>
                    </w:rPr>
                    <w:t>若项目在</w:t>
                  </w:r>
                  <w:r>
                    <w:rPr>
                      <w:rFonts w:hint="eastAsia"/>
                      <w:szCs w:val="21"/>
                    </w:rPr>
                    <w:t>车间</w:t>
                  </w:r>
                  <w:r>
                    <w:rPr>
                      <w:szCs w:val="21"/>
                    </w:rPr>
                    <w:t>存储的丁苯胶乳、机油等发生泄漏，液体进入雨水管网向外环境扩散，泄漏的危险物质扩散进水中，通过雨水管网进入附近水体，危险物质在下渗过程中会污染地下水，进而流入周围的河流，造成整个周围地区水环境的污染。本项目原料仓库严禁烟火，一旦发生火灾，</w:t>
                  </w:r>
                  <w:r>
                    <w:rPr>
                      <w:rFonts w:hint="eastAsia"/>
                      <w:szCs w:val="21"/>
                      <w:lang w:val="en-US" w:eastAsia="zh-CN"/>
                    </w:rPr>
                    <w:t>胶水</w:t>
                  </w:r>
                  <w:r>
                    <w:rPr>
                      <w:rFonts w:hint="eastAsia"/>
                      <w:szCs w:val="21"/>
                    </w:rPr>
                    <w:t>等可燃物质遇明火后可能引发火灾爆炸事故，以及次生伴生有毒有害气体污染事故。</w:t>
                  </w:r>
                </w:p>
                <w:p w14:paraId="24DDFF2D">
                  <w:pPr>
                    <w:autoSpaceDE w:val="0"/>
                    <w:autoSpaceDN w:val="0"/>
                    <w:adjustRightInd w:val="0"/>
                    <w:rPr>
                      <w:rFonts w:hint="eastAsia" w:ascii="宋体" w:hAnsi="宋体" w:eastAsia="宋体" w:cs="宋体"/>
                      <w:szCs w:val="21"/>
                    </w:rPr>
                  </w:pPr>
                  <w:r>
                    <w:rPr>
                      <w:szCs w:val="21"/>
                    </w:rPr>
                    <w:t>（2）废气处理设施若发生故障，废气未经处理直接排放至大气，对周围大气环境造成污染。</w:t>
                  </w:r>
                </w:p>
              </w:tc>
            </w:tr>
            <w:tr w14:paraId="55A16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3" w:hRule="atLeast"/>
                <w:jc w:val="center"/>
              </w:trPr>
              <w:tc>
                <w:tcPr>
                  <w:tcW w:w="1902" w:type="dxa"/>
                  <w:noWrap w:val="0"/>
                  <w:vAlign w:val="center"/>
                </w:tcPr>
                <w:p w14:paraId="47B1DD79">
                  <w:pPr>
                    <w:snapToGrid w:val="0"/>
                    <w:jc w:val="center"/>
                    <w:rPr>
                      <w:rFonts w:hint="default" w:ascii="Times New Roman" w:hAnsi="Times New Roman" w:cs="Times New Roman"/>
                      <w:szCs w:val="21"/>
                    </w:rPr>
                  </w:pPr>
                  <w:r>
                    <w:rPr>
                      <w:rFonts w:hint="default" w:ascii="Times New Roman" w:hAnsi="Times New Roman" w:cs="Times New Roman"/>
                      <w:spacing w:val="-4"/>
                      <w:szCs w:val="21"/>
                    </w:rPr>
                    <w:t>风险防范措施要求</w:t>
                  </w:r>
                </w:p>
              </w:tc>
              <w:tc>
                <w:tcPr>
                  <w:tcW w:w="6657" w:type="dxa"/>
                  <w:gridSpan w:val="5"/>
                  <w:noWrap w:val="0"/>
                  <w:vAlign w:val="center"/>
                </w:tcPr>
                <w:p w14:paraId="12397603">
                  <w:pPr>
                    <w:widowControl/>
                    <w:autoSpaceDE w:val="0"/>
                    <w:autoSpaceDN w:val="0"/>
                    <w:adjustRightInd w:val="0"/>
                    <w:rPr>
                      <w:szCs w:val="21"/>
                    </w:rPr>
                  </w:pPr>
                  <w:r>
                    <w:rPr>
                      <w:szCs w:val="21"/>
                    </w:rPr>
                    <w:t>（1）原料仓库地面做好防腐防渗，并配备应急物资，配套相应截流措施及收集装置；</w:t>
                  </w:r>
                  <w:r>
                    <w:t>危险废物存放于危废库房，危废库房地面</w:t>
                  </w:r>
                  <w:r>
                    <w:rPr>
                      <w:rFonts w:hint="eastAsia"/>
                    </w:rPr>
                    <w:t>均</w:t>
                  </w:r>
                  <w:r>
                    <w:t>采用环氧树脂</w:t>
                  </w:r>
                  <w:r>
                    <w:rPr>
                      <w:rFonts w:hint="eastAsia"/>
                    </w:rPr>
                    <w:t>做</w:t>
                  </w:r>
                  <w:r>
                    <w:t>硬化及防渗处理，且表面无裂隙，沿着墙面四周设有明渠，满足防扬散、防流失、防渗漏要求</w:t>
                  </w:r>
                  <w:r>
                    <w:rPr>
                      <w:rFonts w:hint="eastAsia"/>
                    </w:rPr>
                    <w:t>，</w:t>
                  </w:r>
                  <w:r>
                    <w:t>雨水口设置阀门。</w:t>
                  </w:r>
                </w:p>
                <w:p w14:paraId="4F547644">
                  <w:pPr>
                    <w:widowControl/>
                    <w:autoSpaceDE w:val="0"/>
                    <w:autoSpaceDN w:val="0"/>
                    <w:adjustRightInd w:val="0"/>
                    <w:rPr>
                      <w:szCs w:val="21"/>
                    </w:rPr>
                  </w:pPr>
                  <w:r>
                    <w:rPr>
                      <w:szCs w:val="21"/>
                    </w:rPr>
                    <w:t>（2）车间内设置应急桶、消防砂、吸附毡等，若发生小量泄漏时，及时采用吸附毡、吸附剂进行应急处理；若发生大量泄漏，及时将破损桶内的物料转移至应急桶内，产生的伴生/次生污染物委托有资质单位集中处置，可防止泄漏物直接排入外环境，进而进入周边地表水环境。</w:t>
                  </w:r>
                </w:p>
                <w:p w14:paraId="724FF913">
                  <w:pPr>
                    <w:widowControl/>
                    <w:autoSpaceDE w:val="0"/>
                    <w:autoSpaceDN w:val="0"/>
                    <w:adjustRightInd w:val="0"/>
                    <w:rPr>
                      <w:szCs w:val="21"/>
                    </w:rPr>
                  </w:pPr>
                  <w:r>
                    <w:rPr>
                      <w:szCs w:val="21"/>
                    </w:rPr>
                    <w:t>（3）设专人负责定期巡查废气处理装置，一旦出现故障，需停产直至废气处理装置整修完毕并重新启动。</w:t>
                  </w:r>
                </w:p>
                <w:p w14:paraId="1E8C7CEF">
                  <w:pPr>
                    <w:widowControl/>
                    <w:autoSpaceDE w:val="0"/>
                    <w:autoSpaceDN w:val="0"/>
                    <w:adjustRightInd w:val="0"/>
                    <w:rPr>
                      <w:szCs w:val="21"/>
                    </w:rPr>
                  </w:pPr>
                  <w:r>
                    <w:rPr>
                      <w:szCs w:val="21"/>
                    </w:rPr>
                    <w:t>（4）</w:t>
                  </w:r>
                  <w:r>
                    <w:rPr>
                      <w:rFonts w:hint="eastAsia"/>
                      <w:szCs w:val="21"/>
                    </w:rPr>
                    <w:t>车间</w:t>
                  </w:r>
                  <w:r>
                    <w:rPr>
                      <w:szCs w:val="21"/>
                    </w:rPr>
                    <w:t>附近严禁明火，且需设置干粉灭火器、消防砂；厂内采用电话报警，专人负责。</w:t>
                  </w:r>
                </w:p>
                <w:p w14:paraId="64178F22">
                  <w:pPr>
                    <w:widowControl/>
                    <w:autoSpaceDE w:val="0"/>
                    <w:autoSpaceDN w:val="0"/>
                    <w:adjustRightInd w:val="0"/>
                    <w:rPr>
                      <w:rFonts w:hint="eastAsia" w:ascii="Times New Roman" w:hAnsi="Times New Roman" w:eastAsia="宋体" w:cs="Times New Roman"/>
                      <w:szCs w:val="21"/>
                      <w:lang w:eastAsia="zh-CN"/>
                    </w:rPr>
                  </w:pPr>
                  <w:r>
                    <w:rPr>
                      <w:szCs w:val="21"/>
                    </w:rPr>
                    <w:t>（5）定期检查原料库的暂存情况，定期检查厂内各风险防范措施的完善情况，建立健全应急防范机制。</w:t>
                  </w:r>
                </w:p>
              </w:tc>
            </w:tr>
            <w:tr w14:paraId="3D53C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23" w:hRule="atLeast"/>
                <w:jc w:val="center"/>
              </w:trPr>
              <w:tc>
                <w:tcPr>
                  <w:tcW w:w="8559" w:type="dxa"/>
                  <w:gridSpan w:val="6"/>
                  <w:noWrap w:val="0"/>
                  <w:vAlign w:val="center"/>
                </w:tcPr>
                <w:p w14:paraId="2B80AC05">
                  <w:pPr>
                    <w:tabs>
                      <w:tab w:val="left" w:pos="960"/>
                    </w:tabs>
                    <w:snapToGrid w:val="0"/>
                    <w:jc w:val="left"/>
                    <w:rPr>
                      <w:rFonts w:hint="default" w:ascii="Times New Roman" w:hAnsi="Times New Roman" w:cs="Times New Roman"/>
                      <w:spacing w:val="-4"/>
                      <w:szCs w:val="21"/>
                    </w:rPr>
                  </w:pPr>
                  <w:r>
                    <w:rPr>
                      <w:rFonts w:hint="default" w:ascii="Times New Roman" w:hAnsi="Times New Roman" w:cs="Times New Roman"/>
                      <w:spacing w:val="-4"/>
                      <w:szCs w:val="21"/>
                    </w:rPr>
                    <w:t>填表说明（列出项目相关信息及评价说明）：</w:t>
                  </w:r>
                </w:p>
                <w:p w14:paraId="3D05FAE3">
                  <w:pPr>
                    <w:tabs>
                      <w:tab w:val="left" w:pos="960"/>
                    </w:tabs>
                    <w:snapToGrid w:val="0"/>
                    <w:jc w:val="left"/>
                    <w:rPr>
                      <w:rFonts w:hint="default" w:ascii="Times New Roman" w:hAnsi="Times New Roman" w:cs="Times New Roman"/>
                      <w:szCs w:val="21"/>
                    </w:rPr>
                  </w:pPr>
                  <w:r>
                    <w:rPr>
                      <w:rFonts w:hint="default" w:ascii="Times New Roman" w:hAnsi="Times New Roman" w:cs="Times New Roman"/>
                      <w:bCs/>
                      <w:spacing w:val="-4"/>
                      <w:szCs w:val="21"/>
                    </w:rPr>
                    <w:t>本项目</w:t>
                  </w:r>
                  <w:r>
                    <w:rPr>
                      <w:rFonts w:hint="eastAsia" w:ascii="Times New Roman" w:hAnsi="Times New Roman" w:cs="Times New Roman"/>
                      <w:spacing w:val="-4"/>
                      <w:szCs w:val="21"/>
                      <w:lang w:val="en-US" w:eastAsia="zh-CN"/>
                    </w:rPr>
                    <w:t>等</w:t>
                  </w:r>
                  <w:r>
                    <w:rPr>
                      <w:rFonts w:hint="default" w:ascii="Times New Roman" w:hAnsi="Times New Roman" w:cs="Times New Roman"/>
                      <w:bCs/>
                      <w:spacing w:val="-4"/>
                      <w:szCs w:val="21"/>
                    </w:rPr>
                    <w:t>存在一定的危险性，由于Q＜1，判定本项目环境风险潜势为Ⅰ，根据评价等级划分依据，本项目评价工作等级为简单分析。本项目采取完善的危险废物管理制度，项目建设、运行过程中环境风险可</w:t>
                  </w:r>
                  <w:r>
                    <w:rPr>
                      <w:rFonts w:hint="eastAsia" w:cs="Times New Roman"/>
                      <w:bCs/>
                      <w:spacing w:val="-4"/>
                      <w:szCs w:val="21"/>
                      <w:lang w:val="en-US" w:eastAsia="zh-CN"/>
                    </w:rPr>
                    <w:t>控</w:t>
                  </w:r>
                  <w:r>
                    <w:rPr>
                      <w:rFonts w:hint="default" w:ascii="Times New Roman" w:hAnsi="Times New Roman" w:cs="Times New Roman"/>
                      <w:bCs/>
                      <w:spacing w:val="-4"/>
                      <w:szCs w:val="21"/>
                    </w:rPr>
                    <w:t>.。</w:t>
                  </w:r>
                </w:p>
              </w:tc>
            </w:tr>
          </w:tbl>
          <w:p w14:paraId="327CD488">
            <w:pPr>
              <w:spacing w:line="480" w:lineRule="exact"/>
              <w:ind w:firstLine="482" w:firstLineChars="200"/>
              <w:rPr>
                <w:b/>
                <w:bCs/>
                <w:kern w:val="0"/>
                <w:sz w:val="24"/>
              </w:rPr>
            </w:pPr>
            <w:r>
              <w:rPr>
                <w:b/>
                <w:bCs/>
                <w:kern w:val="0"/>
                <w:sz w:val="24"/>
              </w:rPr>
              <w:t>六、土壤和地下水</w:t>
            </w:r>
          </w:p>
          <w:p w14:paraId="79F24024">
            <w:pPr>
              <w:widowControl/>
              <w:spacing w:line="480" w:lineRule="exact"/>
              <w:ind w:firstLine="482" w:firstLineChars="200"/>
              <w:jc w:val="left"/>
              <w:rPr>
                <w:b/>
                <w:sz w:val="24"/>
                <w:lang w:bidi="ar"/>
              </w:rPr>
            </w:pPr>
            <w:r>
              <w:rPr>
                <w:b/>
                <w:sz w:val="24"/>
                <w:lang w:bidi="ar"/>
              </w:rPr>
              <w:t>（一）污染途径</w:t>
            </w:r>
          </w:p>
          <w:p w14:paraId="5D93A401">
            <w:pPr>
              <w:widowControl/>
              <w:spacing w:line="480" w:lineRule="exact"/>
              <w:ind w:firstLine="480" w:firstLineChars="200"/>
              <w:jc w:val="left"/>
              <w:rPr>
                <w:sz w:val="24"/>
                <w:lang w:bidi="ar"/>
              </w:rPr>
            </w:pPr>
            <w:r>
              <w:rPr>
                <w:sz w:val="24"/>
                <w:lang w:bidi="ar"/>
              </w:rPr>
              <w:t>本项目对地下水及土壤的影响类型和途径见表4</w:t>
            </w:r>
            <w:r>
              <w:rPr>
                <w:rFonts w:hint="eastAsia"/>
                <w:sz w:val="24"/>
                <w:lang w:bidi="ar"/>
              </w:rPr>
              <w:t>-</w:t>
            </w:r>
            <w:r>
              <w:rPr>
                <w:rFonts w:hint="eastAsia"/>
                <w:sz w:val="24"/>
                <w:lang w:val="en-US" w:eastAsia="zh-CN" w:bidi="ar"/>
              </w:rPr>
              <w:t>30</w:t>
            </w:r>
            <w:r>
              <w:rPr>
                <w:sz w:val="24"/>
                <w:lang w:bidi="ar"/>
              </w:rPr>
              <w:t>。</w:t>
            </w:r>
          </w:p>
          <w:p w14:paraId="42033657">
            <w:pPr>
              <w:spacing w:line="480" w:lineRule="exact"/>
              <w:jc w:val="center"/>
              <w:rPr>
                <w:b/>
                <w:kern w:val="0"/>
                <w:sz w:val="24"/>
              </w:rPr>
            </w:pPr>
            <w:r>
              <w:rPr>
                <w:b/>
                <w:kern w:val="0"/>
                <w:sz w:val="24"/>
              </w:rPr>
              <w:t>4-</w:t>
            </w:r>
            <w:r>
              <w:rPr>
                <w:rFonts w:hint="eastAsia"/>
                <w:b/>
                <w:kern w:val="0"/>
                <w:sz w:val="24"/>
                <w:lang w:val="en-US" w:eastAsia="zh-CN"/>
              </w:rPr>
              <w:t>31</w:t>
            </w:r>
            <w:r>
              <w:rPr>
                <w:b/>
                <w:kern w:val="0"/>
                <w:sz w:val="24"/>
              </w:rPr>
              <w:t xml:space="preserve">  建设项目地下水及土壤环境影响类型与影响途径表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411"/>
              <w:gridCol w:w="2413"/>
              <w:gridCol w:w="2415"/>
            </w:tblGrid>
            <w:tr w14:paraId="685C6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2" w:type="pct"/>
                  <w:vMerge w:val="restart"/>
                  <w:vAlign w:val="center"/>
                </w:tcPr>
                <w:p w14:paraId="1048899D">
                  <w:pPr>
                    <w:snapToGrid w:val="0"/>
                    <w:jc w:val="center"/>
                    <w:rPr>
                      <w:b/>
                      <w:bCs/>
                      <w:szCs w:val="21"/>
                    </w:rPr>
                  </w:pPr>
                  <w:r>
                    <w:rPr>
                      <w:b/>
                      <w:bCs/>
                      <w:szCs w:val="21"/>
                    </w:rPr>
                    <w:t>不同时段</w:t>
                  </w:r>
                </w:p>
              </w:tc>
              <w:tc>
                <w:tcPr>
                  <w:tcW w:w="4047" w:type="pct"/>
                  <w:gridSpan w:val="3"/>
                  <w:vAlign w:val="center"/>
                </w:tcPr>
                <w:p w14:paraId="49D415FD">
                  <w:pPr>
                    <w:snapToGrid w:val="0"/>
                    <w:jc w:val="center"/>
                    <w:rPr>
                      <w:b/>
                      <w:bCs/>
                      <w:szCs w:val="21"/>
                    </w:rPr>
                  </w:pPr>
                  <w:r>
                    <w:rPr>
                      <w:b/>
                      <w:bCs/>
                      <w:szCs w:val="21"/>
                    </w:rPr>
                    <w:t>污染影响型</w:t>
                  </w:r>
                </w:p>
              </w:tc>
            </w:tr>
            <w:tr w14:paraId="0081A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2" w:type="pct"/>
                  <w:vMerge w:val="continue"/>
                  <w:vAlign w:val="center"/>
                </w:tcPr>
                <w:p w14:paraId="3D2CF8EE">
                  <w:pPr>
                    <w:snapToGrid w:val="0"/>
                    <w:jc w:val="center"/>
                    <w:rPr>
                      <w:b/>
                      <w:bCs/>
                      <w:szCs w:val="21"/>
                    </w:rPr>
                  </w:pPr>
                </w:p>
              </w:tc>
              <w:tc>
                <w:tcPr>
                  <w:tcW w:w="1348" w:type="pct"/>
                  <w:vAlign w:val="center"/>
                </w:tcPr>
                <w:p w14:paraId="01568DFE">
                  <w:pPr>
                    <w:snapToGrid w:val="0"/>
                    <w:jc w:val="center"/>
                    <w:rPr>
                      <w:b/>
                      <w:bCs/>
                      <w:szCs w:val="21"/>
                    </w:rPr>
                  </w:pPr>
                  <w:r>
                    <w:rPr>
                      <w:b/>
                      <w:bCs/>
                      <w:szCs w:val="21"/>
                    </w:rPr>
                    <w:t>大气沉降</w:t>
                  </w:r>
                </w:p>
              </w:tc>
              <w:tc>
                <w:tcPr>
                  <w:tcW w:w="1349" w:type="pct"/>
                  <w:vAlign w:val="center"/>
                </w:tcPr>
                <w:p w14:paraId="70920058">
                  <w:pPr>
                    <w:snapToGrid w:val="0"/>
                    <w:jc w:val="center"/>
                    <w:rPr>
                      <w:b/>
                      <w:bCs/>
                      <w:szCs w:val="21"/>
                    </w:rPr>
                  </w:pPr>
                  <w:r>
                    <w:rPr>
                      <w:b/>
                      <w:bCs/>
                      <w:szCs w:val="21"/>
                    </w:rPr>
                    <w:t>地面漫流</w:t>
                  </w:r>
                </w:p>
              </w:tc>
              <w:tc>
                <w:tcPr>
                  <w:tcW w:w="1350" w:type="pct"/>
                  <w:vAlign w:val="center"/>
                </w:tcPr>
                <w:p w14:paraId="2C241D38">
                  <w:pPr>
                    <w:snapToGrid w:val="0"/>
                    <w:jc w:val="center"/>
                    <w:rPr>
                      <w:b/>
                      <w:bCs/>
                      <w:szCs w:val="21"/>
                    </w:rPr>
                  </w:pPr>
                  <w:r>
                    <w:rPr>
                      <w:b/>
                      <w:bCs/>
                      <w:szCs w:val="21"/>
                    </w:rPr>
                    <w:t>垂直入渗</w:t>
                  </w:r>
                </w:p>
              </w:tc>
            </w:tr>
            <w:tr w14:paraId="0294E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2" w:type="pct"/>
                  <w:vAlign w:val="center"/>
                </w:tcPr>
                <w:p w14:paraId="08C6E12C">
                  <w:pPr>
                    <w:snapToGrid w:val="0"/>
                    <w:jc w:val="center"/>
                    <w:rPr>
                      <w:bCs/>
                      <w:szCs w:val="21"/>
                    </w:rPr>
                  </w:pPr>
                  <w:r>
                    <w:rPr>
                      <w:bCs/>
                      <w:szCs w:val="21"/>
                    </w:rPr>
                    <w:t>建设期</w:t>
                  </w:r>
                </w:p>
              </w:tc>
              <w:tc>
                <w:tcPr>
                  <w:tcW w:w="1348" w:type="pct"/>
                  <w:vAlign w:val="center"/>
                </w:tcPr>
                <w:p w14:paraId="50B8FC52">
                  <w:pPr>
                    <w:snapToGrid w:val="0"/>
                    <w:jc w:val="center"/>
                    <w:rPr>
                      <w:bCs/>
                      <w:szCs w:val="21"/>
                    </w:rPr>
                  </w:pPr>
                  <w:r>
                    <w:rPr>
                      <w:bCs/>
                      <w:szCs w:val="21"/>
                    </w:rPr>
                    <w:t>—</w:t>
                  </w:r>
                </w:p>
              </w:tc>
              <w:tc>
                <w:tcPr>
                  <w:tcW w:w="1349" w:type="pct"/>
                  <w:vAlign w:val="center"/>
                </w:tcPr>
                <w:p w14:paraId="63B4C8FD">
                  <w:pPr>
                    <w:jc w:val="center"/>
                    <w:rPr>
                      <w:bCs/>
                      <w:szCs w:val="21"/>
                    </w:rPr>
                  </w:pPr>
                  <w:r>
                    <w:rPr>
                      <w:bCs/>
                      <w:szCs w:val="21"/>
                    </w:rPr>
                    <w:t>—</w:t>
                  </w:r>
                </w:p>
              </w:tc>
              <w:tc>
                <w:tcPr>
                  <w:tcW w:w="1350" w:type="pct"/>
                  <w:vAlign w:val="center"/>
                </w:tcPr>
                <w:p w14:paraId="298F8959">
                  <w:pPr>
                    <w:jc w:val="center"/>
                    <w:rPr>
                      <w:szCs w:val="21"/>
                    </w:rPr>
                  </w:pPr>
                  <w:r>
                    <w:rPr>
                      <w:bCs/>
                      <w:szCs w:val="21"/>
                    </w:rPr>
                    <w:t>—</w:t>
                  </w:r>
                </w:p>
              </w:tc>
            </w:tr>
            <w:tr w14:paraId="64960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2" w:type="pct"/>
                  <w:vAlign w:val="center"/>
                </w:tcPr>
                <w:p w14:paraId="24E24970">
                  <w:pPr>
                    <w:snapToGrid w:val="0"/>
                    <w:jc w:val="center"/>
                    <w:rPr>
                      <w:bCs/>
                      <w:szCs w:val="21"/>
                    </w:rPr>
                  </w:pPr>
                  <w:r>
                    <w:rPr>
                      <w:bCs/>
                      <w:szCs w:val="21"/>
                    </w:rPr>
                    <w:t>运营期</w:t>
                  </w:r>
                </w:p>
              </w:tc>
              <w:tc>
                <w:tcPr>
                  <w:tcW w:w="1348" w:type="pct"/>
                  <w:vAlign w:val="center"/>
                </w:tcPr>
                <w:p w14:paraId="18281673">
                  <w:pPr>
                    <w:snapToGrid w:val="0"/>
                    <w:jc w:val="center"/>
                    <w:rPr>
                      <w:bCs/>
                      <w:szCs w:val="21"/>
                    </w:rPr>
                  </w:pPr>
                  <w:r>
                    <w:rPr>
                      <w:bCs/>
                      <w:szCs w:val="21"/>
                    </w:rPr>
                    <w:t>√</w:t>
                  </w:r>
                </w:p>
              </w:tc>
              <w:tc>
                <w:tcPr>
                  <w:tcW w:w="1349" w:type="pct"/>
                  <w:vAlign w:val="center"/>
                </w:tcPr>
                <w:p w14:paraId="54F1EC34">
                  <w:pPr>
                    <w:snapToGrid w:val="0"/>
                    <w:jc w:val="center"/>
                    <w:rPr>
                      <w:bCs/>
                      <w:szCs w:val="21"/>
                    </w:rPr>
                  </w:pPr>
                  <w:r>
                    <w:rPr>
                      <w:bCs/>
                      <w:szCs w:val="21"/>
                    </w:rPr>
                    <w:t>√</w:t>
                  </w:r>
                </w:p>
              </w:tc>
              <w:tc>
                <w:tcPr>
                  <w:tcW w:w="1350" w:type="pct"/>
                  <w:vAlign w:val="center"/>
                </w:tcPr>
                <w:p w14:paraId="5FFF6A18">
                  <w:pPr>
                    <w:snapToGrid w:val="0"/>
                    <w:jc w:val="center"/>
                    <w:rPr>
                      <w:bCs/>
                      <w:szCs w:val="21"/>
                    </w:rPr>
                  </w:pPr>
                  <w:r>
                    <w:rPr>
                      <w:bCs/>
                      <w:szCs w:val="21"/>
                    </w:rPr>
                    <w:t>√</w:t>
                  </w:r>
                </w:p>
              </w:tc>
            </w:tr>
            <w:tr w14:paraId="68A43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2" w:type="pct"/>
                  <w:vAlign w:val="center"/>
                </w:tcPr>
                <w:p w14:paraId="6AA84307">
                  <w:pPr>
                    <w:snapToGrid w:val="0"/>
                    <w:jc w:val="center"/>
                    <w:rPr>
                      <w:bCs/>
                      <w:szCs w:val="21"/>
                    </w:rPr>
                  </w:pPr>
                  <w:r>
                    <w:rPr>
                      <w:bCs/>
                      <w:szCs w:val="21"/>
                    </w:rPr>
                    <w:t>服务期满后</w:t>
                  </w:r>
                </w:p>
              </w:tc>
              <w:tc>
                <w:tcPr>
                  <w:tcW w:w="1348" w:type="pct"/>
                  <w:vAlign w:val="center"/>
                </w:tcPr>
                <w:p w14:paraId="54206099">
                  <w:pPr>
                    <w:snapToGrid w:val="0"/>
                    <w:jc w:val="center"/>
                    <w:rPr>
                      <w:bCs/>
                      <w:szCs w:val="21"/>
                    </w:rPr>
                  </w:pPr>
                  <w:r>
                    <w:rPr>
                      <w:bCs/>
                      <w:szCs w:val="21"/>
                    </w:rPr>
                    <w:t>—</w:t>
                  </w:r>
                </w:p>
              </w:tc>
              <w:tc>
                <w:tcPr>
                  <w:tcW w:w="1349" w:type="pct"/>
                  <w:vAlign w:val="center"/>
                </w:tcPr>
                <w:p w14:paraId="7926AD7D">
                  <w:pPr>
                    <w:jc w:val="center"/>
                    <w:rPr>
                      <w:bCs/>
                      <w:szCs w:val="21"/>
                    </w:rPr>
                  </w:pPr>
                  <w:r>
                    <w:rPr>
                      <w:bCs/>
                      <w:szCs w:val="21"/>
                    </w:rPr>
                    <w:t>—</w:t>
                  </w:r>
                </w:p>
              </w:tc>
              <w:tc>
                <w:tcPr>
                  <w:tcW w:w="1350" w:type="pct"/>
                  <w:vAlign w:val="center"/>
                </w:tcPr>
                <w:p w14:paraId="5BDA816E">
                  <w:pPr>
                    <w:jc w:val="center"/>
                    <w:rPr>
                      <w:szCs w:val="21"/>
                    </w:rPr>
                  </w:pPr>
                  <w:r>
                    <w:rPr>
                      <w:bCs/>
                      <w:szCs w:val="21"/>
                    </w:rPr>
                    <w:t>—</w:t>
                  </w:r>
                </w:p>
              </w:tc>
            </w:tr>
          </w:tbl>
          <w:p w14:paraId="7FE72100">
            <w:pPr>
              <w:widowControl/>
              <w:spacing w:line="480" w:lineRule="exact"/>
              <w:ind w:firstLine="480" w:firstLineChars="200"/>
              <w:jc w:val="left"/>
              <w:rPr>
                <w:sz w:val="24"/>
              </w:rPr>
            </w:pPr>
            <w:r>
              <w:rPr>
                <w:sz w:val="24"/>
              </w:rPr>
              <w:t>本项目原料库贮存过程中发生泄漏时，污染物渗入土壤甚至地下水中造成一定影响。</w:t>
            </w:r>
          </w:p>
          <w:p w14:paraId="60EA00A6">
            <w:pPr>
              <w:widowControl/>
              <w:spacing w:line="480" w:lineRule="exact"/>
              <w:ind w:firstLine="482" w:firstLineChars="200"/>
              <w:jc w:val="left"/>
              <w:rPr>
                <w:b/>
                <w:sz w:val="24"/>
                <w:lang w:bidi="ar"/>
              </w:rPr>
            </w:pPr>
            <w:r>
              <w:rPr>
                <w:b/>
                <w:sz w:val="24"/>
                <w:lang w:bidi="ar"/>
              </w:rPr>
              <w:t>（二）污染控制措施</w:t>
            </w:r>
          </w:p>
          <w:p w14:paraId="0C27BFB1">
            <w:pPr>
              <w:widowControl/>
              <w:spacing w:line="480" w:lineRule="exact"/>
              <w:ind w:firstLine="480" w:firstLineChars="200"/>
              <w:jc w:val="left"/>
              <w:rPr>
                <w:sz w:val="24"/>
                <w:lang w:bidi="ar"/>
              </w:rPr>
            </w:pPr>
            <w:r>
              <w:rPr>
                <w:sz w:val="24"/>
                <w:lang w:bidi="ar"/>
              </w:rPr>
              <w:t>1、源头控制措施</w:t>
            </w:r>
          </w:p>
          <w:p w14:paraId="6BF1A58A">
            <w:pPr>
              <w:widowControl/>
              <w:spacing w:line="480" w:lineRule="exact"/>
              <w:ind w:firstLine="480" w:firstLineChars="200"/>
              <w:rPr>
                <w:sz w:val="24"/>
                <w:lang w:bidi="ar"/>
              </w:rPr>
            </w:pPr>
            <w:r>
              <w:rPr>
                <w:sz w:val="24"/>
                <w:lang w:bidi="ar"/>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w:t>
            </w:r>
          </w:p>
          <w:p w14:paraId="3068A0D6">
            <w:pPr>
              <w:widowControl/>
              <w:spacing w:line="480" w:lineRule="exact"/>
              <w:ind w:firstLine="480" w:firstLineChars="200"/>
              <w:rPr>
                <w:sz w:val="24"/>
                <w:lang w:bidi="ar"/>
              </w:rPr>
            </w:pPr>
            <w:r>
              <w:rPr>
                <w:sz w:val="24"/>
                <w:lang w:bidi="ar"/>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38EEF567">
            <w:pPr>
              <w:widowControl/>
              <w:spacing w:line="480" w:lineRule="exact"/>
              <w:ind w:firstLine="480" w:firstLineChars="200"/>
              <w:jc w:val="left"/>
              <w:rPr>
                <w:sz w:val="24"/>
                <w:lang w:bidi="ar"/>
              </w:rPr>
            </w:pPr>
            <w:r>
              <w:rPr>
                <w:sz w:val="24"/>
                <w:lang w:bidi="ar"/>
              </w:rPr>
              <w:t>2、过程控制措施</w:t>
            </w:r>
          </w:p>
          <w:p w14:paraId="42494B15">
            <w:pPr>
              <w:widowControl/>
              <w:spacing w:line="480" w:lineRule="exact"/>
              <w:ind w:firstLine="480" w:firstLineChars="200"/>
              <w:rPr>
                <w:sz w:val="24"/>
                <w:lang w:bidi="ar"/>
              </w:rPr>
            </w:pPr>
            <w:r>
              <w:rPr>
                <w:sz w:val="24"/>
                <w:lang w:bidi="ar"/>
              </w:rPr>
              <w:t>从大气沉降、地面漫流、垂直入渗三个途径分别进行控制。</w:t>
            </w:r>
          </w:p>
          <w:p w14:paraId="10D2363B">
            <w:pPr>
              <w:widowControl/>
              <w:spacing w:line="480" w:lineRule="exact"/>
              <w:ind w:firstLine="480" w:firstLineChars="200"/>
              <w:jc w:val="left"/>
              <w:rPr>
                <w:sz w:val="24"/>
                <w:lang w:bidi="ar"/>
              </w:rPr>
            </w:pPr>
            <w:r>
              <w:rPr>
                <w:sz w:val="24"/>
                <w:lang w:bidi="ar"/>
              </w:rPr>
              <w:t>（1）大气沉降污染途径治理措施及效果</w:t>
            </w:r>
          </w:p>
          <w:p w14:paraId="6B77217D">
            <w:pPr>
              <w:widowControl/>
              <w:spacing w:line="480" w:lineRule="exact"/>
              <w:ind w:firstLine="480" w:firstLineChars="200"/>
              <w:rPr>
                <w:sz w:val="24"/>
              </w:rPr>
            </w:pPr>
            <w:r>
              <w:rPr>
                <w:sz w:val="24"/>
                <w:lang w:bidi="ar"/>
              </w:rPr>
              <w:t>本项目针对各类废气污染物均采取了对应的治理措施，确保污染物达标排放。</w:t>
            </w:r>
            <w:r>
              <w:rPr>
                <w:sz w:val="24"/>
              </w:rPr>
              <w:t>厂内废气排放能达到</w:t>
            </w:r>
            <w:r>
              <w:rPr>
                <w:rFonts w:hint="eastAsia"/>
                <w:sz w:val="24"/>
              </w:rPr>
              <w:t>《工业涂装工序大气污染物排放标准》（DB 32/4439-2022）、《工业炉窑大气污染物排放标准》（DB32/3728-2020）、</w:t>
            </w:r>
            <w:r>
              <w:rPr>
                <w:bCs/>
                <w:sz w:val="24"/>
              </w:rPr>
              <w:t>《大气污染物综合排放标准》（DB32/4041-2021）</w:t>
            </w:r>
            <w:r>
              <w:rPr>
                <w:rFonts w:hint="eastAsia"/>
                <w:bCs/>
                <w:sz w:val="24"/>
              </w:rPr>
              <w:t>、《恶臭污染物排放标准》（GB14554-93）</w:t>
            </w:r>
            <w:r>
              <w:rPr>
                <w:bCs/>
                <w:sz w:val="24"/>
              </w:rPr>
              <w:t>排放限值</w:t>
            </w:r>
            <w:r>
              <w:rPr>
                <w:sz w:val="24"/>
                <w:lang w:bidi="ar"/>
              </w:rPr>
              <w:t>。</w:t>
            </w:r>
          </w:p>
          <w:p w14:paraId="544CB11E">
            <w:pPr>
              <w:widowControl/>
              <w:spacing w:line="480" w:lineRule="exact"/>
              <w:ind w:firstLine="480" w:firstLineChars="200"/>
              <w:jc w:val="left"/>
              <w:rPr>
                <w:sz w:val="24"/>
                <w:lang w:bidi="ar"/>
              </w:rPr>
            </w:pPr>
            <w:r>
              <w:rPr>
                <w:sz w:val="24"/>
                <w:lang w:bidi="ar"/>
              </w:rPr>
              <w:t>（2）地面漫流污染途径治理措施及效果</w:t>
            </w:r>
          </w:p>
          <w:p w14:paraId="1D33BDB8">
            <w:pPr>
              <w:widowControl/>
              <w:spacing w:line="480" w:lineRule="exact"/>
              <w:ind w:firstLine="480" w:firstLineChars="200"/>
              <w:rPr>
                <w:sz w:val="24"/>
                <w:lang w:bidi="ar"/>
              </w:rPr>
            </w:pPr>
            <w:r>
              <w:rPr>
                <w:sz w:val="24"/>
                <w:lang w:bidi="ar"/>
              </w:rPr>
              <w:t>涉及地面漫流途径须设置防控、地面硬化等措施。</w:t>
            </w:r>
          </w:p>
          <w:p w14:paraId="6501EBF2">
            <w:pPr>
              <w:widowControl/>
              <w:spacing w:line="480" w:lineRule="exact"/>
              <w:ind w:firstLine="480" w:firstLineChars="200"/>
              <w:rPr>
                <w:sz w:val="24"/>
                <w:lang w:bidi="ar"/>
              </w:rPr>
            </w:pPr>
            <w:r>
              <w:rPr>
                <w:sz w:val="24"/>
                <w:lang w:bidi="ar"/>
              </w:rPr>
              <w:t>对于项目事故状态的废水，必须保证在未经处理满足要求的前提下不得流出厂界。项目须贯彻</w:t>
            </w:r>
            <w:r>
              <w:rPr>
                <w:rFonts w:hint="eastAsia"/>
                <w:sz w:val="24"/>
                <w:lang w:bidi="ar"/>
              </w:rPr>
              <w:t>“</w:t>
            </w:r>
            <w:r>
              <w:rPr>
                <w:sz w:val="24"/>
                <w:lang w:bidi="ar"/>
              </w:rPr>
              <w:t>围、追、堵、截</w:t>
            </w:r>
            <w:r>
              <w:rPr>
                <w:rFonts w:hint="eastAsia"/>
                <w:sz w:val="24"/>
                <w:lang w:bidi="ar"/>
              </w:rPr>
              <w:t>”</w:t>
            </w:r>
            <w:r>
              <w:rPr>
                <w:sz w:val="24"/>
                <w:lang w:bidi="ar"/>
              </w:rPr>
              <w:t>的原则，采取多级防护措施，确保事故废水未经处理不得出厂界。</w:t>
            </w:r>
          </w:p>
          <w:p w14:paraId="15C59449">
            <w:pPr>
              <w:widowControl/>
              <w:spacing w:line="480" w:lineRule="exact"/>
              <w:ind w:firstLine="480" w:firstLineChars="200"/>
              <w:jc w:val="left"/>
              <w:rPr>
                <w:sz w:val="24"/>
                <w:lang w:bidi="ar"/>
              </w:rPr>
            </w:pPr>
            <w:r>
              <w:rPr>
                <w:sz w:val="24"/>
                <w:lang w:bidi="ar"/>
              </w:rPr>
              <w:t>（3）垂直入渗污染途径治理措施及效果</w:t>
            </w:r>
          </w:p>
          <w:p w14:paraId="57D6612D">
            <w:pPr>
              <w:widowControl/>
              <w:spacing w:line="480" w:lineRule="exact"/>
              <w:ind w:firstLine="480" w:firstLineChars="200"/>
              <w:rPr>
                <w:sz w:val="24"/>
                <w:lang w:bidi="ar"/>
              </w:rPr>
            </w:pPr>
            <w:r>
              <w:rPr>
                <w:sz w:val="24"/>
                <w:lang w:bidi="ar"/>
              </w:rPr>
              <w:t>项目按重点污染防治区、一般污染防治区、简单防渗区分别采取不同等级的防渗措施，防渗层尽量在地表铺设，防渗材料拟选取环氧树脂和水泥基渗透结晶型防渗材料，按照污染防治分区采取不同的设计方案。其中：</w:t>
            </w:r>
          </w:p>
          <w:p w14:paraId="565ADF14">
            <w:pPr>
              <w:widowControl/>
              <w:spacing w:line="480" w:lineRule="exact"/>
              <w:ind w:firstLine="480" w:firstLineChars="200"/>
              <w:rPr>
                <w:sz w:val="24"/>
                <w:lang w:bidi="ar"/>
              </w:rPr>
            </w:pPr>
            <w:r>
              <w:rPr>
                <w:sz w:val="24"/>
                <w:lang w:bidi="ar"/>
              </w:rPr>
              <w:t>重点防渗区——</w:t>
            </w:r>
            <w:r>
              <w:rPr>
                <w:rFonts w:hint="eastAsia"/>
                <w:sz w:val="24"/>
                <w:lang w:val="en-US" w:eastAsia="zh-CN" w:bidi="ar"/>
              </w:rPr>
              <w:t>调配、背胶、烘干区域</w:t>
            </w:r>
            <w:r>
              <w:rPr>
                <w:sz w:val="24"/>
                <w:lang w:bidi="ar"/>
              </w:rPr>
              <w:t>应选用人工防渗材料，防渗技术要求为等效黏土防渗层Mb≥6.0m，渗透系数K≤10</w:t>
            </w:r>
            <w:r>
              <w:rPr>
                <w:sz w:val="24"/>
                <w:vertAlign w:val="superscript"/>
                <w:lang w:bidi="ar"/>
              </w:rPr>
              <w:t>-7</w:t>
            </w:r>
            <w:r>
              <w:rPr>
                <w:sz w:val="24"/>
                <w:lang w:bidi="ar"/>
              </w:rPr>
              <w:t>cm/s。另外，重点防渗区还应满足防渗层为至少1米厚黏土层（渗透系数K≤10</w:t>
            </w:r>
            <w:r>
              <w:rPr>
                <w:sz w:val="24"/>
                <w:vertAlign w:val="superscript"/>
                <w:lang w:bidi="ar"/>
              </w:rPr>
              <w:t>-7</w:t>
            </w:r>
            <w:r>
              <w:rPr>
                <w:sz w:val="24"/>
                <w:lang w:bidi="ar"/>
              </w:rPr>
              <w:t>cm/s），或2毫米厚高密度聚乙烯，或至少2毫米厚的其他人工材料，渗透系统上K≤10</w:t>
            </w:r>
            <w:r>
              <w:rPr>
                <w:sz w:val="24"/>
                <w:vertAlign w:val="superscript"/>
                <w:lang w:bidi="ar"/>
              </w:rPr>
              <w:t>-10</w:t>
            </w:r>
            <w:r>
              <w:rPr>
                <w:sz w:val="24"/>
                <w:lang w:bidi="ar"/>
              </w:rPr>
              <w:t>cm/s；</w:t>
            </w:r>
          </w:p>
          <w:p w14:paraId="772CD309">
            <w:pPr>
              <w:spacing w:line="480" w:lineRule="exact"/>
              <w:ind w:firstLine="480" w:firstLineChars="200"/>
              <w:rPr>
                <w:sz w:val="24"/>
              </w:rPr>
            </w:pPr>
            <w:r>
              <w:rPr>
                <w:sz w:val="24"/>
              </w:rPr>
              <w:t>重点防渗区防渗措施为底层铺设10cm-50cm厚成品水泥混凝土，中层铺设1cm-5cm厚的成品普通防腐水泥，上层铺设0.1mm-0.2mm厚的环氧树脂涂层。通过上述措施可使重点污染区各单元防渗层防渗性能相当于2mm厚渗透系数为10</w:t>
            </w:r>
            <w:r>
              <w:rPr>
                <w:sz w:val="24"/>
                <w:vertAlign w:val="superscript"/>
              </w:rPr>
              <w:t>-10</w:t>
            </w:r>
            <w:r>
              <w:rPr>
                <w:sz w:val="24"/>
              </w:rPr>
              <w:t>cm/s的防渗层，保证防渗层渗透系数≤10</w:t>
            </w:r>
            <w:r>
              <w:rPr>
                <w:sz w:val="24"/>
                <w:vertAlign w:val="superscript"/>
              </w:rPr>
              <w:t>-10</w:t>
            </w:r>
            <w:r>
              <w:rPr>
                <w:sz w:val="24"/>
              </w:rPr>
              <w:t>cm/s。满足《环境影响评价技术导则——地下水环境》（HJ610-2016）中重点防渗区防渗技术要求。</w:t>
            </w:r>
          </w:p>
          <w:p w14:paraId="0DA8F922">
            <w:pPr>
              <w:jc w:val="center"/>
              <w:rPr>
                <w:sz w:val="24"/>
              </w:rPr>
            </w:pPr>
            <w:r>
              <w:rPr>
                <w:sz w:val="24"/>
              </w:rPr>
              <w:drawing>
                <wp:inline distT="0" distB="0" distL="114300" distR="114300">
                  <wp:extent cx="4276090" cy="1362075"/>
                  <wp:effectExtent l="0" t="0" r="635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2"/>
                          <a:stretch>
                            <a:fillRect/>
                          </a:stretch>
                        </pic:blipFill>
                        <pic:spPr>
                          <a:xfrm>
                            <a:off x="0" y="0"/>
                            <a:ext cx="4276090" cy="1362075"/>
                          </a:xfrm>
                          <a:prstGeom prst="rect">
                            <a:avLst/>
                          </a:prstGeom>
                          <a:noFill/>
                          <a:ln>
                            <a:noFill/>
                          </a:ln>
                        </pic:spPr>
                      </pic:pic>
                    </a:graphicData>
                  </a:graphic>
                </wp:inline>
              </w:drawing>
            </w:r>
          </w:p>
          <w:p w14:paraId="266A4061">
            <w:pPr>
              <w:spacing w:line="480" w:lineRule="exact"/>
              <w:jc w:val="center"/>
              <w:rPr>
                <w:sz w:val="24"/>
                <w:lang w:bidi="ar"/>
              </w:rPr>
            </w:pPr>
            <w:r>
              <w:rPr>
                <w:b/>
                <w:bCs/>
                <w:sz w:val="24"/>
              </w:rPr>
              <w:t>图4-4  重点区域防渗层剖面图</w:t>
            </w:r>
          </w:p>
          <w:p w14:paraId="55349776">
            <w:pPr>
              <w:widowControl/>
              <w:spacing w:line="480" w:lineRule="exact"/>
              <w:ind w:firstLine="480" w:firstLineChars="200"/>
              <w:rPr>
                <w:sz w:val="24"/>
                <w:lang w:bidi="ar"/>
              </w:rPr>
            </w:pPr>
            <w:r>
              <w:rPr>
                <w:sz w:val="24"/>
                <w:lang w:bidi="ar"/>
              </w:rPr>
              <w:t>简单防渗区为办公区及厂区道路只需进行地面硬化处理。</w:t>
            </w:r>
          </w:p>
          <w:p w14:paraId="5DA37BFB">
            <w:pPr>
              <w:widowControl/>
              <w:spacing w:line="480" w:lineRule="exact"/>
              <w:ind w:firstLine="480" w:firstLineChars="200"/>
              <w:rPr>
                <w:sz w:val="24"/>
                <w:lang w:bidi="ar"/>
              </w:rPr>
            </w:pPr>
            <w:r>
              <w:rPr>
                <w:sz w:val="24"/>
                <w:lang w:bidi="ar"/>
              </w:rPr>
              <w:t>企业在管理方面严加管理，并采取相应的防渗措施可有效防</w:t>
            </w:r>
            <w:r>
              <w:rPr>
                <w:sz w:val="24"/>
              </w:rPr>
              <w:t>止</w:t>
            </w:r>
            <w:r>
              <w:rPr>
                <w:sz w:val="24"/>
                <w:lang w:bidi="ar"/>
              </w:rPr>
              <w:t>因物料泄漏造成对区域土壤环境的污染。</w:t>
            </w:r>
          </w:p>
          <w:p w14:paraId="79E37B8F">
            <w:pPr>
              <w:spacing w:line="480" w:lineRule="exact"/>
              <w:ind w:firstLine="480" w:firstLineChars="200"/>
              <w:rPr>
                <w:color w:val="FF0000"/>
                <w:sz w:val="24"/>
              </w:rPr>
            </w:pPr>
            <w:r>
              <w:rPr>
                <w:sz w:val="24"/>
                <w:lang w:bidi="ar"/>
              </w:rPr>
              <w:t>项目针对各类污染物均采取了对应的污染治理措施，可确保污染物的达标排放及防止渗漏发生，可从源头上控制项目对区域土壤环境的污染源强，确保项目对区域土壤环境的影响处于</w:t>
            </w:r>
            <w:r>
              <w:rPr>
                <w:rFonts w:hint="eastAsia"/>
                <w:sz w:val="24"/>
                <w:lang w:eastAsia="zh-CN" w:bidi="ar"/>
              </w:rPr>
              <w:t>可控</w:t>
            </w:r>
            <w:r>
              <w:rPr>
                <w:sz w:val="24"/>
                <w:lang w:bidi="ar"/>
              </w:rPr>
              <w:t>水平。因此，只要企业严格落实本报告提出的污染防治措施，项目对区域土壤环境影响是</w:t>
            </w:r>
            <w:r>
              <w:rPr>
                <w:rFonts w:hint="eastAsia"/>
                <w:sz w:val="24"/>
                <w:lang w:eastAsia="zh-CN" w:bidi="ar"/>
              </w:rPr>
              <w:t>可控</w:t>
            </w:r>
            <w:r>
              <w:rPr>
                <w:sz w:val="24"/>
                <w:lang w:bidi="ar"/>
              </w:rPr>
              <w:t>的。</w:t>
            </w:r>
          </w:p>
        </w:tc>
      </w:tr>
    </w:tbl>
    <w:p w14:paraId="7C871C05">
      <w:pPr>
        <w:adjustRightInd w:val="0"/>
        <w:snapToGrid w:val="0"/>
        <w:spacing w:line="360" w:lineRule="auto"/>
        <w:rPr>
          <w:b/>
          <w:color w:val="FF0000"/>
          <w:kern w:val="0"/>
          <w:sz w:val="28"/>
          <w:szCs w:val="28"/>
        </w:rPr>
        <w:sectPr>
          <w:pgSz w:w="11907" w:h="16840"/>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p w14:paraId="664ADD41">
      <w:pPr>
        <w:pStyle w:val="23"/>
        <w:spacing w:before="0" w:beforeAutospacing="0" w:after="0" w:afterAutospacing="0"/>
        <w:jc w:val="center"/>
        <w:outlineLvl w:val="0"/>
        <w:rPr>
          <w:rFonts w:ascii="Times New Roman" w:hAnsi="Times New Roman"/>
          <w:b/>
          <w:bCs/>
          <w:snapToGrid w:val="0"/>
          <w:sz w:val="30"/>
          <w:szCs w:val="30"/>
        </w:rPr>
      </w:pPr>
      <w:r>
        <w:rPr>
          <w:rFonts w:ascii="Times New Roman" w:hAnsi="Times New Roman"/>
          <w:b/>
          <w:bCs/>
          <w:snapToGrid w:val="0"/>
          <w:sz w:val="30"/>
          <w:szCs w:val="30"/>
        </w:rPr>
        <w:t>五、</w:t>
      </w:r>
      <w:bookmarkStart w:id="6" w:name="_Hlk54167917"/>
      <w:r>
        <w:rPr>
          <w:rFonts w:ascii="Times New Roman" w:hAnsi="Times New Roman"/>
          <w:b/>
          <w:bCs/>
          <w:snapToGrid w:val="0"/>
          <w:sz w:val="30"/>
          <w:szCs w:val="30"/>
        </w:rPr>
        <w:t>环境保护措施监督检查清单</w:t>
      </w:r>
      <w:bookmarkEnd w:id="6"/>
    </w:p>
    <w:tbl>
      <w:tblPr>
        <w:tblStyle w:val="27"/>
        <w:tblW w:w="93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99"/>
        <w:gridCol w:w="694"/>
        <w:gridCol w:w="1180"/>
        <w:gridCol w:w="1341"/>
        <w:gridCol w:w="2204"/>
        <w:gridCol w:w="2080"/>
      </w:tblGrid>
      <w:tr w14:paraId="79ACE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43" w:hRule="atLeast"/>
          <w:jc w:val="center"/>
        </w:trPr>
        <w:tc>
          <w:tcPr>
            <w:tcW w:w="1899" w:type="dxa"/>
            <w:tcBorders>
              <w:tl2br w:val="nil"/>
              <w:tr2bl w:val="nil"/>
            </w:tcBorders>
          </w:tcPr>
          <w:p w14:paraId="6117071D">
            <w:pPr>
              <w:adjustRightInd w:val="0"/>
              <w:snapToGrid w:val="0"/>
              <w:ind w:firstLine="840"/>
              <w:rPr>
                <w:b/>
                <w:bCs/>
                <w:szCs w:val="21"/>
              </w:rPr>
            </w:pPr>
            <w:r>
              <w:rPr>
                <w:sz w:val="21"/>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8255</wp:posOffset>
                      </wp:positionV>
                      <wp:extent cx="1203960" cy="768350"/>
                      <wp:effectExtent l="2540" t="3810" r="12700" b="5080"/>
                      <wp:wrapNone/>
                      <wp:docPr id="15" name="直接连接符 15"/>
                      <wp:cNvGraphicFramePr/>
                      <a:graphic xmlns:a="http://schemas.openxmlformats.org/drawingml/2006/main">
                        <a:graphicData uri="http://schemas.microsoft.com/office/word/2010/wordprocessingShape">
                          <wps:wsp>
                            <wps:cNvCnPr/>
                            <wps:spPr>
                              <a:xfrm>
                                <a:off x="785495" y="1181100"/>
                                <a:ext cx="1203960" cy="76835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15pt;margin-top:0.65pt;height:60.5pt;width:94.8pt;z-index:251660288;mso-width-relative:page;mso-height-relative:page;" filled="f" stroked="t" coordsize="21600,21600" o:gfxdata="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GkOI&#10;1gAAAAcBAAAPAAAAAAAAAAEAIAAAACIAAABkcnMvZG93bnJldi54bWxQSwECFAAUAAAACACHTuJA&#10;qdFAheoBAACsAwAADgAAAAAAAAABACAAAAAlAQAAZHJzL2Uyb0RvYy54bWxQSwUGAAAAAAYABgBZ&#10;AQAAgQUAAAAA&#10;">
                      <v:fill on="f" focussize="0,0"/>
                      <v:stroke weight="0.25pt" color="#000000 [3213]" joinstyle="round"/>
                      <v:imagedata o:title=""/>
                      <o:lock v:ext="edit" aspectratio="f"/>
                    </v:line>
                  </w:pict>
                </mc:Fallback>
              </mc:AlternateContent>
            </w:r>
            <w:r>
              <w:rPr>
                <w:b/>
                <w:bCs/>
                <w:szCs w:val="21"/>
              </w:rPr>
              <w:t>内容</w:t>
            </w:r>
          </w:p>
          <w:p w14:paraId="2AA75404">
            <w:pPr>
              <w:adjustRightInd w:val="0"/>
              <w:snapToGrid w:val="0"/>
              <w:rPr>
                <w:b/>
                <w:bCs/>
                <w:szCs w:val="21"/>
              </w:rPr>
            </w:pPr>
          </w:p>
          <w:p w14:paraId="617EB3A1">
            <w:pPr>
              <w:adjustRightInd w:val="0"/>
              <w:snapToGrid w:val="0"/>
              <w:rPr>
                <w:b/>
                <w:bCs/>
                <w:szCs w:val="21"/>
              </w:rPr>
            </w:pPr>
          </w:p>
          <w:p w14:paraId="4B78D114">
            <w:pPr>
              <w:adjustRightInd w:val="0"/>
              <w:snapToGrid w:val="0"/>
              <w:ind w:firstLine="211" w:firstLineChars="100"/>
              <w:rPr>
                <w:b/>
                <w:bCs/>
                <w:szCs w:val="21"/>
              </w:rPr>
            </w:pPr>
            <w:r>
              <w:rPr>
                <w:b/>
                <w:bCs/>
                <w:szCs w:val="21"/>
              </w:rPr>
              <w:t>要素</w:t>
            </w:r>
          </w:p>
        </w:tc>
        <w:tc>
          <w:tcPr>
            <w:tcW w:w="1874" w:type="dxa"/>
            <w:gridSpan w:val="2"/>
            <w:tcBorders>
              <w:tl2br w:val="nil"/>
              <w:tr2bl w:val="nil"/>
            </w:tcBorders>
            <w:vAlign w:val="center"/>
          </w:tcPr>
          <w:p w14:paraId="74F9DB88">
            <w:pPr>
              <w:adjustRightInd w:val="0"/>
              <w:snapToGrid w:val="0"/>
              <w:jc w:val="center"/>
              <w:rPr>
                <w:b/>
                <w:bCs/>
                <w:szCs w:val="21"/>
              </w:rPr>
            </w:pPr>
            <w:r>
              <w:rPr>
                <w:b/>
                <w:bCs/>
                <w:szCs w:val="21"/>
              </w:rPr>
              <w:t>排放口（编号、</w:t>
            </w:r>
          </w:p>
          <w:p w14:paraId="3067E67F">
            <w:pPr>
              <w:adjustRightInd w:val="0"/>
              <w:snapToGrid w:val="0"/>
              <w:jc w:val="center"/>
              <w:rPr>
                <w:b/>
                <w:bCs/>
                <w:szCs w:val="21"/>
              </w:rPr>
            </w:pPr>
            <w:r>
              <w:rPr>
                <w:b/>
                <w:bCs/>
                <w:szCs w:val="21"/>
              </w:rPr>
              <w:t>名称）/污染源</w:t>
            </w:r>
          </w:p>
        </w:tc>
        <w:tc>
          <w:tcPr>
            <w:tcW w:w="1341" w:type="dxa"/>
            <w:tcBorders>
              <w:tl2br w:val="nil"/>
              <w:tr2bl w:val="nil"/>
            </w:tcBorders>
            <w:vAlign w:val="center"/>
          </w:tcPr>
          <w:p w14:paraId="1D0253CE">
            <w:pPr>
              <w:adjustRightInd w:val="0"/>
              <w:snapToGrid w:val="0"/>
              <w:jc w:val="center"/>
              <w:rPr>
                <w:b/>
                <w:bCs/>
                <w:szCs w:val="21"/>
              </w:rPr>
            </w:pPr>
            <w:r>
              <w:rPr>
                <w:b/>
                <w:bCs/>
                <w:szCs w:val="21"/>
              </w:rPr>
              <w:t>污染物项目</w:t>
            </w:r>
          </w:p>
        </w:tc>
        <w:tc>
          <w:tcPr>
            <w:tcW w:w="2204" w:type="dxa"/>
            <w:tcBorders>
              <w:tl2br w:val="nil"/>
              <w:tr2bl w:val="nil"/>
            </w:tcBorders>
            <w:vAlign w:val="center"/>
          </w:tcPr>
          <w:p w14:paraId="7D55CC1E">
            <w:pPr>
              <w:adjustRightInd w:val="0"/>
              <w:snapToGrid w:val="0"/>
              <w:jc w:val="center"/>
              <w:rPr>
                <w:b/>
                <w:bCs/>
                <w:szCs w:val="21"/>
              </w:rPr>
            </w:pPr>
            <w:r>
              <w:rPr>
                <w:b/>
                <w:bCs/>
                <w:szCs w:val="21"/>
              </w:rPr>
              <w:t>环境保护措施</w:t>
            </w:r>
          </w:p>
        </w:tc>
        <w:tc>
          <w:tcPr>
            <w:tcW w:w="2080" w:type="dxa"/>
            <w:tcBorders>
              <w:tl2br w:val="nil"/>
              <w:tr2bl w:val="nil"/>
            </w:tcBorders>
            <w:vAlign w:val="center"/>
          </w:tcPr>
          <w:p w14:paraId="5F848346">
            <w:pPr>
              <w:adjustRightInd w:val="0"/>
              <w:snapToGrid w:val="0"/>
              <w:jc w:val="center"/>
              <w:rPr>
                <w:b/>
                <w:bCs/>
                <w:szCs w:val="21"/>
              </w:rPr>
            </w:pPr>
            <w:r>
              <w:rPr>
                <w:b/>
                <w:bCs/>
                <w:szCs w:val="21"/>
              </w:rPr>
              <w:t>执行标准</w:t>
            </w:r>
          </w:p>
        </w:tc>
      </w:tr>
      <w:tr w14:paraId="27B9D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1" w:hRule="atLeast"/>
          <w:jc w:val="center"/>
        </w:trPr>
        <w:tc>
          <w:tcPr>
            <w:tcW w:w="1899" w:type="dxa"/>
            <w:vMerge w:val="restart"/>
            <w:tcBorders>
              <w:tl2br w:val="nil"/>
              <w:tr2bl w:val="nil"/>
            </w:tcBorders>
            <w:vAlign w:val="center"/>
          </w:tcPr>
          <w:p w14:paraId="0E63D641">
            <w:pPr>
              <w:adjustRightInd w:val="0"/>
              <w:snapToGrid w:val="0"/>
              <w:jc w:val="center"/>
              <w:rPr>
                <w:szCs w:val="21"/>
              </w:rPr>
            </w:pPr>
            <w:r>
              <w:rPr>
                <w:szCs w:val="21"/>
              </w:rPr>
              <w:t>大气环境</w:t>
            </w:r>
          </w:p>
        </w:tc>
        <w:tc>
          <w:tcPr>
            <w:tcW w:w="694" w:type="dxa"/>
            <w:vMerge w:val="restart"/>
            <w:tcBorders>
              <w:tl2br w:val="nil"/>
              <w:tr2bl w:val="nil"/>
            </w:tcBorders>
            <w:vAlign w:val="center"/>
          </w:tcPr>
          <w:p w14:paraId="1B64D474">
            <w:pPr>
              <w:adjustRightInd w:val="0"/>
              <w:snapToGrid w:val="0"/>
              <w:jc w:val="center"/>
              <w:rPr>
                <w:kern w:val="0"/>
                <w:szCs w:val="21"/>
              </w:rPr>
            </w:pPr>
            <w:r>
              <w:rPr>
                <w:kern w:val="0"/>
                <w:szCs w:val="21"/>
              </w:rPr>
              <w:t>有组织</w:t>
            </w:r>
          </w:p>
        </w:tc>
        <w:tc>
          <w:tcPr>
            <w:tcW w:w="1180" w:type="dxa"/>
            <w:vMerge w:val="restart"/>
            <w:tcBorders>
              <w:tl2br w:val="nil"/>
              <w:tr2bl w:val="nil"/>
            </w:tcBorders>
            <w:vAlign w:val="center"/>
          </w:tcPr>
          <w:p w14:paraId="23285FE6">
            <w:pPr>
              <w:pStyle w:val="63"/>
              <w:rPr>
                <w:rFonts w:hint="eastAsia"/>
                <w:kern w:val="0"/>
                <w:lang w:val="en-US" w:eastAsia="zh-CN"/>
              </w:rPr>
            </w:pPr>
            <w:r>
              <w:rPr>
                <w:rFonts w:hint="eastAsia"/>
                <w:kern w:val="0"/>
                <w:lang w:val="en-US" w:eastAsia="zh-CN"/>
              </w:rPr>
              <w:t>DA001</w:t>
            </w:r>
          </w:p>
          <w:p w14:paraId="60475D9B">
            <w:pPr>
              <w:pStyle w:val="63"/>
              <w:rPr>
                <w:kern w:val="0"/>
              </w:rPr>
            </w:pPr>
            <w:r>
              <w:rPr>
                <w:kern w:val="0"/>
              </w:rPr>
              <w:t>排气筒</w:t>
            </w:r>
          </w:p>
        </w:tc>
        <w:tc>
          <w:tcPr>
            <w:tcW w:w="1341" w:type="dxa"/>
            <w:tcBorders>
              <w:tl2br w:val="nil"/>
              <w:tr2bl w:val="nil"/>
            </w:tcBorders>
            <w:shd w:val="clear" w:color="auto" w:fill="auto"/>
            <w:vAlign w:val="center"/>
          </w:tcPr>
          <w:p w14:paraId="4943DDBC">
            <w:pPr>
              <w:adjustRightInd w:val="0"/>
              <w:snapToGrid w:val="0"/>
              <w:jc w:val="center"/>
              <w:rPr>
                <w:rFonts w:hint="eastAsia" w:ascii="Times New Roman" w:hAnsi="Times New Roman" w:eastAsia="宋体" w:cs="Times New Roman"/>
                <w:bCs/>
                <w:kern w:val="2"/>
                <w:sz w:val="21"/>
                <w:szCs w:val="21"/>
                <w:lang w:val="en-US" w:eastAsia="zh-CN" w:bidi="ar-SA"/>
              </w:rPr>
            </w:pPr>
            <w:r>
              <w:rPr>
                <w:rFonts w:hint="eastAsia"/>
                <w:bCs/>
                <w:szCs w:val="21"/>
              </w:rPr>
              <w:t>颗粒物</w:t>
            </w:r>
          </w:p>
        </w:tc>
        <w:tc>
          <w:tcPr>
            <w:tcW w:w="2204" w:type="dxa"/>
            <w:tcBorders>
              <w:tl2br w:val="nil"/>
              <w:tr2bl w:val="nil"/>
            </w:tcBorders>
            <w:shd w:val="clear" w:color="auto" w:fill="auto"/>
            <w:vAlign w:val="center"/>
          </w:tcPr>
          <w:p w14:paraId="04EE37A8">
            <w:pPr>
              <w:jc w:val="center"/>
              <w:rPr>
                <w:rFonts w:hint="eastAsia" w:ascii="Times New Roman" w:hAnsi="Times New Roman" w:eastAsia="宋体" w:cs="Times New Roman"/>
                <w:kern w:val="2"/>
                <w:sz w:val="21"/>
                <w:szCs w:val="21"/>
                <w:lang w:val="en-US" w:eastAsia="zh-CN" w:bidi="ar-SA"/>
              </w:rPr>
            </w:pPr>
            <w:r>
              <w:rPr>
                <w:rFonts w:hint="eastAsia"/>
                <w:szCs w:val="21"/>
                <w:lang w:eastAsia="zh-CN"/>
              </w:rPr>
              <w:t>布袋除尘器</w:t>
            </w:r>
          </w:p>
        </w:tc>
        <w:tc>
          <w:tcPr>
            <w:tcW w:w="2080" w:type="dxa"/>
            <w:vMerge w:val="restart"/>
            <w:tcBorders>
              <w:tl2br w:val="nil"/>
              <w:tr2bl w:val="nil"/>
            </w:tcBorders>
            <w:vAlign w:val="center"/>
          </w:tcPr>
          <w:p w14:paraId="5F326BCE">
            <w:pPr>
              <w:adjustRightInd w:val="0"/>
              <w:snapToGrid w:val="0"/>
              <w:jc w:val="center"/>
              <w:rPr>
                <w:rFonts w:hint="eastAsia"/>
                <w:color w:val="auto"/>
                <w:szCs w:val="21"/>
              </w:rPr>
            </w:pPr>
            <w:r>
              <w:rPr>
                <w:rFonts w:hint="eastAsia"/>
                <w:szCs w:val="21"/>
                <w:lang w:val="en-US" w:eastAsia="zh-CN"/>
              </w:rPr>
              <w:t>《工业涂装工序大气污染物排放标准》（</w:t>
            </w:r>
            <w:r>
              <w:rPr>
                <w:rFonts w:hint="default"/>
                <w:szCs w:val="21"/>
                <w:lang w:val="en-US" w:eastAsia="zh-CN"/>
              </w:rPr>
              <w:t>DB32/4439-2022</w:t>
            </w:r>
            <w:r>
              <w:rPr>
                <w:rFonts w:hint="eastAsia"/>
                <w:szCs w:val="21"/>
                <w:lang w:val="en-US" w:eastAsia="zh-CN"/>
              </w:rPr>
              <w:t>）</w:t>
            </w:r>
          </w:p>
        </w:tc>
      </w:tr>
      <w:tr w14:paraId="03A35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1" w:hRule="atLeast"/>
          <w:jc w:val="center"/>
        </w:trPr>
        <w:tc>
          <w:tcPr>
            <w:tcW w:w="1899" w:type="dxa"/>
            <w:vMerge w:val="continue"/>
            <w:tcBorders>
              <w:tl2br w:val="nil"/>
              <w:tr2bl w:val="nil"/>
            </w:tcBorders>
            <w:vAlign w:val="center"/>
          </w:tcPr>
          <w:p w14:paraId="7A65DCED">
            <w:pPr>
              <w:adjustRightInd w:val="0"/>
              <w:snapToGrid w:val="0"/>
              <w:jc w:val="center"/>
              <w:rPr>
                <w:szCs w:val="21"/>
              </w:rPr>
            </w:pPr>
          </w:p>
        </w:tc>
        <w:tc>
          <w:tcPr>
            <w:tcW w:w="694" w:type="dxa"/>
            <w:vMerge w:val="continue"/>
            <w:tcBorders>
              <w:tl2br w:val="nil"/>
              <w:tr2bl w:val="nil"/>
            </w:tcBorders>
            <w:vAlign w:val="center"/>
          </w:tcPr>
          <w:p w14:paraId="30D95C85">
            <w:pPr>
              <w:adjustRightInd w:val="0"/>
              <w:snapToGrid w:val="0"/>
              <w:jc w:val="center"/>
              <w:rPr>
                <w:kern w:val="0"/>
                <w:szCs w:val="21"/>
              </w:rPr>
            </w:pPr>
          </w:p>
        </w:tc>
        <w:tc>
          <w:tcPr>
            <w:tcW w:w="1180" w:type="dxa"/>
            <w:vMerge w:val="continue"/>
            <w:tcBorders>
              <w:tl2br w:val="nil"/>
              <w:tr2bl w:val="nil"/>
            </w:tcBorders>
            <w:vAlign w:val="center"/>
          </w:tcPr>
          <w:p w14:paraId="1DBF2DDD">
            <w:pPr>
              <w:pStyle w:val="63"/>
              <w:rPr>
                <w:kern w:val="0"/>
              </w:rPr>
            </w:pPr>
          </w:p>
        </w:tc>
        <w:tc>
          <w:tcPr>
            <w:tcW w:w="1341" w:type="dxa"/>
            <w:tcBorders>
              <w:tl2br w:val="nil"/>
              <w:tr2bl w:val="nil"/>
            </w:tcBorders>
            <w:vAlign w:val="center"/>
          </w:tcPr>
          <w:p w14:paraId="4A4F3F11">
            <w:pPr>
              <w:pStyle w:val="63"/>
              <w:rPr>
                <w:rFonts w:hint="eastAsia" w:eastAsia="宋体"/>
                <w:kern w:val="0"/>
                <w:lang w:eastAsia="zh-CN"/>
              </w:rPr>
            </w:pPr>
            <w:r>
              <w:rPr>
                <w:rFonts w:hint="eastAsia"/>
                <w:bCs/>
                <w:lang w:eastAsia="zh-CN"/>
              </w:rPr>
              <w:t>挥发性有机物</w:t>
            </w:r>
          </w:p>
        </w:tc>
        <w:tc>
          <w:tcPr>
            <w:tcW w:w="2204" w:type="dxa"/>
            <w:tcBorders>
              <w:tl2br w:val="nil"/>
              <w:tr2bl w:val="nil"/>
            </w:tcBorders>
            <w:vAlign w:val="center"/>
          </w:tcPr>
          <w:p w14:paraId="5D334977">
            <w:pPr>
              <w:pStyle w:val="63"/>
              <w:rPr>
                <w:kern w:val="0"/>
              </w:rPr>
            </w:pPr>
            <w:r>
              <w:rPr>
                <w:rFonts w:hint="eastAsia"/>
                <w:kern w:val="0"/>
                <w:lang w:val="en-US" w:eastAsia="zh-CN" w:bidi="ar"/>
              </w:rPr>
              <w:t>除水器+</w:t>
            </w:r>
            <w:r>
              <w:rPr>
                <w:rFonts w:hint="eastAsia"/>
                <w:kern w:val="0"/>
                <w:lang w:bidi="ar"/>
              </w:rPr>
              <w:t>二级活性炭吸附装置</w:t>
            </w:r>
          </w:p>
        </w:tc>
        <w:tc>
          <w:tcPr>
            <w:tcW w:w="2080" w:type="dxa"/>
            <w:vMerge w:val="continue"/>
            <w:tcBorders>
              <w:tl2br w:val="nil"/>
              <w:tr2bl w:val="nil"/>
            </w:tcBorders>
            <w:vAlign w:val="center"/>
          </w:tcPr>
          <w:p w14:paraId="13962F5A">
            <w:pPr>
              <w:adjustRightInd w:val="0"/>
              <w:snapToGrid w:val="0"/>
              <w:jc w:val="center"/>
              <w:rPr>
                <w:szCs w:val="21"/>
              </w:rPr>
            </w:pPr>
          </w:p>
        </w:tc>
      </w:tr>
      <w:tr w14:paraId="2D9A6D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7" w:hRule="atLeast"/>
          <w:jc w:val="center"/>
        </w:trPr>
        <w:tc>
          <w:tcPr>
            <w:tcW w:w="1899" w:type="dxa"/>
            <w:vMerge w:val="continue"/>
            <w:tcBorders>
              <w:tl2br w:val="nil"/>
              <w:tr2bl w:val="nil"/>
            </w:tcBorders>
            <w:vAlign w:val="center"/>
          </w:tcPr>
          <w:p w14:paraId="6CEA16CF">
            <w:pPr>
              <w:adjustRightInd w:val="0"/>
              <w:snapToGrid w:val="0"/>
              <w:jc w:val="center"/>
              <w:rPr>
                <w:szCs w:val="21"/>
              </w:rPr>
            </w:pPr>
          </w:p>
        </w:tc>
        <w:tc>
          <w:tcPr>
            <w:tcW w:w="694" w:type="dxa"/>
            <w:vMerge w:val="continue"/>
            <w:tcBorders>
              <w:tl2br w:val="nil"/>
              <w:tr2bl w:val="nil"/>
            </w:tcBorders>
            <w:vAlign w:val="center"/>
          </w:tcPr>
          <w:p w14:paraId="08102016">
            <w:pPr>
              <w:adjustRightInd w:val="0"/>
              <w:snapToGrid w:val="0"/>
              <w:jc w:val="center"/>
              <w:rPr>
                <w:kern w:val="0"/>
                <w:szCs w:val="21"/>
              </w:rPr>
            </w:pPr>
          </w:p>
        </w:tc>
        <w:tc>
          <w:tcPr>
            <w:tcW w:w="1180" w:type="dxa"/>
            <w:vMerge w:val="continue"/>
            <w:tcBorders>
              <w:tl2br w:val="nil"/>
              <w:tr2bl w:val="nil"/>
            </w:tcBorders>
            <w:vAlign w:val="center"/>
          </w:tcPr>
          <w:p w14:paraId="21BEC2FF">
            <w:pPr>
              <w:pStyle w:val="63"/>
              <w:rPr>
                <w:kern w:val="0"/>
              </w:rPr>
            </w:pPr>
          </w:p>
        </w:tc>
        <w:tc>
          <w:tcPr>
            <w:tcW w:w="1341" w:type="dxa"/>
            <w:tcBorders>
              <w:tl2br w:val="nil"/>
              <w:tr2bl w:val="nil"/>
            </w:tcBorders>
            <w:vAlign w:val="center"/>
          </w:tcPr>
          <w:p w14:paraId="20756CF9">
            <w:pPr>
              <w:pStyle w:val="63"/>
              <w:rPr>
                <w:rFonts w:hint="eastAsia" w:eastAsia="宋体"/>
                <w:bCs/>
                <w:lang w:val="en-US" w:eastAsia="zh-CN"/>
              </w:rPr>
            </w:pPr>
            <w:r>
              <w:rPr>
                <w:rFonts w:hint="eastAsia"/>
                <w:bCs/>
                <w:szCs w:val="21"/>
                <w:lang w:val="en-US" w:eastAsia="zh-CN"/>
              </w:rPr>
              <w:t>二氧化硫</w:t>
            </w:r>
            <w:r>
              <w:rPr>
                <w:rFonts w:hint="eastAsia"/>
                <w:bCs/>
                <w:szCs w:val="21"/>
              </w:rPr>
              <w:t>、</w:t>
            </w:r>
            <w:r>
              <w:rPr>
                <w:rFonts w:hint="eastAsia"/>
                <w:bCs/>
                <w:szCs w:val="21"/>
                <w:lang w:val="en-US" w:eastAsia="zh-CN"/>
              </w:rPr>
              <w:t>氮氧化物</w:t>
            </w:r>
          </w:p>
        </w:tc>
        <w:tc>
          <w:tcPr>
            <w:tcW w:w="2204" w:type="dxa"/>
            <w:tcBorders>
              <w:tl2br w:val="nil"/>
              <w:tr2bl w:val="nil"/>
            </w:tcBorders>
            <w:vAlign w:val="center"/>
          </w:tcPr>
          <w:p w14:paraId="6729E85D">
            <w:pPr>
              <w:pStyle w:val="63"/>
              <w:rPr>
                <w:rFonts w:hint="eastAsia" w:eastAsia="宋体"/>
                <w:kern w:val="0"/>
                <w:lang w:val="en-US" w:eastAsia="zh-CN" w:bidi="ar"/>
              </w:rPr>
            </w:pPr>
            <w:r>
              <w:rPr>
                <w:rFonts w:hint="eastAsia"/>
                <w:kern w:val="0"/>
                <w:lang w:val="en-US" w:eastAsia="zh-CN" w:bidi="ar"/>
              </w:rPr>
              <w:t>/</w:t>
            </w:r>
          </w:p>
        </w:tc>
        <w:tc>
          <w:tcPr>
            <w:tcW w:w="2080" w:type="dxa"/>
            <w:tcBorders>
              <w:tl2br w:val="nil"/>
              <w:tr2bl w:val="nil"/>
            </w:tcBorders>
            <w:vAlign w:val="center"/>
          </w:tcPr>
          <w:p w14:paraId="4866C747">
            <w:pPr>
              <w:adjustRightInd w:val="0"/>
              <w:snapToGrid w:val="0"/>
              <w:jc w:val="center"/>
              <w:rPr>
                <w:rFonts w:hint="eastAsia"/>
                <w:color w:val="auto"/>
                <w:szCs w:val="21"/>
              </w:rPr>
            </w:pPr>
            <w:r>
              <w:rPr>
                <w:rFonts w:hint="eastAsia"/>
                <w:color w:val="auto"/>
                <w:szCs w:val="21"/>
              </w:rPr>
              <w:t>《工业炉窑大气污染物排放标准》（DB32/3728-2020）</w:t>
            </w:r>
          </w:p>
        </w:tc>
      </w:tr>
      <w:tr w14:paraId="502AF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1899" w:type="dxa"/>
            <w:vMerge w:val="continue"/>
            <w:tcBorders>
              <w:tl2br w:val="nil"/>
              <w:tr2bl w:val="nil"/>
            </w:tcBorders>
            <w:vAlign w:val="center"/>
          </w:tcPr>
          <w:p w14:paraId="0BD9F07C">
            <w:pPr>
              <w:adjustRightInd w:val="0"/>
              <w:snapToGrid w:val="0"/>
              <w:jc w:val="center"/>
              <w:rPr>
                <w:szCs w:val="21"/>
              </w:rPr>
            </w:pPr>
          </w:p>
        </w:tc>
        <w:tc>
          <w:tcPr>
            <w:tcW w:w="694" w:type="dxa"/>
            <w:vMerge w:val="restart"/>
            <w:tcBorders>
              <w:tl2br w:val="nil"/>
              <w:tr2bl w:val="nil"/>
            </w:tcBorders>
            <w:vAlign w:val="center"/>
          </w:tcPr>
          <w:p w14:paraId="2251753D">
            <w:pPr>
              <w:jc w:val="center"/>
              <w:rPr>
                <w:kern w:val="0"/>
                <w:szCs w:val="21"/>
              </w:rPr>
            </w:pPr>
            <w:r>
              <w:rPr>
                <w:szCs w:val="21"/>
              </w:rPr>
              <w:t>无组织</w:t>
            </w:r>
          </w:p>
        </w:tc>
        <w:tc>
          <w:tcPr>
            <w:tcW w:w="1180" w:type="dxa"/>
            <w:vMerge w:val="restart"/>
            <w:tcBorders>
              <w:tl2br w:val="nil"/>
              <w:tr2bl w:val="nil"/>
            </w:tcBorders>
            <w:vAlign w:val="center"/>
          </w:tcPr>
          <w:p w14:paraId="2A0B7BB4">
            <w:pPr>
              <w:jc w:val="center"/>
              <w:rPr>
                <w:rFonts w:hint="default" w:eastAsia="宋体"/>
                <w:szCs w:val="21"/>
                <w:lang w:val="en-US" w:eastAsia="zh-CN"/>
              </w:rPr>
            </w:pPr>
            <w:r>
              <w:rPr>
                <w:rFonts w:hint="eastAsia"/>
                <w:szCs w:val="21"/>
                <w:lang w:val="en-US" w:eastAsia="zh-CN"/>
              </w:rPr>
              <w:t>厂界</w:t>
            </w:r>
          </w:p>
        </w:tc>
        <w:tc>
          <w:tcPr>
            <w:tcW w:w="1341" w:type="dxa"/>
            <w:tcBorders>
              <w:tl2br w:val="nil"/>
              <w:tr2bl w:val="nil"/>
            </w:tcBorders>
            <w:vAlign w:val="center"/>
          </w:tcPr>
          <w:p w14:paraId="15957A5D">
            <w:pPr>
              <w:adjustRightInd w:val="0"/>
              <w:snapToGrid w:val="0"/>
              <w:jc w:val="center"/>
              <w:rPr>
                <w:bCs/>
                <w:szCs w:val="21"/>
              </w:rPr>
            </w:pPr>
            <w:r>
              <w:rPr>
                <w:rFonts w:hint="eastAsia"/>
                <w:bCs/>
                <w:szCs w:val="21"/>
              </w:rPr>
              <w:t>颗粒物</w:t>
            </w:r>
          </w:p>
        </w:tc>
        <w:tc>
          <w:tcPr>
            <w:tcW w:w="2204" w:type="dxa"/>
            <w:tcBorders>
              <w:tl2br w:val="nil"/>
              <w:tr2bl w:val="nil"/>
            </w:tcBorders>
            <w:vAlign w:val="center"/>
          </w:tcPr>
          <w:p w14:paraId="228410B0">
            <w:pPr>
              <w:jc w:val="center"/>
              <w:rPr>
                <w:rFonts w:hint="eastAsia" w:eastAsia="宋体"/>
                <w:szCs w:val="21"/>
                <w:lang w:eastAsia="zh-CN"/>
              </w:rPr>
            </w:pPr>
            <w:r>
              <w:rPr>
                <w:rFonts w:hint="eastAsia"/>
                <w:szCs w:val="21"/>
                <w:lang w:val="en-US" w:eastAsia="zh-CN"/>
              </w:rPr>
              <w:t>/</w:t>
            </w:r>
          </w:p>
        </w:tc>
        <w:tc>
          <w:tcPr>
            <w:tcW w:w="2080" w:type="dxa"/>
            <w:vMerge w:val="restart"/>
            <w:tcBorders>
              <w:tl2br w:val="nil"/>
              <w:tr2bl w:val="nil"/>
            </w:tcBorders>
            <w:vAlign w:val="center"/>
          </w:tcPr>
          <w:p w14:paraId="3F80EDAE">
            <w:pPr>
              <w:adjustRightInd w:val="0"/>
              <w:snapToGrid w:val="0"/>
              <w:jc w:val="center"/>
              <w:rPr>
                <w:szCs w:val="21"/>
              </w:rPr>
            </w:pPr>
            <w:r>
              <w:rPr>
                <w:rFonts w:hint="eastAsia"/>
                <w:color w:val="auto"/>
                <w:szCs w:val="21"/>
              </w:rPr>
              <w:t>《大气污染物综合排放标准》（DB32/4041-2021）</w:t>
            </w:r>
          </w:p>
        </w:tc>
      </w:tr>
      <w:tr w14:paraId="32C49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1899" w:type="dxa"/>
            <w:vMerge w:val="continue"/>
            <w:tcBorders>
              <w:tl2br w:val="nil"/>
              <w:tr2bl w:val="nil"/>
            </w:tcBorders>
            <w:vAlign w:val="center"/>
          </w:tcPr>
          <w:p w14:paraId="47883CC8">
            <w:pPr>
              <w:adjustRightInd w:val="0"/>
              <w:snapToGrid w:val="0"/>
              <w:jc w:val="center"/>
              <w:rPr>
                <w:szCs w:val="21"/>
              </w:rPr>
            </w:pPr>
          </w:p>
        </w:tc>
        <w:tc>
          <w:tcPr>
            <w:tcW w:w="694" w:type="dxa"/>
            <w:vMerge w:val="continue"/>
            <w:tcBorders>
              <w:tl2br w:val="nil"/>
              <w:tr2bl w:val="nil"/>
            </w:tcBorders>
            <w:vAlign w:val="center"/>
          </w:tcPr>
          <w:p w14:paraId="50556B14">
            <w:pPr>
              <w:jc w:val="center"/>
              <w:rPr>
                <w:szCs w:val="21"/>
              </w:rPr>
            </w:pPr>
          </w:p>
        </w:tc>
        <w:tc>
          <w:tcPr>
            <w:tcW w:w="1180" w:type="dxa"/>
            <w:vMerge w:val="continue"/>
            <w:tcBorders>
              <w:tl2br w:val="nil"/>
              <w:tr2bl w:val="nil"/>
            </w:tcBorders>
            <w:vAlign w:val="center"/>
          </w:tcPr>
          <w:p w14:paraId="22A015EE">
            <w:pPr>
              <w:jc w:val="center"/>
              <w:rPr>
                <w:szCs w:val="21"/>
              </w:rPr>
            </w:pPr>
          </w:p>
        </w:tc>
        <w:tc>
          <w:tcPr>
            <w:tcW w:w="1341" w:type="dxa"/>
            <w:tcBorders>
              <w:tl2br w:val="nil"/>
              <w:tr2bl w:val="nil"/>
            </w:tcBorders>
            <w:vAlign w:val="center"/>
          </w:tcPr>
          <w:p w14:paraId="1EC522B3">
            <w:pPr>
              <w:adjustRightInd w:val="0"/>
              <w:snapToGrid w:val="0"/>
              <w:jc w:val="center"/>
              <w:rPr>
                <w:rFonts w:hint="eastAsia" w:eastAsia="宋体"/>
                <w:bCs/>
                <w:szCs w:val="21"/>
                <w:lang w:val="en-US" w:eastAsia="zh-CN"/>
              </w:rPr>
            </w:pPr>
            <w:r>
              <w:rPr>
                <w:rFonts w:hint="eastAsia"/>
                <w:bCs/>
                <w:szCs w:val="21"/>
                <w:lang w:val="en-US" w:eastAsia="zh-CN"/>
              </w:rPr>
              <w:t>非甲烷总烃</w:t>
            </w:r>
          </w:p>
        </w:tc>
        <w:tc>
          <w:tcPr>
            <w:tcW w:w="2204" w:type="dxa"/>
            <w:tcBorders>
              <w:tl2br w:val="nil"/>
              <w:tr2bl w:val="nil"/>
            </w:tcBorders>
            <w:vAlign w:val="center"/>
          </w:tcPr>
          <w:p w14:paraId="4E0BEC2E">
            <w:pPr>
              <w:jc w:val="center"/>
              <w:rPr>
                <w:rFonts w:hint="eastAsia" w:eastAsia="宋体"/>
                <w:szCs w:val="21"/>
                <w:lang w:val="en-US" w:eastAsia="zh-CN"/>
              </w:rPr>
            </w:pPr>
            <w:r>
              <w:rPr>
                <w:rFonts w:hint="eastAsia"/>
                <w:szCs w:val="21"/>
                <w:lang w:val="en-US" w:eastAsia="zh-CN"/>
              </w:rPr>
              <w:t>/</w:t>
            </w:r>
          </w:p>
        </w:tc>
        <w:tc>
          <w:tcPr>
            <w:tcW w:w="2080" w:type="dxa"/>
            <w:vMerge w:val="continue"/>
            <w:tcBorders>
              <w:tl2br w:val="nil"/>
              <w:tr2bl w:val="nil"/>
            </w:tcBorders>
            <w:vAlign w:val="center"/>
          </w:tcPr>
          <w:p w14:paraId="320C9170">
            <w:pPr>
              <w:adjustRightInd w:val="0"/>
              <w:snapToGrid w:val="0"/>
              <w:jc w:val="center"/>
              <w:rPr>
                <w:szCs w:val="21"/>
              </w:rPr>
            </w:pPr>
          </w:p>
        </w:tc>
      </w:tr>
      <w:tr w14:paraId="436B0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1899" w:type="dxa"/>
            <w:vMerge w:val="continue"/>
            <w:tcBorders>
              <w:tl2br w:val="nil"/>
              <w:tr2bl w:val="nil"/>
            </w:tcBorders>
            <w:vAlign w:val="center"/>
          </w:tcPr>
          <w:p w14:paraId="158EA7EB">
            <w:pPr>
              <w:adjustRightInd w:val="0"/>
              <w:snapToGrid w:val="0"/>
              <w:jc w:val="center"/>
              <w:rPr>
                <w:szCs w:val="21"/>
              </w:rPr>
            </w:pPr>
          </w:p>
        </w:tc>
        <w:tc>
          <w:tcPr>
            <w:tcW w:w="694" w:type="dxa"/>
            <w:vMerge w:val="continue"/>
            <w:tcBorders>
              <w:tl2br w:val="nil"/>
              <w:tr2bl w:val="nil"/>
            </w:tcBorders>
            <w:vAlign w:val="center"/>
          </w:tcPr>
          <w:p w14:paraId="7ED4295E">
            <w:pPr>
              <w:jc w:val="center"/>
              <w:rPr>
                <w:szCs w:val="21"/>
              </w:rPr>
            </w:pPr>
          </w:p>
        </w:tc>
        <w:tc>
          <w:tcPr>
            <w:tcW w:w="1180" w:type="dxa"/>
            <w:vMerge w:val="restart"/>
            <w:tcBorders>
              <w:tl2br w:val="nil"/>
              <w:tr2bl w:val="nil"/>
            </w:tcBorders>
            <w:vAlign w:val="center"/>
          </w:tcPr>
          <w:p w14:paraId="538B9CBF">
            <w:pPr>
              <w:jc w:val="center"/>
              <w:rPr>
                <w:rFonts w:hint="eastAsia" w:eastAsia="宋体"/>
                <w:szCs w:val="21"/>
                <w:lang w:val="en-US" w:eastAsia="zh-CN"/>
              </w:rPr>
            </w:pPr>
            <w:r>
              <w:rPr>
                <w:rFonts w:hint="eastAsia"/>
                <w:szCs w:val="21"/>
                <w:lang w:val="en-US" w:eastAsia="zh-CN"/>
              </w:rPr>
              <w:t>厂区内</w:t>
            </w:r>
          </w:p>
        </w:tc>
        <w:tc>
          <w:tcPr>
            <w:tcW w:w="1341" w:type="dxa"/>
            <w:tcBorders>
              <w:tl2br w:val="nil"/>
              <w:tr2bl w:val="nil"/>
            </w:tcBorders>
            <w:shd w:val="clear" w:color="auto" w:fill="auto"/>
            <w:vAlign w:val="center"/>
          </w:tcPr>
          <w:p w14:paraId="79A8CE4C">
            <w:pPr>
              <w:adjustRightInd w:val="0"/>
              <w:snapToGrid w:val="0"/>
              <w:jc w:val="center"/>
              <w:rPr>
                <w:rFonts w:hint="eastAsia" w:ascii="Times New Roman" w:hAnsi="Times New Roman" w:eastAsia="宋体" w:cs="Times New Roman"/>
                <w:bCs/>
                <w:kern w:val="2"/>
                <w:sz w:val="21"/>
                <w:szCs w:val="21"/>
                <w:lang w:val="en-US" w:eastAsia="zh-CN" w:bidi="ar-SA"/>
              </w:rPr>
            </w:pPr>
            <w:r>
              <w:rPr>
                <w:rFonts w:hint="eastAsia"/>
                <w:bCs/>
                <w:szCs w:val="21"/>
              </w:rPr>
              <w:t>颗粒物</w:t>
            </w:r>
          </w:p>
        </w:tc>
        <w:tc>
          <w:tcPr>
            <w:tcW w:w="2204" w:type="dxa"/>
            <w:tcBorders>
              <w:tl2br w:val="nil"/>
              <w:tr2bl w:val="nil"/>
            </w:tcBorders>
            <w:vAlign w:val="center"/>
          </w:tcPr>
          <w:p w14:paraId="479F79B5">
            <w:pPr>
              <w:jc w:val="center"/>
              <w:rPr>
                <w:rFonts w:hint="eastAsia"/>
                <w:szCs w:val="21"/>
                <w:lang w:val="en-US" w:eastAsia="zh-CN"/>
              </w:rPr>
            </w:pPr>
            <w:r>
              <w:rPr>
                <w:rFonts w:hint="eastAsia"/>
                <w:szCs w:val="21"/>
                <w:lang w:val="en-US" w:eastAsia="zh-CN"/>
              </w:rPr>
              <w:t>/</w:t>
            </w:r>
          </w:p>
        </w:tc>
        <w:tc>
          <w:tcPr>
            <w:tcW w:w="2080" w:type="dxa"/>
            <w:tcBorders>
              <w:tl2br w:val="nil"/>
              <w:tr2bl w:val="nil"/>
            </w:tcBorders>
            <w:vAlign w:val="center"/>
          </w:tcPr>
          <w:p w14:paraId="40344588">
            <w:pPr>
              <w:adjustRightInd w:val="0"/>
              <w:snapToGrid w:val="0"/>
              <w:jc w:val="center"/>
              <w:rPr>
                <w:szCs w:val="21"/>
              </w:rPr>
            </w:pPr>
            <w:r>
              <w:rPr>
                <w:rFonts w:hint="eastAsia"/>
                <w:b w:val="0"/>
                <w:bCs/>
                <w:sz w:val="21"/>
                <w:szCs w:val="21"/>
              </w:rPr>
              <w:t>《工业炉窑大气污染物排放标准》（DB32/3728-2020）</w:t>
            </w:r>
          </w:p>
        </w:tc>
      </w:tr>
      <w:tr w14:paraId="7AEC54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1899" w:type="dxa"/>
            <w:vMerge w:val="continue"/>
            <w:tcBorders>
              <w:tl2br w:val="nil"/>
              <w:tr2bl w:val="nil"/>
            </w:tcBorders>
            <w:vAlign w:val="center"/>
          </w:tcPr>
          <w:p w14:paraId="58F8B40B">
            <w:pPr>
              <w:adjustRightInd w:val="0"/>
              <w:snapToGrid w:val="0"/>
              <w:jc w:val="center"/>
              <w:rPr>
                <w:szCs w:val="21"/>
              </w:rPr>
            </w:pPr>
          </w:p>
        </w:tc>
        <w:tc>
          <w:tcPr>
            <w:tcW w:w="694" w:type="dxa"/>
            <w:vMerge w:val="continue"/>
            <w:tcBorders>
              <w:tl2br w:val="nil"/>
              <w:tr2bl w:val="nil"/>
            </w:tcBorders>
            <w:vAlign w:val="center"/>
          </w:tcPr>
          <w:p w14:paraId="7225BC19">
            <w:pPr>
              <w:jc w:val="center"/>
              <w:rPr>
                <w:szCs w:val="21"/>
              </w:rPr>
            </w:pPr>
          </w:p>
        </w:tc>
        <w:tc>
          <w:tcPr>
            <w:tcW w:w="1180" w:type="dxa"/>
            <w:vMerge w:val="continue"/>
            <w:tcBorders>
              <w:tl2br w:val="nil"/>
              <w:tr2bl w:val="nil"/>
            </w:tcBorders>
            <w:vAlign w:val="center"/>
          </w:tcPr>
          <w:p w14:paraId="19AFD4F1">
            <w:pPr>
              <w:jc w:val="center"/>
              <w:rPr>
                <w:szCs w:val="21"/>
              </w:rPr>
            </w:pPr>
          </w:p>
        </w:tc>
        <w:tc>
          <w:tcPr>
            <w:tcW w:w="1341" w:type="dxa"/>
            <w:tcBorders>
              <w:tl2br w:val="nil"/>
              <w:tr2bl w:val="nil"/>
            </w:tcBorders>
            <w:shd w:val="clear" w:color="auto" w:fill="auto"/>
            <w:vAlign w:val="center"/>
          </w:tcPr>
          <w:p w14:paraId="26026B07">
            <w:pPr>
              <w:adjustRightInd w:val="0"/>
              <w:snapToGrid w:val="0"/>
              <w:jc w:val="center"/>
              <w:rPr>
                <w:rFonts w:hint="eastAsia" w:ascii="Times New Roman" w:hAnsi="Times New Roman" w:eastAsia="宋体" w:cs="Times New Roman"/>
                <w:bCs/>
                <w:kern w:val="2"/>
                <w:sz w:val="21"/>
                <w:szCs w:val="21"/>
                <w:lang w:val="en-US" w:eastAsia="zh-CN" w:bidi="ar-SA"/>
              </w:rPr>
            </w:pPr>
            <w:r>
              <w:rPr>
                <w:rFonts w:hint="eastAsia"/>
                <w:bCs/>
                <w:szCs w:val="21"/>
                <w:lang w:val="en-US" w:eastAsia="zh-CN"/>
              </w:rPr>
              <w:t>非甲烷总烃</w:t>
            </w:r>
          </w:p>
        </w:tc>
        <w:tc>
          <w:tcPr>
            <w:tcW w:w="2204" w:type="dxa"/>
            <w:tcBorders>
              <w:tl2br w:val="nil"/>
              <w:tr2bl w:val="nil"/>
            </w:tcBorders>
            <w:vAlign w:val="center"/>
          </w:tcPr>
          <w:p w14:paraId="25EB43E9">
            <w:pPr>
              <w:jc w:val="center"/>
              <w:rPr>
                <w:rFonts w:hint="eastAsia"/>
                <w:szCs w:val="21"/>
                <w:lang w:val="en-US" w:eastAsia="zh-CN"/>
              </w:rPr>
            </w:pPr>
            <w:r>
              <w:rPr>
                <w:rFonts w:hint="eastAsia"/>
                <w:szCs w:val="21"/>
                <w:lang w:val="en-US" w:eastAsia="zh-CN"/>
              </w:rPr>
              <w:t>/</w:t>
            </w:r>
          </w:p>
        </w:tc>
        <w:tc>
          <w:tcPr>
            <w:tcW w:w="2080" w:type="dxa"/>
            <w:tcBorders>
              <w:tl2br w:val="nil"/>
              <w:tr2bl w:val="nil"/>
            </w:tcBorders>
            <w:vAlign w:val="center"/>
          </w:tcPr>
          <w:p w14:paraId="4AF3AE58">
            <w:pPr>
              <w:adjustRightInd w:val="0"/>
              <w:snapToGrid w:val="0"/>
              <w:jc w:val="center"/>
              <w:rPr>
                <w:szCs w:val="21"/>
              </w:rPr>
            </w:pPr>
            <w:r>
              <w:rPr>
                <w:rFonts w:hint="eastAsia" w:hAnsi="宋体"/>
                <w:szCs w:val="21"/>
                <w:lang w:val="en-US" w:eastAsia="zh-CN"/>
              </w:rPr>
              <w:t>《工业涂装工序大气污染物排放标准》（DB32/4439-2022）</w:t>
            </w:r>
          </w:p>
        </w:tc>
      </w:tr>
      <w:tr w14:paraId="3016F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45" w:hRule="atLeast"/>
          <w:jc w:val="center"/>
        </w:trPr>
        <w:tc>
          <w:tcPr>
            <w:tcW w:w="1899" w:type="dxa"/>
            <w:tcBorders>
              <w:tl2br w:val="nil"/>
              <w:tr2bl w:val="nil"/>
            </w:tcBorders>
            <w:vAlign w:val="center"/>
          </w:tcPr>
          <w:p w14:paraId="1BB10820">
            <w:pPr>
              <w:adjustRightInd w:val="0"/>
              <w:snapToGrid w:val="0"/>
              <w:jc w:val="center"/>
              <w:rPr>
                <w:szCs w:val="21"/>
              </w:rPr>
            </w:pPr>
            <w:r>
              <w:rPr>
                <w:szCs w:val="21"/>
              </w:rPr>
              <w:t>地表水环境</w:t>
            </w:r>
          </w:p>
        </w:tc>
        <w:tc>
          <w:tcPr>
            <w:tcW w:w="1874" w:type="dxa"/>
            <w:gridSpan w:val="2"/>
            <w:tcBorders>
              <w:tl2br w:val="nil"/>
              <w:tr2bl w:val="nil"/>
            </w:tcBorders>
            <w:vAlign w:val="center"/>
          </w:tcPr>
          <w:p w14:paraId="71916872">
            <w:pPr>
              <w:adjustRightInd w:val="0"/>
              <w:snapToGrid w:val="0"/>
              <w:jc w:val="center"/>
              <w:rPr>
                <w:szCs w:val="21"/>
              </w:rPr>
            </w:pPr>
            <w:r>
              <w:rPr>
                <w:rFonts w:hint="eastAsia"/>
                <w:szCs w:val="21"/>
              </w:rPr>
              <w:t>生活污水</w:t>
            </w:r>
          </w:p>
        </w:tc>
        <w:tc>
          <w:tcPr>
            <w:tcW w:w="1341" w:type="dxa"/>
            <w:tcBorders>
              <w:tl2br w:val="nil"/>
              <w:tr2bl w:val="nil"/>
            </w:tcBorders>
            <w:vAlign w:val="center"/>
          </w:tcPr>
          <w:p w14:paraId="7260DFC9">
            <w:pPr>
              <w:adjustRightInd w:val="0"/>
              <w:snapToGrid w:val="0"/>
              <w:jc w:val="center"/>
              <w:rPr>
                <w:szCs w:val="21"/>
              </w:rPr>
            </w:pPr>
            <w:r>
              <w:rPr>
                <w:szCs w:val="21"/>
              </w:rPr>
              <w:t>COD、SS、NH</w:t>
            </w:r>
            <w:r>
              <w:rPr>
                <w:szCs w:val="21"/>
                <w:vertAlign w:val="subscript"/>
              </w:rPr>
              <w:t>3</w:t>
            </w:r>
            <w:r>
              <w:rPr>
                <w:szCs w:val="21"/>
              </w:rPr>
              <w:t>-N、TP、TN</w:t>
            </w:r>
          </w:p>
        </w:tc>
        <w:tc>
          <w:tcPr>
            <w:tcW w:w="2204" w:type="dxa"/>
            <w:tcBorders>
              <w:tl2br w:val="nil"/>
              <w:tr2bl w:val="nil"/>
            </w:tcBorders>
            <w:vAlign w:val="center"/>
          </w:tcPr>
          <w:p w14:paraId="09762453">
            <w:pPr>
              <w:adjustRightInd w:val="0"/>
              <w:snapToGrid w:val="0"/>
              <w:jc w:val="center"/>
              <w:rPr>
                <w:szCs w:val="21"/>
              </w:rPr>
            </w:pPr>
            <w:r>
              <w:rPr>
                <w:szCs w:val="21"/>
              </w:rPr>
              <w:t>生活污水依托厂内污水管网收集后接入市政污水管网</w:t>
            </w:r>
            <w:r>
              <w:rPr>
                <w:rFonts w:hint="eastAsia"/>
                <w:szCs w:val="21"/>
              </w:rPr>
              <w:t>进入金坛区溪城污水处理有限公司</w:t>
            </w:r>
            <w:r>
              <w:rPr>
                <w:szCs w:val="21"/>
              </w:rPr>
              <w:t>集中处理，达标尾水排入</w:t>
            </w:r>
            <w:r>
              <w:rPr>
                <w:rFonts w:hint="eastAsia"/>
                <w:szCs w:val="21"/>
              </w:rPr>
              <w:t>通济河</w:t>
            </w:r>
          </w:p>
        </w:tc>
        <w:tc>
          <w:tcPr>
            <w:tcW w:w="2080" w:type="dxa"/>
            <w:tcBorders>
              <w:tl2br w:val="nil"/>
              <w:tr2bl w:val="nil"/>
            </w:tcBorders>
            <w:vAlign w:val="center"/>
          </w:tcPr>
          <w:p w14:paraId="145C32D6">
            <w:pPr>
              <w:adjustRightInd w:val="0"/>
              <w:snapToGrid w:val="0"/>
              <w:jc w:val="center"/>
              <w:rPr>
                <w:szCs w:val="21"/>
              </w:rPr>
            </w:pPr>
            <w:r>
              <w:rPr>
                <w:rFonts w:hint="eastAsia"/>
                <w:szCs w:val="21"/>
              </w:rPr>
              <w:t>金坛区溪城污水处理有限公司</w:t>
            </w:r>
            <w:r>
              <w:rPr>
                <w:szCs w:val="21"/>
              </w:rPr>
              <w:t>接管要求</w:t>
            </w:r>
            <w:r>
              <w:rPr>
                <w:rFonts w:hint="eastAsia"/>
                <w:szCs w:val="21"/>
              </w:rPr>
              <w:t>、《污水排入城镇下水道水质标准》（GB/T31962-2015）</w:t>
            </w:r>
          </w:p>
        </w:tc>
      </w:tr>
      <w:tr w14:paraId="504031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51" w:hRule="atLeast"/>
          <w:jc w:val="center"/>
        </w:trPr>
        <w:tc>
          <w:tcPr>
            <w:tcW w:w="1899" w:type="dxa"/>
            <w:tcBorders>
              <w:tl2br w:val="nil"/>
              <w:tr2bl w:val="nil"/>
            </w:tcBorders>
            <w:vAlign w:val="center"/>
          </w:tcPr>
          <w:p w14:paraId="7BD29E47">
            <w:pPr>
              <w:adjustRightInd w:val="0"/>
              <w:snapToGrid w:val="0"/>
              <w:jc w:val="center"/>
              <w:rPr>
                <w:szCs w:val="21"/>
              </w:rPr>
            </w:pPr>
            <w:r>
              <w:rPr>
                <w:szCs w:val="21"/>
              </w:rPr>
              <w:t>声环境</w:t>
            </w:r>
          </w:p>
        </w:tc>
        <w:tc>
          <w:tcPr>
            <w:tcW w:w="1874" w:type="dxa"/>
            <w:gridSpan w:val="2"/>
            <w:tcBorders>
              <w:tl2br w:val="nil"/>
              <w:tr2bl w:val="nil"/>
            </w:tcBorders>
            <w:vAlign w:val="center"/>
          </w:tcPr>
          <w:p w14:paraId="5A0F0CC4">
            <w:pPr>
              <w:adjustRightInd w:val="0"/>
              <w:snapToGrid w:val="0"/>
              <w:jc w:val="center"/>
              <w:rPr>
                <w:szCs w:val="21"/>
              </w:rPr>
            </w:pPr>
            <w:r>
              <w:rPr>
                <w:szCs w:val="21"/>
              </w:rPr>
              <w:t>生产/公辅设备</w:t>
            </w:r>
          </w:p>
        </w:tc>
        <w:tc>
          <w:tcPr>
            <w:tcW w:w="1341" w:type="dxa"/>
            <w:tcBorders>
              <w:tl2br w:val="nil"/>
              <w:tr2bl w:val="nil"/>
            </w:tcBorders>
            <w:vAlign w:val="center"/>
          </w:tcPr>
          <w:p w14:paraId="0E69A887">
            <w:pPr>
              <w:adjustRightInd w:val="0"/>
              <w:snapToGrid w:val="0"/>
              <w:jc w:val="center"/>
              <w:rPr>
                <w:szCs w:val="21"/>
              </w:rPr>
            </w:pPr>
            <w:r>
              <w:rPr>
                <w:szCs w:val="21"/>
              </w:rPr>
              <w:t>噪声</w:t>
            </w:r>
          </w:p>
        </w:tc>
        <w:tc>
          <w:tcPr>
            <w:tcW w:w="2204" w:type="dxa"/>
            <w:tcBorders>
              <w:tl2br w:val="nil"/>
              <w:tr2bl w:val="nil"/>
            </w:tcBorders>
            <w:vAlign w:val="center"/>
          </w:tcPr>
          <w:p w14:paraId="0672F70C">
            <w:pPr>
              <w:adjustRightInd w:val="0"/>
              <w:snapToGrid w:val="0"/>
              <w:jc w:val="center"/>
              <w:rPr>
                <w:szCs w:val="21"/>
              </w:rPr>
            </w:pPr>
            <w:r>
              <w:rPr>
                <w:szCs w:val="21"/>
              </w:rPr>
              <w:t>选用低噪声设备，距离衰减、建筑隔声</w:t>
            </w:r>
          </w:p>
        </w:tc>
        <w:tc>
          <w:tcPr>
            <w:tcW w:w="2080" w:type="dxa"/>
            <w:tcBorders>
              <w:tl2br w:val="nil"/>
              <w:tr2bl w:val="nil"/>
            </w:tcBorders>
            <w:vAlign w:val="center"/>
          </w:tcPr>
          <w:p w14:paraId="037C3D16">
            <w:pPr>
              <w:adjustRightInd w:val="0"/>
              <w:snapToGrid w:val="0"/>
              <w:jc w:val="center"/>
              <w:rPr>
                <w:szCs w:val="21"/>
              </w:rPr>
            </w:pPr>
            <w:r>
              <w:rPr>
                <w:szCs w:val="21"/>
              </w:rPr>
              <w:t>《工业企业厂界环境噪声排放标准》中</w:t>
            </w:r>
            <w:r>
              <w:rPr>
                <w:rFonts w:hint="eastAsia"/>
                <w:szCs w:val="21"/>
              </w:rPr>
              <w:t>3</w:t>
            </w:r>
            <w:r>
              <w:rPr>
                <w:szCs w:val="21"/>
              </w:rPr>
              <w:t>类标准</w:t>
            </w:r>
          </w:p>
        </w:tc>
      </w:tr>
      <w:tr w14:paraId="1105A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1899" w:type="dxa"/>
            <w:tcBorders>
              <w:tl2br w:val="nil"/>
              <w:tr2bl w:val="nil"/>
            </w:tcBorders>
            <w:vAlign w:val="center"/>
          </w:tcPr>
          <w:p w14:paraId="49B9259E">
            <w:pPr>
              <w:adjustRightInd w:val="0"/>
              <w:snapToGrid w:val="0"/>
              <w:jc w:val="center"/>
              <w:rPr>
                <w:szCs w:val="21"/>
              </w:rPr>
            </w:pPr>
            <w:r>
              <w:rPr>
                <w:szCs w:val="21"/>
              </w:rPr>
              <w:t>电磁辐射</w:t>
            </w:r>
          </w:p>
        </w:tc>
        <w:tc>
          <w:tcPr>
            <w:tcW w:w="7499" w:type="dxa"/>
            <w:gridSpan w:val="5"/>
            <w:tcBorders>
              <w:tl2br w:val="nil"/>
              <w:tr2bl w:val="nil"/>
            </w:tcBorders>
            <w:vAlign w:val="center"/>
          </w:tcPr>
          <w:p w14:paraId="5EE4F7DC">
            <w:pPr>
              <w:adjustRightInd w:val="0"/>
              <w:snapToGrid w:val="0"/>
              <w:jc w:val="center"/>
              <w:rPr>
                <w:szCs w:val="21"/>
              </w:rPr>
            </w:pPr>
            <w:r>
              <w:rPr>
                <w:szCs w:val="21"/>
              </w:rPr>
              <w:t>/</w:t>
            </w:r>
          </w:p>
        </w:tc>
      </w:tr>
      <w:tr w14:paraId="761F4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33" w:hRule="atLeast"/>
          <w:jc w:val="center"/>
        </w:trPr>
        <w:tc>
          <w:tcPr>
            <w:tcW w:w="1899" w:type="dxa"/>
            <w:tcBorders>
              <w:tl2br w:val="nil"/>
              <w:tr2bl w:val="nil"/>
            </w:tcBorders>
            <w:vAlign w:val="center"/>
          </w:tcPr>
          <w:p w14:paraId="22036C51">
            <w:pPr>
              <w:adjustRightInd w:val="0"/>
              <w:snapToGrid w:val="0"/>
              <w:jc w:val="center"/>
              <w:rPr>
                <w:szCs w:val="21"/>
              </w:rPr>
            </w:pPr>
            <w:r>
              <w:rPr>
                <w:szCs w:val="21"/>
              </w:rPr>
              <w:t>固体废物</w:t>
            </w:r>
          </w:p>
        </w:tc>
        <w:tc>
          <w:tcPr>
            <w:tcW w:w="7499" w:type="dxa"/>
            <w:gridSpan w:val="5"/>
            <w:tcBorders>
              <w:tl2br w:val="nil"/>
              <w:tr2bl w:val="nil"/>
            </w:tcBorders>
            <w:vAlign w:val="center"/>
          </w:tcPr>
          <w:p w14:paraId="785F2BC6">
            <w:pPr>
              <w:adjustRightInd w:val="0"/>
              <w:snapToGrid w:val="0"/>
              <w:rPr>
                <w:szCs w:val="21"/>
              </w:rPr>
            </w:pPr>
            <w:r>
              <w:rPr>
                <w:szCs w:val="21"/>
              </w:rPr>
              <w:t>①生活垃圾由环卫统一清运；②</w:t>
            </w:r>
            <w:r>
              <w:rPr>
                <w:rFonts w:hint="eastAsia"/>
                <w:szCs w:val="21"/>
                <w:lang w:val="en-US" w:eastAsia="zh-CN"/>
              </w:rPr>
              <w:t>本项目设置一个10</w:t>
            </w:r>
            <w:r>
              <w:rPr>
                <w:color w:val="auto"/>
                <w:kern w:val="0"/>
                <w:szCs w:val="21"/>
                <w:lang w:bidi="ar"/>
              </w:rPr>
              <w:t>m</w:t>
            </w:r>
            <w:r>
              <w:rPr>
                <w:color w:val="auto"/>
                <w:kern w:val="0"/>
                <w:szCs w:val="21"/>
                <w:vertAlign w:val="superscript"/>
                <w:lang w:bidi="ar"/>
              </w:rPr>
              <w:t>2</w:t>
            </w:r>
            <w:r>
              <w:rPr>
                <w:rFonts w:hint="eastAsia"/>
                <w:color w:val="auto"/>
                <w:kern w:val="0"/>
                <w:szCs w:val="21"/>
                <w:vertAlign w:val="baseline"/>
                <w:lang w:val="en-US" w:eastAsia="zh-CN" w:bidi="ar"/>
              </w:rPr>
              <w:t>的一般固废堆场用于暂存</w:t>
            </w:r>
            <w:r>
              <w:rPr>
                <w:rFonts w:hint="eastAsia"/>
                <w:szCs w:val="21"/>
              </w:rPr>
              <w:t>废</w:t>
            </w:r>
            <w:r>
              <w:rPr>
                <w:szCs w:val="21"/>
              </w:rPr>
              <w:t>边角料</w:t>
            </w:r>
            <w:r>
              <w:rPr>
                <w:rFonts w:hint="eastAsia"/>
                <w:szCs w:val="21"/>
              </w:rPr>
              <w:t>、</w:t>
            </w:r>
            <w:r>
              <w:rPr>
                <w:szCs w:val="21"/>
              </w:rPr>
              <w:t>不合格品</w:t>
            </w:r>
            <w:r>
              <w:rPr>
                <w:rFonts w:hint="eastAsia"/>
                <w:szCs w:val="21"/>
              </w:rPr>
              <w:t>、</w:t>
            </w:r>
            <w:r>
              <w:rPr>
                <w:szCs w:val="21"/>
              </w:rPr>
              <w:t>废包装材料</w:t>
            </w:r>
            <w:r>
              <w:rPr>
                <w:rFonts w:hint="eastAsia"/>
                <w:szCs w:val="21"/>
              </w:rPr>
              <w:t>、废滤袋和除尘器收尘</w:t>
            </w:r>
            <w:r>
              <w:rPr>
                <w:rFonts w:hint="eastAsia"/>
                <w:szCs w:val="21"/>
                <w:lang w:eastAsia="zh-CN"/>
              </w:rPr>
              <w:t>，</w:t>
            </w:r>
            <w:r>
              <w:rPr>
                <w:szCs w:val="21"/>
              </w:rPr>
              <w:t>收集后外售综合利用；③</w:t>
            </w:r>
            <w:r>
              <w:rPr>
                <w:rFonts w:hint="eastAsia"/>
                <w:szCs w:val="21"/>
                <w:lang w:val="en-US" w:eastAsia="zh-CN"/>
              </w:rPr>
              <w:t>本项目设置一个15</w:t>
            </w:r>
            <w:r>
              <w:rPr>
                <w:color w:val="auto"/>
                <w:kern w:val="0"/>
                <w:szCs w:val="21"/>
                <w:lang w:bidi="ar"/>
              </w:rPr>
              <w:t>m</w:t>
            </w:r>
            <w:r>
              <w:rPr>
                <w:color w:val="auto"/>
                <w:kern w:val="0"/>
                <w:szCs w:val="21"/>
                <w:vertAlign w:val="superscript"/>
                <w:lang w:bidi="ar"/>
              </w:rPr>
              <w:t>2</w:t>
            </w:r>
            <w:r>
              <w:rPr>
                <w:rFonts w:hint="eastAsia"/>
                <w:color w:val="auto"/>
                <w:kern w:val="0"/>
                <w:szCs w:val="21"/>
                <w:vertAlign w:val="baseline"/>
                <w:lang w:val="en-US" w:eastAsia="zh-CN" w:bidi="ar"/>
              </w:rPr>
              <w:t>的危废仓库用于暂存</w:t>
            </w:r>
            <w:r>
              <w:rPr>
                <w:rFonts w:hint="eastAsia"/>
                <w:szCs w:val="21"/>
              </w:rPr>
              <w:t>废</w:t>
            </w:r>
            <w:r>
              <w:rPr>
                <w:szCs w:val="21"/>
              </w:rPr>
              <w:t>包装桶、含胶废弃物、废活性炭</w:t>
            </w:r>
            <w:r>
              <w:rPr>
                <w:rFonts w:hint="eastAsia"/>
                <w:szCs w:val="21"/>
                <w:lang w:eastAsia="zh-CN"/>
              </w:rPr>
              <w:t>，</w:t>
            </w:r>
            <w:r>
              <w:rPr>
                <w:szCs w:val="21"/>
              </w:rPr>
              <w:t>收集后委托有资质的单位处置。</w:t>
            </w:r>
          </w:p>
        </w:tc>
      </w:tr>
      <w:tr w14:paraId="41F1C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48" w:hRule="atLeast"/>
          <w:jc w:val="center"/>
        </w:trPr>
        <w:tc>
          <w:tcPr>
            <w:tcW w:w="1899" w:type="dxa"/>
            <w:tcBorders>
              <w:tl2br w:val="nil"/>
              <w:tr2bl w:val="nil"/>
            </w:tcBorders>
            <w:vAlign w:val="center"/>
          </w:tcPr>
          <w:p w14:paraId="2A194319">
            <w:pPr>
              <w:adjustRightInd w:val="0"/>
              <w:snapToGrid w:val="0"/>
              <w:jc w:val="center"/>
              <w:rPr>
                <w:szCs w:val="21"/>
              </w:rPr>
            </w:pPr>
            <w:r>
              <w:rPr>
                <w:szCs w:val="21"/>
              </w:rPr>
              <w:t>土壤及地下水</w:t>
            </w:r>
          </w:p>
          <w:p w14:paraId="262FD540">
            <w:pPr>
              <w:adjustRightInd w:val="0"/>
              <w:snapToGrid w:val="0"/>
              <w:jc w:val="center"/>
              <w:rPr>
                <w:szCs w:val="21"/>
              </w:rPr>
            </w:pPr>
            <w:r>
              <w:rPr>
                <w:szCs w:val="21"/>
              </w:rPr>
              <w:t>污染防治措施</w:t>
            </w:r>
          </w:p>
        </w:tc>
        <w:tc>
          <w:tcPr>
            <w:tcW w:w="7499" w:type="dxa"/>
            <w:gridSpan w:val="5"/>
            <w:tcBorders>
              <w:tl2br w:val="nil"/>
              <w:tr2bl w:val="nil"/>
            </w:tcBorders>
            <w:vAlign w:val="center"/>
          </w:tcPr>
          <w:p w14:paraId="1414B073">
            <w:pPr>
              <w:widowControl/>
              <w:rPr>
                <w:szCs w:val="21"/>
                <w:lang w:bidi="ar"/>
              </w:rPr>
            </w:pPr>
            <w:r>
              <w:rPr>
                <w:szCs w:val="21"/>
                <w:lang w:bidi="ar"/>
              </w:rPr>
              <w:t>重点防渗区——</w:t>
            </w:r>
            <w:r>
              <w:rPr>
                <w:rFonts w:hint="eastAsia"/>
                <w:szCs w:val="21"/>
                <w:lang w:bidi="ar"/>
              </w:rPr>
              <w:t>调配、背胶、烘干区域</w:t>
            </w:r>
            <w:r>
              <w:rPr>
                <w:szCs w:val="21"/>
                <w:lang w:bidi="ar"/>
              </w:rPr>
              <w:t>应选用人工防渗材料，防渗技术要求为等效黏土防渗层Mb≥6.0m，渗透系数K≤10</w:t>
            </w:r>
            <w:r>
              <w:rPr>
                <w:szCs w:val="21"/>
                <w:vertAlign w:val="superscript"/>
                <w:lang w:bidi="ar"/>
              </w:rPr>
              <w:t>-7</w:t>
            </w:r>
            <w:r>
              <w:rPr>
                <w:szCs w:val="21"/>
                <w:lang w:bidi="ar"/>
              </w:rPr>
              <w:t>cm/s。另外，重点防渗区还应满足《危险废物贮存污染控制标准》（GB18597-2023）中要求，即防渗层为至少1米厚黏土层（渗透系数K≤10</w:t>
            </w:r>
            <w:r>
              <w:rPr>
                <w:szCs w:val="21"/>
                <w:vertAlign w:val="superscript"/>
                <w:lang w:bidi="ar"/>
              </w:rPr>
              <w:t>-7</w:t>
            </w:r>
            <w:r>
              <w:rPr>
                <w:szCs w:val="21"/>
                <w:lang w:bidi="ar"/>
              </w:rPr>
              <w:t>cm/s），或2毫米厚高密度聚乙烯，或至少2毫米厚的其他人工材料，渗透系统上K≤10</w:t>
            </w:r>
            <w:r>
              <w:rPr>
                <w:szCs w:val="21"/>
                <w:vertAlign w:val="superscript"/>
                <w:lang w:bidi="ar"/>
              </w:rPr>
              <w:t>-10</w:t>
            </w:r>
            <w:r>
              <w:rPr>
                <w:szCs w:val="21"/>
                <w:lang w:bidi="ar"/>
              </w:rPr>
              <w:t>cm/s；</w:t>
            </w:r>
          </w:p>
          <w:p w14:paraId="78C1E817">
            <w:pPr>
              <w:adjustRightInd w:val="0"/>
              <w:snapToGrid w:val="0"/>
              <w:rPr>
                <w:szCs w:val="21"/>
              </w:rPr>
            </w:pPr>
            <w:r>
              <w:rPr>
                <w:rFonts w:hint="eastAsia"/>
                <w:szCs w:val="21"/>
                <w:lang w:bidi="ar"/>
              </w:rPr>
              <w:t>简单</w:t>
            </w:r>
            <w:r>
              <w:rPr>
                <w:szCs w:val="21"/>
                <w:lang w:bidi="ar"/>
              </w:rPr>
              <w:t>污染防治区——</w:t>
            </w:r>
            <w:r>
              <w:rPr>
                <w:rFonts w:hint="eastAsia"/>
                <w:szCs w:val="21"/>
                <w:lang w:bidi="ar"/>
              </w:rPr>
              <w:t>办公区及厂区道路</w:t>
            </w:r>
            <w:r>
              <w:rPr>
                <w:szCs w:val="21"/>
                <w:lang w:bidi="ar"/>
              </w:rPr>
              <w:t>，铺设配筋混凝土加防渗剂的防渗地坪，切断污染地下水途径，防渗技术要求为等效黏土防渗层Mb≥1.5m，渗透系数K≤10</w:t>
            </w:r>
            <w:r>
              <w:rPr>
                <w:szCs w:val="21"/>
                <w:vertAlign w:val="superscript"/>
                <w:lang w:bidi="ar"/>
              </w:rPr>
              <w:t>-7</w:t>
            </w:r>
            <w:r>
              <w:rPr>
                <w:szCs w:val="21"/>
                <w:lang w:bidi="ar"/>
              </w:rPr>
              <w:t>cm/s</w:t>
            </w:r>
            <w:r>
              <w:rPr>
                <w:szCs w:val="21"/>
              </w:rPr>
              <w:t>。</w:t>
            </w:r>
          </w:p>
        </w:tc>
      </w:tr>
      <w:tr w14:paraId="2721F6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52" w:hRule="atLeast"/>
          <w:jc w:val="center"/>
        </w:trPr>
        <w:tc>
          <w:tcPr>
            <w:tcW w:w="1899" w:type="dxa"/>
            <w:tcBorders>
              <w:tl2br w:val="nil"/>
              <w:tr2bl w:val="nil"/>
            </w:tcBorders>
            <w:vAlign w:val="center"/>
          </w:tcPr>
          <w:p w14:paraId="72D3A301">
            <w:pPr>
              <w:adjustRightInd w:val="0"/>
              <w:snapToGrid w:val="0"/>
              <w:jc w:val="center"/>
              <w:rPr>
                <w:szCs w:val="21"/>
              </w:rPr>
            </w:pPr>
            <w:r>
              <w:rPr>
                <w:szCs w:val="21"/>
              </w:rPr>
              <w:t>生态保护措施</w:t>
            </w:r>
          </w:p>
        </w:tc>
        <w:tc>
          <w:tcPr>
            <w:tcW w:w="7499" w:type="dxa"/>
            <w:gridSpan w:val="5"/>
            <w:tcBorders>
              <w:tl2br w:val="nil"/>
              <w:tr2bl w:val="nil"/>
            </w:tcBorders>
            <w:vAlign w:val="center"/>
          </w:tcPr>
          <w:p w14:paraId="3C2157CC">
            <w:pPr>
              <w:adjustRightInd w:val="0"/>
              <w:snapToGrid w:val="0"/>
              <w:rPr>
                <w:szCs w:val="21"/>
              </w:rPr>
            </w:pPr>
            <w:r>
              <w:rPr>
                <w:szCs w:val="21"/>
              </w:rPr>
              <w:t>对照《省政府关于印发江苏省生态红线区域保护规划的通知》（苏政发</w:t>
            </w:r>
            <w:r>
              <w:rPr>
                <w:rFonts w:hint="eastAsia"/>
                <w:szCs w:val="21"/>
              </w:rPr>
              <w:t>〔2020〕1号</w:t>
            </w:r>
            <w:r>
              <w:rPr>
                <w:szCs w:val="21"/>
              </w:rPr>
              <w:t>）和《江苏省政府关于印发江苏省国家级生态保护红线规划的通知》（苏政发</w:t>
            </w:r>
            <w:r>
              <w:rPr>
                <w:rFonts w:hint="eastAsia"/>
                <w:szCs w:val="21"/>
              </w:rPr>
              <w:t>〔2018〕74号</w:t>
            </w:r>
            <w:r>
              <w:rPr>
                <w:szCs w:val="21"/>
              </w:rPr>
              <w:t>），本项目不在重要生态功能保护区区域内，不会对重要生态功能保护区造成影响。</w:t>
            </w:r>
          </w:p>
          <w:p w14:paraId="6631FF74">
            <w:pPr>
              <w:adjustRightInd w:val="0"/>
              <w:snapToGrid w:val="0"/>
              <w:rPr>
                <w:szCs w:val="21"/>
              </w:rPr>
            </w:pPr>
            <w:r>
              <w:rPr>
                <w:szCs w:val="21"/>
              </w:rPr>
              <w:t>本项目所使用的土地性质为工业用地。本项目建设不改变土地利用类型，对周边生态影响较小。</w:t>
            </w:r>
          </w:p>
        </w:tc>
      </w:tr>
      <w:tr w14:paraId="648121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68" w:hRule="atLeast"/>
          <w:jc w:val="center"/>
        </w:trPr>
        <w:tc>
          <w:tcPr>
            <w:tcW w:w="1899" w:type="dxa"/>
            <w:tcBorders>
              <w:tl2br w:val="nil"/>
              <w:tr2bl w:val="nil"/>
            </w:tcBorders>
            <w:vAlign w:val="center"/>
          </w:tcPr>
          <w:p w14:paraId="5D090B99">
            <w:pPr>
              <w:adjustRightInd w:val="0"/>
              <w:snapToGrid w:val="0"/>
              <w:jc w:val="center"/>
              <w:rPr>
                <w:szCs w:val="21"/>
              </w:rPr>
            </w:pPr>
            <w:r>
              <w:rPr>
                <w:szCs w:val="21"/>
              </w:rPr>
              <w:t>环境风险</w:t>
            </w:r>
          </w:p>
          <w:p w14:paraId="3F0EE212">
            <w:pPr>
              <w:adjustRightInd w:val="0"/>
              <w:snapToGrid w:val="0"/>
              <w:jc w:val="center"/>
              <w:rPr>
                <w:szCs w:val="21"/>
              </w:rPr>
            </w:pPr>
            <w:r>
              <w:rPr>
                <w:szCs w:val="21"/>
              </w:rPr>
              <w:t>防范措施</w:t>
            </w:r>
          </w:p>
        </w:tc>
        <w:tc>
          <w:tcPr>
            <w:tcW w:w="7499" w:type="dxa"/>
            <w:gridSpan w:val="5"/>
            <w:tcBorders>
              <w:tl2br w:val="nil"/>
              <w:tr2bl w:val="nil"/>
            </w:tcBorders>
            <w:vAlign w:val="center"/>
          </w:tcPr>
          <w:p w14:paraId="39039F30">
            <w:pPr>
              <w:widowControl/>
              <w:autoSpaceDE w:val="0"/>
              <w:autoSpaceDN w:val="0"/>
              <w:adjustRightInd w:val="0"/>
              <w:rPr>
                <w:szCs w:val="21"/>
              </w:rPr>
            </w:pPr>
            <w:r>
              <w:rPr>
                <w:szCs w:val="21"/>
              </w:rPr>
              <w:t>（1）原料仓库地面做好防腐防渗，并配备应急物资，配套相应截流措施及收集装置；</w:t>
            </w:r>
          </w:p>
          <w:p w14:paraId="5AFEB553">
            <w:pPr>
              <w:widowControl/>
              <w:autoSpaceDE w:val="0"/>
              <w:autoSpaceDN w:val="0"/>
              <w:adjustRightInd w:val="0"/>
              <w:rPr>
                <w:szCs w:val="21"/>
              </w:rPr>
            </w:pPr>
            <w:r>
              <w:rPr>
                <w:szCs w:val="21"/>
              </w:rPr>
              <w:t>（2）车间内设置应急桶、消防砂、吸附毡等，若发生小量泄漏时，及时采用吸附毡、吸附剂进行应急处理；若发生大量泄漏，及时将破损桶内的物料转移至应急桶内，产生的伴生/次生污染物委托有资质单位集中处置，可防止泄漏物直接排入外环境，进而进入周边地表水环境。</w:t>
            </w:r>
          </w:p>
          <w:p w14:paraId="746DB552">
            <w:pPr>
              <w:widowControl/>
              <w:autoSpaceDE w:val="0"/>
              <w:autoSpaceDN w:val="0"/>
              <w:adjustRightInd w:val="0"/>
              <w:rPr>
                <w:rFonts w:hint="default" w:eastAsia="宋体"/>
                <w:szCs w:val="21"/>
                <w:lang w:val="en-US" w:eastAsia="zh-CN"/>
              </w:rPr>
            </w:pPr>
            <w:r>
              <w:rPr>
                <w:szCs w:val="21"/>
              </w:rPr>
              <w:t>（3）</w:t>
            </w:r>
            <w:r>
              <w:rPr>
                <w:rFonts w:hint="eastAsia"/>
                <w:szCs w:val="21"/>
                <w:lang w:val="en-US" w:eastAsia="zh-CN"/>
              </w:rPr>
              <w:t>本项目拟设置一个50</w:t>
            </w:r>
            <w:r>
              <w:rPr>
                <w:color w:val="auto"/>
                <w:sz w:val="24"/>
                <w:szCs w:val="24"/>
                <w:highlight w:val="none"/>
              </w:rPr>
              <w:t>m</w:t>
            </w:r>
            <w:r>
              <w:rPr>
                <w:color w:val="auto"/>
                <w:sz w:val="24"/>
                <w:szCs w:val="24"/>
                <w:highlight w:val="none"/>
                <w:vertAlign w:val="superscript"/>
              </w:rPr>
              <w:t>3</w:t>
            </w:r>
            <w:r>
              <w:rPr>
                <w:rFonts w:hint="eastAsia"/>
                <w:szCs w:val="21"/>
                <w:lang w:val="en-US" w:eastAsia="zh-CN"/>
              </w:rPr>
              <w:t>应急事故池，作为事故废水（消防尾水）临时贮存池。</w:t>
            </w:r>
          </w:p>
          <w:p w14:paraId="787F1687">
            <w:pPr>
              <w:widowControl/>
              <w:autoSpaceDE w:val="0"/>
              <w:autoSpaceDN w:val="0"/>
              <w:adjustRightInd w:val="0"/>
              <w:rPr>
                <w:szCs w:val="21"/>
              </w:rPr>
            </w:pPr>
            <w:r>
              <w:rPr>
                <w:rFonts w:hint="eastAsia"/>
                <w:szCs w:val="21"/>
                <w:lang w:eastAsia="zh-CN"/>
              </w:rPr>
              <w:t>（</w:t>
            </w:r>
            <w:r>
              <w:rPr>
                <w:rFonts w:hint="eastAsia"/>
                <w:szCs w:val="21"/>
                <w:lang w:val="en-US" w:eastAsia="zh-CN"/>
              </w:rPr>
              <w:t>4</w:t>
            </w:r>
            <w:r>
              <w:rPr>
                <w:rFonts w:hint="eastAsia"/>
                <w:szCs w:val="21"/>
                <w:lang w:eastAsia="zh-CN"/>
              </w:rPr>
              <w:t>）</w:t>
            </w:r>
            <w:r>
              <w:rPr>
                <w:szCs w:val="21"/>
              </w:rPr>
              <w:t>设专人负责定期巡查废气处理装置，一旦出现故障，需停产直至废气处理装置整修完毕并重新启动。</w:t>
            </w:r>
          </w:p>
          <w:p w14:paraId="3E903008">
            <w:pPr>
              <w:widowControl/>
              <w:autoSpaceDE w:val="0"/>
              <w:autoSpaceDN w:val="0"/>
              <w:adjustRightInd w:val="0"/>
              <w:rPr>
                <w:szCs w:val="21"/>
              </w:rPr>
            </w:pPr>
            <w:r>
              <w:rPr>
                <w:szCs w:val="21"/>
              </w:rPr>
              <w:t>（</w:t>
            </w:r>
            <w:r>
              <w:rPr>
                <w:rFonts w:hint="eastAsia"/>
                <w:szCs w:val="21"/>
                <w:lang w:val="en-US" w:eastAsia="zh-CN"/>
              </w:rPr>
              <w:t>5</w:t>
            </w:r>
            <w:r>
              <w:rPr>
                <w:szCs w:val="21"/>
              </w:rPr>
              <w:t>）</w:t>
            </w:r>
            <w:r>
              <w:rPr>
                <w:rFonts w:hint="eastAsia"/>
                <w:szCs w:val="21"/>
              </w:rPr>
              <w:t>车间</w:t>
            </w:r>
            <w:r>
              <w:rPr>
                <w:szCs w:val="21"/>
              </w:rPr>
              <w:t>附近严禁明火，且需设置干粉灭火器、消防砂；厂内采用电话报警，专人负责。</w:t>
            </w:r>
          </w:p>
          <w:p w14:paraId="3C8F6777">
            <w:pPr>
              <w:adjustRightInd w:val="0"/>
              <w:snapToGrid w:val="0"/>
              <w:rPr>
                <w:szCs w:val="21"/>
              </w:rPr>
            </w:pPr>
            <w:r>
              <w:rPr>
                <w:szCs w:val="21"/>
              </w:rPr>
              <w:t>（</w:t>
            </w:r>
            <w:r>
              <w:rPr>
                <w:rFonts w:hint="eastAsia"/>
                <w:szCs w:val="21"/>
                <w:lang w:val="en-US" w:eastAsia="zh-CN"/>
              </w:rPr>
              <w:t>6</w:t>
            </w:r>
            <w:r>
              <w:rPr>
                <w:szCs w:val="21"/>
              </w:rPr>
              <w:t>）定期检查原料库的暂存情况，定期检查厂内各风险防范措施的完善情况，建立健全应急防范机制。</w:t>
            </w:r>
          </w:p>
        </w:tc>
      </w:tr>
      <w:tr w14:paraId="0DE17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99" w:hRule="atLeast"/>
          <w:jc w:val="center"/>
        </w:trPr>
        <w:tc>
          <w:tcPr>
            <w:tcW w:w="1899" w:type="dxa"/>
            <w:tcBorders>
              <w:tl2br w:val="nil"/>
              <w:tr2bl w:val="nil"/>
            </w:tcBorders>
            <w:vAlign w:val="center"/>
          </w:tcPr>
          <w:p w14:paraId="48FA08E4">
            <w:pPr>
              <w:adjustRightInd w:val="0"/>
              <w:snapToGrid w:val="0"/>
              <w:jc w:val="center"/>
              <w:rPr>
                <w:szCs w:val="21"/>
              </w:rPr>
            </w:pPr>
            <w:r>
              <w:rPr>
                <w:szCs w:val="21"/>
              </w:rPr>
              <w:t>其他环境</w:t>
            </w:r>
          </w:p>
          <w:p w14:paraId="3B33E9BF">
            <w:pPr>
              <w:adjustRightInd w:val="0"/>
              <w:snapToGrid w:val="0"/>
              <w:jc w:val="center"/>
              <w:rPr>
                <w:szCs w:val="21"/>
              </w:rPr>
            </w:pPr>
            <w:r>
              <w:rPr>
                <w:szCs w:val="21"/>
              </w:rPr>
              <w:t>管理要求</w:t>
            </w:r>
          </w:p>
        </w:tc>
        <w:tc>
          <w:tcPr>
            <w:tcW w:w="7499" w:type="dxa"/>
            <w:gridSpan w:val="5"/>
            <w:tcBorders>
              <w:tl2br w:val="nil"/>
              <w:tr2bl w:val="nil"/>
            </w:tcBorders>
            <w:vAlign w:val="center"/>
          </w:tcPr>
          <w:p w14:paraId="519B12D6">
            <w:pPr>
              <w:adjustRightInd w:val="0"/>
              <w:snapToGrid w:val="0"/>
              <w:jc w:val="left"/>
              <w:rPr>
                <w:szCs w:val="21"/>
              </w:rPr>
            </w:pPr>
            <w:r>
              <w:rPr>
                <w:szCs w:val="21"/>
              </w:rPr>
              <w:t>①本项目以</w:t>
            </w:r>
            <w:r>
              <w:rPr>
                <w:rFonts w:hint="eastAsia"/>
                <w:szCs w:val="21"/>
              </w:rPr>
              <w:t>车间</w:t>
            </w:r>
            <w:r>
              <w:rPr>
                <w:szCs w:val="21"/>
              </w:rPr>
              <w:t>为界设置</w:t>
            </w:r>
            <w:r>
              <w:rPr>
                <w:rFonts w:hint="eastAsia"/>
                <w:szCs w:val="21"/>
              </w:rPr>
              <w:t>100m</w:t>
            </w:r>
            <w:r>
              <w:rPr>
                <w:szCs w:val="21"/>
              </w:rPr>
              <w:t>的卫生防护距离，现无居民点及敏感目标。</w:t>
            </w:r>
          </w:p>
          <w:p w14:paraId="452E7C66">
            <w:pPr>
              <w:adjustRightInd w:val="0"/>
              <w:snapToGrid w:val="0"/>
              <w:jc w:val="left"/>
              <w:rPr>
                <w:szCs w:val="21"/>
              </w:rPr>
            </w:pPr>
            <w:r>
              <w:rPr>
                <w:szCs w:val="21"/>
              </w:rPr>
              <w:t>②排污口设置——本项目排水系统按</w:t>
            </w:r>
            <w:r>
              <w:rPr>
                <w:rFonts w:hint="eastAsia"/>
                <w:szCs w:val="21"/>
              </w:rPr>
              <w:t>“</w:t>
            </w:r>
            <w:r>
              <w:rPr>
                <w:szCs w:val="21"/>
              </w:rPr>
              <w:t>清污分流、雨污分流</w:t>
            </w:r>
            <w:r>
              <w:rPr>
                <w:rFonts w:hint="eastAsia"/>
                <w:szCs w:val="21"/>
              </w:rPr>
              <w:t>”</w:t>
            </w:r>
            <w:r>
              <w:rPr>
                <w:szCs w:val="21"/>
              </w:rPr>
              <w:t>原则设计，</w:t>
            </w:r>
            <w:r>
              <w:rPr>
                <w:rFonts w:hint="eastAsia"/>
                <w:szCs w:val="21"/>
              </w:rPr>
              <w:t>依托</w:t>
            </w:r>
            <w:r>
              <w:rPr>
                <w:szCs w:val="21"/>
              </w:rPr>
              <w:t>厂区设置1个污水接管口，1个雨水口（雨水口设置应急控制阀门）。按《江苏省排污口设置及规范化整治管理办法》（苏环控</w:t>
            </w:r>
            <w:r>
              <w:rPr>
                <w:rFonts w:hint="eastAsia"/>
                <w:szCs w:val="21"/>
              </w:rPr>
              <w:t>[</w:t>
            </w:r>
            <w:r>
              <w:rPr>
                <w:szCs w:val="21"/>
              </w:rPr>
              <w:t>97</w:t>
            </w:r>
            <w:r>
              <w:rPr>
                <w:rFonts w:hint="eastAsia"/>
                <w:szCs w:val="21"/>
              </w:rPr>
              <w:t>]</w:t>
            </w:r>
            <w:r>
              <w:rPr>
                <w:szCs w:val="21"/>
              </w:rPr>
              <w:t>122号）要求，对污水接管口、污水排放口、固定噪声污染源、固体废物堆场进行规范化设置。</w:t>
            </w:r>
          </w:p>
          <w:p w14:paraId="23673B09">
            <w:pPr>
              <w:adjustRightInd w:val="0"/>
              <w:snapToGrid w:val="0"/>
              <w:jc w:val="left"/>
              <w:rPr>
                <w:szCs w:val="21"/>
              </w:rPr>
            </w:pPr>
            <w:r>
              <w:rPr>
                <w:szCs w:val="21"/>
              </w:rPr>
              <w:t>③加强对废气、废水处理装置的管理，确保废气、废水污染物稳定达标排放。</w:t>
            </w:r>
          </w:p>
          <w:p w14:paraId="4A5083EA">
            <w:pPr>
              <w:adjustRightInd w:val="0"/>
              <w:snapToGrid w:val="0"/>
              <w:jc w:val="left"/>
              <w:rPr>
                <w:szCs w:val="21"/>
              </w:rPr>
            </w:pPr>
            <w:r>
              <w:rPr>
                <w:szCs w:val="21"/>
              </w:rPr>
              <w:t>④加强管理，建立各种健全的生产环保规章制度，严格在岗人员操作管理。</w:t>
            </w:r>
          </w:p>
          <w:p w14:paraId="68C8BA71">
            <w:pPr>
              <w:adjustRightInd w:val="0"/>
              <w:snapToGrid w:val="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⑤排污许可证：建设单位应根据排污许可证相关要求完成排污许可证相关工作。</w:t>
            </w:r>
          </w:p>
          <w:p w14:paraId="3D910964">
            <w:pPr>
              <w:adjustRightInd w:val="0"/>
              <w:snapToGrid w:val="0"/>
              <w:jc w:val="left"/>
              <w:rPr>
                <w:rFonts w:hint="eastAsia" w:eastAsia="宋体"/>
                <w:lang w:val="en-US" w:eastAsia="zh-CN"/>
              </w:rPr>
            </w:pPr>
            <w:r>
              <w:rPr>
                <w:rFonts w:hint="eastAsia" w:ascii="Times New Roman" w:hAnsi="Times New Roman" w:eastAsia="宋体" w:cs="Times New Roman"/>
                <w:szCs w:val="21"/>
                <w:lang w:val="en-US" w:eastAsia="zh-CN"/>
              </w:rPr>
              <w:t>⑥项目环保竣工验收：建设单位应根据环保竣工验收相关要求，自主开展环境保护竣工验收相关工作。建设项目配套建设的环境保护设施经验收合格，方可投入生产或者使用，未经验收或者验收不合格的，不得投入生产或者使用。</w:t>
            </w:r>
          </w:p>
        </w:tc>
      </w:tr>
    </w:tbl>
    <w:p w14:paraId="1CDDCEEC">
      <w:pPr>
        <w:pStyle w:val="23"/>
        <w:spacing w:before="0" w:beforeAutospacing="0" w:after="0" w:afterAutospacing="0"/>
        <w:jc w:val="center"/>
        <w:outlineLvl w:val="0"/>
        <w:rPr>
          <w:rFonts w:ascii="Times New Roman" w:hAnsi="Times New Roman"/>
          <w:snapToGrid w:val="0"/>
          <w:sz w:val="30"/>
          <w:szCs w:val="30"/>
        </w:rPr>
      </w:pPr>
      <w:r>
        <w:rPr>
          <w:rFonts w:ascii="Times New Roman" w:hAnsi="Times New Roman"/>
          <w:snapToGrid w:val="0"/>
          <w:color w:val="FF0000"/>
        </w:rPr>
        <w:br w:type="page"/>
      </w:r>
      <w:r>
        <w:rPr>
          <w:rFonts w:ascii="Times New Roman" w:hAnsi="Times New Roman"/>
          <w:b/>
          <w:bCs/>
          <w:snapToGrid w:val="0"/>
          <w:sz w:val="30"/>
          <w:szCs w:val="30"/>
        </w:rPr>
        <w:t>六、结论</w:t>
      </w:r>
    </w:p>
    <w:tbl>
      <w:tblPr>
        <w:tblStyle w:val="27"/>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14:paraId="331B4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04580470">
            <w:pPr>
              <w:spacing w:line="480" w:lineRule="exact"/>
              <w:ind w:firstLine="480" w:firstLineChars="200"/>
              <w:rPr>
                <w:sz w:val="24"/>
              </w:rPr>
            </w:pPr>
            <w:r>
              <w:rPr>
                <w:sz w:val="24"/>
              </w:rPr>
              <w:t>本项目符合国家相关法律法规、产业政策和城市总体规划，符合现行环保法律法规、环保政策、生态环境保护规划。项目在建设中和建成运行后将产生一定程度的废气、废水、噪声及固体废物的污染，在全面落实本评价拟定的各项环境保护措施，项目对周围环境的影响可以控制在国家标准和要求的允许范围以内，各项污染物能够满足国家和地方规定的污染物排放标准，不改变当地的环境质量功能属性。本项目在加强管理和严格规范操作，做好各项风险防范措施后，本项目的风险事故发生概率较小，在环境风险</w:t>
            </w:r>
            <w:r>
              <w:rPr>
                <w:rFonts w:hint="eastAsia"/>
                <w:sz w:val="24"/>
                <w:lang w:eastAsia="zh-CN"/>
              </w:rPr>
              <w:t>可控</w:t>
            </w:r>
            <w:r>
              <w:rPr>
                <w:sz w:val="24"/>
              </w:rPr>
              <w:t>范围内。因此，该项目的建设方案和规划，在环境保护方面可行，在拟定地点、按拟定规模及计划实施具有环境可行性。</w:t>
            </w:r>
          </w:p>
          <w:p w14:paraId="3FAEE1DA">
            <w:pPr>
              <w:pStyle w:val="2"/>
              <w:spacing w:before="0" w:after="0" w:line="480" w:lineRule="exact"/>
              <w:ind w:right="0"/>
              <w:rPr>
                <w:sz w:val="24"/>
                <w:szCs w:val="24"/>
              </w:rPr>
            </w:pPr>
          </w:p>
        </w:tc>
      </w:tr>
    </w:tbl>
    <w:p w14:paraId="384B1EBC">
      <w:pPr>
        <w:rPr>
          <w:color w:val="FF0000"/>
        </w:rPr>
        <w:sectPr>
          <w:pgSz w:w="11906" w:h="16838"/>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p w14:paraId="34E6E5B1">
      <w:pPr>
        <w:pStyle w:val="23"/>
        <w:adjustRightInd w:val="0"/>
        <w:snapToGrid w:val="0"/>
        <w:spacing w:before="0" w:beforeAutospacing="0" w:after="0" w:afterAutospacing="0"/>
        <w:outlineLvl w:val="0"/>
        <w:rPr>
          <w:rFonts w:ascii="Times New Roman" w:hAnsi="Times New Roman"/>
          <w:snapToGrid w:val="0"/>
          <w:sz w:val="32"/>
          <w:szCs w:val="32"/>
        </w:rPr>
      </w:pPr>
      <w:r>
        <w:rPr>
          <w:rFonts w:ascii="Times New Roman" w:hAnsi="Times New Roman"/>
          <w:snapToGrid w:val="0"/>
          <w:sz w:val="32"/>
          <w:szCs w:val="32"/>
        </w:rPr>
        <w:t>附表</w:t>
      </w:r>
    </w:p>
    <w:p w14:paraId="19069783">
      <w:pPr>
        <w:pStyle w:val="23"/>
        <w:adjustRightInd w:val="0"/>
        <w:snapToGrid w:val="0"/>
        <w:spacing w:before="0" w:beforeAutospacing="0" w:after="0" w:afterAutospacing="0"/>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27"/>
        <w:tblpPr w:leftFromText="180" w:rightFromText="180" w:vertAnchor="text" w:horzAnchor="page" w:tblpXSpec="center" w:tblpY="116"/>
        <w:tblOverlap w:val="never"/>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900"/>
        <w:gridCol w:w="1597"/>
        <w:gridCol w:w="1729"/>
        <w:gridCol w:w="1296"/>
        <w:gridCol w:w="1729"/>
        <w:gridCol w:w="1586"/>
        <w:gridCol w:w="1684"/>
        <w:gridCol w:w="1633"/>
        <w:gridCol w:w="1305"/>
      </w:tblGrid>
      <w:tr w14:paraId="2A31B7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519" w:type="pct"/>
            <w:gridSpan w:val="2"/>
            <w:tcBorders>
              <w:tl2br w:val="nil"/>
              <w:tr2bl w:val="nil"/>
            </w:tcBorders>
            <w:tcMar>
              <w:left w:w="28" w:type="dxa"/>
              <w:right w:w="28" w:type="dxa"/>
            </w:tcMar>
            <w:vAlign w:val="center"/>
          </w:tcPr>
          <w:p w14:paraId="2CEF38C2">
            <w:pPr>
              <w:pStyle w:val="52"/>
              <w:spacing w:beforeLines="0" w:afterLines="0" w:line="240" w:lineRule="auto"/>
              <w:jc w:val="left"/>
              <w:rPr>
                <w:rFonts w:ascii="Times New Roman"/>
                <w:snapToGrid w:val="0"/>
                <w:kern w:val="21"/>
                <w:sz w:val="21"/>
                <w:szCs w:val="21"/>
              </w:rPr>
            </w:pPr>
            <w:bookmarkStart w:id="7" w:name="_Hlk92816558"/>
            <w:r>
              <w:rPr>
                <w:rFonts w:hint="eastAsia" w:ascii="Times New Roman"/>
                <w:snapToGrid w:val="0"/>
                <w:kern w:val="21"/>
                <w:sz w:val="21"/>
                <w:szCs w:val="21"/>
              </w:rPr>
              <w:t>分类</w:t>
            </w:r>
          </w:p>
          <w:p w14:paraId="70613ED8">
            <w:pPr>
              <w:pStyle w:val="52"/>
              <w:spacing w:beforeLines="0" w:afterLines="0" w:line="240" w:lineRule="auto"/>
              <w:jc w:val="left"/>
              <w:rPr>
                <w:rFonts w:ascii="Times New Roman"/>
                <w:snapToGrid w:val="0"/>
                <w:kern w:val="21"/>
                <w:sz w:val="21"/>
                <w:szCs w:val="21"/>
              </w:rPr>
            </w:pPr>
            <w:r>
              <w:rPr>
                <w:rFonts w:hint="eastAsia" w:ascii="Times New Roman"/>
                <w:snapToGrid w:val="0"/>
                <w:kern w:val="21"/>
                <w:sz w:val="21"/>
                <w:szCs w:val="21"/>
              </w:rPr>
              <w:t>项目</w:t>
            </w:r>
          </w:p>
        </w:tc>
        <w:tc>
          <w:tcPr>
            <w:tcW w:w="569" w:type="pct"/>
            <w:tcBorders>
              <w:tl2br w:val="nil"/>
              <w:tr2bl w:val="nil"/>
            </w:tcBorders>
            <w:tcMar>
              <w:left w:w="28" w:type="dxa"/>
              <w:right w:w="28" w:type="dxa"/>
            </w:tcMar>
            <w:vAlign w:val="center"/>
          </w:tcPr>
          <w:p w14:paraId="5DB4D289">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污染物名称</w:t>
            </w:r>
          </w:p>
        </w:tc>
        <w:tc>
          <w:tcPr>
            <w:tcW w:w="616" w:type="pct"/>
            <w:tcBorders>
              <w:tl2br w:val="nil"/>
              <w:tr2bl w:val="nil"/>
            </w:tcBorders>
            <w:tcMar>
              <w:left w:w="28" w:type="dxa"/>
              <w:right w:w="28" w:type="dxa"/>
            </w:tcMar>
            <w:vAlign w:val="center"/>
          </w:tcPr>
          <w:p w14:paraId="7CFDCB86">
            <w:pPr>
              <w:pStyle w:val="91"/>
              <w:rPr>
                <w:sz w:val="21"/>
                <w:szCs w:val="21"/>
              </w:rPr>
            </w:pPr>
            <w:r>
              <w:rPr>
                <w:sz w:val="21"/>
                <w:szCs w:val="21"/>
              </w:rPr>
              <w:t>现有工程排放量（固体废物产生量）</w:t>
            </w:r>
            <w:r>
              <w:rPr>
                <w:sz w:val="21"/>
                <w:szCs w:val="21"/>
              </w:rPr>
              <w:fldChar w:fldCharType="begin"/>
            </w:r>
            <w:r>
              <w:rPr>
                <w:sz w:val="21"/>
                <w:szCs w:val="21"/>
              </w:rPr>
              <w:instrText xml:space="preserve"> = 1 \* GB3 \* MERGEFORMAT </w:instrText>
            </w:r>
            <w:r>
              <w:rPr>
                <w:sz w:val="21"/>
                <w:szCs w:val="21"/>
              </w:rPr>
              <w:fldChar w:fldCharType="separate"/>
            </w:r>
            <w:r>
              <w:rPr>
                <w:sz w:val="21"/>
                <w:szCs w:val="21"/>
              </w:rPr>
              <w:t>①</w:t>
            </w:r>
            <w:r>
              <w:rPr>
                <w:sz w:val="21"/>
                <w:szCs w:val="21"/>
              </w:rPr>
              <w:fldChar w:fldCharType="end"/>
            </w:r>
          </w:p>
        </w:tc>
        <w:tc>
          <w:tcPr>
            <w:tcW w:w="462" w:type="pct"/>
            <w:tcBorders>
              <w:tl2br w:val="nil"/>
              <w:tr2bl w:val="nil"/>
            </w:tcBorders>
            <w:tcMar>
              <w:left w:w="28" w:type="dxa"/>
              <w:right w:w="28" w:type="dxa"/>
            </w:tcMar>
            <w:vAlign w:val="center"/>
          </w:tcPr>
          <w:p w14:paraId="2F75DA41">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现有工程许可排放量</w:t>
            </w:r>
          </w:p>
          <w:p w14:paraId="5742ABC8">
            <w:pPr>
              <w:pStyle w:val="52"/>
              <w:spacing w:beforeLines="0" w:afterLines="0"/>
              <w:rPr>
                <w:rFonts w:ascii="Times New Roman"/>
                <w:snapToGrid w:val="0"/>
                <w:kern w:val="21"/>
                <w:sz w:val="21"/>
                <w:szCs w:val="21"/>
              </w:rPr>
            </w:pPr>
            <w:r>
              <w:rPr>
                <w:rFonts w:ascii="Times New Roman"/>
                <w:snapToGrid w:val="0"/>
                <w:kern w:val="21"/>
                <w:sz w:val="21"/>
                <w:szCs w:val="21"/>
              </w:rPr>
              <w:fldChar w:fldCharType="begin"/>
            </w:r>
            <w:r>
              <w:rPr>
                <w:rFonts w:ascii="Times New Roman"/>
                <w:snapToGrid w:val="0"/>
                <w:kern w:val="21"/>
                <w:sz w:val="21"/>
                <w:szCs w:val="21"/>
              </w:rPr>
              <w:instrText xml:space="preserve"> = 2 \* GB3 \* MERGEFORMAT </w:instrText>
            </w:r>
            <w:r>
              <w:rPr>
                <w:rFonts w:ascii="Times New Roman"/>
                <w:snapToGrid w:val="0"/>
                <w:kern w:val="21"/>
                <w:sz w:val="21"/>
                <w:szCs w:val="21"/>
              </w:rPr>
              <w:fldChar w:fldCharType="separate"/>
            </w:r>
            <w:r>
              <w:rPr>
                <w:rFonts w:ascii="Times New Roman"/>
                <w:snapToGrid w:val="0"/>
                <w:kern w:val="21"/>
                <w:sz w:val="21"/>
                <w:szCs w:val="21"/>
              </w:rPr>
              <w:t>②</w:t>
            </w:r>
            <w:r>
              <w:rPr>
                <w:rFonts w:ascii="Times New Roman"/>
                <w:snapToGrid w:val="0"/>
                <w:kern w:val="21"/>
                <w:sz w:val="21"/>
                <w:szCs w:val="21"/>
              </w:rPr>
              <w:fldChar w:fldCharType="end"/>
            </w:r>
          </w:p>
        </w:tc>
        <w:tc>
          <w:tcPr>
            <w:tcW w:w="616" w:type="pct"/>
            <w:tcBorders>
              <w:tl2br w:val="nil"/>
              <w:tr2bl w:val="nil"/>
            </w:tcBorders>
            <w:tcMar>
              <w:left w:w="28" w:type="dxa"/>
              <w:right w:w="28" w:type="dxa"/>
            </w:tcMar>
            <w:vAlign w:val="center"/>
          </w:tcPr>
          <w:p w14:paraId="33C4EC07">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在建工程排放量（固体废物产生量）</w:t>
            </w:r>
            <w:r>
              <w:rPr>
                <w:rFonts w:ascii="Times New Roman"/>
                <w:snapToGrid w:val="0"/>
                <w:kern w:val="21"/>
                <w:sz w:val="21"/>
                <w:szCs w:val="21"/>
              </w:rPr>
              <w:fldChar w:fldCharType="begin"/>
            </w:r>
            <w:r>
              <w:rPr>
                <w:rFonts w:ascii="Times New Roman"/>
                <w:snapToGrid w:val="0"/>
                <w:kern w:val="21"/>
                <w:sz w:val="21"/>
                <w:szCs w:val="21"/>
              </w:rPr>
              <w:instrText xml:space="preserve"> = 3 \* GB3 \* MERGEFORMAT </w:instrText>
            </w:r>
            <w:r>
              <w:rPr>
                <w:rFonts w:ascii="Times New Roman"/>
                <w:snapToGrid w:val="0"/>
                <w:kern w:val="21"/>
                <w:sz w:val="21"/>
                <w:szCs w:val="21"/>
              </w:rPr>
              <w:fldChar w:fldCharType="separate"/>
            </w:r>
            <w:r>
              <w:rPr>
                <w:rFonts w:ascii="Times New Roman"/>
                <w:kern w:val="2"/>
                <w:sz w:val="21"/>
                <w:szCs w:val="21"/>
              </w:rPr>
              <w:t>③</w:t>
            </w:r>
            <w:r>
              <w:rPr>
                <w:rFonts w:ascii="Times New Roman"/>
                <w:snapToGrid w:val="0"/>
                <w:kern w:val="21"/>
                <w:sz w:val="21"/>
                <w:szCs w:val="21"/>
              </w:rPr>
              <w:fldChar w:fldCharType="end"/>
            </w:r>
          </w:p>
        </w:tc>
        <w:tc>
          <w:tcPr>
            <w:tcW w:w="565" w:type="pct"/>
            <w:tcBorders>
              <w:tl2br w:val="nil"/>
              <w:tr2bl w:val="nil"/>
            </w:tcBorders>
            <w:tcMar>
              <w:left w:w="28" w:type="dxa"/>
              <w:right w:w="28" w:type="dxa"/>
            </w:tcMar>
            <w:vAlign w:val="center"/>
          </w:tcPr>
          <w:p w14:paraId="249F9040">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本项目排放量（固体废物产生量）</w:t>
            </w:r>
            <w:r>
              <w:rPr>
                <w:rFonts w:ascii="Times New Roman"/>
                <w:snapToGrid w:val="0"/>
                <w:kern w:val="21"/>
                <w:sz w:val="21"/>
                <w:szCs w:val="21"/>
              </w:rPr>
              <w:fldChar w:fldCharType="begin"/>
            </w:r>
            <w:r>
              <w:rPr>
                <w:rFonts w:ascii="Times New Roman"/>
                <w:snapToGrid w:val="0"/>
                <w:kern w:val="21"/>
                <w:sz w:val="21"/>
                <w:szCs w:val="21"/>
              </w:rPr>
              <w:instrText xml:space="preserve"> = 4 \* GB3 \* MERGEFORMAT </w:instrText>
            </w:r>
            <w:r>
              <w:rPr>
                <w:rFonts w:ascii="Times New Roman"/>
                <w:snapToGrid w:val="0"/>
                <w:kern w:val="21"/>
                <w:sz w:val="21"/>
                <w:szCs w:val="21"/>
              </w:rPr>
              <w:fldChar w:fldCharType="separate"/>
            </w:r>
            <w:r>
              <w:rPr>
                <w:rFonts w:ascii="Times New Roman"/>
                <w:kern w:val="2"/>
                <w:sz w:val="21"/>
                <w:szCs w:val="21"/>
              </w:rPr>
              <w:t>④</w:t>
            </w:r>
            <w:r>
              <w:rPr>
                <w:rFonts w:ascii="Times New Roman"/>
                <w:snapToGrid w:val="0"/>
                <w:kern w:val="21"/>
                <w:sz w:val="21"/>
                <w:szCs w:val="21"/>
              </w:rPr>
              <w:fldChar w:fldCharType="end"/>
            </w:r>
          </w:p>
        </w:tc>
        <w:tc>
          <w:tcPr>
            <w:tcW w:w="600" w:type="pct"/>
            <w:tcBorders>
              <w:tl2br w:val="nil"/>
              <w:tr2bl w:val="nil"/>
            </w:tcBorders>
            <w:tcMar>
              <w:left w:w="28" w:type="dxa"/>
              <w:right w:w="28" w:type="dxa"/>
            </w:tcMar>
            <w:vAlign w:val="center"/>
          </w:tcPr>
          <w:p w14:paraId="186DBA93">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以新带老削减量（新建项目不填）</w:t>
            </w:r>
            <w:r>
              <w:rPr>
                <w:rFonts w:ascii="Times New Roman"/>
                <w:snapToGrid w:val="0"/>
                <w:kern w:val="21"/>
                <w:sz w:val="21"/>
                <w:szCs w:val="21"/>
              </w:rPr>
              <w:fldChar w:fldCharType="begin"/>
            </w:r>
            <w:r>
              <w:rPr>
                <w:rFonts w:ascii="Times New Roman"/>
                <w:snapToGrid w:val="0"/>
                <w:kern w:val="21"/>
                <w:sz w:val="21"/>
                <w:szCs w:val="21"/>
              </w:rPr>
              <w:instrText xml:space="preserve"> = 5 \* GB3 \* MERGEFORMAT </w:instrText>
            </w:r>
            <w:r>
              <w:rPr>
                <w:rFonts w:ascii="Times New Roman"/>
                <w:snapToGrid w:val="0"/>
                <w:kern w:val="21"/>
                <w:sz w:val="21"/>
                <w:szCs w:val="21"/>
              </w:rPr>
              <w:fldChar w:fldCharType="separate"/>
            </w:r>
            <w:r>
              <w:rPr>
                <w:rFonts w:ascii="Times New Roman"/>
                <w:kern w:val="2"/>
                <w:sz w:val="21"/>
                <w:szCs w:val="21"/>
              </w:rPr>
              <w:t>⑤</w:t>
            </w:r>
            <w:r>
              <w:rPr>
                <w:rFonts w:ascii="Times New Roman"/>
                <w:snapToGrid w:val="0"/>
                <w:kern w:val="21"/>
                <w:sz w:val="21"/>
                <w:szCs w:val="21"/>
              </w:rPr>
              <w:fldChar w:fldCharType="end"/>
            </w:r>
          </w:p>
        </w:tc>
        <w:tc>
          <w:tcPr>
            <w:tcW w:w="582" w:type="pct"/>
            <w:tcBorders>
              <w:tl2br w:val="nil"/>
              <w:tr2bl w:val="nil"/>
            </w:tcBorders>
            <w:tcMar>
              <w:left w:w="28" w:type="dxa"/>
              <w:right w:w="28" w:type="dxa"/>
            </w:tcMar>
            <w:vAlign w:val="center"/>
          </w:tcPr>
          <w:p w14:paraId="449B4C47">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本项目建成后全厂排放量（固体废物产生量）</w:t>
            </w:r>
            <w:r>
              <w:rPr>
                <w:rFonts w:ascii="Times New Roman"/>
                <w:snapToGrid w:val="0"/>
                <w:kern w:val="21"/>
                <w:sz w:val="21"/>
                <w:szCs w:val="21"/>
              </w:rPr>
              <w:fldChar w:fldCharType="begin"/>
            </w:r>
            <w:r>
              <w:rPr>
                <w:rFonts w:ascii="Times New Roman"/>
                <w:snapToGrid w:val="0"/>
                <w:kern w:val="21"/>
                <w:sz w:val="21"/>
                <w:szCs w:val="21"/>
              </w:rPr>
              <w:instrText xml:space="preserve"> = 6 \* GB3 \* MERGEFORMAT </w:instrText>
            </w:r>
            <w:r>
              <w:rPr>
                <w:rFonts w:ascii="Times New Roman"/>
                <w:snapToGrid w:val="0"/>
                <w:kern w:val="21"/>
                <w:sz w:val="21"/>
                <w:szCs w:val="21"/>
              </w:rPr>
              <w:fldChar w:fldCharType="separate"/>
            </w:r>
            <w:r>
              <w:rPr>
                <w:rFonts w:ascii="Times New Roman"/>
                <w:kern w:val="2"/>
                <w:sz w:val="21"/>
                <w:szCs w:val="21"/>
              </w:rPr>
              <w:t>⑥</w:t>
            </w:r>
            <w:r>
              <w:rPr>
                <w:rFonts w:ascii="Times New Roman"/>
                <w:snapToGrid w:val="0"/>
                <w:kern w:val="21"/>
                <w:sz w:val="21"/>
                <w:szCs w:val="21"/>
              </w:rPr>
              <w:fldChar w:fldCharType="end"/>
            </w:r>
          </w:p>
        </w:tc>
        <w:tc>
          <w:tcPr>
            <w:tcW w:w="465" w:type="pct"/>
            <w:tcBorders>
              <w:tl2br w:val="nil"/>
              <w:tr2bl w:val="nil"/>
            </w:tcBorders>
            <w:tcMar>
              <w:left w:w="28" w:type="dxa"/>
              <w:right w:w="28" w:type="dxa"/>
            </w:tcMar>
            <w:vAlign w:val="center"/>
          </w:tcPr>
          <w:p w14:paraId="14CA2673">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变化量</w:t>
            </w:r>
            <w:r>
              <w:rPr>
                <w:rFonts w:ascii="Times New Roman"/>
                <w:snapToGrid w:val="0"/>
                <w:kern w:val="21"/>
                <w:sz w:val="21"/>
                <w:szCs w:val="21"/>
              </w:rPr>
              <w:fldChar w:fldCharType="begin"/>
            </w:r>
            <w:r>
              <w:rPr>
                <w:rFonts w:ascii="Times New Roman"/>
                <w:snapToGrid w:val="0"/>
                <w:kern w:val="21"/>
                <w:sz w:val="21"/>
                <w:szCs w:val="21"/>
              </w:rPr>
              <w:instrText xml:space="preserve"> = 7 \* GB3 \* MERGEFORMAT </w:instrText>
            </w:r>
            <w:r>
              <w:rPr>
                <w:rFonts w:ascii="Times New Roman"/>
                <w:snapToGrid w:val="0"/>
                <w:kern w:val="21"/>
                <w:sz w:val="21"/>
                <w:szCs w:val="21"/>
              </w:rPr>
              <w:fldChar w:fldCharType="separate"/>
            </w:r>
            <w:r>
              <w:rPr>
                <w:rFonts w:ascii="Times New Roman"/>
                <w:kern w:val="2"/>
                <w:sz w:val="21"/>
                <w:szCs w:val="21"/>
              </w:rPr>
              <w:t>⑦</w:t>
            </w:r>
            <w:r>
              <w:rPr>
                <w:rFonts w:ascii="Times New Roman"/>
                <w:snapToGrid w:val="0"/>
                <w:kern w:val="21"/>
                <w:sz w:val="21"/>
                <w:szCs w:val="21"/>
              </w:rPr>
              <w:fldChar w:fldCharType="end"/>
            </w:r>
          </w:p>
        </w:tc>
      </w:tr>
      <w:tr w14:paraId="5F92A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 w:type="pct"/>
            <w:vMerge w:val="restart"/>
            <w:tcBorders>
              <w:tl2br w:val="nil"/>
              <w:tr2bl w:val="nil"/>
            </w:tcBorders>
            <w:vAlign w:val="center"/>
          </w:tcPr>
          <w:p w14:paraId="5056025F">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废气</w:t>
            </w:r>
          </w:p>
        </w:tc>
        <w:tc>
          <w:tcPr>
            <w:tcW w:w="321" w:type="pct"/>
            <w:vMerge w:val="restart"/>
            <w:tcBorders>
              <w:tl2br w:val="nil"/>
              <w:tr2bl w:val="nil"/>
            </w:tcBorders>
            <w:vAlign w:val="center"/>
          </w:tcPr>
          <w:p w14:paraId="0EA5DE71">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有组织</w:t>
            </w:r>
          </w:p>
        </w:tc>
        <w:tc>
          <w:tcPr>
            <w:tcW w:w="569" w:type="pct"/>
            <w:tcBorders>
              <w:tl2br w:val="nil"/>
              <w:tr2bl w:val="nil"/>
            </w:tcBorders>
            <w:vAlign w:val="center"/>
          </w:tcPr>
          <w:p w14:paraId="0C53460F">
            <w:pPr>
              <w:widowControl/>
              <w:spacing w:line="340" w:lineRule="exact"/>
              <w:jc w:val="center"/>
              <w:textAlignment w:val="center"/>
              <w:rPr>
                <w:snapToGrid w:val="0"/>
                <w:kern w:val="21"/>
                <w:szCs w:val="21"/>
              </w:rPr>
            </w:pPr>
            <w:r>
              <w:rPr>
                <w:rFonts w:hint="eastAsia"/>
                <w:kern w:val="0"/>
                <w:szCs w:val="21"/>
                <w:lang w:eastAsia="zh-CN" w:bidi="ar"/>
              </w:rPr>
              <w:t>挥发性有机物</w:t>
            </w:r>
          </w:p>
        </w:tc>
        <w:tc>
          <w:tcPr>
            <w:tcW w:w="616" w:type="pct"/>
            <w:tcBorders>
              <w:tl2br w:val="nil"/>
              <w:tr2bl w:val="nil"/>
            </w:tcBorders>
            <w:vAlign w:val="center"/>
          </w:tcPr>
          <w:p w14:paraId="71B358FB">
            <w:pPr>
              <w:widowControl/>
              <w:spacing w:line="340" w:lineRule="exact"/>
              <w:jc w:val="center"/>
              <w:textAlignment w:val="center"/>
              <w:rPr>
                <w:szCs w:val="21"/>
              </w:rPr>
            </w:pPr>
            <w:r>
              <w:rPr>
                <w:szCs w:val="21"/>
              </w:rPr>
              <w:t>/</w:t>
            </w:r>
          </w:p>
        </w:tc>
        <w:tc>
          <w:tcPr>
            <w:tcW w:w="462" w:type="pct"/>
            <w:tcBorders>
              <w:tl2br w:val="nil"/>
              <w:tr2bl w:val="nil"/>
            </w:tcBorders>
            <w:vAlign w:val="center"/>
          </w:tcPr>
          <w:p w14:paraId="0869837B">
            <w:pPr>
              <w:widowControl/>
              <w:spacing w:line="340" w:lineRule="exact"/>
              <w:jc w:val="center"/>
              <w:textAlignment w:val="center"/>
              <w:rPr>
                <w:szCs w:val="21"/>
              </w:rPr>
            </w:pPr>
            <w:r>
              <w:rPr>
                <w:rFonts w:hint="eastAsia"/>
                <w:szCs w:val="21"/>
              </w:rPr>
              <w:t>/</w:t>
            </w:r>
          </w:p>
        </w:tc>
        <w:tc>
          <w:tcPr>
            <w:tcW w:w="616" w:type="pct"/>
            <w:tcBorders>
              <w:tl2br w:val="nil"/>
              <w:tr2bl w:val="nil"/>
            </w:tcBorders>
            <w:vAlign w:val="center"/>
          </w:tcPr>
          <w:p w14:paraId="52E5C78B">
            <w:pPr>
              <w:widowControl/>
              <w:spacing w:line="340" w:lineRule="exact"/>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542512BC">
            <w:pPr>
              <w:widowControl/>
              <w:jc w:val="center"/>
              <w:textAlignment w:val="center"/>
              <w:rPr>
                <w:szCs w:val="21"/>
              </w:rPr>
            </w:pPr>
            <w:r>
              <w:rPr>
                <w:kern w:val="0"/>
                <w:szCs w:val="21"/>
                <w:lang w:bidi="ar"/>
              </w:rPr>
              <w:t>0.</w:t>
            </w:r>
            <w:r>
              <w:rPr>
                <w:rFonts w:hint="eastAsia"/>
                <w:kern w:val="0"/>
                <w:szCs w:val="21"/>
                <w:lang w:val="en-US" w:eastAsia="zh-CN" w:bidi="ar"/>
              </w:rPr>
              <w:t>066</w:t>
            </w:r>
          </w:p>
        </w:tc>
        <w:tc>
          <w:tcPr>
            <w:tcW w:w="600" w:type="pct"/>
            <w:tcBorders>
              <w:tl2br w:val="nil"/>
              <w:tr2bl w:val="nil"/>
            </w:tcBorders>
            <w:vAlign w:val="center"/>
          </w:tcPr>
          <w:p w14:paraId="2D4C9E13">
            <w:pPr>
              <w:widowControl/>
              <w:spacing w:line="340" w:lineRule="exact"/>
              <w:jc w:val="center"/>
              <w:textAlignment w:val="center"/>
              <w:rPr>
                <w:szCs w:val="21"/>
              </w:rPr>
            </w:pPr>
            <w:r>
              <w:rPr>
                <w:rFonts w:hint="eastAsia"/>
                <w:szCs w:val="21"/>
              </w:rPr>
              <w:t>0</w:t>
            </w:r>
          </w:p>
        </w:tc>
        <w:tc>
          <w:tcPr>
            <w:tcW w:w="1633" w:type="dxa"/>
            <w:tcBorders>
              <w:tl2br w:val="nil"/>
              <w:tr2bl w:val="nil"/>
            </w:tcBorders>
            <w:vAlign w:val="center"/>
          </w:tcPr>
          <w:p w14:paraId="6F590854">
            <w:pPr>
              <w:widowControl/>
              <w:jc w:val="center"/>
              <w:textAlignment w:val="center"/>
              <w:rPr>
                <w:szCs w:val="21"/>
              </w:rPr>
            </w:pPr>
            <w:r>
              <w:rPr>
                <w:kern w:val="0"/>
                <w:szCs w:val="21"/>
                <w:lang w:bidi="ar"/>
              </w:rPr>
              <w:t>0.</w:t>
            </w:r>
            <w:r>
              <w:rPr>
                <w:rFonts w:hint="eastAsia"/>
                <w:kern w:val="0"/>
                <w:szCs w:val="21"/>
                <w:lang w:val="en-US" w:eastAsia="zh-CN" w:bidi="ar"/>
              </w:rPr>
              <w:t>066</w:t>
            </w:r>
          </w:p>
        </w:tc>
        <w:tc>
          <w:tcPr>
            <w:tcW w:w="1305" w:type="dxa"/>
            <w:tcBorders>
              <w:tl2br w:val="nil"/>
              <w:tr2bl w:val="nil"/>
            </w:tcBorders>
            <w:vAlign w:val="center"/>
          </w:tcPr>
          <w:p w14:paraId="45A17F05">
            <w:pPr>
              <w:widowControl/>
              <w:jc w:val="center"/>
              <w:textAlignment w:val="center"/>
              <w:rPr>
                <w:szCs w:val="21"/>
              </w:rPr>
            </w:pPr>
            <w:r>
              <w:rPr>
                <w:kern w:val="0"/>
                <w:szCs w:val="21"/>
                <w:lang w:bidi="ar"/>
              </w:rPr>
              <w:t>0.</w:t>
            </w:r>
            <w:r>
              <w:rPr>
                <w:rFonts w:hint="eastAsia"/>
                <w:kern w:val="0"/>
                <w:szCs w:val="21"/>
                <w:lang w:val="en-US" w:eastAsia="zh-CN" w:bidi="ar"/>
              </w:rPr>
              <w:t>066</w:t>
            </w:r>
          </w:p>
        </w:tc>
      </w:tr>
      <w:tr w14:paraId="2D243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 w:type="pct"/>
            <w:vMerge w:val="continue"/>
            <w:tcBorders>
              <w:tl2br w:val="nil"/>
              <w:tr2bl w:val="nil"/>
            </w:tcBorders>
            <w:vAlign w:val="center"/>
          </w:tcPr>
          <w:p w14:paraId="18936AC7">
            <w:pPr>
              <w:widowControl/>
              <w:jc w:val="center"/>
              <w:textAlignment w:val="center"/>
              <w:rPr>
                <w:szCs w:val="21"/>
              </w:rPr>
            </w:pPr>
          </w:p>
        </w:tc>
        <w:tc>
          <w:tcPr>
            <w:tcW w:w="321" w:type="pct"/>
            <w:vMerge w:val="continue"/>
            <w:tcBorders>
              <w:tl2br w:val="nil"/>
              <w:tr2bl w:val="nil"/>
            </w:tcBorders>
            <w:vAlign w:val="center"/>
          </w:tcPr>
          <w:p w14:paraId="6A741FE5">
            <w:pPr>
              <w:widowControl/>
              <w:jc w:val="center"/>
              <w:textAlignment w:val="center"/>
              <w:rPr>
                <w:szCs w:val="21"/>
              </w:rPr>
            </w:pPr>
          </w:p>
        </w:tc>
        <w:tc>
          <w:tcPr>
            <w:tcW w:w="569" w:type="pct"/>
            <w:tcBorders>
              <w:tl2br w:val="nil"/>
              <w:tr2bl w:val="nil"/>
            </w:tcBorders>
            <w:vAlign w:val="center"/>
          </w:tcPr>
          <w:p w14:paraId="03F87899">
            <w:pPr>
              <w:jc w:val="center"/>
              <w:rPr>
                <w:szCs w:val="21"/>
              </w:rPr>
            </w:pPr>
            <w:r>
              <w:rPr>
                <w:rFonts w:hint="eastAsia"/>
                <w:szCs w:val="21"/>
              </w:rPr>
              <w:t>NOx</w:t>
            </w:r>
          </w:p>
        </w:tc>
        <w:tc>
          <w:tcPr>
            <w:tcW w:w="616" w:type="pct"/>
            <w:tcBorders>
              <w:tl2br w:val="nil"/>
              <w:tr2bl w:val="nil"/>
            </w:tcBorders>
            <w:vAlign w:val="center"/>
          </w:tcPr>
          <w:p w14:paraId="6E374857">
            <w:pPr>
              <w:widowControl/>
              <w:spacing w:line="340" w:lineRule="exact"/>
              <w:jc w:val="center"/>
              <w:textAlignment w:val="center"/>
              <w:rPr>
                <w:szCs w:val="21"/>
              </w:rPr>
            </w:pPr>
            <w:r>
              <w:rPr>
                <w:szCs w:val="21"/>
              </w:rPr>
              <w:t>/</w:t>
            </w:r>
          </w:p>
        </w:tc>
        <w:tc>
          <w:tcPr>
            <w:tcW w:w="462" w:type="pct"/>
            <w:tcBorders>
              <w:tl2br w:val="nil"/>
              <w:tr2bl w:val="nil"/>
            </w:tcBorders>
            <w:vAlign w:val="center"/>
          </w:tcPr>
          <w:p w14:paraId="59DF2BBD">
            <w:pPr>
              <w:widowControl/>
              <w:spacing w:line="340" w:lineRule="exact"/>
              <w:jc w:val="center"/>
              <w:textAlignment w:val="center"/>
              <w:rPr>
                <w:szCs w:val="21"/>
              </w:rPr>
            </w:pPr>
            <w:r>
              <w:rPr>
                <w:rFonts w:hint="eastAsia"/>
                <w:szCs w:val="21"/>
              </w:rPr>
              <w:t>/</w:t>
            </w:r>
          </w:p>
        </w:tc>
        <w:tc>
          <w:tcPr>
            <w:tcW w:w="616" w:type="pct"/>
            <w:tcBorders>
              <w:tl2br w:val="nil"/>
              <w:tr2bl w:val="nil"/>
            </w:tcBorders>
            <w:vAlign w:val="center"/>
          </w:tcPr>
          <w:p w14:paraId="619DCE7F">
            <w:pPr>
              <w:widowControl/>
              <w:spacing w:line="340" w:lineRule="exact"/>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7E07B9FF">
            <w:pPr>
              <w:widowControl/>
              <w:jc w:val="center"/>
              <w:textAlignment w:val="center"/>
              <w:rPr>
                <w:kern w:val="0"/>
                <w:szCs w:val="21"/>
                <w:lang w:bidi="ar"/>
              </w:rPr>
            </w:pPr>
            <w:r>
              <w:rPr>
                <w:kern w:val="0"/>
                <w:szCs w:val="21"/>
                <w:lang w:bidi="ar"/>
              </w:rPr>
              <w:t>0.0418</w:t>
            </w:r>
          </w:p>
        </w:tc>
        <w:tc>
          <w:tcPr>
            <w:tcW w:w="600" w:type="pct"/>
            <w:tcBorders>
              <w:tl2br w:val="nil"/>
              <w:tr2bl w:val="nil"/>
            </w:tcBorders>
            <w:vAlign w:val="center"/>
          </w:tcPr>
          <w:p w14:paraId="09776001">
            <w:pPr>
              <w:widowControl/>
              <w:spacing w:line="340" w:lineRule="exact"/>
              <w:jc w:val="center"/>
              <w:textAlignment w:val="center"/>
              <w:rPr>
                <w:szCs w:val="21"/>
              </w:rPr>
            </w:pPr>
            <w:r>
              <w:rPr>
                <w:rFonts w:hint="eastAsia"/>
                <w:szCs w:val="21"/>
              </w:rPr>
              <w:t>0</w:t>
            </w:r>
          </w:p>
        </w:tc>
        <w:tc>
          <w:tcPr>
            <w:tcW w:w="1633" w:type="dxa"/>
            <w:tcBorders>
              <w:tl2br w:val="nil"/>
              <w:tr2bl w:val="nil"/>
            </w:tcBorders>
            <w:vAlign w:val="center"/>
          </w:tcPr>
          <w:p w14:paraId="43AABD49">
            <w:pPr>
              <w:widowControl/>
              <w:jc w:val="center"/>
              <w:textAlignment w:val="center"/>
              <w:rPr>
                <w:kern w:val="0"/>
                <w:szCs w:val="21"/>
                <w:lang w:bidi="ar"/>
              </w:rPr>
            </w:pPr>
            <w:r>
              <w:rPr>
                <w:kern w:val="0"/>
                <w:szCs w:val="21"/>
                <w:lang w:bidi="ar"/>
              </w:rPr>
              <w:t>0.0418</w:t>
            </w:r>
          </w:p>
        </w:tc>
        <w:tc>
          <w:tcPr>
            <w:tcW w:w="1305" w:type="dxa"/>
            <w:tcBorders>
              <w:tl2br w:val="nil"/>
              <w:tr2bl w:val="nil"/>
            </w:tcBorders>
            <w:vAlign w:val="center"/>
          </w:tcPr>
          <w:p w14:paraId="082C78D5">
            <w:pPr>
              <w:widowControl/>
              <w:jc w:val="center"/>
              <w:textAlignment w:val="center"/>
              <w:rPr>
                <w:kern w:val="0"/>
                <w:szCs w:val="21"/>
                <w:lang w:bidi="ar"/>
              </w:rPr>
            </w:pPr>
            <w:r>
              <w:rPr>
                <w:kern w:val="0"/>
                <w:szCs w:val="21"/>
                <w:lang w:bidi="ar"/>
              </w:rPr>
              <w:t>0.0418</w:t>
            </w:r>
          </w:p>
        </w:tc>
      </w:tr>
      <w:tr w14:paraId="24D44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 w:type="pct"/>
            <w:vMerge w:val="continue"/>
            <w:tcBorders>
              <w:tl2br w:val="nil"/>
              <w:tr2bl w:val="nil"/>
            </w:tcBorders>
            <w:vAlign w:val="center"/>
          </w:tcPr>
          <w:p w14:paraId="619E3E20">
            <w:pPr>
              <w:widowControl/>
              <w:jc w:val="center"/>
              <w:textAlignment w:val="center"/>
              <w:rPr>
                <w:szCs w:val="21"/>
              </w:rPr>
            </w:pPr>
          </w:p>
        </w:tc>
        <w:tc>
          <w:tcPr>
            <w:tcW w:w="321" w:type="pct"/>
            <w:vMerge w:val="continue"/>
            <w:tcBorders>
              <w:tl2br w:val="nil"/>
              <w:tr2bl w:val="nil"/>
            </w:tcBorders>
            <w:vAlign w:val="center"/>
          </w:tcPr>
          <w:p w14:paraId="0EC23B34">
            <w:pPr>
              <w:widowControl/>
              <w:jc w:val="center"/>
              <w:textAlignment w:val="center"/>
              <w:rPr>
                <w:szCs w:val="21"/>
              </w:rPr>
            </w:pPr>
          </w:p>
        </w:tc>
        <w:tc>
          <w:tcPr>
            <w:tcW w:w="569" w:type="pct"/>
            <w:tcBorders>
              <w:tl2br w:val="nil"/>
              <w:tr2bl w:val="nil"/>
            </w:tcBorders>
            <w:vAlign w:val="center"/>
          </w:tcPr>
          <w:p w14:paraId="4C65EABE">
            <w:pPr>
              <w:jc w:val="center"/>
              <w:rPr>
                <w:szCs w:val="21"/>
              </w:rPr>
            </w:pPr>
            <w:r>
              <w:rPr>
                <w:rFonts w:hint="eastAsia"/>
                <w:szCs w:val="21"/>
              </w:rPr>
              <w:t>SO</w:t>
            </w:r>
            <w:r>
              <w:rPr>
                <w:rFonts w:hint="eastAsia"/>
                <w:szCs w:val="21"/>
                <w:vertAlign w:val="subscript"/>
              </w:rPr>
              <w:t>2</w:t>
            </w:r>
          </w:p>
        </w:tc>
        <w:tc>
          <w:tcPr>
            <w:tcW w:w="616" w:type="pct"/>
            <w:tcBorders>
              <w:tl2br w:val="nil"/>
              <w:tr2bl w:val="nil"/>
            </w:tcBorders>
            <w:vAlign w:val="center"/>
          </w:tcPr>
          <w:p w14:paraId="7CEB6558">
            <w:pPr>
              <w:widowControl/>
              <w:spacing w:line="340" w:lineRule="exact"/>
              <w:jc w:val="center"/>
              <w:textAlignment w:val="center"/>
              <w:rPr>
                <w:szCs w:val="21"/>
              </w:rPr>
            </w:pPr>
            <w:r>
              <w:rPr>
                <w:szCs w:val="21"/>
              </w:rPr>
              <w:t>/</w:t>
            </w:r>
          </w:p>
        </w:tc>
        <w:tc>
          <w:tcPr>
            <w:tcW w:w="462" w:type="pct"/>
            <w:tcBorders>
              <w:tl2br w:val="nil"/>
              <w:tr2bl w:val="nil"/>
            </w:tcBorders>
            <w:vAlign w:val="center"/>
          </w:tcPr>
          <w:p w14:paraId="6D9BD781">
            <w:pPr>
              <w:widowControl/>
              <w:spacing w:line="340" w:lineRule="exact"/>
              <w:jc w:val="center"/>
              <w:textAlignment w:val="center"/>
              <w:rPr>
                <w:szCs w:val="21"/>
              </w:rPr>
            </w:pPr>
            <w:r>
              <w:rPr>
                <w:rFonts w:hint="eastAsia"/>
                <w:szCs w:val="21"/>
              </w:rPr>
              <w:t>/</w:t>
            </w:r>
          </w:p>
        </w:tc>
        <w:tc>
          <w:tcPr>
            <w:tcW w:w="616" w:type="pct"/>
            <w:tcBorders>
              <w:tl2br w:val="nil"/>
              <w:tr2bl w:val="nil"/>
            </w:tcBorders>
            <w:vAlign w:val="center"/>
          </w:tcPr>
          <w:p w14:paraId="0EA7577E">
            <w:pPr>
              <w:widowControl/>
              <w:spacing w:line="340" w:lineRule="exact"/>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44D43857">
            <w:pPr>
              <w:widowControl/>
              <w:jc w:val="center"/>
              <w:textAlignment w:val="center"/>
              <w:rPr>
                <w:kern w:val="0"/>
                <w:szCs w:val="21"/>
                <w:lang w:bidi="ar"/>
              </w:rPr>
            </w:pPr>
            <w:r>
              <w:rPr>
                <w:kern w:val="0"/>
                <w:szCs w:val="21"/>
                <w:lang w:bidi="ar"/>
              </w:rPr>
              <w:t>0.012</w:t>
            </w:r>
          </w:p>
        </w:tc>
        <w:tc>
          <w:tcPr>
            <w:tcW w:w="600" w:type="pct"/>
            <w:tcBorders>
              <w:tl2br w:val="nil"/>
              <w:tr2bl w:val="nil"/>
            </w:tcBorders>
            <w:vAlign w:val="center"/>
          </w:tcPr>
          <w:p w14:paraId="1C824AF5">
            <w:pPr>
              <w:widowControl/>
              <w:spacing w:line="340" w:lineRule="exact"/>
              <w:jc w:val="center"/>
              <w:textAlignment w:val="center"/>
              <w:rPr>
                <w:szCs w:val="21"/>
              </w:rPr>
            </w:pPr>
            <w:r>
              <w:rPr>
                <w:rFonts w:hint="eastAsia"/>
                <w:szCs w:val="21"/>
              </w:rPr>
              <w:t>0</w:t>
            </w:r>
          </w:p>
        </w:tc>
        <w:tc>
          <w:tcPr>
            <w:tcW w:w="1633" w:type="dxa"/>
            <w:tcBorders>
              <w:tl2br w:val="nil"/>
              <w:tr2bl w:val="nil"/>
            </w:tcBorders>
            <w:vAlign w:val="center"/>
          </w:tcPr>
          <w:p w14:paraId="4D825B51">
            <w:pPr>
              <w:widowControl/>
              <w:jc w:val="center"/>
              <w:textAlignment w:val="center"/>
              <w:rPr>
                <w:kern w:val="0"/>
                <w:szCs w:val="21"/>
                <w:lang w:bidi="ar"/>
              </w:rPr>
            </w:pPr>
            <w:r>
              <w:rPr>
                <w:kern w:val="0"/>
                <w:szCs w:val="21"/>
                <w:lang w:bidi="ar"/>
              </w:rPr>
              <w:t>0.012</w:t>
            </w:r>
          </w:p>
        </w:tc>
        <w:tc>
          <w:tcPr>
            <w:tcW w:w="1305" w:type="dxa"/>
            <w:tcBorders>
              <w:tl2br w:val="nil"/>
              <w:tr2bl w:val="nil"/>
            </w:tcBorders>
            <w:vAlign w:val="center"/>
          </w:tcPr>
          <w:p w14:paraId="1CF602C0">
            <w:pPr>
              <w:widowControl/>
              <w:jc w:val="center"/>
              <w:textAlignment w:val="center"/>
              <w:rPr>
                <w:kern w:val="0"/>
                <w:szCs w:val="21"/>
                <w:lang w:bidi="ar"/>
              </w:rPr>
            </w:pPr>
            <w:r>
              <w:rPr>
                <w:kern w:val="0"/>
                <w:szCs w:val="21"/>
                <w:lang w:bidi="ar"/>
              </w:rPr>
              <w:t>0.012</w:t>
            </w:r>
          </w:p>
        </w:tc>
      </w:tr>
      <w:tr w14:paraId="233E0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 w:type="pct"/>
            <w:vMerge w:val="continue"/>
            <w:tcBorders>
              <w:tl2br w:val="nil"/>
              <w:tr2bl w:val="nil"/>
            </w:tcBorders>
            <w:vAlign w:val="center"/>
          </w:tcPr>
          <w:p w14:paraId="7FDFDA26">
            <w:pPr>
              <w:widowControl/>
              <w:jc w:val="center"/>
              <w:textAlignment w:val="center"/>
              <w:rPr>
                <w:szCs w:val="21"/>
              </w:rPr>
            </w:pPr>
          </w:p>
        </w:tc>
        <w:tc>
          <w:tcPr>
            <w:tcW w:w="321" w:type="pct"/>
            <w:vMerge w:val="continue"/>
            <w:tcBorders>
              <w:tl2br w:val="nil"/>
              <w:tr2bl w:val="nil"/>
            </w:tcBorders>
            <w:vAlign w:val="center"/>
          </w:tcPr>
          <w:p w14:paraId="49C0CF2D">
            <w:pPr>
              <w:widowControl/>
              <w:jc w:val="center"/>
              <w:textAlignment w:val="center"/>
              <w:rPr>
                <w:szCs w:val="21"/>
              </w:rPr>
            </w:pPr>
          </w:p>
        </w:tc>
        <w:tc>
          <w:tcPr>
            <w:tcW w:w="569" w:type="pct"/>
            <w:tcBorders>
              <w:tl2br w:val="nil"/>
              <w:tr2bl w:val="nil"/>
            </w:tcBorders>
            <w:vAlign w:val="center"/>
          </w:tcPr>
          <w:p w14:paraId="04D8D66E">
            <w:pPr>
              <w:widowControl/>
              <w:spacing w:line="340" w:lineRule="exact"/>
              <w:jc w:val="center"/>
              <w:textAlignment w:val="center"/>
              <w:rPr>
                <w:szCs w:val="21"/>
              </w:rPr>
            </w:pPr>
            <w:r>
              <w:rPr>
                <w:szCs w:val="21"/>
              </w:rPr>
              <w:t>颗粒物</w:t>
            </w:r>
          </w:p>
        </w:tc>
        <w:tc>
          <w:tcPr>
            <w:tcW w:w="616" w:type="pct"/>
            <w:tcBorders>
              <w:tl2br w:val="nil"/>
              <w:tr2bl w:val="nil"/>
            </w:tcBorders>
            <w:vAlign w:val="center"/>
          </w:tcPr>
          <w:p w14:paraId="0DA6EEB7">
            <w:pPr>
              <w:widowControl/>
              <w:spacing w:line="340" w:lineRule="exact"/>
              <w:jc w:val="center"/>
              <w:textAlignment w:val="center"/>
              <w:rPr>
                <w:szCs w:val="21"/>
              </w:rPr>
            </w:pPr>
            <w:r>
              <w:rPr>
                <w:szCs w:val="21"/>
              </w:rPr>
              <w:t>/</w:t>
            </w:r>
          </w:p>
        </w:tc>
        <w:tc>
          <w:tcPr>
            <w:tcW w:w="462" w:type="pct"/>
            <w:tcBorders>
              <w:tl2br w:val="nil"/>
              <w:tr2bl w:val="nil"/>
            </w:tcBorders>
            <w:vAlign w:val="center"/>
          </w:tcPr>
          <w:p w14:paraId="58209129">
            <w:pPr>
              <w:widowControl/>
              <w:spacing w:line="340" w:lineRule="exact"/>
              <w:jc w:val="center"/>
              <w:textAlignment w:val="center"/>
              <w:rPr>
                <w:szCs w:val="21"/>
              </w:rPr>
            </w:pPr>
            <w:r>
              <w:rPr>
                <w:rFonts w:hint="eastAsia"/>
                <w:szCs w:val="21"/>
              </w:rPr>
              <w:t>/</w:t>
            </w:r>
          </w:p>
        </w:tc>
        <w:tc>
          <w:tcPr>
            <w:tcW w:w="616" w:type="pct"/>
            <w:tcBorders>
              <w:tl2br w:val="nil"/>
              <w:tr2bl w:val="nil"/>
            </w:tcBorders>
            <w:vAlign w:val="center"/>
          </w:tcPr>
          <w:p w14:paraId="746DB1F3">
            <w:pPr>
              <w:widowControl/>
              <w:spacing w:line="340" w:lineRule="exact"/>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2F50B23C">
            <w:pPr>
              <w:widowControl/>
              <w:jc w:val="center"/>
              <w:textAlignment w:val="center"/>
              <w:rPr>
                <w:rFonts w:hint="default" w:eastAsia="宋体"/>
                <w:kern w:val="0"/>
                <w:szCs w:val="21"/>
                <w:lang w:val="en-US" w:eastAsia="zh-CN" w:bidi="ar"/>
              </w:rPr>
            </w:pPr>
            <w:r>
              <w:rPr>
                <w:rFonts w:hint="eastAsia"/>
                <w:kern w:val="0"/>
                <w:szCs w:val="21"/>
                <w:lang w:bidi="ar"/>
              </w:rPr>
              <w:t>0.</w:t>
            </w:r>
            <w:r>
              <w:rPr>
                <w:rFonts w:hint="eastAsia"/>
                <w:kern w:val="0"/>
                <w:szCs w:val="21"/>
                <w:lang w:val="en-US" w:eastAsia="zh-CN" w:bidi="ar"/>
              </w:rPr>
              <w:t>0969</w:t>
            </w:r>
          </w:p>
        </w:tc>
        <w:tc>
          <w:tcPr>
            <w:tcW w:w="600" w:type="pct"/>
            <w:tcBorders>
              <w:tl2br w:val="nil"/>
              <w:tr2bl w:val="nil"/>
            </w:tcBorders>
            <w:vAlign w:val="center"/>
          </w:tcPr>
          <w:p w14:paraId="45D2847C">
            <w:pPr>
              <w:widowControl/>
              <w:spacing w:line="340" w:lineRule="exact"/>
              <w:jc w:val="center"/>
              <w:textAlignment w:val="center"/>
              <w:rPr>
                <w:szCs w:val="21"/>
              </w:rPr>
            </w:pPr>
            <w:r>
              <w:rPr>
                <w:rFonts w:hint="eastAsia"/>
                <w:szCs w:val="21"/>
              </w:rPr>
              <w:t>0</w:t>
            </w:r>
          </w:p>
        </w:tc>
        <w:tc>
          <w:tcPr>
            <w:tcW w:w="1633" w:type="dxa"/>
            <w:tcBorders>
              <w:tl2br w:val="nil"/>
              <w:tr2bl w:val="nil"/>
            </w:tcBorders>
            <w:vAlign w:val="center"/>
          </w:tcPr>
          <w:p w14:paraId="383156F9">
            <w:pPr>
              <w:widowControl/>
              <w:jc w:val="center"/>
              <w:textAlignment w:val="center"/>
              <w:rPr>
                <w:kern w:val="0"/>
                <w:szCs w:val="21"/>
                <w:lang w:bidi="ar"/>
              </w:rPr>
            </w:pPr>
            <w:r>
              <w:rPr>
                <w:rFonts w:hint="eastAsia"/>
                <w:kern w:val="0"/>
                <w:szCs w:val="21"/>
                <w:lang w:bidi="ar"/>
              </w:rPr>
              <w:t>0.</w:t>
            </w:r>
            <w:r>
              <w:rPr>
                <w:rFonts w:hint="eastAsia"/>
                <w:kern w:val="0"/>
                <w:szCs w:val="21"/>
                <w:lang w:val="en-US" w:eastAsia="zh-CN" w:bidi="ar"/>
              </w:rPr>
              <w:t>0969</w:t>
            </w:r>
          </w:p>
        </w:tc>
        <w:tc>
          <w:tcPr>
            <w:tcW w:w="1305" w:type="dxa"/>
            <w:tcBorders>
              <w:tl2br w:val="nil"/>
              <w:tr2bl w:val="nil"/>
            </w:tcBorders>
            <w:vAlign w:val="center"/>
          </w:tcPr>
          <w:p w14:paraId="57E264B3">
            <w:pPr>
              <w:widowControl/>
              <w:jc w:val="center"/>
              <w:textAlignment w:val="center"/>
              <w:rPr>
                <w:kern w:val="0"/>
                <w:szCs w:val="21"/>
                <w:lang w:bidi="ar"/>
              </w:rPr>
            </w:pPr>
            <w:r>
              <w:rPr>
                <w:rFonts w:hint="eastAsia"/>
                <w:kern w:val="0"/>
                <w:szCs w:val="21"/>
                <w:lang w:bidi="ar"/>
              </w:rPr>
              <w:t>0.</w:t>
            </w:r>
            <w:r>
              <w:rPr>
                <w:rFonts w:hint="eastAsia"/>
                <w:kern w:val="0"/>
                <w:szCs w:val="21"/>
                <w:lang w:val="en-US" w:eastAsia="zh-CN" w:bidi="ar"/>
              </w:rPr>
              <w:t>0969</w:t>
            </w:r>
          </w:p>
        </w:tc>
      </w:tr>
      <w:tr w14:paraId="121D4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 w:type="pct"/>
            <w:vMerge w:val="continue"/>
            <w:tcBorders>
              <w:tl2br w:val="nil"/>
              <w:tr2bl w:val="nil"/>
            </w:tcBorders>
            <w:vAlign w:val="center"/>
          </w:tcPr>
          <w:p w14:paraId="1D18B1CC">
            <w:pPr>
              <w:pStyle w:val="52"/>
              <w:spacing w:beforeLines="0" w:afterLines="0" w:line="240" w:lineRule="auto"/>
              <w:rPr>
                <w:rFonts w:ascii="Times New Roman"/>
                <w:snapToGrid w:val="0"/>
                <w:kern w:val="21"/>
                <w:sz w:val="21"/>
                <w:szCs w:val="21"/>
              </w:rPr>
            </w:pPr>
          </w:p>
        </w:tc>
        <w:tc>
          <w:tcPr>
            <w:tcW w:w="321" w:type="pct"/>
            <w:vMerge w:val="restart"/>
            <w:tcBorders>
              <w:tl2br w:val="nil"/>
              <w:tr2bl w:val="nil"/>
            </w:tcBorders>
            <w:vAlign w:val="center"/>
          </w:tcPr>
          <w:p w14:paraId="57699B5A">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无组织</w:t>
            </w:r>
          </w:p>
        </w:tc>
        <w:tc>
          <w:tcPr>
            <w:tcW w:w="569" w:type="pct"/>
            <w:tcBorders>
              <w:tl2br w:val="nil"/>
              <w:tr2bl w:val="nil"/>
            </w:tcBorders>
            <w:vAlign w:val="center"/>
          </w:tcPr>
          <w:p w14:paraId="0979A709">
            <w:pPr>
              <w:widowControl/>
              <w:spacing w:line="320" w:lineRule="exact"/>
              <w:jc w:val="center"/>
              <w:textAlignment w:val="center"/>
              <w:rPr>
                <w:snapToGrid w:val="0"/>
                <w:kern w:val="21"/>
                <w:szCs w:val="21"/>
              </w:rPr>
            </w:pPr>
            <w:r>
              <w:rPr>
                <w:rFonts w:hint="eastAsia"/>
                <w:kern w:val="0"/>
                <w:szCs w:val="21"/>
                <w:lang w:eastAsia="zh-CN" w:bidi="ar"/>
              </w:rPr>
              <w:t>挥发性有机物</w:t>
            </w:r>
          </w:p>
        </w:tc>
        <w:tc>
          <w:tcPr>
            <w:tcW w:w="616" w:type="pct"/>
            <w:tcBorders>
              <w:tl2br w:val="nil"/>
              <w:tr2bl w:val="nil"/>
            </w:tcBorders>
            <w:vAlign w:val="center"/>
          </w:tcPr>
          <w:p w14:paraId="1B09C7DC">
            <w:pPr>
              <w:widowControl/>
              <w:spacing w:line="320" w:lineRule="exact"/>
              <w:jc w:val="center"/>
              <w:textAlignment w:val="center"/>
              <w:rPr>
                <w:szCs w:val="21"/>
              </w:rPr>
            </w:pPr>
            <w:r>
              <w:rPr>
                <w:szCs w:val="21"/>
              </w:rPr>
              <w:t>/</w:t>
            </w:r>
          </w:p>
        </w:tc>
        <w:tc>
          <w:tcPr>
            <w:tcW w:w="462" w:type="pct"/>
            <w:tcBorders>
              <w:tl2br w:val="nil"/>
              <w:tr2bl w:val="nil"/>
            </w:tcBorders>
            <w:vAlign w:val="center"/>
          </w:tcPr>
          <w:p w14:paraId="6144F040">
            <w:pPr>
              <w:widowControl/>
              <w:spacing w:line="320" w:lineRule="exact"/>
              <w:jc w:val="center"/>
              <w:textAlignment w:val="center"/>
              <w:rPr>
                <w:szCs w:val="21"/>
              </w:rPr>
            </w:pPr>
            <w:r>
              <w:rPr>
                <w:szCs w:val="21"/>
              </w:rPr>
              <w:t>/</w:t>
            </w:r>
          </w:p>
        </w:tc>
        <w:tc>
          <w:tcPr>
            <w:tcW w:w="616" w:type="pct"/>
            <w:tcBorders>
              <w:tl2br w:val="nil"/>
              <w:tr2bl w:val="nil"/>
            </w:tcBorders>
            <w:vAlign w:val="center"/>
          </w:tcPr>
          <w:p w14:paraId="2CC1C355">
            <w:pPr>
              <w:widowControl/>
              <w:spacing w:line="320" w:lineRule="exact"/>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206F65ED">
            <w:pPr>
              <w:widowControl/>
              <w:jc w:val="center"/>
              <w:textAlignment w:val="center"/>
              <w:rPr>
                <w:szCs w:val="21"/>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073</w:t>
            </w:r>
          </w:p>
        </w:tc>
        <w:tc>
          <w:tcPr>
            <w:tcW w:w="600" w:type="pct"/>
            <w:tcBorders>
              <w:tl2br w:val="nil"/>
              <w:tr2bl w:val="nil"/>
            </w:tcBorders>
            <w:vAlign w:val="center"/>
          </w:tcPr>
          <w:p w14:paraId="6CA60AF7">
            <w:pPr>
              <w:widowControl/>
              <w:spacing w:line="320" w:lineRule="exact"/>
              <w:jc w:val="center"/>
              <w:textAlignment w:val="center"/>
              <w:rPr>
                <w:szCs w:val="21"/>
              </w:rPr>
            </w:pPr>
            <w:r>
              <w:rPr>
                <w:szCs w:val="21"/>
              </w:rPr>
              <w:t>0</w:t>
            </w:r>
          </w:p>
        </w:tc>
        <w:tc>
          <w:tcPr>
            <w:tcW w:w="1633" w:type="dxa"/>
            <w:tcBorders>
              <w:tl2br w:val="nil"/>
              <w:tr2bl w:val="nil"/>
            </w:tcBorders>
            <w:vAlign w:val="center"/>
          </w:tcPr>
          <w:p w14:paraId="38FF85B7">
            <w:pPr>
              <w:widowControl/>
              <w:jc w:val="center"/>
              <w:textAlignment w:val="center"/>
              <w:rPr>
                <w:szCs w:val="21"/>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073</w:t>
            </w:r>
          </w:p>
        </w:tc>
        <w:tc>
          <w:tcPr>
            <w:tcW w:w="1305" w:type="dxa"/>
            <w:tcBorders>
              <w:tl2br w:val="nil"/>
              <w:tr2bl w:val="nil"/>
            </w:tcBorders>
            <w:vAlign w:val="center"/>
          </w:tcPr>
          <w:p w14:paraId="3DB98B2E">
            <w:pPr>
              <w:widowControl/>
              <w:jc w:val="center"/>
              <w:textAlignment w:val="center"/>
              <w:rPr>
                <w:szCs w:val="21"/>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073</w:t>
            </w:r>
          </w:p>
        </w:tc>
      </w:tr>
      <w:tr w14:paraId="2577D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 w:type="pct"/>
            <w:vMerge w:val="continue"/>
            <w:tcBorders>
              <w:tl2br w:val="nil"/>
              <w:tr2bl w:val="nil"/>
            </w:tcBorders>
            <w:vAlign w:val="center"/>
          </w:tcPr>
          <w:p w14:paraId="08E2E3F9">
            <w:pPr>
              <w:widowControl/>
              <w:jc w:val="center"/>
              <w:textAlignment w:val="center"/>
              <w:rPr>
                <w:kern w:val="0"/>
                <w:szCs w:val="21"/>
                <w:lang w:bidi="ar"/>
              </w:rPr>
            </w:pPr>
          </w:p>
        </w:tc>
        <w:tc>
          <w:tcPr>
            <w:tcW w:w="321" w:type="pct"/>
            <w:vMerge w:val="continue"/>
            <w:tcBorders>
              <w:tl2br w:val="nil"/>
              <w:tr2bl w:val="nil"/>
            </w:tcBorders>
            <w:vAlign w:val="center"/>
          </w:tcPr>
          <w:p w14:paraId="03507F5C">
            <w:pPr>
              <w:widowControl/>
              <w:jc w:val="center"/>
              <w:textAlignment w:val="center"/>
              <w:rPr>
                <w:kern w:val="0"/>
                <w:szCs w:val="21"/>
                <w:lang w:bidi="ar"/>
              </w:rPr>
            </w:pPr>
          </w:p>
        </w:tc>
        <w:tc>
          <w:tcPr>
            <w:tcW w:w="569" w:type="pct"/>
            <w:tcBorders>
              <w:tl2br w:val="nil"/>
              <w:tr2bl w:val="nil"/>
            </w:tcBorders>
            <w:vAlign w:val="center"/>
          </w:tcPr>
          <w:p w14:paraId="42328CDE">
            <w:pPr>
              <w:widowControl/>
              <w:spacing w:line="320" w:lineRule="exact"/>
              <w:jc w:val="center"/>
              <w:textAlignment w:val="center"/>
              <w:rPr>
                <w:kern w:val="0"/>
                <w:szCs w:val="21"/>
                <w:lang w:bidi="ar"/>
              </w:rPr>
            </w:pPr>
            <w:r>
              <w:rPr>
                <w:szCs w:val="21"/>
              </w:rPr>
              <w:t>颗粒物</w:t>
            </w:r>
          </w:p>
        </w:tc>
        <w:tc>
          <w:tcPr>
            <w:tcW w:w="616" w:type="pct"/>
            <w:tcBorders>
              <w:tl2br w:val="nil"/>
              <w:tr2bl w:val="nil"/>
            </w:tcBorders>
            <w:vAlign w:val="center"/>
          </w:tcPr>
          <w:p w14:paraId="2852ED14">
            <w:pPr>
              <w:widowControl/>
              <w:spacing w:line="320" w:lineRule="exact"/>
              <w:jc w:val="center"/>
              <w:textAlignment w:val="center"/>
              <w:rPr>
                <w:szCs w:val="21"/>
              </w:rPr>
            </w:pPr>
            <w:r>
              <w:rPr>
                <w:szCs w:val="21"/>
              </w:rPr>
              <w:t>/</w:t>
            </w:r>
          </w:p>
        </w:tc>
        <w:tc>
          <w:tcPr>
            <w:tcW w:w="462" w:type="pct"/>
            <w:tcBorders>
              <w:tl2br w:val="nil"/>
              <w:tr2bl w:val="nil"/>
            </w:tcBorders>
            <w:vAlign w:val="center"/>
          </w:tcPr>
          <w:p w14:paraId="105DED3D">
            <w:pPr>
              <w:widowControl/>
              <w:spacing w:line="320" w:lineRule="exact"/>
              <w:jc w:val="center"/>
              <w:textAlignment w:val="center"/>
              <w:rPr>
                <w:szCs w:val="21"/>
              </w:rPr>
            </w:pPr>
            <w:r>
              <w:rPr>
                <w:szCs w:val="21"/>
              </w:rPr>
              <w:t>/</w:t>
            </w:r>
          </w:p>
        </w:tc>
        <w:tc>
          <w:tcPr>
            <w:tcW w:w="616" w:type="pct"/>
            <w:tcBorders>
              <w:tl2br w:val="nil"/>
              <w:tr2bl w:val="nil"/>
            </w:tcBorders>
            <w:vAlign w:val="center"/>
          </w:tcPr>
          <w:p w14:paraId="7E62EFE2">
            <w:pPr>
              <w:widowControl/>
              <w:spacing w:line="320" w:lineRule="exact"/>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3499B02E">
            <w:pPr>
              <w:widowControl/>
              <w:jc w:val="center"/>
              <w:textAlignment w:val="center"/>
              <w:rPr>
                <w:rFonts w:hint="default"/>
                <w:kern w:val="0"/>
                <w:szCs w:val="21"/>
                <w:lang w:val="en-US" w:bidi="ar"/>
              </w:rPr>
            </w:pPr>
            <w:r>
              <w:rPr>
                <w:rFonts w:hint="eastAsia" w:ascii="Times New Roman" w:hAnsi="Times New Roman" w:eastAsia="宋体" w:cs="Times New Roman"/>
                <w:szCs w:val="21"/>
              </w:rPr>
              <w:t>0.</w:t>
            </w:r>
            <w:r>
              <w:rPr>
                <w:rFonts w:hint="eastAsia" w:cs="Times New Roman"/>
                <w:szCs w:val="21"/>
                <w:lang w:val="en-US" w:eastAsia="zh-CN"/>
              </w:rPr>
              <w:t>1835</w:t>
            </w:r>
          </w:p>
        </w:tc>
        <w:tc>
          <w:tcPr>
            <w:tcW w:w="600" w:type="pct"/>
            <w:tcBorders>
              <w:tl2br w:val="nil"/>
              <w:tr2bl w:val="nil"/>
            </w:tcBorders>
            <w:vAlign w:val="center"/>
          </w:tcPr>
          <w:p w14:paraId="0708B0F4">
            <w:pPr>
              <w:widowControl/>
              <w:spacing w:line="320" w:lineRule="exact"/>
              <w:jc w:val="center"/>
              <w:textAlignment w:val="center"/>
              <w:rPr>
                <w:kern w:val="0"/>
                <w:szCs w:val="21"/>
                <w:lang w:bidi="ar"/>
              </w:rPr>
            </w:pPr>
            <w:r>
              <w:rPr>
                <w:rFonts w:hint="eastAsia"/>
                <w:kern w:val="0"/>
                <w:szCs w:val="21"/>
                <w:lang w:bidi="ar"/>
              </w:rPr>
              <w:t>0</w:t>
            </w:r>
          </w:p>
        </w:tc>
        <w:tc>
          <w:tcPr>
            <w:tcW w:w="1633" w:type="dxa"/>
            <w:tcBorders>
              <w:tl2br w:val="nil"/>
              <w:tr2bl w:val="nil"/>
            </w:tcBorders>
            <w:vAlign w:val="center"/>
          </w:tcPr>
          <w:p w14:paraId="737924C1">
            <w:pPr>
              <w:widowControl/>
              <w:jc w:val="center"/>
              <w:textAlignment w:val="center"/>
              <w:rPr>
                <w:kern w:val="0"/>
                <w:szCs w:val="21"/>
                <w:lang w:bidi="ar"/>
              </w:rPr>
            </w:pPr>
            <w:r>
              <w:rPr>
                <w:rFonts w:hint="eastAsia" w:ascii="Times New Roman" w:hAnsi="Times New Roman" w:eastAsia="宋体" w:cs="Times New Roman"/>
                <w:szCs w:val="21"/>
              </w:rPr>
              <w:t>0.</w:t>
            </w:r>
            <w:r>
              <w:rPr>
                <w:rFonts w:hint="eastAsia" w:cs="Times New Roman"/>
                <w:szCs w:val="21"/>
                <w:lang w:val="en-US" w:eastAsia="zh-CN"/>
              </w:rPr>
              <w:t>1835</w:t>
            </w:r>
          </w:p>
        </w:tc>
        <w:tc>
          <w:tcPr>
            <w:tcW w:w="1305" w:type="dxa"/>
            <w:tcBorders>
              <w:tl2br w:val="nil"/>
              <w:tr2bl w:val="nil"/>
            </w:tcBorders>
            <w:vAlign w:val="center"/>
          </w:tcPr>
          <w:p w14:paraId="0983EF16">
            <w:pPr>
              <w:widowControl/>
              <w:jc w:val="center"/>
              <w:textAlignment w:val="center"/>
              <w:rPr>
                <w:kern w:val="0"/>
                <w:szCs w:val="21"/>
                <w:lang w:bidi="ar"/>
              </w:rPr>
            </w:pPr>
            <w:r>
              <w:rPr>
                <w:rFonts w:hint="eastAsia" w:ascii="Times New Roman" w:hAnsi="Times New Roman" w:eastAsia="宋体" w:cs="Times New Roman"/>
                <w:szCs w:val="21"/>
              </w:rPr>
              <w:t>0.</w:t>
            </w:r>
            <w:r>
              <w:rPr>
                <w:rFonts w:hint="eastAsia" w:cs="Times New Roman"/>
                <w:szCs w:val="21"/>
                <w:lang w:val="en-US" w:eastAsia="zh-CN"/>
              </w:rPr>
              <w:t>1835</w:t>
            </w:r>
          </w:p>
        </w:tc>
      </w:tr>
      <w:tr w14:paraId="60AC61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 w:type="pct"/>
            <w:vMerge w:val="restart"/>
            <w:tcBorders>
              <w:tl2br w:val="nil"/>
              <w:tr2bl w:val="nil"/>
            </w:tcBorders>
            <w:vAlign w:val="center"/>
          </w:tcPr>
          <w:p w14:paraId="00E3567E">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废水</w:t>
            </w:r>
          </w:p>
        </w:tc>
        <w:tc>
          <w:tcPr>
            <w:tcW w:w="321" w:type="pct"/>
            <w:vMerge w:val="restart"/>
            <w:tcBorders>
              <w:tl2br w:val="nil"/>
              <w:tr2bl w:val="nil"/>
            </w:tcBorders>
            <w:vAlign w:val="center"/>
          </w:tcPr>
          <w:p w14:paraId="2C79E070">
            <w:pPr>
              <w:pStyle w:val="52"/>
              <w:spacing w:beforeLines="0" w:afterLines="0" w:line="240" w:lineRule="auto"/>
              <w:rPr>
                <w:rFonts w:ascii="Times New Roman"/>
                <w:snapToGrid w:val="0"/>
                <w:kern w:val="21"/>
                <w:sz w:val="21"/>
                <w:szCs w:val="21"/>
              </w:rPr>
            </w:pPr>
            <w:r>
              <w:rPr>
                <w:rFonts w:hint="eastAsia" w:ascii="Times New Roman"/>
                <w:snapToGrid w:val="0"/>
                <w:kern w:val="21"/>
                <w:sz w:val="21"/>
                <w:szCs w:val="21"/>
              </w:rPr>
              <w:t>综合</w:t>
            </w:r>
          </w:p>
          <w:p w14:paraId="5AA3F929">
            <w:pPr>
              <w:pStyle w:val="52"/>
              <w:spacing w:beforeLines="0" w:afterLines="0" w:line="240" w:lineRule="auto"/>
              <w:rPr>
                <w:rFonts w:ascii="Times New Roman"/>
                <w:snapToGrid w:val="0"/>
                <w:kern w:val="21"/>
                <w:sz w:val="21"/>
                <w:szCs w:val="21"/>
              </w:rPr>
            </w:pPr>
            <w:r>
              <w:rPr>
                <w:rFonts w:hint="eastAsia" w:ascii="Times New Roman"/>
                <w:snapToGrid w:val="0"/>
                <w:kern w:val="21"/>
                <w:sz w:val="21"/>
                <w:szCs w:val="21"/>
              </w:rPr>
              <w:t>废水</w:t>
            </w:r>
          </w:p>
        </w:tc>
        <w:tc>
          <w:tcPr>
            <w:tcW w:w="569" w:type="pct"/>
            <w:tcBorders>
              <w:tl2br w:val="nil"/>
              <w:tr2bl w:val="nil"/>
            </w:tcBorders>
            <w:vAlign w:val="center"/>
          </w:tcPr>
          <w:p w14:paraId="5F9A8261">
            <w:pPr>
              <w:jc w:val="center"/>
              <w:rPr>
                <w:szCs w:val="21"/>
              </w:rPr>
            </w:pPr>
            <w:r>
              <w:rPr>
                <w:szCs w:val="21"/>
              </w:rPr>
              <w:t>废水量</w:t>
            </w:r>
          </w:p>
        </w:tc>
        <w:tc>
          <w:tcPr>
            <w:tcW w:w="616" w:type="pct"/>
            <w:tcBorders>
              <w:tl2br w:val="nil"/>
              <w:tr2bl w:val="nil"/>
            </w:tcBorders>
            <w:vAlign w:val="center"/>
          </w:tcPr>
          <w:p w14:paraId="4588BBB9">
            <w:pPr>
              <w:widowControl/>
              <w:jc w:val="center"/>
              <w:textAlignment w:val="center"/>
              <w:rPr>
                <w:szCs w:val="21"/>
              </w:rPr>
            </w:pPr>
            <w:r>
              <w:rPr>
                <w:szCs w:val="21"/>
              </w:rPr>
              <w:t>/</w:t>
            </w:r>
          </w:p>
        </w:tc>
        <w:tc>
          <w:tcPr>
            <w:tcW w:w="462" w:type="pct"/>
            <w:tcBorders>
              <w:tl2br w:val="nil"/>
              <w:tr2bl w:val="nil"/>
            </w:tcBorders>
            <w:vAlign w:val="center"/>
          </w:tcPr>
          <w:p w14:paraId="2996850B">
            <w:pPr>
              <w:widowControl/>
              <w:jc w:val="center"/>
              <w:textAlignment w:val="center"/>
              <w:rPr>
                <w:szCs w:val="21"/>
              </w:rPr>
            </w:pPr>
            <w:r>
              <w:rPr>
                <w:szCs w:val="21"/>
              </w:rPr>
              <w:t>/</w:t>
            </w:r>
          </w:p>
        </w:tc>
        <w:tc>
          <w:tcPr>
            <w:tcW w:w="616" w:type="pct"/>
            <w:tcBorders>
              <w:tl2br w:val="nil"/>
              <w:tr2bl w:val="nil"/>
            </w:tcBorders>
            <w:vAlign w:val="center"/>
          </w:tcPr>
          <w:p w14:paraId="0E7AD2DD">
            <w:pPr>
              <w:widowControl/>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18F80FED">
            <w:pPr>
              <w:jc w:val="center"/>
              <w:rPr>
                <w:szCs w:val="21"/>
              </w:rPr>
            </w:pPr>
            <w:r>
              <w:rPr>
                <w:rFonts w:hint="eastAsia"/>
                <w:szCs w:val="21"/>
              </w:rPr>
              <w:t>2040</w:t>
            </w:r>
          </w:p>
        </w:tc>
        <w:tc>
          <w:tcPr>
            <w:tcW w:w="600" w:type="pct"/>
            <w:tcBorders>
              <w:tl2br w:val="nil"/>
              <w:tr2bl w:val="nil"/>
            </w:tcBorders>
            <w:vAlign w:val="center"/>
          </w:tcPr>
          <w:p w14:paraId="7F87ADF1">
            <w:pPr>
              <w:widowControl/>
              <w:jc w:val="center"/>
              <w:textAlignment w:val="center"/>
              <w:rPr>
                <w:kern w:val="0"/>
                <w:szCs w:val="21"/>
                <w:lang w:bidi="ar"/>
              </w:rPr>
            </w:pPr>
            <w:r>
              <w:rPr>
                <w:kern w:val="0"/>
                <w:szCs w:val="21"/>
                <w:lang w:bidi="ar"/>
              </w:rPr>
              <w:t>0</w:t>
            </w:r>
          </w:p>
        </w:tc>
        <w:tc>
          <w:tcPr>
            <w:tcW w:w="582" w:type="pct"/>
            <w:tcBorders>
              <w:tl2br w:val="nil"/>
              <w:tr2bl w:val="nil"/>
            </w:tcBorders>
            <w:vAlign w:val="center"/>
          </w:tcPr>
          <w:p w14:paraId="1328F542">
            <w:pPr>
              <w:jc w:val="center"/>
              <w:rPr>
                <w:szCs w:val="21"/>
              </w:rPr>
            </w:pPr>
            <w:r>
              <w:rPr>
                <w:rFonts w:hint="eastAsia"/>
                <w:szCs w:val="21"/>
              </w:rPr>
              <w:t>2040</w:t>
            </w:r>
          </w:p>
        </w:tc>
        <w:tc>
          <w:tcPr>
            <w:tcW w:w="465" w:type="pct"/>
            <w:tcBorders>
              <w:tl2br w:val="nil"/>
              <w:tr2bl w:val="nil"/>
            </w:tcBorders>
            <w:vAlign w:val="center"/>
          </w:tcPr>
          <w:p w14:paraId="25559E73">
            <w:pPr>
              <w:jc w:val="center"/>
              <w:rPr>
                <w:szCs w:val="21"/>
              </w:rPr>
            </w:pPr>
            <w:r>
              <w:rPr>
                <w:rFonts w:hint="eastAsia"/>
                <w:szCs w:val="21"/>
              </w:rPr>
              <w:t>2040</w:t>
            </w:r>
          </w:p>
        </w:tc>
      </w:tr>
      <w:tr w14:paraId="1AAF8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 w:type="pct"/>
            <w:vMerge w:val="continue"/>
            <w:tcBorders>
              <w:tl2br w:val="nil"/>
              <w:tr2bl w:val="nil"/>
            </w:tcBorders>
            <w:vAlign w:val="center"/>
          </w:tcPr>
          <w:p w14:paraId="5023FB34">
            <w:pPr>
              <w:pStyle w:val="52"/>
              <w:spacing w:beforeLines="0" w:afterLines="0" w:line="240" w:lineRule="auto"/>
              <w:rPr>
                <w:rFonts w:ascii="Times New Roman"/>
                <w:snapToGrid w:val="0"/>
                <w:kern w:val="21"/>
                <w:sz w:val="21"/>
                <w:szCs w:val="21"/>
              </w:rPr>
            </w:pPr>
          </w:p>
        </w:tc>
        <w:tc>
          <w:tcPr>
            <w:tcW w:w="321" w:type="pct"/>
            <w:vMerge w:val="continue"/>
            <w:tcBorders>
              <w:tl2br w:val="nil"/>
              <w:tr2bl w:val="nil"/>
            </w:tcBorders>
            <w:vAlign w:val="center"/>
          </w:tcPr>
          <w:p w14:paraId="0F68E617">
            <w:pPr>
              <w:pStyle w:val="52"/>
              <w:spacing w:beforeLines="0" w:afterLines="0" w:line="240" w:lineRule="auto"/>
              <w:rPr>
                <w:rFonts w:ascii="Times New Roman"/>
                <w:snapToGrid w:val="0"/>
                <w:kern w:val="21"/>
                <w:sz w:val="21"/>
                <w:szCs w:val="21"/>
              </w:rPr>
            </w:pPr>
          </w:p>
        </w:tc>
        <w:tc>
          <w:tcPr>
            <w:tcW w:w="569" w:type="pct"/>
            <w:tcBorders>
              <w:tl2br w:val="nil"/>
              <w:tr2bl w:val="nil"/>
            </w:tcBorders>
            <w:vAlign w:val="center"/>
          </w:tcPr>
          <w:p w14:paraId="464FBEEC">
            <w:pPr>
              <w:jc w:val="center"/>
              <w:rPr>
                <w:szCs w:val="21"/>
              </w:rPr>
            </w:pPr>
            <w:r>
              <w:rPr>
                <w:szCs w:val="21"/>
              </w:rPr>
              <w:t>COD</w:t>
            </w:r>
          </w:p>
        </w:tc>
        <w:tc>
          <w:tcPr>
            <w:tcW w:w="616" w:type="pct"/>
            <w:tcBorders>
              <w:tl2br w:val="nil"/>
              <w:tr2bl w:val="nil"/>
            </w:tcBorders>
            <w:vAlign w:val="center"/>
          </w:tcPr>
          <w:p w14:paraId="7C5C30E8">
            <w:pPr>
              <w:widowControl/>
              <w:jc w:val="center"/>
              <w:textAlignment w:val="center"/>
              <w:rPr>
                <w:szCs w:val="21"/>
              </w:rPr>
            </w:pPr>
            <w:r>
              <w:rPr>
                <w:szCs w:val="21"/>
              </w:rPr>
              <w:t>/</w:t>
            </w:r>
          </w:p>
        </w:tc>
        <w:tc>
          <w:tcPr>
            <w:tcW w:w="462" w:type="pct"/>
            <w:tcBorders>
              <w:tl2br w:val="nil"/>
              <w:tr2bl w:val="nil"/>
            </w:tcBorders>
            <w:vAlign w:val="center"/>
          </w:tcPr>
          <w:p w14:paraId="77CD37ED">
            <w:pPr>
              <w:widowControl/>
              <w:jc w:val="center"/>
              <w:textAlignment w:val="center"/>
              <w:rPr>
                <w:szCs w:val="21"/>
              </w:rPr>
            </w:pPr>
            <w:r>
              <w:rPr>
                <w:szCs w:val="21"/>
              </w:rPr>
              <w:t>/</w:t>
            </w:r>
          </w:p>
        </w:tc>
        <w:tc>
          <w:tcPr>
            <w:tcW w:w="616" w:type="pct"/>
            <w:tcBorders>
              <w:tl2br w:val="nil"/>
              <w:tr2bl w:val="nil"/>
            </w:tcBorders>
            <w:vAlign w:val="center"/>
          </w:tcPr>
          <w:p w14:paraId="16E784D9">
            <w:pPr>
              <w:widowControl/>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4AE03526">
            <w:pPr>
              <w:widowControl/>
              <w:jc w:val="center"/>
              <w:textAlignment w:val="center"/>
              <w:rPr>
                <w:szCs w:val="21"/>
              </w:rPr>
            </w:pPr>
            <w:r>
              <w:rPr>
                <w:kern w:val="0"/>
                <w:szCs w:val="21"/>
                <w:lang w:bidi="ar"/>
              </w:rPr>
              <w:t>0.816</w:t>
            </w:r>
          </w:p>
        </w:tc>
        <w:tc>
          <w:tcPr>
            <w:tcW w:w="600" w:type="pct"/>
            <w:tcBorders>
              <w:tl2br w:val="nil"/>
              <w:tr2bl w:val="nil"/>
            </w:tcBorders>
            <w:vAlign w:val="center"/>
          </w:tcPr>
          <w:p w14:paraId="1663D51D">
            <w:pPr>
              <w:widowControl/>
              <w:jc w:val="center"/>
              <w:textAlignment w:val="center"/>
              <w:rPr>
                <w:kern w:val="0"/>
                <w:szCs w:val="21"/>
                <w:lang w:bidi="ar"/>
              </w:rPr>
            </w:pPr>
            <w:r>
              <w:rPr>
                <w:kern w:val="0"/>
                <w:szCs w:val="21"/>
                <w:lang w:bidi="ar"/>
              </w:rPr>
              <w:t>0</w:t>
            </w:r>
          </w:p>
        </w:tc>
        <w:tc>
          <w:tcPr>
            <w:tcW w:w="582" w:type="pct"/>
            <w:tcBorders>
              <w:tl2br w:val="nil"/>
              <w:tr2bl w:val="nil"/>
            </w:tcBorders>
            <w:vAlign w:val="center"/>
          </w:tcPr>
          <w:p w14:paraId="0EF37901">
            <w:pPr>
              <w:widowControl/>
              <w:jc w:val="center"/>
              <w:textAlignment w:val="center"/>
              <w:rPr>
                <w:szCs w:val="21"/>
              </w:rPr>
            </w:pPr>
            <w:r>
              <w:rPr>
                <w:kern w:val="0"/>
                <w:szCs w:val="21"/>
                <w:lang w:bidi="ar"/>
              </w:rPr>
              <w:t>0.816</w:t>
            </w:r>
          </w:p>
        </w:tc>
        <w:tc>
          <w:tcPr>
            <w:tcW w:w="465" w:type="pct"/>
            <w:tcBorders>
              <w:tl2br w:val="nil"/>
              <w:tr2bl w:val="nil"/>
            </w:tcBorders>
            <w:vAlign w:val="center"/>
          </w:tcPr>
          <w:p w14:paraId="2D75C912">
            <w:pPr>
              <w:widowControl/>
              <w:jc w:val="center"/>
              <w:textAlignment w:val="center"/>
              <w:rPr>
                <w:szCs w:val="21"/>
              </w:rPr>
            </w:pPr>
            <w:r>
              <w:rPr>
                <w:kern w:val="0"/>
                <w:szCs w:val="21"/>
                <w:lang w:bidi="ar"/>
              </w:rPr>
              <w:t>0.816</w:t>
            </w:r>
          </w:p>
        </w:tc>
      </w:tr>
      <w:tr w14:paraId="24B91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 w:type="pct"/>
            <w:vMerge w:val="continue"/>
            <w:tcBorders>
              <w:tl2br w:val="nil"/>
              <w:tr2bl w:val="nil"/>
            </w:tcBorders>
            <w:vAlign w:val="center"/>
          </w:tcPr>
          <w:p w14:paraId="5B43D51A">
            <w:pPr>
              <w:pStyle w:val="52"/>
              <w:spacing w:beforeLines="0" w:afterLines="0" w:line="240" w:lineRule="auto"/>
              <w:rPr>
                <w:rFonts w:ascii="Times New Roman"/>
                <w:snapToGrid w:val="0"/>
                <w:kern w:val="21"/>
                <w:sz w:val="21"/>
                <w:szCs w:val="21"/>
              </w:rPr>
            </w:pPr>
          </w:p>
        </w:tc>
        <w:tc>
          <w:tcPr>
            <w:tcW w:w="321" w:type="pct"/>
            <w:vMerge w:val="continue"/>
            <w:tcBorders>
              <w:tl2br w:val="nil"/>
              <w:tr2bl w:val="nil"/>
            </w:tcBorders>
            <w:vAlign w:val="center"/>
          </w:tcPr>
          <w:p w14:paraId="54531E2F">
            <w:pPr>
              <w:pStyle w:val="52"/>
              <w:spacing w:beforeLines="0" w:afterLines="0" w:line="240" w:lineRule="auto"/>
              <w:rPr>
                <w:rFonts w:ascii="Times New Roman"/>
                <w:snapToGrid w:val="0"/>
                <w:kern w:val="21"/>
                <w:sz w:val="21"/>
                <w:szCs w:val="21"/>
              </w:rPr>
            </w:pPr>
          </w:p>
        </w:tc>
        <w:tc>
          <w:tcPr>
            <w:tcW w:w="569" w:type="pct"/>
            <w:tcBorders>
              <w:tl2br w:val="nil"/>
              <w:tr2bl w:val="nil"/>
            </w:tcBorders>
            <w:vAlign w:val="center"/>
          </w:tcPr>
          <w:p w14:paraId="13B9E5D1">
            <w:pPr>
              <w:jc w:val="center"/>
              <w:rPr>
                <w:szCs w:val="21"/>
              </w:rPr>
            </w:pPr>
            <w:r>
              <w:rPr>
                <w:szCs w:val="21"/>
              </w:rPr>
              <w:t>SS</w:t>
            </w:r>
          </w:p>
        </w:tc>
        <w:tc>
          <w:tcPr>
            <w:tcW w:w="616" w:type="pct"/>
            <w:tcBorders>
              <w:tl2br w:val="nil"/>
              <w:tr2bl w:val="nil"/>
            </w:tcBorders>
            <w:vAlign w:val="center"/>
          </w:tcPr>
          <w:p w14:paraId="5DB23640">
            <w:pPr>
              <w:widowControl/>
              <w:jc w:val="center"/>
              <w:textAlignment w:val="center"/>
              <w:rPr>
                <w:szCs w:val="21"/>
              </w:rPr>
            </w:pPr>
            <w:r>
              <w:rPr>
                <w:szCs w:val="21"/>
              </w:rPr>
              <w:t>/</w:t>
            </w:r>
          </w:p>
        </w:tc>
        <w:tc>
          <w:tcPr>
            <w:tcW w:w="462" w:type="pct"/>
            <w:tcBorders>
              <w:tl2br w:val="nil"/>
              <w:tr2bl w:val="nil"/>
            </w:tcBorders>
            <w:vAlign w:val="center"/>
          </w:tcPr>
          <w:p w14:paraId="18D81F5A">
            <w:pPr>
              <w:widowControl/>
              <w:jc w:val="center"/>
              <w:textAlignment w:val="center"/>
              <w:rPr>
                <w:szCs w:val="21"/>
              </w:rPr>
            </w:pPr>
            <w:r>
              <w:rPr>
                <w:szCs w:val="21"/>
              </w:rPr>
              <w:t>/</w:t>
            </w:r>
          </w:p>
        </w:tc>
        <w:tc>
          <w:tcPr>
            <w:tcW w:w="616" w:type="pct"/>
            <w:tcBorders>
              <w:tl2br w:val="nil"/>
              <w:tr2bl w:val="nil"/>
            </w:tcBorders>
            <w:vAlign w:val="center"/>
          </w:tcPr>
          <w:p w14:paraId="36377AF7">
            <w:pPr>
              <w:widowControl/>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09752336">
            <w:pPr>
              <w:widowControl/>
              <w:jc w:val="center"/>
              <w:textAlignment w:val="center"/>
              <w:rPr>
                <w:szCs w:val="21"/>
              </w:rPr>
            </w:pPr>
            <w:r>
              <w:rPr>
                <w:kern w:val="0"/>
                <w:szCs w:val="21"/>
                <w:lang w:bidi="ar"/>
              </w:rPr>
              <w:t>0.612</w:t>
            </w:r>
          </w:p>
        </w:tc>
        <w:tc>
          <w:tcPr>
            <w:tcW w:w="600" w:type="pct"/>
            <w:tcBorders>
              <w:tl2br w:val="nil"/>
              <w:tr2bl w:val="nil"/>
            </w:tcBorders>
            <w:vAlign w:val="center"/>
          </w:tcPr>
          <w:p w14:paraId="6DD47B0C">
            <w:pPr>
              <w:widowControl/>
              <w:jc w:val="center"/>
              <w:textAlignment w:val="center"/>
              <w:rPr>
                <w:kern w:val="0"/>
                <w:szCs w:val="21"/>
                <w:lang w:bidi="ar"/>
              </w:rPr>
            </w:pPr>
            <w:r>
              <w:rPr>
                <w:kern w:val="0"/>
                <w:szCs w:val="21"/>
                <w:lang w:bidi="ar"/>
              </w:rPr>
              <w:t>0</w:t>
            </w:r>
          </w:p>
        </w:tc>
        <w:tc>
          <w:tcPr>
            <w:tcW w:w="582" w:type="pct"/>
            <w:tcBorders>
              <w:tl2br w:val="nil"/>
              <w:tr2bl w:val="nil"/>
            </w:tcBorders>
            <w:vAlign w:val="center"/>
          </w:tcPr>
          <w:p w14:paraId="0B81708D">
            <w:pPr>
              <w:widowControl/>
              <w:jc w:val="center"/>
              <w:textAlignment w:val="center"/>
              <w:rPr>
                <w:szCs w:val="21"/>
              </w:rPr>
            </w:pPr>
            <w:r>
              <w:rPr>
                <w:kern w:val="0"/>
                <w:szCs w:val="21"/>
                <w:lang w:bidi="ar"/>
              </w:rPr>
              <w:t>0.612</w:t>
            </w:r>
          </w:p>
        </w:tc>
        <w:tc>
          <w:tcPr>
            <w:tcW w:w="465" w:type="pct"/>
            <w:tcBorders>
              <w:tl2br w:val="nil"/>
              <w:tr2bl w:val="nil"/>
            </w:tcBorders>
            <w:vAlign w:val="center"/>
          </w:tcPr>
          <w:p w14:paraId="7FC787FE">
            <w:pPr>
              <w:widowControl/>
              <w:jc w:val="center"/>
              <w:textAlignment w:val="center"/>
              <w:rPr>
                <w:szCs w:val="21"/>
              </w:rPr>
            </w:pPr>
            <w:r>
              <w:rPr>
                <w:kern w:val="0"/>
                <w:szCs w:val="21"/>
                <w:lang w:bidi="ar"/>
              </w:rPr>
              <w:t>0.612</w:t>
            </w:r>
          </w:p>
        </w:tc>
      </w:tr>
      <w:tr w14:paraId="299C9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 w:type="pct"/>
            <w:vMerge w:val="continue"/>
            <w:tcBorders>
              <w:tl2br w:val="nil"/>
              <w:tr2bl w:val="nil"/>
            </w:tcBorders>
            <w:vAlign w:val="center"/>
          </w:tcPr>
          <w:p w14:paraId="6B1B17C1">
            <w:pPr>
              <w:pStyle w:val="52"/>
              <w:spacing w:beforeLines="0" w:afterLines="0" w:line="240" w:lineRule="auto"/>
              <w:rPr>
                <w:rFonts w:ascii="Times New Roman"/>
                <w:snapToGrid w:val="0"/>
                <w:kern w:val="21"/>
                <w:sz w:val="21"/>
                <w:szCs w:val="21"/>
              </w:rPr>
            </w:pPr>
          </w:p>
        </w:tc>
        <w:tc>
          <w:tcPr>
            <w:tcW w:w="321" w:type="pct"/>
            <w:vMerge w:val="continue"/>
            <w:tcBorders>
              <w:tl2br w:val="nil"/>
              <w:tr2bl w:val="nil"/>
            </w:tcBorders>
            <w:vAlign w:val="center"/>
          </w:tcPr>
          <w:p w14:paraId="096B33C3">
            <w:pPr>
              <w:pStyle w:val="52"/>
              <w:spacing w:beforeLines="0" w:afterLines="0" w:line="240" w:lineRule="auto"/>
              <w:rPr>
                <w:rFonts w:ascii="Times New Roman"/>
                <w:snapToGrid w:val="0"/>
                <w:kern w:val="21"/>
                <w:sz w:val="21"/>
                <w:szCs w:val="21"/>
              </w:rPr>
            </w:pPr>
          </w:p>
        </w:tc>
        <w:tc>
          <w:tcPr>
            <w:tcW w:w="569" w:type="pct"/>
            <w:tcBorders>
              <w:tl2br w:val="nil"/>
              <w:tr2bl w:val="nil"/>
            </w:tcBorders>
            <w:vAlign w:val="center"/>
          </w:tcPr>
          <w:p w14:paraId="70AD8200">
            <w:pPr>
              <w:jc w:val="center"/>
              <w:rPr>
                <w:szCs w:val="21"/>
              </w:rPr>
            </w:pPr>
            <w:r>
              <w:rPr>
                <w:kern w:val="0"/>
                <w:szCs w:val="21"/>
              </w:rPr>
              <w:t>NH</w:t>
            </w:r>
            <w:r>
              <w:rPr>
                <w:kern w:val="0"/>
                <w:szCs w:val="21"/>
                <w:vertAlign w:val="subscript"/>
              </w:rPr>
              <w:t>3</w:t>
            </w:r>
            <w:r>
              <w:rPr>
                <w:kern w:val="0"/>
                <w:szCs w:val="21"/>
              </w:rPr>
              <w:t>-N</w:t>
            </w:r>
          </w:p>
        </w:tc>
        <w:tc>
          <w:tcPr>
            <w:tcW w:w="616" w:type="pct"/>
            <w:tcBorders>
              <w:tl2br w:val="nil"/>
              <w:tr2bl w:val="nil"/>
            </w:tcBorders>
            <w:vAlign w:val="center"/>
          </w:tcPr>
          <w:p w14:paraId="4B6122C0">
            <w:pPr>
              <w:widowControl/>
              <w:jc w:val="center"/>
              <w:textAlignment w:val="center"/>
              <w:rPr>
                <w:szCs w:val="21"/>
              </w:rPr>
            </w:pPr>
            <w:r>
              <w:rPr>
                <w:szCs w:val="21"/>
              </w:rPr>
              <w:t>/</w:t>
            </w:r>
          </w:p>
        </w:tc>
        <w:tc>
          <w:tcPr>
            <w:tcW w:w="462" w:type="pct"/>
            <w:tcBorders>
              <w:tl2br w:val="nil"/>
              <w:tr2bl w:val="nil"/>
            </w:tcBorders>
            <w:vAlign w:val="center"/>
          </w:tcPr>
          <w:p w14:paraId="687EF730">
            <w:pPr>
              <w:widowControl/>
              <w:jc w:val="center"/>
              <w:textAlignment w:val="center"/>
              <w:rPr>
                <w:szCs w:val="21"/>
              </w:rPr>
            </w:pPr>
            <w:r>
              <w:rPr>
                <w:szCs w:val="21"/>
              </w:rPr>
              <w:t>/</w:t>
            </w:r>
          </w:p>
        </w:tc>
        <w:tc>
          <w:tcPr>
            <w:tcW w:w="616" w:type="pct"/>
            <w:tcBorders>
              <w:tl2br w:val="nil"/>
              <w:tr2bl w:val="nil"/>
            </w:tcBorders>
            <w:vAlign w:val="center"/>
          </w:tcPr>
          <w:p w14:paraId="69DDEBAA">
            <w:pPr>
              <w:widowControl/>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01A6C2EF">
            <w:pPr>
              <w:widowControl/>
              <w:jc w:val="center"/>
              <w:textAlignment w:val="center"/>
              <w:rPr>
                <w:szCs w:val="21"/>
              </w:rPr>
            </w:pPr>
            <w:r>
              <w:rPr>
                <w:kern w:val="0"/>
                <w:szCs w:val="21"/>
                <w:lang w:bidi="ar"/>
              </w:rPr>
              <w:t>0.0816</w:t>
            </w:r>
          </w:p>
        </w:tc>
        <w:tc>
          <w:tcPr>
            <w:tcW w:w="600" w:type="pct"/>
            <w:tcBorders>
              <w:tl2br w:val="nil"/>
              <w:tr2bl w:val="nil"/>
            </w:tcBorders>
            <w:vAlign w:val="center"/>
          </w:tcPr>
          <w:p w14:paraId="75910D0F">
            <w:pPr>
              <w:widowControl/>
              <w:jc w:val="center"/>
              <w:textAlignment w:val="center"/>
              <w:rPr>
                <w:kern w:val="0"/>
                <w:szCs w:val="21"/>
                <w:lang w:bidi="ar"/>
              </w:rPr>
            </w:pPr>
            <w:r>
              <w:rPr>
                <w:kern w:val="0"/>
                <w:szCs w:val="21"/>
                <w:lang w:bidi="ar"/>
              </w:rPr>
              <w:t>0</w:t>
            </w:r>
          </w:p>
        </w:tc>
        <w:tc>
          <w:tcPr>
            <w:tcW w:w="582" w:type="pct"/>
            <w:tcBorders>
              <w:tl2br w:val="nil"/>
              <w:tr2bl w:val="nil"/>
            </w:tcBorders>
            <w:vAlign w:val="center"/>
          </w:tcPr>
          <w:p w14:paraId="58AEE82B">
            <w:pPr>
              <w:widowControl/>
              <w:jc w:val="center"/>
              <w:textAlignment w:val="center"/>
              <w:rPr>
                <w:szCs w:val="21"/>
              </w:rPr>
            </w:pPr>
            <w:r>
              <w:rPr>
                <w:kern w:val="0"/>
                <w:szCs w:val="21"/>
                <w:lang w:bidi="ar"/>
              </w:rPr>
              <w:t>0.0816</w:t>
            </w:r>
          </w:p>
        </w:tc>
        <w:tc>
          <w:tcPr>
            <w:tcW w:w="465" w:type="pct"/>
            <w:tcBorders>
              <w:tl2br w:val="nil"/>
              <w:tr2bl w:val="nil"/>
            </w:tcBorders>
            <w:vAlign w:val="center"/>
          </w:tcPr>
          <w:p w14:paraId="490D9868">
            <w:pPr>
              <w:widowControl/>
              <w:jc w:val="center"/>
              <w:textAlignment w:val="center"/>
              <w:rPr>
                <w:szCs w:val="21"/>
              </w:rPr>
            </w:pPr>
            <w:r>
              <w:rPr>
                <w:kern w:val="0"/>
                <w:szCs w:val="21"/>
                <w:lang w:bidi="ar"/>
              </w:rPr>
              <w:t>0.0816</w:t>
            </w:r>
          </w:p>
        </w:tc>
      </w:tr>
      <w:tr w14:paraId="38D84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 w:type="pct"/>
            <w:vMerge w:val="continue"/>
            <w:tcBorders>
              <w:tl2br w:val="nil"/>
              <w:tr2bl w:val="nil"/>
            </w:tcBorders>
            <w:vAlign w:val="center"/>
          </w:tcPr>
          <w:p w14:paraId="788CBF4E">
            <w:pPr>
              <w:pStyle w:val="52"/>
              <w:spacing w:beforeLines="0" w:afterLines="0" w:line="240" w:lineRule="auto"/>
              <w:rPr>
                <w:rFonts w:ascii="Times New Roman"/>
                <w:snapToGrid w:val="0"/>
                <w:kern w:val="21"/>
                <w:sz w:val="21"/>
                <w:szCs w:val="21"/>
              </w:rPr>
            </w:pPr>
          </w:p>
        </w:tc>
        <w:tc>
          <w:tcPr>
            <w:tcW w:w="321" w:type="pct"/>
            <w:vMerge w:val="continue"/>
            <w:tcBorders>
              <w:tl2br w:val="nil"/>
              <w:tr2bl w:val="nil"/>
            </w:tcBorders>
            <w:vAlign w:val="center"/>
          </w:tcPr>
          <w:p w14:paraId="4A93FA49">
            <w:pPr>
              <w:pStyle w:val="52"/>
              <w:spacing w:beforeLines="0" w:afterLines="0" w:line="240" w:lineRule="auto"/>
              <w:rPr>
                <w:rFonts w:ascii="Times New Roman"/>
                <w:snapToGrid w:val="0"/>
                <w:kern w:val="21"/>
                <w:sz w:val="21"/>
                <w:szCs w:val="21"/>
              </w:rPr>
            </w:pPr>
          </w:p>
        </w:tc>
        <w:tc>
          <w:tcPr>
            <w:tcW w:w="569" w:type="pct"/>
            <w:tcBorders>
              <w:tl2br w:val="nil"/>
              <w:tr2bl w:val="nil"/>
            </w:tcBorders>
            <w:vAlign w:val="center"/>
          </w:tcPr>
          <w:p w14:paraId="29F5B28A">
            <w:pPr>
              <w:jc w:val="center"/>
              <w:rPr>
                <w:szCs w:val="21"/>
              </w:rPr>
            </w:pPr>
            <w:r>
              <w:rPr>
                <w:szCs w:val="21"/>
              </w:rPr>
              <w:t>TP</w:t>
            </w:r>
          </w:p>
        </w:tc>
        <w:tc>
          <w:tcPr>
            <w:tcW w:w="616" w:type="pct"/>
            <w:tcBorders>
              <w:tl2br w:val="nil"/>
              <w:tr2bl w:val="nil"/>
            </w:tcBorders>
            <w:vAlign w:val="center"/>
          </w:tcPr>
          <w:p w14:paraId="51CF20D0">
            <w:pPr>
              <w:widowControl/>
              <w:jc w:val="center"/>
              <w:textAlignment w:val="center"/>
              <w:rPr>
                <w:szCs w:val="21"/>
              </w:rPr>
            </w:pPr>
            <w:r>
              <w:rPr>
                <w:szCs w:val="21"/>
              </w:rPr>
              <w:t>/</w:t>
            </w:r>
          </w:p>
        </w:tc>
        <w:tc>
          <w:tcPr>
            <w:tcW w:w="462" w:type="pct"/>
            <w:tcBorders>
              <w:tl2br w:val="nil"/>
              <w:tr2bl w:val="nil"/>
            </w:tcBorders>
            <w:vAlign w:val="center"/>
          </w:tcPr>
          <w:p w14:paraId="122AACBF">
            <w:pPr>
              <w:widowControl/>
              <w:jc w:val="center"/>
              <w:textAlignment w:val="center"/>
              <w:rPr>
                <w:szCs w:val="21"/>
              </w:rPr>
            </w:pPr>
            <w:r>
              <w:rPr>
                <w:szCs w:val="21"/>
              </w:rPr>
              <w:t>/</w:t>
            </w:r>
          </w:p>
        </w:tc>
        <w:tc>
          <w:tcPr>
            <w:tcW w:w="616" w:type="pct"/>
            <w:tcBorders>
              <w:tl2br w:val="nil"/>
              <w:tr2bl w:val="nil"/>
            </w:tcBorders>
            <w:vAlign w:val="center"/>
          </w:tcPr>
          <w:p w14:paraId="0A31E56B">
            <w:pPr>
              <w:widowControl/>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373AFF08">
            <w:pPr>
              <w:widowControl/>
              <w:jc w:val="center"/>
              <w:textAlignment w:val="center"/>
              <w:rPr>
                <w:szCs w:val="21"/>
              </w:rPr>
            </w:pPr>
            <w:r>
              <w:rPr>
                <w:kern w:val="0"/>
                <w:szCs w:val="21"/>
                <w:lang w:bidi="ar"/>
              </w:rPr>
              <w:t>0.0102</w:t>
            </w:r>
          </w:p>
        </w:tc>
        <w:tc>
          <w:tcPr>
            <w:tcW w:w="600" w:type="pct"/>
            <w:tcBorders>
              <w:tl2br w:val="nil"/>
              <w:tr2bl w:val="nil"/>
            </w:tcBorders>
            <w:vAlign w:val="center"/>
          </w:tcPr>
          <w:p w14:paraId="6D56A27B">
            <w:pPr>
              <w:widowControl/>
              <w:jc w:val="center"/>
              <w:textAlignment w:val="center"/>
              <w:rPr>
                <w:kern w:val="0"/>
                <w:szCs w:val="21"/>
                <w:lang w:bidi="ar"/>
              </w:rPr>
            </w:pPr>
            <w:r>
              <w:rPr>
                <w:kern w:val="0"/>
                <w:szCs w:val="21"/>
                <w:lang w:bidi="ar"/>
              </w:rPr>
              <w:t>0</w:t>
            </w:r>
          </w:p>
        </w:tc>
        <w:tc>
          <w:tcPr>
            <w:tcW w:w="582" w:type="pct"/>
            <w:tcBorders>
              <w:tl2br w:val="nil"/>
              <w:tr2bl w:val="nil"/>
            </w:tcBorders>
            <w:vAlign w:val="center"/>
          </w:tcPr>
          <w:p w14:paraId="2FA43AF3">
            <w:pPr>
              <w:widowControl/>
              <w:jc w:val="center"/>
              <w:textAlignment w:val="center"/>
              <w:rPr>
                <w:szCs w:val="21"/>
              </w:rPr>
            </w:pPr>
            <w:r>
              <w:rPr>
                <w:kern w:val="0"/>
                <w:szCs w:val="21"/>
                <w:lang w:bidi="ar"/>
              </w:rPr>
              <w:t>0.0102</w:t>
            </w:r>
          </w:p>
        </w:tc>
        <w:tc>
          <w:tcPr>
            <w:tcW w:w="465" w:type="pct"/>
            <w:tcBorders>
              <w:tl2br w:val="nil"/>
              <w:tr2bl w:val="nil"/>
            </w:tcBorders>
            <w:vAlign w:val="center"/>
          </w:tcPr>
          <w:p w14:paraId="4A765644">
            <w:pPr>
              <w:widowControl/>
              <w:jc w:val="center"/>
              <w:textAlignment w:val="center"/>
              <w:rPr>
                <w:szCs w:val="21"/>
              </w:rPr>
            </w:pPr>
            <w:r>
              <w:rPr>
                <w:kern w:val="0"/>
                <w:szCs w:val="21"/>
                <w:lang w:bidi="ar"/>
              </w:rPr>
              <w:t>0.0102</w:t>
            </w:r>
          </w:p>
        </w:tc>
      </w:tr>
      <w:tr w14:paraId="4FE64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 w:type="pct"/>
            <w:vMerge w:val="continue"/>
            <w:tcBorders>
              <w:tl2br w:val="nil"/>
              <w:tr2bl w:val="nil"/>
            </w:tcBorders>
            <w:vAlign w:val="center"/>
          </w:tcPr>
          <w:p w14:paraId="5D412435">
            <w:pPr>
              <w:pStyle w:val="52"/>
              <w:spacing w:beforeLines="0" w:afterLines="0" w:line="240" w:lineRule="auto"/>
              <w:rPr>
                <w:rFonts w:ascii="Times New Roman"/>
                <w:snapToGrid w:val="0"/>
                <w:kern w:val="21"/>
                <w:sz w:val="21"/>
                <w:szCs w:val="21"/>
              </w:rPr>
            </w:pPr>
          </w:p>
        </w:tc>
        <w:tc>
          <w:tcPr>
            <w:tcW w:w="321" w:type="pct"/>
            <w:vMerge w:val="continue"/>
            <w:tcBorders>
              <w:tl2br w:val="nil"/>
              <w:tr2bl w:val="nil"/>
            </w:tcBorders>
            <w:vAlign w:val="center"/>
          </w:tcPr>
          <w:p w14:paraId="2716FA98">
            <w:pPr>
              <w:pStyle w:val="52"/>
              <w:spacing w:beforeLines="0" w:afterLines="0" w:line="240" w:lineRule="auto"/>
              <w:rPr>
                <w:rFonts w:ascii="Times New Roman"/>
                <w:snapToGrid w:val="0"/>
                <w:kern w:val="21"/>
                <w:sz w:val="21"/>
                <w:szCs w:val="21"/>
              </w:rPr>
            </w:pPr>
          </w:p>
        </w:tc>
        <w:tc>
          <w:tcPr>
            <w:tcW w:w="569" w:type="pct"/>
            <w:tcBorders>
              <w:tl2br w:val="nil"/>
              <w:tr2bl w:val="nil"/>
            </w:tcBorders>
            <w:vAlign w:val="center"/>
          </w:tcPr>
          <w:p w14:paraId="37985DEE">
            <w:pPr>
              <w:pStyle w:val="52"/>
              <w:spacing w:beforeLines="0" w:afterLines="0" w:line="240" w:lineRule="auto"/>
              <w:rPr>
                <w:rFonts w:ascii="Times New Roman"/>
                <w:snapToGrid w:val="0"/>
                <w:kern w:val="21"/>
                <w:sz w:val="21"/>
                <w:szCs w:val="21"/>
              </w:rPr>
            </w:pPr>
            <w:r>
              <w:rPr>
                <w:rFonts w:hint="eastAsia" w:ascii="Times New Roman"/>
                <w:snapToGrid w:val="0"/>
                <w:kern w:val="21"/>
                <w:sz w:val="21"/>
                <w:szCs w:val="21"/>
              </w:rPr>
              <w:t>TN</w:t>
            </w:r>
          </w:p>
        </w:tc>
        <w:tc>
          <w:tcPr>
            <w:tcW w:w="616" w:type="pct"/>
            <w:tcBorders>
              <w:tl2br w:val="nil"/>
              <w:tr2bl w:val="nil"/>
            </w:tcBorders>
            <w:vAlign w:val="center"/>
          </w:tcPr>
          <w:p w14:paraId="6B583C97">
            <w:pPr>
              <w:widowControl/>
              <w:jc w:val="center"/>
              <w:textAlignment w:val="center"/>
              <w:rPr>
                <w:szCs w:val="21"/>
              </w:rPr>
            </w:pPr>
            <w:r>
              <w:rPr>
                <w:szCs w:val="21"/>
              </w:rPr>
              <w:t>/</w:t>
            </w:r>
          </w:p>
        </w:tc>
        <w:tc>
          <w:tcPr>
            <w:tcW w:w="462" w:type="pct"/>
            <w:tcBorders>
              <w:tl2br w:val="nil"/>
              <w:tr2bl w:val="nil"/>
            </w:tcBorders>
            <w:vAlign w:val="center"/>
          </w:tcPr>
          <w:p w14:paraId="3319517C">
            <w:pPr>
              <w:widowControl/>
              <w:jc w:val="center"/>
              <w:textAlignment w:val="center"/>
              <w:rPr>
                <w:szCs w:val="21"/>
              </w:rPr>
            </w:pPr>
            <w:r>
              <w:rPr>
                <w:szCs w:val="21"/>
              </w:rPr>
              <w:t>/</w:t>
            </w:r>
          </w:p>
        </w:tc>
        <w:tc>
          <w:tcPr>
            <w:tcW w:w="616" w:type="pct"/>
            <w:tcBorders>
              <w:tl2br w:val="nil"/>
              <w:tr2bl w:val="nil"/>
            </w:tcBorders>
            <w:vAlign w:val="center"/>
          </w:tcPr>
          <w:p w14:paraId="6D57D9C9">
            <w:pPr>
              <w:widowControl/>
              <w:jc w:val="center"/>
              <w:textAlignment w:val="center"/>
              <w:rPr>
                <w:kern w:val="0"/>
                <w:szCs w:val="21"/>
                <w:lang w:bidi="ar"/>
              </w:rPr>
            </w:pPr>
            <w:r>
              <w:rPr>
                <w:rFonts w:hint="eastAsia"/>
                <w:kern w:val="0"/>
                <w:szCs w:val="21"/>
                <w:lang w:bidi="ar"/>
              </w:rPr>
              <w:t>0</w:t>
            </w:r>
          </w:p>
        </w:tc>
        <w:tc>
          <w:tcPr>
            <w:tcW w:w="565" w:type="pct"/>
            <w:tcBorders>
              <w:tl2br w:val="nil"/>
              <w:tr2bl w:val="nil"/>
            </w:tcBorders>
            <w:vAlign w:val="center"/>
          </w:tcPr>
          <w:p w14:paraId="5E4AE8C2">
            <w:pPr>
              <w:widowControl/>
              <w:jc w:val="center"/>
              <w:textAlignment w:val="center"/>
              <w:rPr>
                <w:szCs w:val="21"/>
              </w:rPr>
            </w:pPr>
            <w:r>
              <w:rPr>
                <w:kern w:val="0"/>
                <w:szCs w:val="21"/>
                <w:lang w:bidi="ar"/>
              </w:rPr>
              <w:t>0.102</w:t>
            </w:r>
          </w:p>
        </w:tc>
        <w:tc>
          <w:tcPr>
            <w:tcW w:w="600" w:type="pct"/>
            <w:tcBorders>
              <w:tl2br w:val="nil"/>
              <w:tr2bl w:val="nil"/>
            </w:tcBorders>
            <w:vAlign w:val="center"/>
          </w:tcPr>
          <w:p w14:paraId="7AD03450">
            <w:pPr>
              <w:widowControl/>
              <w:jc w:val="center"/>
              <w:textAlignment w:val="center"/>
              <w:rPr>
                <w:kern w:val="0"/>
                <w:szCs w:val="21"/>
                <w:lang w:bidi="ar"/>
              </w:rPr>
            </w:pPr>
            <w:r>
              <w:rPr>
                <w:rFonts w:hint="eastAsia"/>
                <w:kern w:val="0"/>
                <w:szCs w:val="21"/>
                <w:lang w:bidi="ar"/>
              </w:rPr>
              <w:t>0</w:t>
            </w:r>
          </w:p>
        </w:tc>
        <w:tc>
          <w:tcPr>
            <w:tcW w:w="582" w:type="pct"/>
            <w:tcBorders>
              <w:tl2br w:val="nil"/>
              <w:tr2bl w:val="nil"/>
            </w:tcBorders>
            <w:vAlign w:val="center"/>
          </w:tcPr>
          <w:p w14:paraId="2073D91A">
            <w:pPr>
              <w:widowControl/>
              <w:jc w:val="center"/>
              <w:textAlignment w:val="center"/>
              <w:rPr>
                <w:szCs w:val="21"/>
              </w:rPr>
            </w:pPr>
            <w:r>
              <w:rPr>
                <w:kern w:val="0"/>
                <w:szCs w:val="21"/>
                <w:lang w:bidi="ar"/>
              </w:rPr>
              <w:t>0.102</w:t>
            </w:r>
          </w:p>
        </w:tc>
        <w:tc>
          <w:tcPr>
            <w:tcW w:w="465" w:type="pct"/>
            <w:tcBorders>
              <w:tl2br w:val="nil"/>
              <w:tr2bl w:val="nil"/>
            </w:tcBorders>
            <w:vAlign w:val="center"/>
          </w:tcPr>
          <w:p w14:paraId="175C6DA0">
            <w:pPr>
              <w:widowControl/>
              <w:jc w:val="center"/>
              <w:textAlignment w:val="center"/>
              <w:rPr>
                <w:szCs w:val="21"/>
              </w:rPr>
            </w:pPr>
            <w:r>
              <w:rPr>
                <w:kern w:val="0"/>
                <w:szCs w:val="21"/>
                <w:lang w:bidi="ar"/>
              </w:rPr>
              <w:t>0.102</w:t>
            </w:r>
          </w:p>
        </w:tc>
      </w:tr>
      <w:tr w14:paraId="707F6E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9" w:type="pct"/>
            <w:gridSpan w:val="2"/>
            <w:vMerge w:val="restart"/>
            <w:tcBorders>
              <w:tl2br w:val="nil"/>
              <w:tr2bl w:val="nil"/>
            </w:tcBorders>
            <w:vAlign w:val="center"/>
          </w:tcPr>
          <w:p w14:paraId="50886F9B">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一般工业</w:t>
            </w:r>
          </w:p>
          <w:p w14:paraId="1D2E8067">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固体废物</w:t>
            </w:r>
          </w:p>
        </w:tc>
        <w:tc>
          <w:tcPr>
            <w:tcW w:w="569" w:type="pct"/>
            <w:tcBorders>
              <w:tl2br w:val="nil"/>
              <w:tr2bl w:val="nil"/>
            </w:tcBorders>
            <w:vAlign w:val="center"/>
          </w:tcPr>
          <w:p w14:paraId="1C00A2E5">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生活垃圾</w:t>
            </w:r>
          </w:p>
        </w:tc>
        <w:tc>
          <w:tcPr>
            <w:tcW w:w="616" w:type="pct"/>
            <w:tcBorders>
              <w:tl2br w:val="nil"/>
              <w:tr2bl w:val="nil"/>
            </w:tcBorders>
            <w:vAlign w:val="center"/>
          </w:tcPr>
          <w:p w14:paraId="5F75FCDD">
            <w:pPr>
              <w:widowControl/>
              <w:jc w:val="center"/>
              <w:textAlignment w:val="center"/>
              <w:rPr>
                <w:szCs w:val="21"/>
              </w:rPr>
            </w:pPr>
            <w:r>
              <w:rPr>
                <w:szCs w:val="21"/>
              </w:rPr>
              <w:t>/</w:t>
            </w:r>
          </w:p>
        </w:tc>
        <w:tc>
          <w:tcPr>
            <w:tcW w:w="462" w:type="pct"/>
            <w:tcBorders>
              <w:tl2br w:val="nil"/>
              <w:tr2bl w:val="nil"/>
            </w:tcBorders>
            <w:vAlign w:val="center"/>
          </w:tcPr>
          <w:p w14:paraId="4C7283AD">
            <w:pPr>
              <w:widowControl/>
              <w:jc w:val="center"/>
              <w:textAlignment w:val="center"/>
              <w:rPr>
                <w:szCs w:val="21"/>
              </w:rPr>
            </w:pPr>
            <w:r>
              <w:rPr>
                <w:szCs w:val="21"/>
              </w:rPr>
              <w:t>/</w:t>
            </w:r>
          </w:p>
        </w:tc>
        <w:tc>
          <w:tcPr>
            <w:tcW w:w="616" w:type="pct"/>
            <w:tcBorders>
              <w:tl2br w:val="nil"/>
              <w:tr2bl w:val="nil"/>
            </w:tcBorders>
            <w:vAlign w:val="center"/>
          </w:tcPr>
          <w:p w14:paraId="60325212">
            <w:pPr>
              <w:widowControl/>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05836EA9">
            <w:pPr>
              <w:widowControl/>
              <w:jc w:val="center"/>
              <w:textAlignment w:val="center"/>
              <w:rPr>
                <w:szCs w:val="21"/>
              </w:rPr>
            </w:pPr>
            <w:r>
              <w:rPr>
                <w:rFonts w:hint="eastAsia"/>
                <w:szCs w:val="21"/>
              </w:rPr>
              <w:t>15</w:t>
            </w:r>
          </w:p>
        </w:tc>
        <w:tc>
          <w:tcPr>
            <w:tcW w:w="600" w:type="pct"/>
            <w:tcBorders>
              <w:tl2br w:val="nil"/>
              <w:tr2bl w:val="nil"/>
            </w:tcBorders>
            <w:vAlign w:val="center"/>
          </w:tcPr>
          <w:p w14:paraId="1E38EF03">
            <w:pPr>
              <w:widowControl/>
              <w:jc w:val="center"/>
              <w:textAlignment w:val="center"/>
              <w:rPr>
                <w:kern w:val="0"/>
                <w:szCs w:val="21"/>
                <w:lang w:bidi="ar"/>
              </w:rPr>
            </w:pPr>
            <w:r>
              <w:rPr>
                <w:kern w:val="0"/>
                <w:szCs w:val="21"/>
                <w:lang w:bidi="ar"/>
              </w:rPr>
              <w:t>0</w:t>
            </w:r>
          </w:p>
        </w:tc>
        <w:tc>
          <w:tcPr>
            <w:tcW w:w="582" w:type="pct"/>
            <w:tcBorders>
              <w:tl2br w:val="nil"/>
              <w:tr2bl w:val="nil"/>
            </w:tcBorders>
            <w:vAlign w:val="center"/>
          </w:tcPr>
          <w:p w14:paraId="0936009D">
            <w:pPr>
              <w:widowControl/>
              <w:jc w:val="center"/>
              <w:textAlignment w:val="center"/>
              <w:rPr>
                <w:szCs w:val="21"/>
              </w:rPr>
            </w:pPr>
            <w:r>
              <w:rPr>
                <w:rFonts w:hint="eastAsia"/>
                <w:szCs w:val="21"/>
              </w:rPr>
              <w:t>15</w:t>
            </w:r>
          </w:p>
        </w:tc>
        <w:tc>
          <w:tcPr>
            <w:tcW w:w="465" w:type="pct"/>
            <w:tcBorders>
              <w:tl2br w:val="nil"/>
              <w:tr2bl w:val="nil"/>
            </w:tcBorders>
            <w:vAlign w:val="center"/>
          </w:tcPr>
          <w:p w14:paraId="77C23530">
            <w:pPr>
              <w:widowControl/>
              <w:jc w:val="center"/>
              <w:textAlignment w:val="center"/>
              <w:rPr>
                <w:szCs w:val="21"/>
              </w:rPr>
            </w:pPr>
            <w:r>
              <w:rPr>
                <w:rFonts w:hint="eastAsia"/>
                <w:szCs w:val="21"/>
              </w:rPr>
              <w:t>15</w:t>
            </w:r>
          </w:p>
        </w:tc>
      </w:tr>
      <w:tr w14:paraId="397E7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9" w:type="pct"/>
            <w:gridSpan w:val="2"/>
            <w:vMerge w:val="continue"/>
            <w:tcBorders>
              <w:tl2br w:val="nil"/>
              <w:tr2bl w:val="nil"/>
            </w:tcBorders>
            <w:vAlign w:val="center"/>
          </w:tcPr>
          <w:p w14:paraId="63BCD691">
            <w:pPr>
              <w:pStyle w:val="52"/>
              <w:spacing w:beforeLines="0" w:afterLines="0" w:line="240" w:lineRule="auto"/>
              <w:rPr>
                <w:rFonts w:ascii="Times New Roman"/>
                <w:snapToGrid w:val="0"/>
                <w:kern w:val="21"/>
                <w:sz w:val="21"/>
                <w:szCs w:val="21"/>
              </w:rPr>
            </w:pPr>
          </w:p>
        </w:tc>
        <w:tc>
          <w:tcPr>
            <w:tcW w:w="569" w:type="pct"/>
            <w:tcBorders>
              <w:tl2br w:val="nil"/>
              <w:tr2bl w:val="nil"/>
            </w:tcBorders>
            <w:vAlign w:val="center"/>
          </w:tcPr>
          <w:p w14:paraId="5E8059B5">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一般固废</w:t>
            </w:r>
          </w:p>
        </w:tc>
        <w:tc>
          <w:tcPr>
            <w:tcW w:w="616" w:type="pct"/>
            <w:tcBorders>
              <w:tl2br w:val="nil"/>
              <w:tr2bl w:val="nil"/>
            </w:tcBorders>
            <w:vAlign w:val="center"/>
          </w:tcPr>
          <w:p w14:paraId="7CFE5735">
            <w:pPr>
              <w:widowControl/>
              <w:jc w:val="center"/>
              <w:textAlignment w:val="center"/>
              <w:rPr>
                <w:szCs w:val="21"/>
              </w:rPr>
            </w:pPr>
            <w:r>
              <w:rPr>
                <w:szCs w:val="21"/>
              </w:rPr>
              <w:t>/</w:t>
            </w:r>
          </w:p>
        </w:tc>
        <w:tc>
          <w:tcPr>
            <w:tcW w:w="462" w:type="pct"/>
            <w:tcBorders>
              <w:tl2br w:val="nil"/>
              <w:tr2bl w:val="nil"/>
            </w:tcBorders>
            <w:vAlign w:val="center"/>
          </w:tcPr>
          <w:p w14:paraId="44648005">
            <w:pPr>
              <w:widowControl/>
              <w:jc w:val="center"/>
              <w:textAlignment w:val="center"/>
              <w:rPr>
                <w:szCs w:val="21"/>
              </w:rPr>
            </w:pPr>
            <w:r>
              <w:rPr>
                <w:szCs w:val="21"/>
              </w:rPr>
              <w:t>/</w:t>
            </w:r>
          </w:p>
        </w:tc>
        <w:tc>
          <w:tcPr>
            <w:tcW w:w="616" w:type="pct"/>
            <w:tcBorders>
              <w:tl2br w:val="nil"/>
              <w:tr2bl w:val="nil"/>
            </w:tcBorders>
            <w:vAlign w:val="center"/>
          </w:tcPr>
          <w:p w14:paraId="5E900BB8">
            <w:pPr>
              <w:widowControl/>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571E6BC2">
            <w:pPr>
              <w:widowControl/>
              <w:jc w:val="center"/>
              <w:textAlignment w:val="center"/>
              <w:rPr>
                <w:rFonts w:hint="default" w:eastAsia="宋体"/>
                <w:szCs w:val="21"/>
                <w:lang w:val="en-US" w:eastAsia="zh-CN"/>
              </w:rPr>
            </w:pPr>
            <w:r>
              <w:rPr>
                <w:rFonts w:hint="eastAsia"/>
                <w:lang w:val="en-US" w:eastAsia="zh-CN"/>
              </w:rPr>
              <w:t>16.817</w:t>
            </w:r>
          </w:p>
        </w:tc>
        <w:tc>
          <w:tcPr>
            <w:tcW w:w="600" w:type="pct"/>
            <w:tcBorders>
              <w:tl2br w:val="nil"/>
              <w:tr2bl w:val="nil"/>
            </w:tcBorders>
            <w:vAlign w:val="center"/>
          </w:tcPr>
          <w:p w14:paraId="4518CA1E">
            <w:pPr>
              <w:widowControl/>
              <w:jc w:val="center"/>
              <w:textAlignment w:val="center"/>
              <w:rPr>
                <w:kern w:val="0"/>
                <w:szCs w:val="21"/>
                <w:lang w:bidi="ar"/>
              </w:rPr>
            </w:pPr>
            <w:r>
              <w:rPr>
                <w:kern w:val="0"/>
                <w:szCs w:val="21"/>
                <w:lang w:bidi="ar"/>
              </w:rPr>
              <w:t>0</w:t>
            </w:r>
          </w:p>
        </w:tc>
        <w:tc>
          <w:tcPr>
            <w:tcW w:w="582" w:type="pct"/>
            <w:tcBorders>
              <w:tl2br w:val="nil"/>
              <w:tr2bl w:val="nil"/>
            </w:tcBorders>
            <w:vAlign w:val="center"/>
          </w:tcPr>
          <w:p w14:paraId="630EB62A">
            <w:pPr>
              <w:widowControl/>
              <w:jc w:val="center"/>
              <w:textAlignment w:val="center"/>
              <w:rPr>
                <w:szCs w:val="21"/>
              </w:rPr>
            </w:pPr>
            <w:r>
              <w:rPr>
                <w:rFonts w:hint="eastAsia"/>
                <w:lang w:val="en-US" w:eastAsia="zh-CN"/>
              </w:rPr>
              <w:t>16.817</w:t>
            </w:r>
          </w:p>
        </w:tc>
        <w:tc>
          <w:tcPr>
            <w:tcW w:w="465" w:type="pct"/>
            <w:tcBorders>
              <w:tl2br w:val="nil"/>
              <w:tr2bl w:val="nil"/>
            </w:tcBorders>
            <w:vAlign w:val="center"/>
          </w:tcPr>
          <w:p w14:paraId="466F5E39">
            <w:pPr>
              <w:widowControl/>
              <w:jc w:val="center"/>
              <w:textAlignment w:val="center"/>
              <w:rPr>
                <w:szCs w:val="21"/>
              </w:rPr>
            </w:pPr>
            <w:r>
              <w:rPr>
                <w:rFonts w:hint="eastAsia"/>
                <w:lang w:val="en-US" w:eastAsia="zh-CN"/>
              </w:rPr>
              <w:t>16.817</w:t>
            </w:r>
          </w:p>
        </w:tc>
      </w:tr>
      <w:tr w14:paraId="6A0A4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9" w:type="pct"/>
            <w:gridSpan w:val="2"/>
            <w:vMerge w:val="continue"/>
            <w:tcBorders>
              <w:tl2br w:val="nil"/>
              <w:tr2bl w:val="nil"/>
            </w:tcBorders>
            <w:vAlign w:val="center"/>
          </w:tcPr>
          <w:p w14:paraId="43F26CEC">
            <w:pPr>
              <w:pStyle w:val="52"/>
              <w:spacing w:beforeLines="0" w:afterLines="0" w:line="240" w:lineRule="auto"/>
              <w:rPr>
                <w:rFonts w:ascii="Times New Roman"/>
                <w:snapToGrid w:val="0"/>
                <w:kern w:val="21"/>
                <w:sz w:val="21"/>
                <w:szCs w:val="21"/>
              </w:rPr>
            </w:pPr>
          </w:p>
        </w:tc>
        <w:tc>
          <w:tcPr>
            <w:tcW w:w="569" w:type="pct"/>
            <w:tcBorders>
              <w:tl2br w:val="nil"/>
              <w:tr2bl w:val="nil"/>
            </w:tcBorders>
            <w:vAlign w:val="center"/>
          </w:tcPr>
          <w:p w14:paraId="46497C7D">
            <w:pPr>
              <w:pStyle w:val="52"/>
              <w:spacing w:beforeLines="0" w:afterLines="0" w:line="240" w:lineRule="auto"/>
              <w:rPr>
                <w:rFonts w:ascii="Times New Roman"/>
                <w:snapToGrid w:val="0"/>
                <w:kern w:val="21"/>
                <w:sz w:val="21"/>
                <w:szCs w:val="21"/>
              </w:rPr>
            </w:pPr>
            <w:r>
              <w:rPr>
                <w:rFonts w:ascii="Times New Roman"/>
                <w:snapToGrid w:val="0"/>
                <w:kern w:val="21"/>
                <w:sz w:val="21"/>
                <w:szCs w:val="21"/>
              </w:rPr>
              <w:t>危险固废</w:t>
            </w:r>
          </w:p>
        </w:tc>
        <w:tc>
          <w:tcPr>
            <w:tcW w:w="616" w:type="pct"/>
            <w:tcBorders>
              <w:tl2br w:val="nil"/>
              <w:tr2bl w:val="nil"/>
            </w:tcBorders>
            <w:vAlign w:val="center"/>
          </w:tcPr>
          <w:p w14:paraId="0C39B0B0">
            <w:pPr>
              <w:widowControl/>
              <w:jc w:val="center"/>
              <w:textAlignment w:val="center"/>
              <w:rPr>
                <w:szCs w:val="21"/>
              </w:rPr>
            </w:pPr>
            <w:r>
              <w:rPr>
                <w:szCs w:val="21"/>
              </w:rPr>
              <w:t>/</w:t>
            </w:r>
          </w:p>
        </w:tc>
        <w:tc>
          <w:tcPr>
            <w:tcW w:w="462" w:type="pct"/>
            <w:tcBorders>
              <w:tl2br w:val="nil"/>
              <w:tr2bl w:val="nil"/>
            </w:tcBorders>
            <w:vAlign w:val="center"/>
          </w:tcPr>
          <w:p w14:paraId="1C3C0B49">
            <w:pPr>
              <w:widowControl/>
              <w:jc w:val="center"/>
              <w:textAlignment w:val="center"/>
              <w:rPr>
                <w:szCs w:val="21"/>
              </w:rPr>
            </w:pPr>
            <w:r>
              <w:rPr>
                <w:szCs w:val="21"/>
              </w:rPr>
              <w:t>/</w:t>
            </w:r>
          </w:p>
        </w:tc>
        <w:tc>
          <w:tcPr>
            <w:tcW w:w="616" w:type="pct"/>
            <w:tcBorders>
              <w:tl2br w:val="nil"/>
              <w:tr2bl w:val="nil"/>
            </w:tcBorders>
            <w:vAlign w:val="center"/>
          </w:tcPr>
          <w:p w14:paraId="46899D9A">
            <w:pPr>
              <w:widowControl/>
              <w:jc w:val="center"/>
              <w:textAlignment w:val="center"/>
              <w:rPr>
                <w:kern w:val="0"/>
                <w:szCs w:val="21"/>
                <w:lang w:bidi="ar"/>
              </w:rPr>
            </w:pPr>
            <w:r>
              <w:rPr>
                <w:kern w:val="0"/>
                <w:szCs w:val="21"/>
                <w:lang w:bidi="ar"/>
              </w:rPr>
              <w:t>0</w:t>
            </w:r>
          </w:p>
        </w:tc>
        <w:tc>
          <w:tcPr>
            <w:tcW w:w="565" w:type="pct"/>
            <w:tcBorders>
              <w:tl2br w:val="nil"/>
              <w:tr2bl w:val="nil"/>
            </w:tcBorders>
            <w:vAlign w:val="center"/>
          </w:tcPr>
          <w:p w14:paraId="286FEB9F">
            <w:pPr>
              <w:widowControl/>
              <w:jc w:val="center"/>
              <w:textAlignment w:val="center"/>
              <w:rPr>
                <w:szCs w:val="21"/>
              </w:rPr>
            </w:pPr>
            <w:r>
              <w:rPr>
                <w:rFonts w:hint="eastAsia"/>
                <w:szCs w:val="21"/>
              </w:rPr>
              <w:t>11.331</w:t>
            </w:r>
          </w:p>
        </w:tc>
        <w:tc>
          <w:tcPr>
            <w:tcW w:w="600" w:type="pct"/>
            <w:tcBorders>
              <w:tl2br w:val="nil"/>
              <w:tr2bl w:val="nil"/>
            </w:tcBorders>
            <w:vAlign w:val="center"/>
          </w:tcPr>
          <w:p w14:paraId="68AF01F5">
            <w:pPr>
              <w:widowControl/>
              <w:jc w:val="center"/>
              <w:textAlignment w:val="center"/>
              <w:rPr>
                <w:kern w:val="0"/>
                <w:szCs w:val="21"/>
                <w:lang w:bidi="ar"/>
              </w:rPr>
            </w:pPr>
            <w:r>
              <w:rPr>
                <w:kern w:val="0"/>
                <w:szCs w:val="21"/>
                <w:lang w:bidi="ar"/>
              </w:rPr>
              <w:t>0</w:t>
            </w:r>
          </w:p>
        </w:tc>
        <w:tc>
          <w:tcPr>
            <w:tcW w:w="582" w:type="pct"/>
            <w:tcBorders>
              <w:tl2br w:val="nil"/>
              <w:tr2bl w:val="nil"/>
            </w:tcBorders>
            <w:vAlign w:val="center"/>
          </w:tcPr>
          <w:p w14:paraId="1CEB13FC">
            <w:pPr>
              <w:widowControl/>
              <w:jc w:val="center"/>
              <w:textAlignment w:val="center"/>
              <w:rPr>
                <w:szCs w:val="21"/>
              </w:rPr>
            </w:pPr>
            <w:r>
              <w:rPr>
                <w:rFonts w:hint="eastAsia"/>
              </w:rPr>
              <w:t>11.331</w:t>
            </w:r>
          </w:p>
        </w:tc>
        <w:tc>
          <w:tcPr>
            <w:tcW w:w="465" w:type="pct"/>
            <w:tcBorders>
              <w:tl2br w:val="nil"/>
              <w:tr2bl w:val="nil"/>
            </w:tcBorders>
            <w:vAlign w:val="center"/>
          </w:tcPr>
          <w:p w14:paraId="016A6751">
            <w:pPr>
              <w:widowControl/>
              <w:jc w:val="center"/>
              <w:textAlignment w:val="center"/>
              <w:rPr>
                <w:szCs w:val="21"/>
              </w:rPr>
            </w:pPr>
            <w:r>
              <w:rPr>
                <w:rFonts w:hint="eastAsia"/>
              </w:rPr>
              <w:t>11.331</w:t>
            </w:r>
          </w:p>
        </w:tc>
      </w:tr>
      <w:bookmarkEnd w:id="7"/>
    </w:tbl>
    <w:p w14:paraId="7E1DB405">
      <w:pPr>
        <w:sectPr>
          <w:footerReference r:id="rId4" w:type="default"/>
          <w:pgSz w:w="16838" w:h="11906" w:orient="landscape"/>
          <w:pgMar w:top="1797" w:right="1440" w:bottom="1797" w:left="1440" w:header="851" w:footer="851" w:gutter="0"/>
          <w:pgBorders>
            <w:top w:val="none" w:sz="0" w:space="0"/>
            <w:left w:val="none" w:sz="0" w:space="0"/>
            <w:bottom w:val="none" w:sz="0" w:space="0"/>
            <w:right w:val="none" w:sz="0" w:space="0"/>
          </w:pgBorders>
          <w:cols w:space="720" w:num="1"/>
          <w:docGrid w:linePitch="312" w:charSpace="0"/>
        </w:sectPr>
      </w:pPr>
    </w:p>
    <w:tbl>
      <w:tblPr>
        <w:tblStyle w:val="28"/>
        <w:tblpPr w:leftFromText="180" w:rightFromText="180" w:vertAnchor="text" w:horzAnchor="page" w:tblpXSpec="center" w:tblpY="-11"/>
        <w:tblOverlap w:val="never"/>
        <w:tblW w:w="963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638"/>
      </w:tblGrid>
      <w:tr w14:paraId="3D3DA2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9060" w:type="dxa"/>
            <w:tcBorders>
              <w:tl2br w:val="nil"/>
              <w:tr2bl w:val="nil"/>
            </w:tcBorders>
          </w:tcPr>
          <w:p w14:paraId="569EA653">
            <w:pPr>
              <w:spacing w:line="480" w:lineRule="exact"/>
              <w:ind w:firstLine="241" w:firstLineChars="100"/>
              <w:rPr>
                <w:b/>
                <w:bCs/>
                <w:sz w:val="24"/>
              </w:rPr>
            </w:pPr>
            <w:r>
              <w:rPr>
                <w:b/>
                <w:bCs/>
                <w:sz w:val="24"/>
              </w:rPr>
              <w:t>本报告表附图、附件：</w:t>
            </w:r>
          </w:p>
          <w:p w14:paraId="1F5F9991">
            <w:pPr>
              <w:spacing w:line="480" w:lineRule="exact"/>
              <w:ind w:firstLine="241" w:firstLineChars="100"/>
              <w:rPr>
                <w:b/>
                <w:bCs/>
                <w:sz w:val="24"/>
              </w:rPr>
            </w:pPr>
            <w:r>
              <w:rPr>
                <w:b/>
                <w:bCs/>
                <w:sz w:val="24"/>
              </w:rPr>
              <w:t>附图</w:t>
            </w:r>
          </w:p>
          <w:p w14:paraId="31931A3B">
            <w:pPr>
              <w:spacing w:line="480" w:lineRule="exact"/>
              <w:ind w:firstLine="480" w:firstLineChars="200"/>
              <w:rPr>
                <w:sz w:val="24"/>
              </w:rPr>
            </w:pPr>
            <w:r>
              <w:rPr>
                <w:sz w:val="24"/>
              </w:rPr>
              <w:t>附图1 项目地理位置图</w:t>
            </w:r>
          </w:p>
          <w:p w14:paraId="73621901">
            <w:pPr>
              <w:spacing w:line="480" w:lineRule="exact"/>
              <w:ind w:firstLine="480" w:firstLineChars="200"/>
              <w:rPr>
                <w:sz w:val="24"/>
              </w:rPr>
            </w:pPr>
            <w:r>
              <w:rPr>
                <w:sz w:val="24"/>
              </w:rPr>
              <w:t>附图2 项目周边环境状况图</w:t>
            </w:r>
          </w:p>
          <w:p w14:paraId="156637D2">
            <w:pPr>
              <w:spacing w:line="480" w:lineRule="exact"/>
              <w:ind w:firstLine="480" w:firstLineChars="200"/>
              <w:rPr>
                <w:sz w:val="24"/>
              </w:rPr>
            </w:pPr>
            <w:r>
              <w:rPr>
                <w:sz w:val="24"/>
              </w:rPr>
              <w:t>附图3 厂区平面布置图</w:t>
            </w:r>
          </w:p>
          <w:p w14:paraId="0D7841E4">
            <w:pPr>
              <w:spacing w:line="480" w:lineRule="exact"/>
              <w:ind w:firstLine="480" w:firstLineChars="200"/>
              <w:rPr>
                <w:sz w:val="24"/>
              </w:rPr>
            </w:pPr>
            <w:r>
              <w:rPr>
                <w:sz w:val="24"/>
              </w:rPr>
              <w:t xml:space="preserve">附图4 </w:t>
            </w:r>
            <w:r>
              <w:rPr>
                <w:rFonts w:hint="eastAsia"/>
                <w:sz w:val="24"/>
              </w:rPr>
              <w:t>车间</w:t>
            </w:r>
            <w:r>
              <w:rPr>
                <w:sz w:val="24"/>
              </w:rPr>
              <w:t>平面布置图</w:t>
            </w:r>
          </w:p>
          <w:p w14:paraId="5984900F">
            <w:pPr>
              <w:spacing w:line="480" w:lineRule="exact"/>
              <w:ind w:firstLine="480" w:firstLineChars="200"/>
              <w:rPr>
                <w:sz w:val="24"/>
              </w:rPr>
            </w:pPr>
            <w:r>
              <w:rPr>
                <w:sz w:val="24"/>
              </w:rPr>
              <w:t>附图</w:t>
            </w:r>
            <w:r>
              <w:rPr>
                <w:rFonts w:hint="eastAsia"/>
                <w:sz w:val="24"/>
              </w:rPr>
              <w:t>5</w:t>
            </w:r>
            <w:r>
              <w:rPr>
                <w:sz w:val="24"/>
              </w:rPr>
              <w:t xml:space="preserve"> 用地规划图</w:t>
            </w:r>
          </w:p>
          <w:p w14:paraId="4D976D2F">
            <w:pPr>
              <w:spacing w:line="480" w:lineRule="exact"/>
              <w:ind w:firstLine="480" w:firstLineChars="200"/>
              <w:rPr>
                <w:sz w:val="24"/>
              </w:rPr>
            </w:pPr>
            <w:r>
              <w:rPr>
                <w:sz w:val="24"/>
              </w:rPr>
              <w:t>附图</w:t>
            </w:r>
            <w:r>
              <w:rPr>
                <w:rFonts w:hint="eastAsia"/>
                <w:sz w:val="24"/>
              </w:rPr>
              <w:t xml:space="preserve">6 </w:t>
            </w:r>
            <w:r>
              <w:rPr>
                <w:sz w:val="24"/>
              </w:rPr>
              <w:t>常州市生态空间保护区域分布图</w:t>
            </w:r>
          </w:p>
          <w:p w14:paraId="454486D4">
            <w:pPr>
              <w:spacing w:line="480" w:lineRule="exact"/>
              <w:ind w:firstLine="480" w:firstLineChars="200"/>
              <w:rPr>
                <w:sz w:val="24"/>
              </w:rPr>
            </w:pPr>
            <w:r>
              <w:rPr>
                <w:sz w:val="24"/>
              </w:rPr>
              <w:t>附图7 区域水系图</w:t>
            </w:r>
          </w:p>
          <w:p w14:paraId="70F55C4A">
            <w:pPr>
              <w:spacing w:line="480" w:lineRule="exact"/>
              <w:ind w:firstLine="480" w:firstLineChars="200"/>
            </w:pPr>
            <w:r>
              <w:rPr>
                <w:rStyle w:val="35"/>
                <w:rFonts w:hint="eastAsia"/>
                <w:kern w:val="0"/>
                <w:sz w:val="24"/>
              </w:rPr>
              <w:t>附图8 常州市“三区三线”划定成果相符性分析图</w:t>
            </w:r>
          </w:p>
          <w:p w14:paraId="0FE26498">
            <w:pPr>
              <w:spacing w:line="480" w:lineRule="exact"/>
              <w:ind w:firstLine="480" w:firstLineChars="200"/>
              <w:rPr>
                <w:sz w:val="24"/>
              </w:rPr>
            </w:pPr>
          </w:p>
          <w:p w14:paraId="7B39C94C">
            <w:pPr>
              <w:spacing w:line="480" w:lineRule="exact"/>
              <w:ind w:firstLine="241" w:firstLineChars="100"/>
              <w:rPr>
                <w:b/>
                <w:bCs/>
                <w:sz w:val="24"/>
              </w:rPr>
            </w:pPr>
            <w:r>
              <w:rPr>
                <w:b/>
                <w:bCs/>
                <w:sz w:val="24"/>
              </w:rPr>
              <w:t>附件</w:t>
            </w:r>
          </w:p>
          <w:p w14:paraId="72EC5DA5">
            <w:pPr>
              <w:spacing w:line="480" w:lineRule="exact"/>
              <w:ind w:firstLine="480" w:firstLineChars="200"/>
              <w:rPr>
                <w:sz w:val="24"/>
              </w:rPr>
            </w:pPr>
            <w:r>
              <w:rPr>
                <w:sz w:val="24"/>
              </w:rPr>
              <w:t>附件1 环评委托书</w:t>
            </w:r>
          </w:p>
          <w:p w14:paraId="70D178A7">
            <w:pPr>
              <w:spacing w:line="480" w:lineRule="exact"/>
              <w:ind w:firstLine="480" w:firstLineChars="200"/>
              <w:rPr>
                <w:sz w:val="24"/>
              </w:rPr>
            </w:pPr>
            <w:r>
              <w:rPr>
                <w:sz w:val="24"/>
              </w:rPr>
              <w:t>附件2 江苏省投资项目备案证</w:t>
            </w:r>
          </w:p>
          <w:p w14:paraId="2F0E864C">
            <w:pPr>
              <w:spacing w:line="480" w:lineRule="exact"/>
              <w:ind w:firstLine="480" w:firstLineChars="200"/>
              <w:rPr>
                <w:sz w:val="24"/>
              </w:rPr>
            </w:pPr>
            <w:r>
              <w:rPr>
                <w:sz w:val="24"/>
              </w:rPr>
              <w:t>附件3 营业执照及法人身份证</w:t>
            </w:r>
          </w:p>
          <w:p w14:paraId="5B42CD2D">
            <w:pPr>
              <w:spacing w:line="480" w:lineRule="exact"/>
              <w:ind w:firstLine="480" w:firstLineChars="200"/>
              <w:rPr>
                <w:sz w:val="24"/>
              </w:rPr>
            </w:pPr>
            <w:r>
              <w:rPr>
                <w:sz w:val="24"/>
              </w:rPr>
              <w:t>附件4 房东营业执照、土地手续</w:t>
            </w:r>
            <w:r>
              <w:rPr>
                <w:rFonts w:hint="eastAsia"/>
                <w:sz w:val="24"/>
              </w:rPr>
              <w:t>、及</w:t>
            </w:r>
            <w:r>
              <w:rPr>
                <w:sz w:val="24"/>
              </w:rPr>
              <w:t>租赁合同</w:t>
            </w:r>
          </w:p>
          <w:p w14:paraId="2CC620B3">
            <w:pPr>
              <w:spacing w:line="480" w:lineRule="exact"/>
              <w:ind w:firstLine="480" w:firstLineChars="200"/>
              <w:rPr>
                <w:sz w:val="24"/>
              </w:rPr>
            </w:pPr>
            <w:r>
              <w:rPr>
                <w:sz w:val="24"/>
              </w:rPr>
              <w:t xml:space="preserve">附件5 </w:t>
            </w:r>
            <w:r>
              <w:rPr>
                <w:rFonts w:hint="eastAsia"/>
                <w:sz w:val="24"/>
              </w:rPr>
              <w:t>污水接管协议</w:t>
            </w:r>
          </w:p>
          <w:p w14:paraId="47E13557">
            <w:pPr>
              <w:spacing w:line="480" w:lineRule="exact"/>
              <w:ind w:firstLine="480" w:firstLineChars="200"/>
              <w:rPr>
                <w:sz w:val="24"/>
              </w:rPr>
            </w:pPr>
            <w:r>
              <w:rPr>
                <w:sz w:val="24"/>
              </w:rPr>
              <w:t>附件</w:t>
            </w:r>
            <w:r>
              <w:rPr>
                <w:rFonts w:hint="eastAsia"/>
                <w:sz w:val="24"/>
              </w:rPr>
              <w:t>6</w:t>
            </w:r>
            <w:r>
              <w:rPr>
                <w:sz w:val="24"/>
              </w:rPr>
              <w:t xml:space="preserve"> </w:t>
            </w:r>
            <w:r>
              <w:rPr>
                <w:rFonts w:hint="eastAsia"/>
                <w:sz w:val="24"/>
              </w:rPr>
              <w:t>原辅料msds报告、VOC含量检测报告</w:t>
            </w:r>
          </w:p>
          <w:p w14:paraId="25C81AEE">
            <w:pPr>
              <w:spacing w:line="480" w:lineRule="exact"/>
              <w:ind w:firstLine="480" w:firstLineChars="200"/>
              <w:rPr>
                <w:bCs/>
                <w:kern w:val="0"/>
                <w:sz w:val="24"/>
              </w:rPr>
            </w:pPr>
            <w:r>
              <w:rPr>
                <w:sz w:val="24"/>
              </w:rPr>
              <w:t>附件</w:t>
            </w:r>
            <w:r>
              <w:rPr>
                <w:rFonts w:hint="eastAsia"/>
                <w:sz w:val="24"/>
              </w:rPr>
              <w:t>7</w:t>
            </w:r>
            <w:r>
              <w:rPr>
                <w:sz w:val="24"/>
              </w:rPr>
              <w:t xml:space="preserve"> 建设项目环境影响申报审批现场勘查表</w:t>
            </w:r>
          </w:p>
          <w:p w14:paraId="08BDEB84">
            <w:pPr>
              <w:spacing w:line="480" w:lineRule="exact"/>
              <w:ind w:firstLine="480" w:firstLineChars="200"/>
              <w:rPr>
                <w:sz w:val="24"/>
              </w:rPr>
            </w:pPr>
            <w:r>
              <w:rPr>
                <w:sz w:val="24"/>
              </w:rPr>
              <w:t>附件</w:t>
            </w:r>
            <w:r>
              <w:rPr>
                <w:rFonts w:hint="eastAsia"/>
                <w:sz w:val="24"/>
              </w:rPr>
              <w:t>8</w:t>
            </w:r>
            <w:r>
              <w:rPr>
                <w:sz w:val="24"/>
              </w:rPr>
              <w:t xml:space="preserve"> 环境质量现状监测报告</w:t>
            </w:r>
          </w:p>
          <w:p w14:paraId="7900CC44">
            <w:pPr>
              <w:spacing w:line="480" w:lineRule="exact"/>
              <w:ind w:firstLine="480" w:firstLineChars="200"/>
              <w:rPr>
                <w:sz w:val="24"/>
              </w:rPr>
            </w:pPr>
            <w:r>
              <w:rPr>
                <w:sz w:val="24"/>
              </w:rPr>
              <w:t>附件</w:t>
            </w:r>
            <w:r>
              <w:rPr>
                <w:rFonts w:hint="eastAsia"/>
                <w:sz w:val="24"/>
              </w:rPr>
              <w:t>9</w:t>
            </w:r>
            <w:r>
              <w:rPr>
                <w:sz w:val="24"/>
              </w:rPr>
              <w:t xml:space="preserve"> </w:t>
            </w:r>
            <w:r>
              <w:rPr>
                <w:rFonts w:hint="eastAsia"/>
                <w:sz w:val="24"/>
              </w:rPr>
              <w:t>危废处置承诺书</w:t>
            </w:r>
          </w:p>
          <w:p w14:paraId="2EA93814">
            <w:pPr>
              <w:spacing w:line="480" w:lineRule="exact"/>
              <w:ind w:firstLine="480" w:firstLineChars="200"/>
              <w:rPr>
                <w:sz w:val="24"/>
              </w:rPr>
            </w:pPr>
            <w:r>
              <w:rPr>
                <w:sz w:val="24"/>
              </w:rPr>
              <w:t>附件</w:t>
            </w:r>
            <w:r>
              <w:rPr>
                <w:rFonts w:hint="eastAsia"/>
                <w:sz w:val="24"/>
              </w:rPr>
              <w:t>10</w:t>
            </w:r>
            <w:r>
              <w:rPr>
                <w:sz w:val="24"/>
              </w:rPr>
              <w:t xml:space="preserve"> 全本公示承诺书</w:t>
            </w:r>
          </w:p>
          <w:p w14:paraId="2CD915FB">
            <w:pPr>
              <w:spacing w:line="480" w:lineRule="exact"/>
              <w:ind w:firstLine="480" w:firstLineChars="200"/>
              <w:rPr>
                <w:sz w:val="24"/>
              </w:rPr>
            </w:pPr>
            <w:r>
              <w:rPr>
                <w:sz w:val="24"/>
              </w:rPr>
              <w:t>附件1</w:t>
            </w:r>
            <w:r>
              <w:rPr>
                <w:rFonts w:hint="eastAsia"/>
                <w:sz w:val="24"/>
              </w:rPr>
              <w:t>1</w:t>
            </w:r>
            <w:r>
              <w:rPr>
                <w:sz w:val="24"/>
              </w:rPr>
              <w:t xml:space="preserve"> 建设单位承诺书</w:t>
            </w:r>
          </w:p>
          <w:p w14:paraId="1F2D194C">
            <w:pPr>
              <w:pStyle w:val="3"/>
              <w:numPr>
                <w:ilvl w:val="0"/>
                <w:numId w:val="0"/>
              </w:numPr>
              <w:spacing w:line="480" w:lineRule="exact"/>
              <w:rPr>
                <w:sz w:val="24"/>
              </w:rPr>
            </w:pPr>
          </w:p>
          <w:p w14:paraId="20304DA8">
            <w:pPr>
              <w:pStyle w:val="3"/>
              <w:numPr>
                <w:ilvl w:val="0"/>
                <w:numId w:val="0"/>
              </w:numPr>
              <w:spacing w:line="480" w:lineRule="exact"/>
              <w:rPr>
                <w:sz w:val="24"/>
              </w:rPr>
            </w:pPr>
          </w:p>
          <w:p w14:paraId="781FDFB9">
            <w:pPr>
              <w:pStyle w:val="3"/>
              <w:numPr>
                <w:ilvl w:val="0"/>
                <w:numId w:val="0"/>
              </w:numPr>
              <w:spacing w:line="480" w:lineRule="exact"/>
              <w:rPr>
                <w:sz w:val="24"/>
              </w:rPr>
            </w:pPr>
          </w:p>
          <w:p w14:paraId="79D6B729">
            <w:pPr>
              <w:pStyle w:val="3"/>
              <w:numPr>
                <w:ilvl w:val="0"/>
                <w:numId w:val="0"/>
              </w:numPr>
              <w:spacing w:line="480" w:lineRule="exact"/>
              <w:rPr>
                <w:sz w:val="24"/>
              </w:rPr>
            </w:pPr>
          </w:p>
        </w:tc>
      </w:tr>
    </w:tbl>
    <w:p w14:paraId="22B3EBA2">
      <w:pPr>
        <w:pStyle w:val="2"/>
        <w:widowControl w:val="0"/>
        <w:snapToGrid/>
        <w:spacing w:after="0" w:line="240" w:lineRule="auto"/>
      </w:pPr>
    </w:p>
    <w:sectPr>
      <w:footerReference r:id="rId5" w:type="default"/>
      <w:pgSz w:w="11906" w:h="16838"/>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8317AA88-4265-4B21-87CB-0D3EEC3B1C02}"/>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Alaska">
    <w:altName w:val="Tahoma"/>
    <w:panose1 w:val="00000000000000000000"/>
    <w:charset w:val="00"/>
    <w:family w:val="auto"/>
    <w:pitch w:val="default"/>
    <w:sig w:usb0="00000000" w:usb1="00000000" w:usb2="00000000" w:usb3="00000000" w:csb0="00000011" w:csb1="00000000"/>
  </w:font>
  <w:font w:name="Tahoma">
    <w:panose1 w:val="020B0604030504040204"/>
    <w:charset w:val="00"/>
    <w:family w:val="swiss"/>
    <w:pitch w:val="default"/>
    <w:sig w:usb0="E1002EFF" w:usb1="C000605B" w:usb2="00000029" w:usb3="00000000" w:csb0="200101FF" w:csb1="20280000"/>
  </w:font>
  <w:font w:name="方正仿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embedRegular r:id="rId2" w:fontKey="{4B56CC5E-ECA4-4043-84FF-43235DA3BD59}"/>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73022">
    <w:pPr>
      <w:pStyle w:val="17"/>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03D5A1">
                          <w:pPr>
                            <w:pStyle w:val="17"/>
                          </w:pPr>
                          <w:r>
                            <w:fldChar w:fldCharType="begin"/>
                          </w:r>
                          <w:r>
                            <w:instrText xml:space="preserve"> PAGE  \* MERGEFORMAT </w:instrText>
                          </w:r>
                          <w:r>
                            <w:fldChar w:fldCharType="separate"/>
                          </w:r>
                          <w:r>
                            <w:t>27</w:t>
                          </w:r>
                          <w:r>
                            <w:fldChar w:fldCharType="end"/>
                          </w:r>
                        </w:p>
                      </w:txbxContent>
                    </wps:txbx>
                    <wps:bodyPr wrap="none" lIns="0" tIns="0" rIns="0" bIns="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X8o8UBAACRAwAADgAAAGRycy9lMm9Eb2MueG1srVNLbtswEN0XyB0I&#10;7mPKLlA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7CW0osNzjx8/dv5x+/zj+/&#10;kmWxKpNEvYcKM5885sbhzg2YPvsBnYn50AaTvsiJYBwFPl0ElkMkIj0qV2VZYEhgbL4gPnt+7gPE&#10;99IZkoyaBpxgFpYfHyGOqXNKqmbdvdI6T1HbvxyImTws9T72mKw47IaJ0M41J+TT4/BranHXKdEP&#10;FrVNezIbYTZ2k5FqgL89RCyc+0moI9RUDCeVGU1blVbhz3vOev6T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B/l/KPFAQAAkQMAAA4AAAAAAAAAAQAgAAAAHgEAAGRycy9lMm9Eb2MueG1s&#10;UEsFBgAAAAAGAAYAWQEAAFUFAAAAAA==&#10;">
              <v:fill on="f" focussize="0,0"/>
              <v:stroke on="f"/>
              <v:imagedata o:title=""/>
              <o:lock v:ext="edit" aspectratio="f"/>
              <v:textbox inset="0mm,0mm,0mm,0mm" style="mso-fit-shape-to-text:t;">
                <w:txbxContent>
                  <w:p w14:paraId="0503D5A1">
                    <w:pPr>
                      <w:pStyle w:val="1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05B0">
    <w:pPr>
      <w:pStyle w:val="17"/>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B90E62">
                          <w:pPr>
                            <w:pStyle w:val="17"/>
                          </w:pPr>
                          <w:r>
                            <w:fldChar w:fldCharType="begin"/>
                          </w:r>
                          <w:r>
                            <w:instrText xml:space="preserve"> PAGE  \* MERGEFORMAT </w:instrText>
                          </w:r>
                          <w:r>
                            <w:fldChar w:fldCharType="separate"/>
                          </w:r>
                          <w:r>
                            <w:t>101</w:t>
                          </w:r>
                          <w: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QwcsQBAACR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rFTVhS4rjFiV++f7v8+HX5+ZUs&#10;q9VNlqgPUGPmY8DcNNz7AdNnP6AzMx9UtPmLnAjGUeDzVWA5JCLyo/Vqva4wJDA2XxCfPT0PEdJb&#10;6S3JRkMjTrAIy0/vIY2pc0qu5vyDNqZM0bi/HIiZPSz3PvaYrTTsh4nQ3rdn5NPj8BvqcNcpMe8c&#10;apv3ZDbibOwnI9eAcHdMWLj0k1FHqKkYTqowmrYqr8Kf95L19Cdt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v3QwcsQBAACRAwAADgAAAAAAAAABACAAAAAeAQAAZHJzL2Uyb0RvYy54bWxQ&#10;SwUGAAAAAAYABgBZAQAAVAUAAAAA&#10;">
              <v:fill on="f" focussize="0,0"/>
              <v:stroke on="f"/>
              <v:imagedata o:title=""/>
              <o:lock v:ext="edit" aspectratio="f"/>
              <v:textbox inset="0mm,0mm,0mm,0mm" style="mso-fit-shape-to-text:t;">
                <w:txbxContent>
                  <w:p w14:paraId="1DB90E62">
                    <w:pPr>
                      <w:pStyle w:val="17"/>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E06BE">
    <w:pPr>
      <w:pStyle w:val="17"/>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EE9C8D">
                          <w:pPr>
                            <w:pStyle w:val="17"/>
                          </w:pPr>
                          <w:r>
                            <w:fldChar w:fldCharType="begin"/>
                          </w:r>
                          <w:r>
                            <w:instrText xml:space="preserve"> PAGE  \* MERGEFORMAT </w:instrText>
                          </w:r>
                          <w:r>
                            <w:fldChar w:fldCharType="separate"/>
                          </w:r>
                          <w:r>
                            <w:t>102</w:t>
                          </w:r>
                          <w:r>
                            <w:fldChar w:fldCharType="end"/>
                          </w:r>
                        </w:p>
                      </w:txbxContent>
                    </wps:txbx>
                    <wps:bodyPr wrap="none" lIns="0" tIns="0" rIns="0" bIns="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Bule3sQBAACRAwAADgAAAAAAAAABACAAAAAeAQAAZHJzL2Uyb0RvYy54bWxQ&#10;SwUGAAAAAAYABgBZAQAAVAUAAAAA&#10;">
              <v:fill on="f" focussize="0,0"/>
              <v:stroke on="f"/>
              <v:imagedata o:title=""/>
              <o:lock v:ext="edit" aspectratio="f"/>
              <v:textbox inset="0mm,0mm,0mm,0mm" style="mso-fit-shape-to-text:t;">
                <w:txbxContent>
                  <w:p w14:paraId="6FEE9C8D">
                    <w:pPr>
                      <w:pStyle w:val="17"/>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69D998"/>
    <w:multiLevelType w:val="singleLevel"/>
    <w:tmpl w:val="9B69D998"/>
    <w:lvl w:ilvl="0" w:tentative="0">
      <w:start w:val="1"/>
      <w:numFmt w:val="decimal"/>
      <w:suff w:val="nothing"/>
      <w:lvlText w:val="%1、"/>
      <w:lvlJc w:val="left"/>
    </w:lvl>
  </w:abstractNum>
  <w:abstractNum w:abstractNumId="1">
    <w:nsid w:val="A51ABCF4"/>
    <w:multiLevelType w:val="singleLevel"/>
    <w:tmpl w:val="A51ABCF4"/>
    <w:lvl w:ilvl="0" w:tentative="0">
      <w:start w:val="2"/>
      <w:numFmt w:val="decimal"/>
      <w:suff w:val="nothing"/>
      <w:lvlText w:val="（%1）"/>
      <w:lvlJc w:val="left"/>
    </w:lvl>
  </w:abstractNum>
  <w:abstractNum w:abstractNumId="2">
    <w:nsid w:val="BB863B24"/>
    <w:multiLevelType w:val="singleLevel"/>
    <w:tmpl w:val="BB863B24"/>
    <w:lvl w:ilvl="0" w:tentative="0">
      <w:start w:val="2"/>
      <w:numFmt w:val="decimal"/>
      <w:suff w:val="nothing"/>
      <w:lvlText w:val="（%1）"/>
      <w:lvlJc w:val="left"/>
    </w:lvl>
  </w:abstractNum>
  <w:abstractNum w:abstractNumId="3">
    <w:nsid w:val="CA2BC691"/>
    <w:multiLevelType w:val="singleLevel"/>
    <w:tmpl w:val="CA2BC691"/>
    <w:lvl w:ilvl="0" w:tentative="0">
      <w:start w:val="2"/>
      <w:numFmt w:val="decimal"/>
      <w:suff w:val="nothing"/>
      <w:lvlText w:val="（%1）"/>
      <w:lvlJc w:val="left"/>
    </w:lvl>
  </w:abstractNum>
  <w:abstractNum w:abstractNumId="4">
    <w:nsid w:val="CA81C828"/>
    <w:multiLevelType w:val="singleLevel"/>
    <w:tmpl w:val="CA81C828"/>
    <w:lvl w:ilvl="0" w:tentative="0">
      <w:start w:val="1"/>
      <w:numFmt w:val="decimal"/>
      <w:suff w:val="nothing"/>
      <w:lvlText w:val="%1）"/>
      <w:lvlJc w:val="left"/>
    </w:lvl>
  </w:abstractNum>
  <w:abstractNum w:abstractNumId="5">
    <w:nsid w:val="DFFAB187"/>
    <w:multiLevelType w:val="singleLevel"/>
    <w:tmpl w:val="DFFAB187"/>
    <w:lvl w:ilvl="0" w:tentative="0">
      <w:start w:val="1"/>
      <w:numFmt w:val="decimal"/>
      <w:suff w:val="nothing"/>
      <w:lvlText w:val="%1、"/>
      <w:lvlJc w:val="left"/>
      <w:pPr>
        <w:ind w:left="-2"/>
      </w:pPr>
    </w:lvl>
  </w:abstractNum>
  <w:abstractNum w:abstractNumId="6">
    <w:nsid w:val="EAC92FE9"/>
    <w:multiLevelType w:val="singleLevel"/>
    <w:tmpl w:val="EAC92FE9"/>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7">
    <w:nsid w:val="264A8E75"/>
    <w:multiLevelType w:val="singleLevel"/>
    <w:tmpl w:val="264A8E75"/>
    <w:lvl w:ilvl="0" w:tentative="0">
      <w:start w:val="1"/>
      <w:numFmt w:val="decimal"/>
      <w:suff w:val="nothing"/>
      <w:lvlText w:val="%1、"/>
      <w:lvlJc w:val="left"/>
    </w:lvl>
  </w:abstractNum>
  <w:abstractNum w:abstractNumId="8">
    <w:nsid w:val="4E0851C5"/>
    <w:multiLevelType w:val="multilevel"/>
    <w:tmpl w:val="4E0851C5"/>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592399BC"/>
    <w:multiLevelType w:val="singleLevel"/>
    <w:tmpl w:val="592399BC"/>
    <w:lvl w:ilvl="0" w:tentative="0">
      <w:start w:val="1"/>
      <w:numFmt w:val="lowerLetter"/>
      <w:suff w:val="space"/>
      <w:lvlText w:val="%1."/>
      <w:lvlJc w:val="left"/>
    </w:lvl>
  </w:abstractNum>
  <w:abstractNum w:abstractNumId="10">
    <w:nsid w:val="6535AFAF"/>
    <w:multiLevelType w:val="singleLevel"/>
    <w:tmpl w:val="6535AFAF"/>
    <w:lvl w:ilvl="0" w:tentative="0">
      <w:start w:val="1"/>
      <w:numFmt w:val="decimal"/>
      <w:suff w:val="nothing"/>
      <w:lvlText w:val="（%1）"/>
      <w:lvlJc w:val="left"/>
    </w:lvl>
  </w:abstractNum>
  <w:num w:numId="1">
    <w:abstractNumId w:val="6"/>
  </w:num>
  <w:num w:numId="2">
    <w:abstractNumId w:val="0"/>
  </w:num>
  <w:num w:numId="3">
    <w:abstractNumId w:val="5"/>
  </w:num>
  <w:num w:numId="4">
    <w:abstractNumId w:val="7"/>
  </w:num>
  <w:num w:numId="5">
    <w:abstractNumId w:val="2"/>
  </w:num>
  <w:num w:numId="6">
    <w:abstractNumId w:val="9"/>
  </w:num>
  <w:num w:numId="7">
    <w:abstractNumId w:val="1"/>
  </w:num>
  <w:num w:numId="8">
    <w:abstractNumId w:val="4"/>
  </w:num>
  <w:num w:numId="9">
    <w:abstractNumId w:val="8"/>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3NDg4OTNkMzg4MGVlODc3YTU5YTUwMDE3Zjc2MTQifQ=="/>
  </w:docVars>
  <w:rsids>
    <w:rsidRoot w:val="00A14947"/>
    <w:rsid w:val="000060B3"/>
    <w:rsid w:val="0004364B"/>
    <w:rsid w:val="00061B1F"/>
    <w:rsid w:val="00066EBC"/>
    <w:rsid w:val="000733C4"/>
    <w:rsid w:val="00074210"/>
    <w:rsid w:val="00074783"/>
    <w:rsid w:val="0008070B"/>
    <w:rsid w:val="00080AB9"/>
    <w:rsid w:val="000810AC"/>
    <w:rsid w:val="00081A02"/>
    <w:rsid w:val="00082231"/>
    <w:rsid w:val="00092D38"/>
    <w:rsid w:val="0009377B"/>
    <w:rsid w:val="000A20C9"/>
    <w:rsid w:val="000A704C"/>
    <w:rsid w:val="000B058F"/>
    <w:rsid w:val="000B4467"/>
    <w:rsid w:val="000B4DB9"/>
    <w:rsid w:val="000C09AC"/>
    <w:rsid w:val="000C7183"/>
    <w:rsid w:val="000C767F"/>
    <w:rsid w:val="000D5A44"/>
    <w:rsid w:val="000E3ED2"/>
    <w:rsid w:val="00131F42"/>
    <w:rsid w:val="00135135"/>
    <w:rsid w:val="001357F1"/>
    <w:rsid w:val="00140FA8"/>
    <w:rsid w:val="00142FEB"/>
    <w:rsid w:val="00143A2D"/>
    <w:rsid w:val="00145A41"/>
    <w:rsid w:val="00151675"/>
    <w:rsid w:val="00155DBB"/>
    <w:rsid w:val="00157435"/>
    <w:rsid w:val="0017504D"/>
    <w:rsid w:val="0017671A"/>
    <w:rsid w:val="00177422"/>
    <w:rsid w:val="00184590"/>
    <w:rsid w:val="001848F2"/>
    <w:rsid w:val="001870D1"/>
    <w:rsid w:val="0018781E"/>
    <w:rsid w:val="0019262D"/>
    <w:rsid w:val="001A1B35"/>
    <w:rsid w:val="001A40F3"/>
    <w:rsid w:val="001A48A2"/>
    <w:rsid w:val="001A6F61"/>
    <w:rsid w:val="001B72B8"/>
    <w:rsid w:val="001C69B3"/>
    <w:rsid w:val="001C7404"/>
    <w:rsid w:val="001D366D"/>
    <w:rsid w:val="001D5595"/>
    <w:rsid w:val="001D7874"/>
    <w:rsid w:val="001D7F22"/>
    <w:rsid w:val="001F0F17"/>
    <w:rsid w:val="001F3347"/>
    <w:rsid w:val="001F69E4"/>
    <w:rsid w:val="002125B4"/>
    <w:rsid w:val="002155B8"/>
    <w:rsid w:val="00224839"/>
    <w:rsid w:val="002249B2"/>
    <w:rsid w:val="00225142"/>
    <w:rsid w:val="00226574"/>
    <w:rsid w:val="002278EC"/>
    <w:rsid w:val="0023280E"/>
    <w:rsid w:val="00235B67"/>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47C7B"/>
    <w:rsid w:val="00356653"/>
    <w:rsid w:val="0035743F"/>
    <w:rsid w:val="00357BE2"/>
    <w:rsid w:val="0036170C"/>
    <w:rsid w:val="003643BF"/>
    <w:rsid w:val="00366E0F"/>
    <w:rsid w:val="00381A72"/>
    <w:rsid w:val="00384676"/>
    <w:rsid w:val="00390857"/>
    <w:rsid w:val="00394C6D"/>
    <w:rsid w:val="00397358"/>
    <w:rsid w:val="003A4BF3"/>
    <w:rsid w:val="003B420D"/>
    <w:rsid w:val="003C6C16"/>
    <w:rsid w:val="003D0D83"/>
    <w:rsid w:val="003D794D"/>
    <w:rsid w:val="003E3058"/>
    <w:rsid w:val="003E76A9"/>
    <w:rsid w:val="003F0809"/>
    <w:rsid w:val="003F6A8C"/>
    <w:rsid w:val="003F755C"/>
    <w:rsid w:val="00406F01"/>
    <w:rsid w:val="00416D50"/>
    <w:rsid w:val="00416FD5"/>
    <w:rsid w:val="00417772"/>
    <w:rsid w:val="00420E6A"/>
    <w:rsid w:val="00421D7D"/>
    <w:rsid w:val="00425A9E"/>
    <w:rsid w:val="00426D6B"/>
    <w:rsid w:val="00431945"/>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33BFA"/>
    <w:rsid w:val="005401AE"/>
    <w:rsid w:val="00542E07"/>
    <w:rsid w:val="00545424"/>
    <w:rsid w:val="00554A7B"/>
    <w:rsid w:val="0055572C"/>
    <w:rsid w:val="0056106A"/>
    <w:rsid w:val="005720AE"/>
    <w:rsid w:val="00594D77"/>
    <w:rsid w:val="005969E4"/>
    <w:rsid w:val="005A06B7"/>
    <w:rsid w:val="005A1759"/>
    <w:rsid w:val="005A68A7"/>
    <w:rsid w:val="005B668A"/>
    <w:rsid w:val="005D36AB"/>
    <w:rsid w:val="00617CC3"/>
    <w:rsid w:val="00625FDA"/>
    <w:rsid w:val="006377A6"/>
    <w:rsid w:val="00637A3D"/>
    <w:rsid w:val="006411EF"/>
    <w:rsid w:val="00665635"/>
    <w:rsid w:val="006748B8"/>
    <w:rsid w:val="006775C3"/>
    <w:rsid w:val="00687CC3"/>
    <w:rsid w:val="0069290A"/>
    <w:rsid w:val="006938D1"/>
    <w:rsid w:val="0069775A"/>
    <w:rsid w:val="00697813"/>
    <w:rsid w:val="006A3EE8"/>
    <w:rsid w:val="006A72BF"/>
    <w:rsid w:val="006A7749"/>
    <w:rsid w:val="006B03F2"/>
    <w:rsid w:val="006B37DC"/>
    <w:rsid w:val="006B4F68"/>
    <w:rsid w:val="006C0592"/>
    <w:rsid w:val="006C272E"/>
    <w:rsid w:val="006C5479"/>
    <w:rsid w:val="006D13B5"/>
    <w:rsid w:val="006D32E3"/>
    <w:rsid w:val="006E12FF"/>
    <w:rsid w:val="006E607E"/>
    <w:rsid w:val="00706C5D"/>
    <w:rsid w:val="007123B1"/>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A439A"/>
    <w:rsid w:val="007A51B4"/>
    <w:rsid w:val="007B72B8"/>
    <w:rsid w:val="007B7A58"/>
    <w:rsid w:val="007C21B5"/>
    <w:rsid w:val="007C37B9"/>
    <w:rsid w:val="007E4BD2"/>
    <w:rsid w:val="007F40FB"/>
    <w:rsid w:val="00801393"/>
    <w:rsid w:val="00802F88"/>
    <w:rsid w:val="0081293E"/>
    <w:rsid w:val="00815465"/>
    <w:rsid w:val="00817E9A"/>
    <w:rsid w:val="008306BD"/>
    <w:rsid w:val="00831A80"/>
    <w:rsid w:val="00833743"/>
    <w:rsid w:val="008340A4"/>
    <w:rsid w:val="0083487A"/>
    <w:rsid w:val="0084278B"/>
    <w:rsid w:val="0087135F"/>
    <w:rsid w:val="00872D94"/>
    <w:rsid w:val="00880364"/>
    <w:rsid w:val="00891592"/>
    <w:rsid w:val="00891E9E"/>
    <w:rsid w:val="008A2F68"/>
    <w:rsid w:val="008B4FA6"/>
    <w:rsid w:val="008B5282"/>
    <w:rsid w:val="008B7C17"/>
    <w:rsid w:val="008C2D01"/>
    <w:rsid w:val="008C40E6"/>
    <w:rsid w:val="008D0F7A"/>
    <w:rsid w:val="008D5348"/>
    <w:rsid w:val="008D68E4"/>
    <w:rsid w:val="008E0506"/>
    <w:rsid w:val="008E0CFF"/>
    <w:rsid w:val="008E135F"/>
    <w:rsid w:val="008E5D6B"/>
    <w:rsid w:val="008E76F0"/>
    <w:rsid w:val="008F15FE"/>
    <w:rsid w:val="008F2D29"/>
    <w:rsid w:val="008F5187"/>
    <w:rsid w:val="008F60D8"/>
    <w:rsid w:val="00902727"/>
    <w:rsid w:val="0090312B"/>
    <w:rsid w:val="0091736D"/>
    <w:rsid w:val="00925FBB"/>
    <w:rsid w:val="0093037A"/>
    <w:rsid w:val="00933F2D"/>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9F328A"/>
    <w:rsid w:val="00A04F1B"/>
    <w:rsid w:val="00A0501B"/>
    <w:rsid w:val="00A14947"/>
    <w:rsid w:val="00A31F2F"/>
    <w:rsid w:val="00A32A83"/>
    <w:rsid w:val="00A368DB"/>
    <w:rsid w:val="00A40B8D"/>
    <w:rsid w:val="00A423AA"/>
    <w:rsid w:val="00A53EC6"/>
    <w:rsid w:val="00A55C0F"/>
    <w:rsid w:val="00A673BE"/>
    <w:rsid w:val="00A8713F"/>
    <w:rsid w:val="00A90BA1"/>
    <w:rsid w:val="00A97A9A"/>
    <w:rsid w:val="00AA0671"/>
    <w:rsid w:val="00AA2531"/>
    <w:rsid w:val="00AB1E09"/>
    <w:rsid w:val="00AB5330"/>
    <w:rsid w:val="00AB7747"/>
    <w:rsid w:val="00AC14CE"/>
    <w:rsid w:val="00AC2A56"/>
    <w:rsid w:val="00AC598C"/>
    <w:rsid w:val="00AD055E"/>
    <w:rsid w:val="00AD47A7"/>
    <w:rsid w:val="00AE0B6E"/>
    <w:rsid w:val="00AF0CBF"/>
    <w:rsid w:val="00AF257F"/>
    <w:rsid w:val="00AF33CF"/>
    <w:rsid w:val="00AF4D50"/>
    <w:rsid w:val="00AF6179"/>
    <w:rsid w:val="00B0507A"/>
    <w:rsid w:val="00B1295A"/>
    <w:rsid w:val="00B20A45"/>
    <w:rsid w:val="00B22C5C"/>
    <w:rsid w:val="00B24F30"/>
    <w:rsid w:val="00B31ABF"/>
    <w:rsid w:val="00B33BE3"/>
    <w:rsid w:val="00B45189"/>
    <w:rsid w:val="00B53B5D"/>
    <w:rsid w:val="00B6055E"/>
    <w:rsid w:val="00B6317D"/>
    <w:rsid w:val="00B7723F"/>
    <w:rsid w:val="00B80534"/>
    <w:rsid w:val="00B8433C"/>
    <w:rsid w:val="00B857BD"/>
    <w:rsid w:val="00B87491"/>
    <w:rsid w:val="00B92181"/>
    <w:rsid w:val="00BA29E9"/>
    <w:rsid w:val="00BA7142"/>
    <w:rsid w:val="00BB237C"/>
    <w:rsid w:val="00BB41A3"/>
    <w:rsid w:val="00BC32DC"/>
    <w:rsid w:val="00BC35B6"/>
    <w:rsid w:val="00BD1B51"/>
    <w:rsid w:val="00BD4596"/>
    <w:rsid w:val="00BE1405"/>
    <w:rsid w:val="00BE312D"/>
    <w:rsid w:val="00BF1C20"/>
    <w:rsid w:val="00BF6359"/>
    <w:rsid w:val="00BF63EB"/>
    <w:rsid w:val="00C10578"/>
    <w:rsid w:val="00C135BC"/>
    <w:rsid w:val="00C15C95"/>
    <w:rsid w:val="00C24C13"/>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2F6B"/>
    <w:rsid w:val="00CF36BE"/>
    <w:rsid w:val="00CF6000"/>
    <w:rsid w:val="00D003F3"/>
    <w:rsid w:val="00D0364F"/>
    <w:rsid w:val="00D06834"/>
    <w:rsid w:val="00D214E6"/>
    <w:rsid w:val="00D26D9F"/>
    <w:rsid w:val="00D308ED"/>
    <w:rsid w:val="00D3500B"/>
    <w:rsid w:val="00D36D86"/>
    <w:rsid w:val="00D37C07"/>
    <w:rsid w:val="00D428AA"/>
    <w:rsid w:val="00D50A34"/>
    <w:rsid w:val="00D53EFA"/>
    <w:rsid w:val="00D60271"/>
    <w:rsid w:val="00D94A7C"/>
    <w:rsid w:val="00D95896"/>
    <w:rsid w:val="00DB2983"/>
    <w:rsid w:val="00DC1257"/>
    <w:rsid w:val="00DC1C9D"/>
    <w:rsid w:val="00DC3DC0"/>
    <w:rsid w:val="00DC5B2B"/>
    <w:rsid w:val="00DD318D"/>
    <w:rsid w:val="00DF2E12"/>
    <w:rsid w:val="00DF514A"/>
    <w:rsid w:val="00DF6690"/>
    <w:rsid w:val="00DF6804"/>
    <w:rsid w:val="00E01588"/>
    <w:rsid w:val="00E0358D"/>
    <w:rsid w:val="00E04323"/>
    <w:rsid w:val="00E070A2"/>
    <w:rsid w:val="00E21FB4"/>
    <w:rsid w:val="00E2656A"/>
    <w:rsid w:val="00E412D0"/>
    <w:rsid w:val="00E56322"/>
    <w:rsid w:val="00E60982"/>
    <w:rsid w:val="00E62C62"/>
    <w:rsid w:val="00E64794"/>
    <w:rsid w:val="00E654C1"/>
    <w:rsid w:val="00E65D97"/>
    <w:rsid w:val="00E72A5A"/>
    <w:rsid w:val="00E73354"/>
    <w:rsid w:val="00E80370"/>
    <w:rsid w:val="00E9242D"/>
    <w:rsid w:val="00E929FC"/>
    <w:rsid w:val="00E961AA"/>
    <w:rsid w:val="00EB5255"/>
    <w:rsid w:val="00EB5C47"/>
    <w:rsid w:val="00ED0639"/>
    <w:rsid w:val="00ED2A35"/>
    <w:rsid w:val="00EF4755"/>
    <w:rsid w:val="00EF7135"/>
    <w:rsid w:val="00F027DB"/>
    <w:rsid w:val="00F107B9"/>
    <w:rsid w:val="00F14A7A"/>
    <w:rsid w:val="00F22985"/>
    <w:rsid w:val="00F3383E"/>
    <w:rsid w:val="00F465A7"/>
    <w:rsid w:val="00F50B7C"/>
    <w:rsid w:val="00F550E6"/>
    <w:rsid w:val="00F74345"/>
    <w:rsid w:val="00F76391"/>
    <w:rsid w:val="00F80A0A"/>
    <w:rsid w:val="00F82B19"/>
    <w:rsid w:val="00F84841"/>
    <w:rsid w:val="00F9212D"/>
    <w:rsid w:val="00F965DA"/>
    <w:rsid w:val="00FA406A"/>
    <w:rsid w:val="00FB503A"/>
    <w:rsid w:val="00FB516C"/>
    <w:rsid w:val="00FB6C73"/>
    <w:rsid w:val="00FD0236"/>
    <w:rsid w:val="00FD18F4"/>
    <w:rsid w:val="00FD54DB"/>
    <w:rsid w:val="00FD619F"/>
    <w:rsid w:val="00FE5F73"/>
    <w:rsid w:val="010B405F"/>
    <w:rsid w:val="010C5220"/>
    <w:rsid w:val="01123E8A"/>
    <w:rsid w:val="01161381"/>
    <w:rsid w:val="01290F7E"/>
    <w:rsid w:val="012D2227"/>
    <w:rsid w:val="012D261A"/>
    <w:rsid w:val="013435B5"/>
    <w:rsid w:val="013712F7"/>
    <w:rsid w:val="01504A25"/>
    <w:rsid w:val="01541E88"/>
    <w:rsid w:val="0158523C"/>
    <w:rsid w:val="015A248B"/>
    <w:rsid w:val="015D1E09"/>
    <w:rsid w:val="01826A17"/>
    <w:rsid w:val="019B3A73"/>
    <w:rsid w:val="019D115B"/>
    <w:rsid w:val="01A56261"/>
    <w:rsid w:val="01B86DC2"/>
    <w:rsid w:val="01C44B1A"/>
    <w:rsid w:val="01CC55A9"/>
    <w:rsid w:val="01DA20AA"/>
    <w:rsid w:val="01E140D0"/>
    <w:rsid w:val="01FC2C01"/>
    <w:rsid w:val="02184B64"/>
    <w:rsid w:val="02186A33"/>
    <w:rsid w:val="023500F0"/>
    <w:rsid w:val="023932EE"/>
    <w:rsid w:val="023D46EC"/>
    <w:rsid w:val="0246107B"/>
    <w:rsid w:val="02483DA4"/>
    <w:rsid w:val="02485020"/>
    <w:rsid w:val="025A1A86"/>
    <w:rsid w:val="025B7684"/>
    <w:rsid w:val="025D666B"/>
    <w:rsid w:val="02691984"/>
    <w:rsid w:val="02697903"/>
    <w:rsid w:val="0270610F"/>
    <w:rsid w:val="02745185"/>
    <w:rsid w:val="028F3691"/>
    <w:rsid w:val="02993EFD"/>
    <w:rsid w:val="029F7154"/>
    <w:rsid w:val="02A40844"/>
    <w:rsid w:val="02A76009"/>
    <w:rsid w:val="02B31F5F"/>
    <w:rsid w:val="02BC7338"/>
    <w:rsid w:val="02D61F33"/>
    <w:rsid w:val="02D854F4"/>
    <w:rsid w:val="02EF2307"/>
    <w:rsid w:val="02F50957"/>
    <w:rsid w:val="02F96569"/>
    <w:rsid w:val="02FE2DEC"/>
    <w:rsid w:val="030F6088"/>
    <w:rsid w:val="03251D86"/>
    <w:rsid w:val="032559B3"/>
    <w:rsid w:val="032A1114"/>
    <w:rsid w:val="03383B03"/>
    <w:rsid w:val="033868EC"/>
    <w:rsid w:val="034C4F4D"/>
    <w:rsid w:val="03546191"/>
    <w:rsid w:val="03655EDC"/>
    <w:rsid w:val="03680B9F"/>
    <w:rsid w:val="036B6BBE"/>
    <w:rsid w:val="03704807"/>
    <w:rsid w:val="03764359"/>
    <w:rsid w:val="03784CDE"/>
    <w:rsid w:val="037B3E0C"/>
    <w:rsid w:val="0386421D"/>
    <w:rsid w:val="03885EBA"/>
    <w:rsid w:val="038F0F77"/>
    <w:rsid w:val="03A4769D"/>
    <w:rsid w:val="03B44E81"/>
    <w:rsid w:val="03CB0947"/>
    <w:rsid w:val="03CE738D"/>
    <w:rsid w:val="03D06A60"/>
    <w:rsid w:val="03D33559"/>
    <w:rsid w:val="03D8229E"/>
    <w:rsid w:val="03DE0CC7"/>
    <w:rsid w:val="03EA7B21"/>
    <w:rsid w:val="040000C7"/>
    <w:rsid w:val="04113D18"/>
    <w:rsid w:val="04211DC9"/>
    <w:rsid w:val="04251425"/>
    <w:rsid w:val="04264E5E"/>
    <w:rsid w:val="042C45F1"/>
    <w:rsid w:val="04301D26"/>
    <w:rsid w:val="04347AB6"/>
    <w:rsid w:val="043E6852"/>
    <w:rsid w:val="0442248D"/>
    <w:rsid w:val="044414C9"/>
    <w:rsid w:val="044E0E40"/>
    <w:rsid w:val="045B46CE"/>
    <w:rsid w:val="046318C7"/>
    <w:rsid w:val="046B3792"/>
    <w:rsid w:val="046E7D42"/>
    <w:rsid w:val="04736067"/>
    <w:rsid w:val="04770389"/>
    <w:rsid w:val="048A0B8C"/>
    <w:rsid w:val="04B50EB1"/>
    <w:rsid w:val="04B8484E"/>
    <w:rsid w:val="04D07E2C"/>
    <w:rsid w:val="04D31F5A"/>
    <w:rsid w:val="04DD0833"/>
    <w:rsid w:val="04EA4C99"/>
    <w:rsid w:val="04EE0AE8"/>
    <w:rsid w:val="04FC48FC"/>
    <w:rsid w:val="050A6597"/>
    <w:rsid w:val="050B287F"/>
    <w:rsid w:val="051762D5"/>
    <w:rsid w:val="05277873"/>
    <w:rsid w:val="0529659C"/>
    <w:rsid w:val="0530678A"/>
    <w:rsid w:val="053A4E87"/>
    <w:rsid w:val="054B524D"/>
    <w:rsid w:val="0553507C"/>
    <w:rsid w:val="05545631"/>
    <w:rsid w:val="056D2553"/>
    <w:rsid w:val="057272E7"/>
    <w:rsid w:val="05A5317B"/>
    <w:rsid w:val="05A94AB8"/>
    <w:rsid w:val="05B72A07"/>
    <w:rsid w:val="05BF76B4"/>
    <w:rsid w:val="05C93AD9"/>
    <w:rsid w:val="05D17F3E"/>
    <w:rsid w:val="05F83EAE"/>
    <w:rsid w:val="05FD666C"/>
    <w:rsid w:val="061B4D44"/>
    <w:rsid w:val="06315FF1"/>
    <w:rsid w:val="063E7D85"/>
    <w:rsid w:val="06614735"/>
    <w:rsid w:val="06636BA2"/>
    <w:rsid w:val="0679783A"/>
    <w:rsid w:val="067A4160"/>
    <w:rsid w:val="06815AFC"/>
    <w:rsid w:val="068C79F0"/>
    <w:rsid w:val="06C61153"/>
    <w:rsid w:val="06CF4373"/>
    <w:rsid w:val="06D01B31"/>
    <w:rsid w:val="06DE626A"/>
    <w:rsid w:val="06EE1376"/>
    <w:rsid w:val="06F95524"/>
    <w:rsid w:val="07027CB2"/>
    <w:rsid w:val="07123278"/>
    <w:rsid w:val="071C5FA3"/>
    <w:rsid w:val="072916E2"/>
    <w:rsid w:val="07293586"/>
    <w:rsid w:val="07295285"/>
    <w:rsid w:val="07346A6A"/>
    <w:rsid w:val="07483DAF"/>
    <w:rsid w:val="074D2E33"/>
    <w:rsid w:val="07636392"/>
    <w:rsid w:val="07684710"/>
    <w:rsid w:val="0772198A"/>
    <w:rsid w:val="07770C56"/>
    <w:rsid w:val="077844FD"/>
    <w:rsid w:val="07794418"/>
    <w:rsid w:val="077D5A1B"/>
    <w:rsid w:val="078563D5"/>
    <w:rsid w:val="07893F2F"/>
    <w:rsid w:val="078B79A9"/>
    <w:rsid w:val="0798712D"/>
    <w:rsid w:val="07AC57C1"/>
    <w:rsid w:val="07AF30A6"/>
    <w:rsid w:val="07C72703"/>
    <w:rsid w:val="07D65F6C"/>
    <w:rsid w:val="07E516C4"/>
    <w:rsid w:val="07F36E06"/>
    <w:rsid w:val="07F7220C"/>
    <w:rsid w:val="07F74CA0"/>
    <w:rsid w:val="080E095B"/>
    <w:rsid w:val="0811614A"/>
    <w:rsid w:val="081450A2"/>
    <w:rsid w:val="0836501F"/>
    <w:rsid w:val="08422274"/>
    <w:rsid w:val="084A1910"/>
    <w:rsid w:val="084E585C"/>
    <w:rsid w:val="0851244D"/>
    <w:rsid w:val="08563A48"/>
    <w:rsid w:val="08591D90"/>
    <w:rsid w:val="086E4ACA"/>
    <w:rsid w:val="08724F0F"/>
    <w:rsid w:val="08885083"/>
    <w:rsid w:val="08944C3D"/>
    <w:rsid w:val="08A00EA6"/>
    <w:rsid w:val="08A242C7"/>
    <w:rsid w:val="08A52C48"/>
    <w:rsid w:val="08A67865"/>
    <w:rsid w:val="08E9737B"/>
    <w:rsid w:val="08F02F05"/>
    <w:rsid w:val="08FC2B73"/>
    <w:rsid w:val="08FF04DD"/>
    <w:rsid w:val="09006911"/>
    <w:rsid w:val="090A36BF"/>
    <w:rsid w:val="0911242E"/>
    <w:rsid w:val="092217DD"/>
    <w:rsid w:val="09292D0E"/>
    <w:rsid w:val="09372EA9"/>
    <w:rsid w:val="093A7294"/>
    <w:rsid w:val="093F6AE2"/>
    <w:rsid w:val="0966246F"/>
    <w:rsid w:val="096B2D0D"/>
    <w:rsid w:val="09702708"/>
    <w:rsid w:val="098761CE"/>
    <w:rsid w:val="098C370B"/>
    <w:rsid w:val="09901168"/>
    <w:rsid w:val="09A35C35"/>
    <w:rsid w:val="09B8651B"/>
    <w:rsid w:val="09BB4917"/>
    <w:rsid w:val="09BC7ADA"/>
    <w:rsid w:val="09C474A0"/>
    <w:rsid w:val="09CD5E91"/>
    <w:rsid w:val="09DB3C99"/>
    <w:rsid w:val="09E663FF"/>
    <w:rsid w:val="09EB2C7F"/>
    <w:rsid w:val="09F06AB0"/>
    <w:rsid w:val="0A0211D5"/>
    <w:rsid w:val="0A0D7099"/>
    <w:rsid w:val="0A1B7A08"/>
    <w:rsid w:val="0A207AE8"/>
    <w:rsid w:val="0A255503"/>
    <w:rsid w:val="0A263993"/>
    <w:rsid w:val="0A2D3AC2"/>
    <w:rsid w:val="0A2D5046"/>
    <w:rsid w:val="0A36194A"/>
    <w:rsid w:val="0A4242BC"/>
    <w:rsid w:val="0A4E4C50"/>
    <w:rsid w:val="0A526AA2"/>
    <w:rsid w:val="0A79472F"/>
    <w:rsid w:val="0AA55524"/>
    <w:rsid w:val="0AA755DF"/>
    <w:rsid w:val="0AB235A9"/>
    <w:rsid w:val="0AB831EA"/>
    <w:rsid w:val="0AB85257"/>
    <w:rsid w:val="0AC86CBC"/>
    <w:rsid w:val="0ACF303E"/>
    <w:rsid w:val="0AFD2C6A"/>
    <w:rsid w:val="0B120D44"/>
    <w:rsid w:val="0B220922"/>
    <w:rsid w:val="0B2E1CE4"/>
    <w:rsid w:val="0B372CF6"/>
    <w:rsid w:val="0B462863"/>
    <w:rsid w:val="0B5D337D"/>
    <w:rsid w:val="0B5F39C9"/>
    <w:rsid w:val="0B73117E"/>
    <w:rsid w:val="0B7D3DAB"/>
    <w:rsid w:val="0B822F11"/>
    <w:rsid w:val="0B8B296C"/>
    <w:rsid w:val="0BA255A7"/>
    <w:rsid w:val="0BC3421A"/>
    <w:rsid w:val="0BC722A5"/>
    <w:rsid w:val="0BD27BF6"/>
    <w:rsid w:val="0BD50BD6"/>
    <w:rsid w:val="0BD51E39"/>
    <w:rsid w:val="0BDF4C6D"/>
    <w:rsid w:val="0BEF0FDC"/>
    <w:rsid w:val="0BF6224B"/>
    <w:rsid w:val="0BF75B70"/>
    <w:rsid w:val="0C177D5B"/>
    <w:rsid w:val="0C2016B3"/>
    <w:rsid w:val="0C267665"/>
    <w:rsid w:val="0C2C4E22"/>
    <w:rsid w:val="0C32020B"/>
    <w:rsid w:val="0C3B3C7D"/>
    <w:rsid w:val="0C4B6E38"/>
    <w:rsid w:val="0C5F1352"/>
    <w:rsid w:val="0C6632C1"/>
    <w:rsid w:val="0C881405"/>
    <w:rsid w:val="0C8A677F"/>
    <w:rsid w:val="0CAB2EAE"/>
    <w:rsid w:val="0CB10912"/>
    <w:rsid w:val="0CC04ECC"/>
    <w:rsid w:val="0CCA1272"/>
    <w:rsid w:val="0CDA7707"/>
    <w:rsid w:val="0CE204F3"/>
    <w:rsid w:val="0CE5705F"/>
    <w:rsid w:val="0CF25558"/>
    <w:rsid w:val="0CF63E15"/>
    <w:rsid w:val="0CFD33F5"/>
    <w:rsid w:val="0D0E5916"/>
    <w:rsid w:val="0D166265"/>
    <w:rsid w:val="0D171176"/>
    <w:rsid w:val="0D190642"/>
    <w:rsid w:val="0D1F0755"/>
    <w:rsid w:val="0D354DA4"/>
    <w:rsid w:val="0D396275"/>
    <w:rsid w:val="0D3B5CCB"/>
    <w:rsid w:val="0D3F0EA0"/>
    <w:rsid w:val="0D477310"/>
    <w:rsid w:val="0D4F1296"/>
    <w:rsid w:val="0D5438AC"/>
    <w:rsid w:val="0D5C636E"/>
    <w:rsid w:val="0D621C7D"/>
    <w:rsid w:val="0D6E7E4F"/>
    <w:rsid w:val="0D9518A9"/>
    <w:rsid w:val="0D9A50E8"/>
    <w:rsid w:val="0DA84934"/>
    <w:rsid w:val="0DAC733D"/>
    <w:rsid w:val="0DAD0977"/>
    <w:rsid w:val="0DB73D8B"/>
    <w:rsid w:val="0DB937C0"/>
    <w:rsid w:val="0DC65EDD"/>
    <w:rsid w:val="0DDF724E"/>
    <w:rsid w:val="0DE3413F"/>
    <w:rsid w:val="0E0E4AD3"/>
    <w:rsid w:val="0E0F33E0"/>
    <w:rsid w:val="0E126F1C"/>
    <w:rsid w:val="0E1A3B33"/>
    <w:rsid w:val="0E272740"/>
    <w:rsid w:val="0E320E7D"/>
    <w:rsid w:val="0E3B2427"/>
    <w:rsid w:val="0E3E5FA0"/>
    <w:rsid w:val="0E482567"/>
    <w:rsid w:val="0E4D3588"/>
    <w:rsid w:val="0E73034D"/>
    <w:rsid w:val="0E74112A"/>
    <w:rsid w:val="0E7D4279"/>
    <w:rsid w:val="0E7F4DF0"/>
    <w:rsid w:val="0E863D7E"/>
    <w:rsid w:val="0E87566C"/>
    <w:rsid w:val="0E9D7D0E"/>
    <w:rsid w:val="0ECA1CDC"/>
    <w:rsid w:val="0EDC0F33"/>
    <w:rsid w:val="0EE02FCE"/>
    <w:rsid w:val="0EE4281A"/>
    <w:rsid w:val="0EE45491"/>
    <w:rsid w:val="0F017011"/>
    <w:rsid w:val="0F0D5446"/>
    <w:rsid w:val="0F0E6229"/>
    <w:rsid w:val="0F13775A"/>
    <w:rsid w:val="0F19705F"/>
    <w:rsid w:val="0F1F51F2"/>
    <w:rsid w:val="0F323637"/>
    <w:rsid w:val="0F4C4037"/>
    <w:rsid w:val="0F540F30"/>
    <w:rsid w:val="0F5F45FE"/>
    <w:rsid w:val="0F5F50A2"/>
    <w:rsid w:val="0F60695F"/>
    <w:rsid w:val="0F6B53E7"/>
    <w:rsid w:val="0F8E6586"/>
    <w:rsid w:val="0F9A112B"/>
    <w:rsid w:val="0F9F5017"/>
    <w:rsid w:val="0FA25D28"/>
    <w:rsid w:val="0FB104C7"/>
    <w:rsid w:val="0FC95811"/>
    <w:rsid w:val="0FCD18B9"/>
    <w:rsid w:val="0FCD7A2A"/>
    <w:rsid w:val="0FD10701"/>
    <w:rsid w:val="0FD20B69"/>
    <w:rsid w:val="0FED6C15"/>
    <w:rsid w:val="0FEF171B"/>
    <w:rsid w:val="1009694C"/>
    <w:rsid w:val="100A2DAF"/>
    <w:rsid w:val="10257D05"/>
    <w:rsid w:val="10261BFA"/>
    <w:rsid w:val="10326F5D"/>
    <w:rsid w:val="10330E74"/>
    <w:rsid w:val="103D3A1B"/>
    <w:rsid w:val="104A551A"/>
    <w:rsid w:val="104E0A0A"/>
    <w:rsid w:val="10503B87"/>
    <w:rsid w:val="1065086E"/>
    <w:rsid w:val="106D2F64"/>
    <w:rsid w:val="108160EB"/>
    <w:rsid w:val="10B63710"/>
    <w:rsid w:val="10B71902"/>
    <w:rsid w:val="10C1017D"/>
    <w:rsid w:val="10C50195"/>
    <w:rsid w:val="10D517BE"/>
    <w:rsid w:val="10F10820"/>
    <w:rsid w:val="10F327B1"/>
    <w:rsid w:val="10FE75C2"/>
    <w:rsid w:val="110265A3"/>
    <w:rsid w:val="111C2F7A"/>
    <w:rsid w:val="112371A2"/>
    <w:rsid w:val="11264092"/>
    <w:rsid w:val="112D6653"/>
    <w:rsid w:val="112D6732"/>
    <w:rsid w:val="11646FA6"/>
    <w:rsid w:val="11665CA1"/>
    <w:rsid w:val="117E082F"/>
    <w:rsid w:val="118013DB"/>
    <w:rsid w:val="1191429F"/>
    <w:rsid w:val="119C2276"/>
    <w:rsid w:val="11AA3E5D"/>
    <w:rsid w:val="11B31925"/>
    <w:rsid w:val="11C82A0D"/>
    <w:rsid w:val="11C96CDB"/>
    <w:rsid w:val="11CB1D14"/>
    <w:rsid w:val="11CF1A74"/>
    <w:rsid w:val="11E46932"/>
    <w:rsid w:val="11E9219A"/>
    <w:rsid w:val="12064AFA"/>
    <w:rsid w:val="121A2353"/>
    <w:rsid w:val="121A333B"/>
    <w:rsid w:val="12390792"/>
    <w:rsid w:val="123A5806"/>
    <w:rsid w:val="123F625E"/>
    <w:rsid w:val="124A67DD"/>
    <w:rsid w:val="125F66B6"/>
    <w:rsid w:val="126C21DF"/>
    <w:rsid w:val="12704669"/>
    <w:rsid w:val="12A30BC5"/>
    <w:rsid w:val="12A44C97"/>
    <w:rsid w:val="12A61E39"/>
    <w:rsid w:val="12BD6F20"/>
    <w:rsid w:val="12C16C73"/>
    <w:rsid w:val="12C64289"/>
    <w:rsid w:val="12E12E71"/>
    <w:rsid w:val="12EB4BCC"/>
    <w:rsid w:val="12F631FE"/>
    <w:rsid w:val="13124940"/>
    <w:rsid w:val="13215343"/>
    <w:rsid w:val="13271764"/>
    <w:rsid w:val="133C6A1A"/>
    <w:rsid w:val="134639E1"/>
    <w:rsid w:val="134B2B0A"/>
    <w:rsid w:val="1362026A"/>
    <w:rsid w:val="13712452"/>
    <w:rsid w:val="137F010F"/>
    <w:rsid w:val="138F28CD"/>
    <w:rsid w:val="13951726"/>
    <w:rsid w:val="139628B6"/>
    <w:rsid w:val="13985790"/>
    <w:rsid w:val="139D431D"/>
    <w:rsid w:val="13B01DD4"/>
    <w:rsid w:val="13C95DDF"/>
    <w:rsid w:val="13E1581F"/>
    <w:rsid w:val="13E561C6"/>
    <w:rsid w:val="13EA020E"/>
    <w:rsid w:val="13F4253B"/>
    <w:rsid w:val="14030B87"/>
    <w:rsid w:val="14145336"/>
    <w:rsid w:val="1427103E"/>
    <w:rsid w:val="14396509"/>
    <w:rsid w:val="14596EEE"/>
    <w:rsid w:val="145A4238"/>
    <w:rsid w:val="145B0D83"/>
    <w:rsid w:val="145D5AD2"/>
    <w:rsid w:val="1463133A"/>
    <w:rsid w:val="146C3D34"/>
    <w:rsid w:val="14860174"/>
    <w:rsid w:val="149C7B6D"/>
    <w:rsid w:val="14A81A09"/>
    <w:rsid w:val="14AA20B4"/>
    <w:rsid w:val="14DD2C3C"/>
    <w:rsid w:val="14DE1D5E"/>
    <w:rsid w:val="14E1184E"/>
    <w:rsid w:val="14E223AA"/>
    <w:rsid w:val="14E81D15"/>
    <w:rsid w:val="14FA15F0"/>
    <w:rsid w:val="14FE5F5C"/>
    <w:rsid w:val="15194B44"/>
    <w:rsid w:val="152043C2"/>
    <w:rsid w:val="153631E5"/>
    <w:rsid w:val="15375705"/>
    <w:rsid w:val="15415E49"/>
    <w:rsid w:val="1558650B"/>
    <w:rsid w:val="156E30E2"/>
    <w:rsid w:val="157E7416"/>
    <w:rsid w:val="158517AF"/>
    <w:rsid w:val="1596476E"/>
    <w:rsid w:val="15AA552C"/>
    <w:rsid w:val="15AB3CF9"/>
    <w:rsid w:val="15B70A1A"/>
    <w:rsid w:val="15BB5BFB"/>
    <w:rsid w:val="15BD5158"/>
    <w:rsid w:val="15C11F7F"/>
    <w:rsid w:val="15CA5E3E"/>
    <w:rsid w:val="15D05B4B"/>
    <w:rsid w:val="15D47CFF"/>
    <w:rsid w:val="15DF5EAA"/>
    <w:rsid w:val="15E769F0"/>
    <w:rsid w:val="15EE3A97"/>
    <w:rsid w:val="15FC6940"/>
    <w:rsid w:val="15FC76A4"/>
    <w:rsid w:val="15FD3F46"/>
    <w:rsid w:val="16053B22"/>
    <w:rsid w:val="16087E1D"/>
    <w:rsid w:val="161D1CE9"/>
    <w:rsid w:val="16286971"/>
    <w:rsid w:val="16297659"/>
    <w:rsid w:val="16336E5D"/>
    <w:rsid w:val="163F682C"/>
    <w:rsid w:val="16430362"/>
    <w:rsid w:val="164C052F"/>
    <w:rsid w:val="165E32B9"/>
    <w:rsid w:val="165F30CF"/>
    <w:rsid w:val="16637409"/>
    <w:rsid w:val="1672275E"/>
    <w:rsid w:val="167C5922"/>
    <w:rsid w:val="1682381B"/>
    <w:rsid w:val="16972552"/>
    <w:rsid w:val="169A0A5A"/>
    <w:rsid w:val="16A36DBB"/>
    <w:rsid w:val="16B26FFE"/>
    <w:rsid w:val="16D03928"/>
    <w:rsid w:val="16D75927"/>
    <w:rsid w:val="16F511B2"/>
    <w:rsid w:val="16F818C7"/>
    <w:rsid w:val="170A1220"/>
    <w:rsid w:val="17231CAA"/>
    <w:rsid w:val="17240813"/>
    <w:rsid w:val="172F064F"/>
    <w:rsid w:val="172F4566"/>
    <w:rsid w:val="17505D59"/>
    <w:rsid w:val="176D50B9"/>
    <w:rsid w:val="17701D14"/>
    <w:rsid w:val="1772282F"/>
    <w:rsid w:val="17735226"/>
    <w:rsid w:val="17835961"/>
    <w:rsid w:val="178F01D3"/>
    <w:rsid w:val="17981ECF"/>
    <w:rsid w:val="179C44A9"/>
    <w:rsid w:val="17AC6CEA"/>
    <w:rsid w:val="17AF0183"/>
    <w:rsid w:val="17B8110F"/>
    <w:rsid w:val="17BE5353"/>
    <w:rsid w:val="17C417A5"/>
    <w:rsid w:val="17DB4ACD"/>
    <w:rsid w:val="17DE0F7E"/>
    <w:rsid w:val="17F51899"/>
    <w:rsid w:val="181A053B"/>
    <w:rsid w:val="182512AF"/>
    <w:rsid w:val="182A0E16"/>
    <w:rsid w:val="182F1E13"/>
    <w:rsid w:val="185145F5"/>
    <w:rsid w:val="18636913"/>
    <w:rsid w:val="18643F78"/>
    <w:rsid w:val="18644860"/>
    <w:rsid w:val="186641C5"/>
    <w:rsid w:val="18784278"/>
    <w:rsid w:val="188039C8"/>
    <w:rsid w:val="189342A4"/>
    <w:rsid w:val="189F624C"/>
    <w:rsid w:val="18AC3C7C"/>
    <w:rsid w:val="18AC5CCF"/>
    <w:rsid w:val="18AD3F21"/>
    <w:rsid w:val="18B56F14"/>
    <w:rsid w:val="18B828C6"/>
    <w:rsid w:val="18BB48EE"/>
    <w:rsid w:val="18D5376F"/>
    <w:rsid w:val="18DC6BC1"/>
    <w:rsid w:val="18E368BA"/>
    <w:rsid w:val="18E717BF"/>
    <w:rsid w:val="18EF4243"/>
    <w:rsid w:val="18F002B2"/>
    <w:rsid w:val="19053D5D"/>
    <w:rsid w:val="192C70DC"/>
    <w:rsid w:val="19300329"/>
    <w:rsid w:val="193D0F12"/>
    <w:rsid w:val="194A641F"/>
    <w:rsid w:val="197B1054"/>
    <w:rsid w:val="198331D8"/>
    <w:rsid w:val="19A1243F"/>
    <w:rsid w:val="19CC6629"/>
    <w:rsid w:val="19E420C7"/>
    <w:rsid w:val="19EA19E4"/>
    <w:rsid w:val="19EA6A67"/>
    <w:rsid w:val="19F33BB6"/>
    <w:rsid w:val="19F73BFF"/>
    <w:rsid w:val="1A1054DE"/>
    <w:rsid w:val="1A1C66C0"/>
    <w:rsid w:val="1A253839"/>
    <w:rsid w:val="1A2747AF"/>
    <w:rsid w:val="1A274BCE"/>
    <w:rsid w:val="1A284F61"/>
    <w:rsid w:val="1A2B52D8"/>
    <w:rsid w:val="1A3B4A49"/>
    <w:rsid w:val="1A3F1FD4"/>
    <w:rsid w:val="1A42393B"/>
    <w:rsid w:val="1A484105"/>
    <w:rsid w:val="1A564145"/>
    <w:rsid w:val="1A6A51B6"/>
    <w:rsid w:val="1A6E456A"/>
    <w:rsid w:val="1A796BF8"/>
    <w:rsid w:val="1A8A3DEE"/>
    <w:rsid w:val="1AAA4FCD"/>
    <w:rsid w:val="1AAD45DE"/>
    <w:rsid w:val="1AB83B5C"/>
    <w:rsid w:val="1ABB218C"/>
    <w:rsid w:val="1AD4308C"/>
    <w:rsid w:val="1AE343DA"/>
    <w:rsid w:val="1AE50953"/>
    <w:rsid w:val="1AE55BAA"/>
    <w:rsid w:val="1B046F80"/>
    <w:rsid w:val="1B0478B6"/>
    <w:rsid w:val="1B084E81"/>
    <w:rsid w:val="1B322FC4"/>
    <w:rsid w:val="1B3267B5"/>
    <w:rsid w:val="1B40161D"/>
    <w:rsid w:val="1B441859"/>
    <w:rsid w:val="1B48372E"/>
    <w:rsid w:val="1B6606B1"/>
    <w:rsid w:val="1B7231E1"/>
    <w:rsid w:val="1B75499A"/>
    <w:rsid w:val="1B8C300B"/>
    <w:rsid w:val="1B8C6519"/>
    <w:rsid w:val="1B8E27A7"/>
    <w:rsid w:val="1B966EEF"/>
    <w:rsid w:val="1B9C30AB"/>
    <w:rsid w:val="1BB828BF"/>
    <w:rsid w:val="1BC701E0"/>
    <w:rsid w:val="1BDF0F49"/>
    <w:rsid w:val="1BEB2B7A"/>
    <w:rsid w:val="1BF15539"/>
    <w:rsid w:val="1BFF7D06"/>
    <w:rsid w:val="1C107ED1"/>
    <w:rsid w:val="1C3A442D"/>
    <w:rsid w:val="1C3D736A"/>
    <w:rsid w:val="1C592D77"/>
    <w:rsid w:val="1C5E7925"/>
    <w:rsid w:val="1C662D8F"/>
    <w:rsid w:val="1C707F17"/>
    <w:rsid w:val="1C74320F"/>
    <w:rsid w:val="1CBA5F77"/>
    <w:rsid w:val="1CCB706C"/>
    <w:rsid w:val="1CEF1D23"/>
    <w:rsid w:val="1CFD070F"/>
    <w:rsid w:val="1D0F39CD"/>
    <w:rsid w:val="1D183933"/>
    <w:rsid w:val="1D420C7B"/>
    <w:rsid w:val="1D450EF0"/>
    <w:rsid w:val="1D465E99"/>
    <w:rsid w:val="1D4B65C5"/>
    <w:rsid w:val="1D4C0D21"/>
    <w:rsid w:val="1D5C1A72"/>
    <w:rsid w:val="1D5F6196"/>
    <w:rsid w:val="1D6132A5"/>
    <w:rsid w:val="1D6272F8"/>
    <w:rsid w:val="1D691D0A"/>
    <w:rsid w:val="1D7C6784"/>
    <w:rsid w:val="1D8E56D5"/>
    <w:rsid w:val="1D915B95"/>
    <w:rsid w:val="1DA63635"/>
    <w:rsid w:val="1DA64144"/>
    <w:rsid w:val="1DAC3B16"/>
    <w:rsid w:val="1DB001FD"/>
    <w:rsid w:val="1DB25B36"/>
    <w:rsid w:val="1DB30711"/>
    <w:rsid w:val="1DB61CC7"/>
    <w:rsid w:val="1DBD04DA"/>
    <w:rsid w:val="1DC26554"/>
    <w:rsid w:val="1DC675AB"/>
    <w:rsid w:val="1DD0124D"/>
    <w:rsid w:val="1DD93354"/>
    <w:rsid w:val="1DEE1373"/>
    <w:rsid w:val="1DF5145A"/>
    <w:rsid w:val="1E122407"/>
    <w:rsid w:val="1E14074F"/>
    <w:rsid w:val="1E324C07"/>
    <w:rsid w:val="1E42510C"/>
    <w:rsid w:val="1E467EB0"/>
    <w:rsid w:val="1E494E14"/>
    <w:rsid w:val="1E6432D4"/>
    <w:rsid w:val="1E650DFA"/>
    <w:rsid w:val="1E6D7CAF"/>
    <w:rsid w:val="1E7A43DA"/>
    <w:rsid w:val="1E83119C"/>
    <w:rsid w:val="1EA54FB9"/>
    <w:rsid w:val="1EB1097C"/>
    <w:rsid w:val="1EB16B64"/>
    <w:rsid w:val="1EB66B52"/>
    <w:rsid w:val="1EB95DF3"/>
    <w:rsid w:val="1EC84EC8"/>
    <w:rsid w:val="1ED54DF8"/>
    <w:rsid w:val="1EEE2B9E"/>
    <w:rsid w:val="1EFC175F"/>
    <w:rsid w:val="1F21644C"/>
    <w:rsid w:val="1F2C479B"/>
    <w:rsid w:val="1F3F33F9"/>
    <w:rsid w:val="1F525822"/>
    <w:rsid w:val="1F5270A7"/>
    <w:rsid w:val="1F5A2621"/>
    <w:rsid w:val="1F612F1B"/>
    <w:rsid w:val="1F65439A"/>
    <w:rsid w:val="1F691F02"/>
    <w:rsid w:val="1F72315D"/>
    <w:rsid w:val="1F7359B4"/>
    <w:rsid w:val="1F7A4FE8"/>
    <w:rsid w:val="1F88110D"/>
    <w:rsid w:val="1F940AF5"/>
    <w:rsid w:val="1F967629"/>
    <w:rsid w:val="1FA72FA4"/>
    <w:rsid w:val="1FA94D17"/>
    <w:rsid w:val="1FA97A2D"/>
    <w:rsid w:val="1FAA2878"/>
    <w:rsid w:val="1FAF5501"/>
    <w:rsid w:val="1FAF67D1"/>
    <w:rsid w:val="1FC051F5"/>
    <w:rsid w:val="1FD80EBE"/>
    <w:rsid w:val="1FDD7A5C"/>
    <w:rsid w:val="1FE53FE9"/>
    <w:rsid w:val="1FE7539E"/>
    <w:rsid w:val="1FEA6512"/>
    <w:rsid w:val="1FF02946"/>
    <w:rsid w:val="1FFF58E9"/>
    <w:rsid w:val="2009207B"/>
    <w:rsid w:val="200D1A0E"/>
    <w:rsid w:val="20144886"/>
    <w:rsid w:val="202773F9"/>
    <w:rsid w:val="20332D51"/>
    <w:rsid w:val="203D6979"/>
    <w:rsid w:val="20445493"/>
    <w:rsid w:val="204561FB"/>
    <w:rsid w:val="2060790C"/>
    <w:rsid w:val="20671BE0"/>
    <w:rsid w:val="20963CB8"/>
    <w:rsid w:val="209B0B03"/>
    <w:rsid w:val="209C5518"/>
    <w:rsid w:val="20A7394C"/>
    <w:rsid w:val="20A81A1B"/>
    <w:rsid w:val="20B07FB6"/>
    <w:rsid w:val="20B221AC"/>
    <w:rsid w:val="20B646FB"/>
    <w:rsid w:val="20CD76B5"/>
    <w:rsid w:val="20CE712B"/>
    <w:rsid w:val="20E31E62"/>
    <w:rsid w:val="20E34649"/>
    <w:rsid w:val="20ED20DF"/>
    <w:rsid w:val="210D3A26"/>
    <w:rsid w:val="21101404"/>
    <w:rsid w:val="2119684C"/>
    <w:rsid w:val="211D59BC"/>
    <w:rsid w:val="21267ED9"/>
    <w:rsid w:val="21272BF8"/>
    <w:rsid w:val="213B74B1"/>
    <w:rsid w:val="214473ED"/>
    <w:rsid w:val="21465528"/>
    <w:rsid w:val="21582E98"/>
    <w:rsid w:val="215A2310"/>
    <w:rsid w:val="21677697"/>
    <w:rsid w:val="219C7BAD"/>
    <w:rsid w:val="21A335F2"/>
    <w:rsid w:val="21C57864"/>
    <w:rsid w:val="21C615AE"/>
    <w:rsid w:val="21D56297"/>
    <w:rsid w:val="21DE318A"/>
    <w:rsid w:val="21EE17FD"/>
    <w:rsid w:val="21EF5B80"/>
    <w:rsid w:val="2209035D"/>
    <w:rsid w:val="22111F97"/>
    <w:rsid w:val="2219624A"/>
    <w:rsid w:val="2236120F"/>
    <w:rsid w:val="22377F42"/>
    <w:rsid w:val="22576990"/>
    <w:rsid w:val="225D3B84"/>
    <w:rsid w:val="226854E4"/>
    <w:rsid w:val="226B71B8"/>
    <w:rsid w:val="226F574F"/>
    <w:rsid w:val="22734CA0"/>
    <w:rsid w:val="227D4AFA"/>
    <w:rsid w:val="228850B7"/>
    <w:rsid w:val="22A7378F"/>
    <w:rsid w:val="22B91715"/>
    <w:rsid w:val="22C81958"/>
    <w:rsid w:val="22CD600A"/>
    <w:rsid w:val="22E61AD1"/>
    <w:rsid w:val="22F47480"/>
    <w:rsid w:val="230B6414"/>
    <w:rsid w:val="230E241E"/>
    <w:rsid w:val="232B0EA0"/>
    <w:rsid w:val="232B292E"/>
    <w:rsid w:val="232C0052"/>
    <w:rsid w:val="232C1EE7"/>
    <w:rsid w:val="234279DB"/>
    <w:rsid w:val="2347164C"/>
    <w:rsid w:val="23717875"/>
    <w:rsid w:val="237F66DF"/>
    <w:rsid w:val="238D3B7D"/>
    <w:rsid w:val="239E2DA5"/>
    <w:rsid w:val="23A02256"/>
    <w:rsid w:val="23A351B6"/>
    <w:rsid w:val="23B75428"/>
    <w:rsid w:val="23B819CC"/>
    <w:rsid w:val="23C518F6"/>
    <w:rsid w:val="23DC2BD3"/>
    <w:rsid w:val="23DE1C48"/>
    <w:rsid w:val="23E32EED"/>
    <w:rsid w:val="23EB109F"/>
    <w:rsid w:val="23FA3D93"/>
    <w:rsid w:val="240210CD"/>
    <w:rsid w:val="24143E1B"/>
    <w:rsid w:val="241967ED"/>
    <w:rsid w:val="241A54DB"/>
    <w:rsid w:val="241F2D9B"/>
    <w:rsid w:val="243F31FB"/>
    <w:rsid w:val="24440AB1"/>
    <w:rsid w:val="24463952"/>
    <w:rsid w:val="244D65B8"/>
    <w:rsid w:val="24522496"/>
    <w:rsid w:val="2453248F"/>
    <w:rsid w:val="246048C9"/>
    <w:rsid w:val="246F3E35"/>
    <w:rsid w:val="248F3D6A"/>
    <w:rsid w:val="249146F7"/>
    <w:rsid w:val="249D0E92"/>
    <w:rsid w:val="24A45153"/>
    <w:rsid w:val="24AA30B5"/>
    <w:rsid w:val="24B16B47"/>
    <w:rsid w:val="24BF09F7"/>
    <w:rsid w:val="24D46924"/>
    <w:rsid w:val="24D97E4C"/>
    <w:rsid w:val="24DA14FB"/>
    <w:rsid w:val="24E30CCB"/>
    <w:rsid w:val="24EB7A61"/>
    <w:rsid w:val="24ED75E6"/>
    <w:rsid w:val="25066569"/>
    <w:rsid w:val="250C1B44"/>
    <w:rsid w:val="251F2D5F"/>
    <w:rsid w:val="251F7F55"/>
    <w:rsid w:val="252D53FE"/>
    <w:rsid w:val="253343AB"/>
    <w:rsid w:val="254C2D14"/>
    <w:rsid w:val="254F010E"/>
    <w:rsid w:val="25533D7B"/>
    <w:rsid w:val="256512D1"/>
    <w:rsid w:val="25743E64"/>
    <w:rsid w:val="258573B3"/>
    <w:rsid w:val="258723D5"/>
    <w:rsid w:val="259E376E"/>
    <w:rsid w:val="25A04E75"/>
    <w:rsid w:val="25BA096E"/>
    <w:rsid w:val="25BB1C56"/>
    <w:rsid w:val="25BD776E"/>
    <w:rsid w:val="25C0009A"/>
    <w:rsid w:val="25D64147"/>
    <w:rsid w:val="25DA20CE"/>
    <w:rsid w:val="25E940BF"/>
    <w:rsid w:val="25EC2D81"/>
    <w:rsid w:val="25EE4659"/>
    <w:rsid w:val="25F627F1"/>
    <w:rsid w:val="25FA5438"/>
    <w:rsid w:val="25FE1210"/>
    <w:rsid w:val="260C09A1"/>
    <w:rsid w:val="26164459"/>
    <w:rsid w:val="26385E8A"/>
    <w:rsid w:val="26432265"/>
    <w:rsid w:val="26497962"/>
    <w:rsid w:val="26545FB0"/>
    <w:rsid w:val="265D60A4"/>
    <w:rsid w:val="26647BE9"/>
    <w:rsid w:val="267A7DCA"/>
    <w:rsid w:val="26926505"/>
    <w:rsid w:val="269B5515"/>
    <w:rsid w:val="26AB4560"/>
    <w:rsid w:val="26B139FF"/>
    <w:rsid w:val="26D37A33"/>
    <w:rsid w:val="26E434F5"/>
    <w:rsid w:val="26E566CD"/>
    <w:rsid w:val="26EA0D5D"/>
    <w:rsid w:val="26FA0563"/>
    <w:rsid w:val="270625E9"/>
    <w:rsid w:val="2713557A"/>
    <w:rsid w:val="271909D4"/>
    <w:rsid w:val="271C3A87"/>
    <w:rsid w:val="27280C17"/>
    <w:rsid w:val="273D0034"/>
    <w:rsid w:val="273D0B66"/>
    <w:rsid w:val="274F070D"/>
    <w:rsid w:val="2762342C"/>
    <w:rsid w:val="276C4FA7"/>
    <w:rsid w:val="276F1FAA"/>
    <w:rsid w:val="277057A2"/>
    <w:rsid w:val="278F5E5E"/>
    <w:rsid w:val="279572B1"/>
    <w:rsid w:val="27CE17BE"/>
    <w:rsid w:val="27DA0163"/>
    <w:rsid w:val="28016611"/>
    <w:rsid w:val="2805016B"/>
    <w:rsid w:val="280A494E"/>
    <w:rsid w:val="280C5625"/>
    <w:rsid w:val="283A4F89"/>
    <w:rsid w:val="28485A15"/>
    <w:rsid w:val="28665E9B"/>
    <w:rsid w:val="287B6793"/>
    <w:rsid w:val="28837CC3"/>
    <w:rsid w:val="28891C41"/>
    <w:rsid w:val="288E79DA"/>
    <w:rsid w:val="28985586"/>
    <w:rsid w:val="289B3780"/>
    <w:rsid w:val="28A013AD"/>
    <w:rsid w:val="28A40771"/>
    <w:rsid w:val="28BD333D"/>
    <w:rsid w:val="28C7204A"/>
    <w:rsid w:val="28CE3C3A"/>
    <w:rsid w:val="28DA6A0D"/>
    <w:rsid w:val="28E079FB"/>
    <w:rsid w:val="28E93E0F"/>
    <w:rsid w:val="28EB24A4"/>
    <w:rsid w:val="28FE60D3"/>
    <w:rsid w:val="29003BF9"/>
    <w:rsid w:val="29043455"/>
    <w:rsid w:val="290556B4"/>
    <w:rsid w:val="29057462"/>
    <w:rsid w:val="29064A9F"/>
    <w:rsid w:val="29083DDD"/>
    <w:rsid w:val="290B259E"/>
    <w:rsid w:val="29171691"/>
    <w:rsid w:val="29206EB8"/>
    <w:rsid w:val="2936658E"/>
    <w:rsid w:val="293A36A0"/>
    <w:rsid w:val="2951091E"/>
    <w:rsid w:val="2952171A"/>
    <w:rsid w:val="29595666"/>
    <w:rsid w:val="297102B7"/>
    <w:rsid w:val="297D7489"/>
    <w:rsid w:val="29874881"/>
    <w:rsid w:val="29910560"/>
    <w:rsid w:val="29946A38"/>
    <w:rsid w:val="29B46339"/>
    <w:rsid w:val="29BB32A5"/>
    <w:rsid w:val="29D57165"/>
    <w:rsid w:val="29E325E0"/>
    <w:rsid w:val="29EF24F1"/>
    <w:rsid w:val="29FA3933"/>
    <w:rsid w:val="2A105D28"/>
    <w:rsid w:val="2A27294F"/>
    <w:rsid w:val="2A33379A"/>
    <w:rsid w:val="2A350C62"/>
    <w:rsid w:val="2A3E70CF"/>
    <w:rsid w:val="2A452503"/>
    <w:rsid w:val="2A511C49"/>
    <w:rsid w:val="2A6603D4"/>
    <w:rsid w:val="2A710CCA"/>
    <w:rsid w:val="2A731B79"/>
    <w:rsid w:val="2ABE7A50"/>
    <w:rsid w:val="2AD173C6"/>
    <w:rsid w:val="2AD478D0"/>
    <w:rsid w:val="2AED2707"/>
    <w:rsid w:val="2B0A0D5F"/>
    <w:rsid w:val="2B1A3803"/>
    <w:rsid w:val="2B1C4F36"/>
    <w:rsid w:val="2B32693D"/>
    <w:rsid w:val="2B331415"/>
    <w:rsid w:val="2B341915"/>
    <w:rsid w:val="2B4324C3"/>
    <w:rsid w:val="2B47289E"/>
    <w:rsid w:val="2B5E52B2"/>
    <w:rsid w:val="2B7B1CD4"/>
    <w:rsid w:val="2B7D6AB0"/>
    <w:rsid w:val="2B7F643F"/>
    <w:rsid w:val="2B851CCE"/>
    <w:rsid w:val="2B852798"/>
    <w:rsid w:val="2BA2577B"/>
    <w:rsid w:val="2BA74DE2"/>
    <w:rsid w:val="2BA936A8"/>
    <w:rsid w:val="2BA96401"/>
    <w:rsid w:val="2BBC720D"/>
    <w:rsid w:val="2BC52C9E"/>
    <w:rsid w:val="2BCC47FB"/>
    <w:rsid w:val="2BDC08E3"/>
    <w:rsid w:val="2BDC3E85"/>
    <w:rsid w:val="2BEF7EF3"/>
    <w:rsid w:val="2BFD0166"/>
    <w:rsid w:val="2C066DBB"/>
    <w:rsid w:val="2C1B1B6C"/>
    <w:rsid w:val="2C213FB8"/>
    <w:rsid w:val="2C2263BE"/>
    <w:rsid w:val="2C265BD4"/>
    <w:rsid w:val="2C315A5A"/>
    <w:rsid w:val="2C3F62BD"/>
    <w:rsid w:val="2C4B1C25"/>
    <w:rsid w:val="2C5A7AC4"/>
    <w:rsid w:val="2C66290D"/>
    <w:rsid w:val="2C8C4816"/>
    <w:rsid w:val="2C902915"/>
    <w:rsid w:val="2C9B023E"/>
    <w:rsid w:val="2CB109F8"/>
    <w:rsid w:val="2CB82A3D"/>
    <w:rsid w:val="2CD47877"/>
    <w:rsid w:val="2CDA6E57"/>
    <w:rsid w:val="2CE11F94"/>
    <w:rsid w:val="2CEC114C"/>
    <w:rsid w:val="2CF46E78"/>
    <w:rsid w:val="2CF5681C"/>
    <w:rsid w:val="2CFC7029"/>
    <w:rsid w:val="2D000CF1"/>
    <w:rsid w:val="2D033554"/>
    <w:rsid w:val="2D164CD3"/>
    <w:rsid w:val="2D2E32D7"/>
    <w:rsid w:val="2D2F2CFF"/>
    <w:rsid w:val="2D386C8A"/>
    <w:rsid w:val="2D3A15CB"/>
    <w:rsid w:val="2D3C1EE4"/>
    <w:rsid w:val="2D483DC1"/>
    <w:rsid w:val="2D5B5B6E"/>
    <w:rsid w:val="2D5C5ABE"/>
    <w:rsid w:val="2D627B0B"/>
    <w:rsid w:val="2D731A09"/>
    <w:rsid w:val="2D8775E4"/>
    <w:rsid w:val="2D9E56F5"/>
    <w:rsid w:val="2DAA682A"/>
    <w:rsid w:val="2DB74B8D"/>
    <w:rsid w:val="2DB9081B"/>
    <w:rsid w:val="2DCA4514"/>
    <w:rsid w:val="2DD72E00"/>
    <w:rsid w:val="2DDF5C3D"/>
    <w:rsid w:val="2DFD503A"/>
    <w:rsid w:val="2E09762F"/>
    <w:rsid w:val="2E283D2E"/>
    <w:rsid w:val="2E2C723F"/>
    <w:rsid w:val="2E3C457B"/>
    <w:rsid w:val="2E4A1A53"/>
    <w:rsid w:val="2E596347"/>
    <w:rsid w:val="2E667F96"/>
    <w:rsid w:val="2E6C5630"/>
    <w:rsid w:val="2E723F81"/>
    <w:rsid w:val="2E7852B8"/>
    <w:rsid w:val="2E8226AB"/>
    <w:rsid w:val="2E84707B"/>
    <w:rsid w:val="2E8909DB"/>
    <w:rsid w:val="2E94189D"/>
    <w:rsid w:val="2E96490B"/>
    <w:rsid w:val="2E996F2D"/>
    <w:rsid w:val="2EA43162"/>
    <w:rsid w:val="2EA65243"/>
    <w:rsid w:val="2ECF3760"/>
    <w:rsid w:val="2ED243C3"/>
    <w:rsid w:val="2ED82801"/>
    <w:rsid w:val="2EFD3E4D"/>
    <w:rsid w:val="2F0029BF"/>
    <w:rsid w:val="2F013C21"/>
    <w:rsid w:val="2F187EDF"/>
    <w:rsid w:val="2F2D4036"/>
    <w:rsid w:val="2F306D83"/>
    <w:rsid w:val="2F3636BB"/>
    <w:rsid w:val="2F410D5D"/>
    <w:rsid w:val="2F48726F"/>
    <w:rsid w:val="2F4E2DB6"/>
    <w:rsid w:val="2F554355"/>
    <w:rsid w:val="2F57478F"/>
    <w:rsid w:val="2F5B67F4"/>
    <w:rsid w:val="2F795AC8"/>
    <w:rsid w:val="2F8512FC"/>
    <w:rsid w:val="2F85468E"/>
    <w:rsid w:val="2F9910A4"/>
    <w:rsid w:val="2FA379D4"/>
    <w:rsid w:val="2FA8323D"/>
    <w:rsid w:val="2FAC6889"/>
    <w:rsid w:val="2FBE0F17"/>
    <w:rsid w:val="2FC2655B"/>
    <w:rsid w:val="2FC75471"/>
    <w:rsid w:val="2FD065E6"/>
    <w:rsid w:val="2FD96870"/>
    <w:rsid w:val="2FE6700E"/>
    <w:rsid w:val="30015724"/>
    <w:rsid w:val="300C557A"/>
    <w:rsid w:val="300F1EE7"/>
    <w:rsid w:val="303E14AB"/>
    <w:rsid w:val="303F61C1"/>
    <w:rsid w:val="304A7E50"/>
    <w:rsid w:val="30580BC9"/>
    <w:rsid w:val="306415F4"/>
    <w:rsid w:val="306A0AFC"/>
    <w:rsid w:val="306F4D18"/>
    <w:rsid w:val="30711394"/>
    <w:rsid w:val="307750E9"/>
    <w:rsid w:val="307D2EA4"/>
    <w:rsid w:val="30965875"/>
    <w:rsid w:val="30A0651F"/>
    <w:rsid w:val="30A82681"/>
    <w:rsid w:val="30A9343B"/>
    <w:rsid w:val="30C94570"/>
    <w:rsid w:val="30CC5331"/>
    <w:rsid w:val="30E20088"/>
    <w:rsid w:val="30E7145E"/>
    <w:rsid w:val="30FA04CF"/>
    <w:rsid w:val="31024A42"/>
    <w:rsid w:val="310E5321"/>
    <w:rsid w:val="311B1F57"/>
    <w:rsid w:val="311E2ED7"/>
    <w:rsid w:val="3129239C"/>
    <w:rsid w:val="313C3B24"/>
    <w:rsid w:val="31480833"/>
    <w:rsid w:val="31551635"/>
    <w:rsid w:val="315619EE"/>
    <w:rsid w:val="315840B2"/>
    <w:rsid w:val="315C449C"/>
    <w:rsid w:val="3163741B"/>
    <w:rsid w:val="31790E2B"/>
    <w:rsid w:val="3179279B"/>
    <w:rsid w:val="317E24A7"/>
    <w:rsid w:val="3199108F"/>
    <w:rsid w:val="3199306F"/>
    <w:rsid w:val="31A0183A"/>
    <w:rsid w:val="31AC3CDE"/>
    <w:rsid w:val="31B82709"/>
    <w:rsid w:val="31D05482"/>
    <w:rsid w:val="31D35B76"/>
    <w:rsid w:val="31E5120A"/>
    <w:rsid w:val="31E7004C"/>
    <w:rsid w:val="31E84205"/>
    <w:rsid w:val="31F47995"/>
    <w:rsid w:val="3206115E"/>
    <w:rsid w:val="320D55D9"/>
    <w:rsid w:val="32110C25"/>
    <w:rsid w:val="321A693C"/>
    <w:rsid w:val="321E6F8D"/>
    <w:rsid w:val="323B200A"/>
    <w:rsid w:val="32400B34"/>
    <w:rsid w:val="32412B00"/>
    <w:rsid w:val="325413DD"/>
    <w:rsid w:val="32545D9E"/>
    <w:rsid w:val="32852D31"/>
    <w:rsid w:val="3299316E"/>
    <w:rsid w:val="329A6E6D"/>
    <w:rsid w:val="329E6876"/>
    <w:rsid w:val="32A67187"/>
    <w:rsid w:val="32A87D61"/>
    <w:rsid w:val="32AC3044"/>
    <w:rsid w:val="32BB3486"/>
    <w:rsid w:val="32BC3287"/>
    <w:rsid w:val="32C33DA1"/>
    <w:rsid w:val="32D66C88"/>
    <w:rsid w:val="32E77798"/>
    <w:rsid w:val="32EC29E7"/>
    <w:rsid w:val="32ED1692"/>
    <w:rsid w:val="32F06DA3"/>
    <w:rsid w:val="33064502"/>
    <w:rsid w:val="330B3E93"/>
    <w:rsid w:val="33286205"/>
    <w:rsid w:val="333015F2"/>
    <w:rsid w:val="334119DE"/>
    <w:rsid w:val="33475064"/>
    <w:rsid w:val="334B6320"/>
    <w:rsid w:val="336544E7"/>
    <w:rsid w:val="33704071"/>
    <w:rsid w:val="33712600"/>
    <w:rsid w:val="33743B62"/>
    <w:rsid w:val="33767150"/>
    <w:rsid w:val="337E678E"/>
    <w:rsid w:val="338D02E2"/>
    <w:rsid w:val="338F229F"/>
    <w:rsid w:val="339037C8"/>
    <w:rsid w:val="33AB37D3"/>
    <w:rsid w:val="33BB353F"/>
    <w:rsid w:val="33D453A7"/>
    <w:rsid w:val="33D934D4"/>
    <w:rsid w:val="33DD204C"/>
    <w:rsid w:val="33E365F1"/>
    <w:rsid w:val="33E64529"/>
    <w:rsid w:val="33FB6539"/>
    <w:rsid w:val="33FE2F6A"/>
    <w:rsid w:val="33FF2666"/>
    <w:rsid w:val="340E07E5"/>
    <w:rsid w:val="34116956"/>
    <w:rsid w:val="34120A41"/>
    <w:rsid w:val="34140EA1"/>
    <w:rsid w:val="34235BF7"/>
    <w:rsid w:val="342D7D5D"/>
    <w:rsid w:val="34430EE4"/>
    <w:rsid w:val="344E1962"/>
    <w:rsid w:val="34572B3B"/>
    <w:rsid w:val="345F6CD7"/>
    <w:rsid w:val="346516FC"/>
    <w:rsid w:val="346F4329"/>
    <w:rsid w:val="348D3D41"/>
    <w:rsid w:val="34961C1B"/>
    <w:rsid w:val="349B45FD"/>
    <w:rsid w:val="34A33F80"/>
    <w:rsid w:val="34AE12F0"/>
    <w:rsid w:val="34C6218A"/>
    <w:rsid w:val="34E871F9"/>
    <w:rsid w:val="34F9018A"/>
    <w:rsid w:val="35080AA4"/>
    <w:rsid w:val="350F0C7C"/>
    <w:rsid w:val="3534166E"/>
    <w:rsid w:val="35366BF5"/>
    <w:rsid w:val="35374E83"/>
    <w:rsid w:val="35532B98"/>
    <w:rsid w:val="35710491"/>
    <w:rsid w:val="357D46A5"/>
    <w:rsid w:val="358B2037"/>
    <w:rsid w:val="358C5FA8"/>
    <w:rsid w:val="358C6268"/>
    <w:rsid w:val="358F7B48"/>
    <w:rsid w:val="35AF791C"/>
    <w:rsid w:val="35B729DF"/>
    <w:rsid w:val="35BE7316"/>
    <w:rsid w:val="35C15DF1"/>
    <w:rsid w:val="35C27C1F"/>
    <w:rsid w:val="35D04CB1"/>
    <w:rsid w:val="35E664D3"/>
    <w:rsid w:val="35F607CB"/>
    <w:rsid w:val="36067BD7"/>
    <w:rsid w:val="36074A7F"/>
    <w:rsid w:val="36140F47"/>
    <w:rsid w:val="363474F5"/>
    <w:rsid w:val="36421CF5"/>
    <w:rsid w:val="364D35DF"/>
    <w:rsid w:val="365330A0"/>
    <w:rsid w:val="36590DED"/>
    <w:rsid w:val="36593BE0"/>
    <w:rsid w:val="365A3199"/>
    <w:rsid w:val="36677BA4"/>
    <w:rsid w:val="3677516C"/>
    <w:rsid w:val="367847D9"/>
    <w:rsid w:val="36923549"/>
    <w:rsid w:val="36A613E8"/>
    <w:rsid w:val="36AC53C0"/>
    <w:rsid w:val="36B75FBF"/>
    <w:rsid w:val="36B96E85"/>
    <w:rsid w:val="36BD0C45"/>
    <w:rsid w:val="36C46BAE"/>
    <w:rsid w:val="36C82C65"/>
    <w:rsid w:val="36F34D9D"/>
    <w:rsid w:val="36FA437E"/>
    <w:rsid w:val="37026996"/>
    <w:rsid w:val="370D6D52"/>
    <w:rsid w:val="37166824"/>
    <w:rsid w:val="372C689E"/>
    <w:rsid w:val="37357164"/>
    <w:rsid w:val="373B5541"/>
    <w:rsid w:val="37406C32"/>
    <w:rsid w:val="374B4BD9"/>
    <w:rsid w:val="37600BC6"/>
    <w:rsid w:val="376748F3"/>
    <w:rsid w:val="376E6505"/>
    <w:rsid w:val="377C4D93"/>
    <w:rsid w:val="378325C5"/>
    <w:rsid w:val="379245B6"/>
    <w:rsid w:val="37955E55"/>
    <w:rsid w:val="37990C9E"/>
    <w:rsid w:val="37A4253C"/>
    <w:rsid w:val="37B3277F"/>
    <w:rsid w:val="37C874AE"/>
    <w:rsid w:val="37DB62C5"/>
    <w:rsid w:val="37E00298"/>
    <w:rsid w:val="37EB4955"/>
    <w:rsid w:val="37F05781"/>
    <w:rsid w:val="37F22B5A"/>
    <w:rsid w:val="37F70ED2"/>
    <w:rsid w:val="37F8386B"/>
    <w:rsid w:val="37FD45B5"/>
    <w:rsid w:val="37FE62CB"/>
    <w:rsid w:val="38001ED1"/>
    <w:rsid w:val="380F3B87"/>
    <w:rsid w:val="380F4F96"/>
    <w:rsid w:val="382F0358"/>
    <w:rsid w:val="38303DCF"/>
    <w:rsid w:val="38327FA3"/>
    <w:rsid w:val="384D4981"/>
    <w:rsid w:val="38526424"/>
    <w:rsid w:val="385B52F0"/>
    <w:rsid w:val="385C2E16"/>
    <w:rsid w:val="385E0C43"/>
    <w:rsid w:val="38641F79"/>
    <w:rsid w:val="386436F9"/>
    <w:rsid w:val="389C7607"/>
    <w:rsid w:val="38AF2F28"/>
    <w:rsid w:val="38B302F9"/>
    <w:rsid w:val="38B465B8"/>
    <w:rsid w:val="38C21626"/>
    <w:rsid w:val="38F12CD3"/>
    <w:rsid w:val="38F94775"/>
    <w:rsid w:val="38FA74B3"/>
    <w:rsid w:val="391B682D"/>
    <w:rsid w:val="391C2F14"/>
    <w:rsid w:val="391D4DE1"/>
    <w:rsid w:val="392971ED"/>
    <w:rsid w:val="392B06EA"/>
    <w:rsid w:val="39325651"/>
    <w:rsid w:val="3948283D"/>
    <w:rsid w:val="395D6E46"/>
    <w:rsid w:val="397836EB"/>
    <w:rsid w:val="398616DE"/>
    <w:rsid w:val="399A326F"/>
    <w:rsid w:val="399D5494"/>
    <w:rsid w:val="39A61C72"/>
    <w:rsid w:val="39B4295D"/>
    <w:rsid w:val="39BD11EE"/>
    <w:rsid w:val="39C524E2"/>
    <w:rsid w:val="39CC60C1"/>
    <w:rsid w:val="39DA3296"/>
    <w:rsid w:val="39E501E3"/>
    <w:rsid w:val="39E82BB3"/>
    <w:rsid w:val="39F53799"/>
    <w:rsid w:val="39F96B6F"/>
    <w:rsid w:val="3A033549"/>
    <w:rsid w:val="3A045E8F"/>
    <w:rsid w:val="3A0E0A45"/>
    <w:rsid w:val="3A491338"/>
    <w:rsid w:val="3A4B4EF0"/>
    <w:rsid w:val="3A573895"/>
    <w:rsid w:val="3A5A64FE"/>
    <w:rsid w:val="3A5C4A01"/>
    <w:rsid w:val="3A666609"/>
    <w:rsid w:val="3A6F5083"/>
    <w:rsid w:val="3A872856"/>
    <w:rsid w:val="3A8C53FC"/>
    <w:rsid w:val="3A9B7C26"/>
    <w:rsid w:val="3A9F68CE"/>
    <w:rsid w:val="3AA45B52"/>
    <w:rsid w:val="3AA56866"/>
    <w:rsid w:val="3ACD1DA9"/>
    <w:rsid w:val="3ADB0230"/>
    <w:rsid w:val="3AF92329"/>
    <w:rsid w:val="3AFE75F3"/>
    <w:rsid w:val="3B11613A"/>
    <w:rsid w:val="3B1F4126"/>
    <w:rsid w:val="3B312128"/>
    <w:rsid w:val="3B3763D1"/>
    <w:rsid w:val="3B5510F1"/>
    <w:rsid w:val="3B5D18CA"/>
    <w:rsid w:val="3B622E5C"/>
    <w:rsid w:val="3B65719E"/>
    <w:rsid w:val="3B733353"/>
    <w:rsid w:val="3B9B5078"/>
    <w:rsid w:val="3BB27A37"/>
    <w:rsid w:val="3BCD6F11"/>
    <w:rsid w:val="3BE610FE"/>
    <w:rsid w:val="3BE612DE"/>
    <w:rsid w:val="3BE73801"/>
    <w:rsid w:val="3BEF0078"/>
    <w:rsid w:val="3BF25EBF"/>
    <w:rsid w:val="3BF26946"/>
    <w:rsid w:val="3C013246"/>
    <w:rsid w:val="3C053A08"/>
    <w:rsid w:val="3C066984"/>
    <w:rsid w:val="3C1A71B0"/>
    <w:rsid w:val="3C2B6D87"/>
    <w:rsid w:val="3C2D751F"/>
    <w:rsid w:val="3C2F44E1"/>
    <w:rsid w:val="3C2F6E1E"/>
    <w:rsid w:val="3C3E2F5F"/>
    <w:rsid w:val="3C467655"/>
    <w:rsid w:val="3C49533B"/>
    <w:rsid w:val="3C4F64BA"/>
    <w:rsid w:val="3C5B0BD8"/>
    <w:rsid w:val="3C6773B9"/>
    <w:rsid w:val="3C6B4CC5"/>
    <w:rsid w:val="3C6C2BFD"/>
    <w:rsid w:val="3C733C5C"/>
    <w:rsid w:val="3C756A22"/>
    <w:rsid w:val="3CAD38F6"/>
    <w:rsid w:val="3CB5234D"/>
    <w:rsid w:val="3CD92C87"/>
    <w:rsid w:val="3CDA245A"/>
    <w:rsid w:val="3CDA2AE9"/>
    <w:rsid w:val="3D0433A8"/>
    <w:rsid w:val="3D0C0F6F"/>
    <w:rsid w:val="3D147C87"/>
    <w:rsid w:val="3D160C8B"/>
    <w:rsid w:val="3D1A105D"/>
    <w:rsid w:val="3D1E06B7"/>
    <w:rsid w:val="3D387082"/>
    <w:rsid w:val="3D4A497B"/>
    <w:rsid w:val="3D540560"/>
    <w:rsid w:val="3D562D7B"/>
    <w:rsid w:val="3D5C4FBA"/>
    <w:rsid w:val="3D5E5250"/>
    <w:rsid w:val="3D624A2B"/>
    <w:rsid w:val="3D7959BB"/>
    <w:rsid w:val="3D817DB9"/>
    <w:rsid w:val="3D8E75CE"/>
    <w:rsid w:val="3D9425AC"/>
    <w:rsid w:val="3D946BBD"/>
    <w:rsid w:val="3D9A0E8C"/>
    <w:rsid w:val="3DA94E91"/>
    <w:rsid w:val="3DAE47DB"/>
    <w:rsid w:val="3DBE515F"/>
    <w:rsid w:val="3DC41B65"/>
    <w:rsid w:val="3DE10046"/>
    <w:rsid w:val="3DEC5B66"/>
    <w:rsid w:val="3DFD5BBB"/>
    <w:rsid w:val="3E0257F7"/>
    <w:rsid w:val="3E10020D"/>
    <w:rsid w:val="3E365CD9"/>
    <w:rsid w:val="3E3A43DE"/>
    <w:rsid w:val="3E3D4029"/>
    <w:rsid w:val="3E595E2E"/>
    <w:rsid w:val="3E5964CB"/>
    <w:rsid w:val="3E7003FD"/>
    <w:rsid w:val="3E7F0EC8"/>
    <w:rsid w:val="3E942C1B"/>
    <w:rsid w:val="3EA82911"/>
    <w:rsid w:val="3EC350B1"/>
    <w:rsid w:val="3ECD21E7"/>
    <w:rsid w:val="3ECF49FB"/>
    <w:rsid w:val="3EDA0523"/>
    <w:rsid w:val="3EEF22EE"/>
    <w:rsid w:val="3EFD65C9"/>
    <w:rsid w:val="3F010273"/>
    <w:rsid w:val="3F165ACD"/>
    <w:rsid w:val="3F287BBF"/>
    <w:rsid w:val="3F4C679F"/>
    <w:rsid w:val="3F503E3F"/>
    <w:rsid w:val="3F5D7394"/>
    <w:rsid w:val="3F5E1F50"/>
    <w:rsid w:val="3F6454EE"/>
    <w:rsid w:val="3F6D625A"/>
    <w:rsid w:val="3F7A66FA"/>
    <w:rsid w:val="3F7E07F2"/>
    <w:rsid w:val="3F864611"/>
    <w:rsid w:val="3F883AE3"/>
    <w:rsid w:val="3F8F587F"/>
    <w:rsid w:val="3F922E29"/>
    <w:rsid w:val="3FF1653A"/>
    <w:rsid w:val="3FF54D36"/>
    <w:rsid w:val="40012A30"/>
    <w:rsid w:val="40050825"/>
    <w:rsid w:val="40093884"/>
    <w:rsid w:val="400B75FC"/>
    <w:rsid w:val="40135938"/>
    <w:rsid w:val="401F4E55"/>
    <w:rsid w:val="40204729"/>
    <w:rsid w:val="403F4519"/>
    <w:rsid w:val="40500482"/>
    <w:rsid w:val="40555F24"/>
    <w:rsid w:val="405F48F5"/>
    <w:rsid w:val="40610FCA"/>
    <w:rsid w:val="40783567"/>
    <w:rsid w:val="407A6407"/>
    <w:rsid w:val="409B299A"/>
    <w:rsid w:val="40A9471F"/>
    <w:rsid w:val="40AC2859"/>
    <w:rsid w:val="40C41559"/>
    <w:rsid w:val="40C63523"/>
    <w:rsid w:val="410B027C"/>
    <w:rsid w:val="41100491"/>
    <w:rsid w:val="41292F94"/>
    <w:rsid w:val="412B051A"/>
    <w:rsid w:val="41355232"/>
    <w:rsid w:val="413948D4"/>
    <w:rsid w:val="413A2EA3"/>
    <w:rsid w:val="41434B73"/>
    <w:rsid w:val="414A7B75"/>
    <w:rsid w:val="41561CB7"/>
    <w:rsid w:val="415E1A56"/>
    <w:rsid w:val="4171674B"/>
    <w:rsid w:val="41766CF7"/>
    <w:rsid w:val="41840B99"/>
    <w:rsid w:val="418C651A"/>
    <w:rsid w:val="41B75F61"/>
    <w:rsid w:val="41B9387B"/>
    <w:rsid w:val="41D852BC"/>
    <w:rsid w:val="41E33C60"/>
    <w:rsid w:val="41E83ECA"/>
    <w:rsid w:val="41EF130C"/>
    <w:rsid w:val="41F1771E"/>
    <w:rsid w:val="41F364F7"/>
    <w:rsid w:val="4200449D"/>
    <w:rsid w:val="420152F4"/>
    <w:rsid w:val="42197791"/>
    <w:rsid w:val="4227255A"/>
    <w:rsid w:val="42345F66"/>
    <w:rsid w:val="42383FAC"/>
    <w:rsid w:val="423A3BCC"/>
    <w:rsid w:val="42442951"/>
    <w:rsid w:val="424E57D2"/>
    <w:rsid w:val="425608D6"/>
    <w:rsid w:val="42613503"/>
    <w:rsid w:val="426322FE"/>
    <w:rsid w:val="42770F78"/>
    <w:rsid w:val="427B0728"/>
    <w:rsid w:val="427F6D45"/>
    <w:rsid w:val="428570D9"/>
    <w:rsid w:val="42A23ABA"/>
    <w:rsid w:val="42A930FC"/>
    <w:rsid w:val="42B26C49"/>
    <w:rsid w:val="42B76458"/>
    <w:rsid w:val="42C91208"/>
    <w:rsid w:val="42DE4B54"/>
    <w:rsid w:val="42E3702F"/>
    <w:rsid w:val="42F9198D"/>
    <w:rsid w:val="42FD0674"/>
    <w:rsid w:val="43043EB9"/>
    <w:rsid w:val="431B4E6A"/>
    <w:rsid w:val="432C22FD"/>
    <w:rsid w:val="433454CB"/>
    <w:rsid w:val="433A6FE6"/>
    <w:rsid w:val="4340580E"/>
    <w:rsid w:val="434437C7"/>
    <w:rsid w:val="4346094B"/>
    <w:rsid w:val="43480868"/>
    <w:rsid w:val="434979F3"/>
    <w:rsid w:val="434B295D"/>
    <w:rsid w:val="4350713C"/>
    <w:rsid w:val="436653E0"/>
    <w:rsid w:val="437805A5"/>
    <w:rsid w:val="43821076"/>
    <w:rsid w:val="438652B8"/>
    <w:rsid w:val="43896F34"/>
    <w:rsid w:val="438A3868"/>
    <w:rsid w:val="438A4ADE"/>
    <w:rsid w:val="438B764D"/>
    <w:rsid w:val="4391606A"/>
    <w:rsid w:val="4395248D"/>
    <w:rsid w:val="43972FE6"/>
    <w:rsid w:val="43C4431A"/>
    <w:rsid w:val="43CD118E"/>
    <w:rsid w:val="43D23F8D"/>
    <w:rsid w:val="43D9356D"/>
    <w:rsid w:val="43E25E30"/>
    <w:rsid w:val="43ED7166"/>
    <w:rsid w:val="43EF0FE2"/>
    <w:rsid w:val="43F328EC"/>
    <w:rsid w:val="43FB3B13"/>
    <w:rsid w:val="43FD7C55"/>
    <w:rsid w:val="440E6918"/>
    <w:rsid w:val="441652AC"/>
    <w:rsid w:val="441822E7"/>
    <w:rsid w:val="44242A3A"/>
    <w:rsid w:val="44316F05"/>
    <w:rsid w:val="44450C02"/>
    <w:rsid w:val="44575353"/>
    <w:rsid w:val="4457775A"/>
    <w:rsid w:val="44623562"/>
    <w:rsid w:val="446B0669"/>
    <w:rsid w:val="447500EF"/>
    <w:rsid w:val="447B1DEC"/>
    <w:rsid w:val="447D214A"/>
    <w:rsid w:val="4486116B"/>
    <w:rsid w:val="448674F1"/>
    <w:rsid w:val="44B951CC"/>
    <w:rsid w:val="44C90751"/>
    <w:rsid w:val="44C91833"/>
    <w:rsid w:val="44CD14E0"/>
    <w:rsid w:val="44D426B2"/>
    <w:rsid w:val="44DF08D0"/>
    <w:rsid w:val="44F20B0B"/>
    <w:rsid w:val="44FC3861"/>
    <w:rsid w:val="45175A01"/>
    <w:rsid w:val="45276F43"/>
    <w:rsid w:val="452E5F4C"/>
    <w:rsid w:val="453E7B2C"/>
    <w:rsid w:val="45612018"/>
    <w:rsid w:val="45653174"/>
    <w:rsid w:val="458946E9"/>
    <w:rsid w:val="45961716"/>
    <w:rsid w:val="459B5129"/>
    <w:rsid w:val="45A47C0E"/>
    <w:rsid w:val="45A55DFD"/>
    <w:rsid w:val="45BC4EF4"/>
    <w:rsid w:val="45D62B69"/>
    <w:rsid w:val="45E1490F"/>
    <w:rsid w:val="45E747B2"/>
    <w:rsid w:val="45EC3E6D"/>
    <w:rsid w:val="461F4288"/>
    <w:rsid w:val="46284338"/>
    <w:rsid w:val="462C7917"/>
    <w:rsid w:val="46360566"/>
    <w:rsid w:val="464F35D2"/>
    <w:rsid w:val="46577FD6"/>
    <w:rsid w:val="465F41FD"/>
    <w:rsid w:val="46716462"/>
    <w:rsid w:val="46767799"/>
    <w:rsid w:val="46933EA7"/>
    <w:rsid w:val="46A75BA4"/>
    <w:rsid w:val="46AF7CF5"/>
    <w:rsid w:val="46B15B77"/>
    <w:rsid w:val="46D149CF"/>
    <w:rsid w:val="46D71FE6"/>
    <w:rsid w:val="46D955A7"/>
    <w:rsid w:val="46E62229"/>
    <w:rsid w:val="46EB073D"/>
    <w:rsid w:val="46EC4B66"/>
    <w:rsid w:val="46FA5CD4"/>
    <w:rsid w:val="46FC3EE6"/>
    <w:rsid w:val="47133957"/>
    <w:rsid w:val="473C6BD0"/>
    <w:rsid w:val="47444691"/>
    <w:rsid w:val="474C3E79"/>
    <w:rsid w:val="47527A52"/>
    <w:rsid w:val="47640F50"/>
    <w:rsid w:val="47671E91"/>
    <w:rsid w:val="47777325"/>
    <w:rsid w:val="477932D0"/>
    <w:rsid w:val="477D002C"/>
    <w:rsid w:val="4781606D"/>
    <w:rsid w:val="479D04B3"/>
    <w:rsid w:val="47A07E0C"/>
    <w:rsid w:val="47A11944"/>
    <w:rsid w:val="47A619B8"/>
    <w:rsid w:val="47AA00C4"/>
    <w:rsid w:val="47B73EFD"/>
    <w:rsid w:val="47BE5157"/>
    <w:rsid w:val="47E24263"/>
    <w:rsid w:val="47F60B91"/>
    <w:rsid w:val="47FC66B4"/>
    <w:rsid w:val="47FD08B5"/>
    <w:rsid w:val="4800731A"/>
    <w:rsid w:val="48050DD4"/>
    <w:rsid w:val="48136B01"/>
    <w:rsid w:val="4815482F"/>
    <w:rsid w:val="48174664"/>
    <w:rsid w:val="48194880"/>
    <w:rsid w:val="48253225"/>
    <w:rsid w:val="48287B7E"/>
    <w:rsid w:val="482B56E3"/>
    <w:rsid w:val="482D324A"/>
    <w:rsid w:val="48502F8E"/>
    <w:rsid w:val="48551ED9"/>
    <w:rsid w:val="485D651B"/>
    <w:rsid w:val="486B1C34"/>
    <w:rsid w:val="4870272E"/>
    <w:rsid w:val="48762B29"/>
    <w:rsid w:val="487D4E0F"/>
    <w:rsid w:val="488028A3"/>
    <w:rsid w:val="48827D19"/>
    <w:rsid w:val="48837E5F"/>
    <w:rsid w:val="48861367"/>
    <w:rsid w:val="488A7B7B"/>
    <w:rsid w:val="489D100D"/>
    <w:rsid w:val="48A013CA"/>
    <w:rsid w:val="48AF768F"/>
    <w:rsid w:val="48C93BB0"/>
    <w:rsid w:val="48DB1B35"/>
    <w:rsid w:val="48EB3EFE"/>
    <w:rsid w:val="48F21359"/>
    <w:rsid w:val="48F42312"/>
    <w:rsid w:val="48F84495"/>
    <w:rsid w:val="490D27C6"/>
    <w:rsid w:val="493D1461"/>
    <w:rsid w:val="494B6CBB"/>
    <w:rsid w:val="495D4527"/>
    <w:rsid w:val="496B0006"/>
    <w:rsid w:val="4976327F"/>
    <w:rsid w:val="497A134E"/>
    <w:rsid w:val="498413E9"/>
    <w:rsid w:val="49B27967"/>
    <w:rsid w:val="49B9283D"/>
    <w:rsid w:val="49BC3715"/>
    <w:rsid w:val="49C5081B"/>
    <w:rsid w:val="49C72912"/>
    <w:rsid w:val="49D46CB0"/>
    <w:rsid w:val="49D5105C"/>
    <w:rsid w:val="49DC3DB7"/>
    <w:rsid w:val="49DC7715"/>
    <w:rsid w:val="49E02B07"/>
    <w:rsid w:val="49E45486"/>
    <w:rsid w:val="49FD1664"/>
    <w:rsid w:val="49FE1F7F"/>
    <w:rsid w:val="4A023139"/>
    <w:rsid w:val="4A161077"/>
    <w:rsid w:val="4A233794"/>
    <w:rsid w:val="4A2921CA"/>
    <w:rsid w:val="4A2F2139"/>
    <w:rsid w:val="4A3334E9"/>
    <w:rsid w:val="4A3537E3"/>
    <w:rsid w:val="4A38064C"/>
    <w:rsid w:val="4A4756D4"/>
    <w:rsid w:val="4A4C6445"/>
    <w:rsid w:val="4A4F4589"/>
    <w:rsid w:val="4A5120AF"/>
    <w:rsid w:val="4A5438B8"/>
    <w:rsid w:val="4A734335"/>
    <w:rsid w:val="4A76729A"/>
    <w:rsid w:val="4A7B576F"/>
    <w:rsid w:val="4A8C70C9"/>
    <w:rsid w:val="4A8F1AAB"/>
    <w:rsid w:val="4ABC1475"/>
    <w:rsid w:val="4AF264BF"/>
    <w:rsid w:val="4AF31D4E"/>
    <w:rsid w:val="4AF561A9"/>
    <w:rsid w:val="4B023934"/>
    <w:rsid w:val="4B0435C5"/>
    <w:rsid w:val="4B09026B"/>
    <w:rsid w:val="4B100586"/>
    <w:rsid w:val="4B125CE2"/>
    <w:rsid w:val="4B21712C"/>
    <w:rsid w:val="4B375B4A"/>
    <w:rsid w:val="4B386DCB"/>
    <w:rsid w:val="4B3953FE"/>
    <w:rsid w:val="4B427C4A"/>
    <w:rsid w:val="4B4333B4"/>
    <w:rsid w:val="4B460986"/>
    <w:rsid w:val="4B4A5872"/>
    <w:rsid w:val="4B510005"/>
    <w:rsid w:val="4B5C707D"/>
    <w:rsid w:val="4B6A74B6"/>
    <w:rsid w:val="4B9157E3"/>
    <w:rsid w:val="4B9A595F"/>
    <w:rsid w:val="4BB109D9"/>
    <w:rsid w:val="4BBA6EA4"/>
    <w:rsid w:val="4BBC5C4E"/>
    <w:rsid w:val="4BE74BA5"/>
    <w:rsid w:val="4C130E57"/>
    <w:rsid w:val="4C2A5F81"/>
    <w:rsid w:val="4C371778"/>
    <w:rsid w:val="4C497552"/>
    <w:rsid w:val="4C4A0649"/>
    <w:rsid w:val="4C4F0CCA"/>
    <w:rsid w:val="4C586A2F"/>
    <w:rsid w:val="4C6B28F8"/>
    <w:rsid w:val="4C724EDE"/>
    <w:rsid w:val="4C7B7A65"/>
    <w:rsid w:val="4C7E5ECA"/>
    <w:rsid w:val="4C876AA5"/>
    <w:rsid w:val="4CC03584"/>
    <w:rsid w:val="4CC441C3"/>
    <w:rsid w:val="4CC554F2"/>
    <w:rsid w:val="4CD945DE"/>
    <w:rsid w:val="4CEE62DB"/>
    <w:rsid w:val="4CFB2DB1"/>
    <w:rsid w:val="4D041E7E"/>
    <w:rsid w:val="4D0623E1"/>
    <w:rsid w:val="4D0E00FB"/>
    <w:rsid w:val="4D122B50"/>
    <w:rsid w:val="4D176606"/>
    <w:rsid w:val="4D186EB4"/>
    <w:rsid w:val="4D19368B"/>
    <w:rsid w:val="4D1B2D86"/>
    <w:rsid w:val="4D2142A0"/>
    <w:rsid w:val="4D227D33"/>
    <w:rsid w:val="4D2A50CA"/>
    <w:rsid w:val="4D2F41FE"/>
    <w:rsid w:val="4D317F76"/>
    <w:rsid w:val="4D3D2E1D"/>
    <w:rsid w:val="4D53613E"/>
    <w:rsid w:val="4D553DB6"/>
    <w:rsid w:val="4D722A68"/>
    <w:rsid w:val="4D7244EE"/>
    <w:rsid w:val="4D782049"/>
    <w:rsid w:val="4D93777A"/>
    <w:rsid w:val="4D9A5B1B"/>
    <w:rsid w:val="4DA1050C"/>
    <w:rsid w:val="4DA678B7"/>
    <w:rsid w:val="4DB44EA6"/>
    <w:rsid w:val="4DB76534"/>
    <w:rsid w:val="4DC04C0E"/>
    <w:rsid w:val="4DEB6377"/>
    <w:rsid w:val="4DEB65A9"/>
    <w:rsid w:val="4DEC4FB0"/>
    <w:rsid w:val="4E067654"/>
    <w:rsid w:val="4E075D8A"/>
    <w:rsid w:val="4E18579C"/>
    <w:rsid w:val="4E342FB6"/>
    <w:rsid w:val="4E50267E"/>
    <w:rsid w:val="4E5A514A"/>
    <w:rsid w:val="4E780636"/>
    <w:rsid w:val="4E843280"/>
    <w:rsid w:val="4EA83D30"/>
    <w:rsid w:val="4EC00FAD"/>
    <w:rsid w:val="4EC217CD"/>
    <w:rsid w:val="4EE00D0F"/>
    <w:rsid w:val="4EEE4370"/>
    <w:rsid w:val="4EFF50EA"/>
    <w:rsid w:val="4F08028B"/>
    <w:rsid w:val="4F1347CA"/>
    <w:rsid w:val="4F166BAF"/>
    <w:rsid w:val="4F193610"/>
    <w:rsid w:val="4F204746"/>
    <w:rsid w:val="4F22226C"/>
    <w:rsid w:val="4F2E6E63"/>
    <w:rsid w:val="4F323E6A"/>
    <w:rsid w:val="4F3F591F"/>
    <w:rsid w:val="4F477F24"/>
    <w:rsid w:val="4F55619D"/>
    <w:rsid w:val="4F5D33EC"/>
    <w:rsid w:val="4F740E0B"/>
    <w:rsid w:val="4F787DC7"/>
    <w:rsid w:val="4F8A0E2A"/>
    <w:rsid w:val="4F8D4C3D"/>
    <w:rsid w:val="4F9843DC"/>
    <w:rsid w:val="4FA113E3"/>
    <w:rsid w:val="4FB70C06"/>
    <w:rsid w:val="4FB72A18"/>
    <w:rsid w:val="4FBD5DE8"/>
    <w:rsid w:val="4FC11A85"/>
    <w:rsid w:val="4FC62A8C"/>
    <w:rsid w:val="4FD80315"/>
    <w:rsid w:val="4FE0466D"/>
    <w:rsid w:val="4FE20F0D"/>
    <w:rsid w:val="4FE466E1"/>
    <w:rsid w:val="4FE51552"/>
    <w:rsid w:val="4FE70DC0"/>
    <w:rsid w:val="4FEB6B02"/>
    <w:rsid w:val="4FEE76C0"/>
    <w:rsid w:val="4FF60775"/>
    <w:rsid w:val="4FFB1692"/>
    <w:rsid w:val="500560EF"/>
    <w:rsid w:val="50083210"/>
    <w:rsid w:val="50090468"/>
    <w:rsid w:val="500E3780"/>
    <w:rsid w:val="500E636C"/>
    <w:rsid w:val="5021187F"/>
    <w:rsid w:val="50352387"/>
    <w:rsid w:val="50395ABF"/>
    <w:rsid w:val="50504C4B"/>
    <w:rsid w:val="50570021"/>
    <w:rsid w:val="50575BBF"/>
    <w:rsid w:val="505F1978"/>
    <w:rsid w:val="506335EC"/>
    <w:rsid w:val="506B19F1"/>
    <w:rsid w:val="507767D4"/>
    <w:rsid w:val="50791215"/>
    <w:rsid w:val="508D2908"/>
    <w:rsid w:val="509C6E7C"/>
    <w:rsid w:val="509D7BA3"/>
    <w:rsid w:val="50A111A8"/>
    <w:rsid w:val="50A153E8"/>
    <w:rsid w:val="50AA076B"/>
    <w:rsid w:val="50AD2FE7"/>
    <w:rsid w:val="50C1195C"/>
    <w:rsid w:val="50CA6717"/>
    <w:rsid w:val="50CF3D2E"/>
    <w:rsid w:val="50D17AA6"/>
    <w:rsid w:val="50E7551B"/>
    <w:rsid w:val="51117ADD"/>
    <w:rsid w:val="5118442F"/>
    <w:rsid w:val="511C2DB0"/>
    <w:rsid w:val="5124051D"/>
    <w:rsid w:val="514C35D0"/>
    <w:rsid w:val="5162104E"/>
    <w:rsid w:val="516A4898"/>
    <w:rsid w:val="516B469B"/>
    <w:rsid w:val="51721D4C"/>
    <w:rsid w:val="51844B18"/>
    <w:rsid w:val="51894824"/>
    <w:rsid w:val="51953C89"/>
    <w:rsid w:val="519E5B1A"/>
    <w:rsid w:val="51AC406F"/>
    <w:rsid w:val="51C40829"/>
    <w:rsid w:val="51D3397E"/>
    <w:rsid w:val="52010CD8"/>
    <w:rsid w:val="520C2520"/>
    <w:rsid w:val="521454C7"/>
    <w:rsid w:val="52233C15"/>
    <w:rsid w:val="52317B9E"/>
    <w:rsid w:val="52377DDC"/>
    <w:rsid w:val="5249383B"/>
    <w:rsid w:val="52740C67"/>
    <w:rsid w:val="527A5F1B"/>
    <w:rsid w:val="52885648"/>
    <w:rsid w:val="528B1B3D"/>
    <w:rsid w:val="52AB4434"/>
    <w:rsid w:val="52B129B7"/>
    <w:rsid w:val="52C22077"/>
    <w:rsid w:val="52D43FF2"/>
    <w:rsid w:val="52DD7B03"/>
    <w:rsid w:val="52EB1AEF"/>
    <w:rsid w:val="52ED236E"/>
    <w:rsid w:val="53067AD9"/>
    <w:rsid w:val="531A1D19"/>
    <w:rsid w:val="5347295B"/>
    <w:rsid w:val="5358141A"/>
    <w:rsid w:val="536B34BE"/>
    <w:rsid w:val="536E3CD2"/>
    <w:rsid w:val="537306FB"/>
    <w:rsid w:val="53747A89"/>
    <w:rsid w:val="537B63EF"/>
    <w:rsid w:val="53896E88"/>
    <w:rsid w:val="538F59F6"/>
    <w:rsid w:val="53A039CC"/>
    <w:rsid w:val="53A1505A"/>
    <w:rsid w:val="53AC47FA"/>
    <w:rsid w:val="53B222CE"/>
    <w:rsid w:val="53C421A6"/>
    <w:rsid w:val="53C65CF8"/>
    <w:rsid w:val="53CD2468"/>
    <w:rsid w:val="53D0604F"/>
    <w:rsid w:val="53D1600F"/>
    <w:rsid w:val="5406215C"/>
    <w:rsid w:val="54063E08"/>
    <w:rsid w:val="540E28F4"/>
    <w:rsid w:val="54143355"/>
    <w:rsid w:val="542F557B"/>
    <w:rsid w:val="543437E8"/>
    <w:rsid w:val="543618F8"/>
    <w:rsid w:val="544115C5"/>
    <w:rsid w:val="544119E6"/>
    <w:rsid w:val="54426438"/>
    <w:rsid w:val="54431F2F"/>
    <w:rsid w:val="54435EC0"/>
    <w:rsid w:val="544E0F60"/>
    <w:rsid w:val="54530B87"/>
    <w:rsid w:val="545522C5"/>
    <w:rsid w:val="546155E5"/>
    <w:rsid w:val="548B028B"/>
    <w:rsid w:val="5490662A"/>
    <w:rsid w:val="54951E7E"/>
    <w:rsid w:val="549F4D8F"/>
    <w:rsid w:val="54B23FA6"/>
    <w:rsid w:val="54D94159"/>
    <w:rsid w:val="54F06C40"/>
    <w:rsid w:val="54F55D2D"/>
    <w:rsid w:val="54F73313"/>
    <w:rsid w:val="54F80955"/>
    <w:rsid w:val="550334E7"/>
    <w:rsid w:val="5503369C"/>
    <w:rsid w:val="551657D6"/>
    <w:rsid w:val="55187D42"/>
    <w:rsid w:val="5546740D"/>
    <w:rsid w:val="554C1DF1"/>
    <w:rsid w:val="555170A7"/>
    <w:rsid w:val="555470A4"/>
    <w:rsid w:val="55570CCB"/>
    <w:rsid w:val="5566333B"/>
    <w:rsid w:val="557D01FC"/>
    <w:rsid w:val="557E0B97"/>
    <w:rsid w:val="5587536D"/>
    <w:rsid w:val="559B174B"/>
    <w:rsid w:val="55AF19D1"/>
    <w:rsid w:val="55BE4684"/>
    <w:rsid w:val="55C70CAD"/>
    <w:rsid w:val="55CE0CF4"/>
    <w:rsid w:val="55D83373"/>
    <w:rsid w:val="55DA7911"/>
    <w:rsid w:val="55DC3184"/>
    <w:rsid w:val="55E32936"/>
    <w:rsid w:val="55EA07BA"/>
    <w:rsid w:val="55F61D5C"/>
    <w:rsid w:val="55F751BB"/>
    <w:rsid w:val="55FD27D9"/>
    <w:rsid w:val="55FF4B9F"/>
    <w:rsid w:val="56044479"/>
    <w:rsid w:val="560C332E"/>
    <w:rsid w:val="5621502B"/>
    <w:rsid w:val="56262642"/>
    <w:rsid w:val="565261F0"/>
    <w:rsid w:val="566248A5"/>
    <w:rsid w:val="566A5AC3"/>
    <w:rsid w:val="56710ABB"/>
    <w:rsid w:val="5684637F"/>
    <w:rsid w:val="568D2323"/>
    <w:rsid w:val="56A10F3E"/>
    <w:rsid w:val="56A774E2"/>
    <w:rsid w:val="56A9296F"/>
    <w:rsid w:val="56B100CE"/>
    <w:rsid w:val="56B22A9C"/>
    <w:rsid w:val="56C52498"/>
    <w:rsid w:val="56D21929"/>
    <w:rsid w:val="56E25630"/>
    <w:rsid w:val="56EB388B"/>
    <w:rsid w:val="56FA762A"/>
    <w:rsid w:val="570743C5"/>
    <w:rsid w:val="570C75E3"/>
    <w:rsid w:val="570F1328"/>
    <w:rsid w:val="57265AD6"/>
    <w:rsid w:val="574F7976"/>
    <w:rsid w:val="57547004"/>
    <w:rsid w:val="57567C30"/>
    <w:rsid w:val="576719C1"/>
    <w:rsid w:val="577866E3"/>
    <w:rsid w:val="578735B4"/>
    <w:rsid w:val="579161E1"/>
    <w:rsid w:val="57A16776"/>
    <w:rsid w:val="57A316AD"/>
    <w:rsid w:val="57A43D49"/>
    <w:rsid w:val="57A620E7"/>
    <w:rsid w:val="57AA1707"/>
    <w:rsid w:val="57B72A76"/>
    <w:rsid w:val="57C00874"/>
    <w:rsid w:val="57C3426C"/>
    <w:rsid w:val="57CE1F93"/>
    <w:rsid w:val="57D93345"/>
    <w:rsid w:val="57EB2E98"/>
    <w:rsid w:val="580170AE"/>
    <w:rsid w:val="58042D03"/>
    <w:rsid w:val="58097727"/>
    <w:rsid w:val="58156E12"/>
    <w:rsid w:val="5822260D"/>
    <w:rsid w:val="58275676"/>
    <w:rsid w:val="585955E1"/>
    <w:rsid w:val="58684949"/>
    <w:rsid w:val="586E207E"/>
    <w:rsid w:val="58707563"/>
    <w:rsid w:val="588743D1"/>
    <w:rsid w:val="5887701A"/>
    <w:rsid w:val="588852AC"/>
    <w:rsid w:val="588875E4"/>
    <w:rsid w:val="588B2C30"/>
    <w:rsid w:val="58B727B3"/>
    <w:rsid w:val="58C61E22"/>
    <w:rsid w:val="58D565A1"/>
    <w:rsid w:val="58D650FD"/>
    <w:rsid w:val="58DC0B1D"/>
    <w:rsid w:val="58E6780D"/>
    <w:rsid w:val="58ED5074"/>
    <w:rsid w:val="58F44C79"/>
    <w:rsid w:val="590844AD"/>
    <w:rsid w:val="590F350F"/>
    <w:rsid w:val="591278AE"/>
    <w:rsid w:val="592070A2"/>
    <w:rsid w:val="592D3CE7"/>
    <w:rsid w:val="59403D5A"/>
    <w:rsid w:val="59457283"/>
    <w:rsid w:val="595E2E25"/>
    <w:rsid w:val="596040BD"/>
    <w:rsid w:val="59693C27"/>
    <w:rsid w:val="596D0588"/>
    <w:rsid w:val="596F4300"/>
    <w:rsid w:val="59722042"/>
    <w:rsid w:val="598C762F"/>
    <w:rsid w:val="598E25B9"/>
    <w:rsid w:val="598F7111"/>
    <w:rsid w:val="59986A40"/>
    <w:rsid w:val="599B3347"/>
    <w:rsid w:val="59AE5002"/>
    <w:rsid w:val="59C0439F"/>
    <w:rsid w:val="59C22E50"/>
    <w:rsid w:val="59CF254A"/>
    <w:rsid w:val="59D920E0"/>
    <w:rsid w:val="59E02961"/>
    <w:rsid w:val="59E65F92"/>
    <w:rsid w:val="59F02FE1"/>
    <w:rsid w:val="59F82547"/>
    <w:rsid w:val="5A0D02E3"/>
    <w:rsid w:val="5A1D0200"/>
    <w:rsid w:val="5A244A18"/>
    <w:rsid w:val="5A251EDB"/>
    <w:rsid w:val="5A2E5F69"/>
    <w:rsid w:val="5A321454"/>
    <w:rsid w:val="5A3410A5"/>
    <w:rsid w:val="5A427C2A"/>
    <w:rsid w:val="5A5429E9"/>
    <w:rsid w:val="5A5A2343"/>
    <w:rsid w:val="5A5E3F05"/>
    <w:rsid w:val="5A682D95"/>
    <w:rsid w:val="5A6A4726"/>
    <w:rsid w:val="5A6B6350"/>
    <w:rsid w:val="5A70256C"/>
    <w:rsid w:val="5A7122F9"/>
    <w:rsid w:val="5A723129"/>
    <w:rsid w:val="5A736072"/>
    <w:rsid w:val="5A9E261A"/>
    <w:rsid w:val="5AB56590"/>
    <w:rsid w:val="5ABE2233"/>
    <w:rsid w:val="5ACB6EE2"/>
    <w:rsid w:val="5ACE4C74"/>
    <w:rsid w:val="5ADD1A82"/>
    <w:rsid w:val="5B0818FB"/>
    <w:rsid w:val="5B1041C2"/>
    <w:rsid w:val="5B17596A"/>
    <w:rsid w:val="5B1769FD"/>
    <w:rsid w:val="5B180653"/>
    <w:rsid w:val="5B1D49A1"/>
    <w:rsid w:val="5B307ABF"/>
    <w:rsid w:val="5B35629E"/>
    <w:rsid w:val="5B372400"/>
    <w:rsid w:val="5B403860"/>
    <w:rsid w:val="5B450D77"/>
    <w:rsid w:val="5B5A454D"/>
    <w:rsid w:val="5B6235E4"/>
    <w:rsid w:val="5B73190D"/>
    <w:rsid w:val="5B7F799E"/>
    <w:rsid w:val="5B9B762E"/>
    <w:rsid w:val="5B9E4891"/>
    <w:rsid w:val="5BA76305"/>
    <w:rsid w:val="5BB339D4"/>
    <w:rsid w:val="5BBA66D4"/>
    <w:rsid w:val="5BD03F8A"/>
    <w:rsid w:val="5BD23E86"/>
    <w:rsid w:val="5BDF2C89"/>
    <w:rsid w:val="5BDF5D95"/>
    <w:rsid w:val="5BEA3D33"/>
    <w:rsid w:val="5BEC1C38"/>
    <w:rsid w:val="5BEC37AD"/>
    <w:rsid w:val="5BFE7528"/>
    <w:rsid w:val="5C0E2FD3"/>
    <w:rsid w:val="5C190553"/>
    <w:rsid w:val="5C2A2760"/>
    <w:rsid w:val="5C2D6AD2"/>
    <w:rsid w:val="5C4E068B"/>
    <w:rsid w:val="5C593469"/>
    <w:rsid w:val="5C5D0D87"/>
    <w:rsid w:val="5C645379"/>
    <w:rsid w:val="5C8109A9"/>
    <w:rsid w:val="5C871FDB"/>
    <w:rsid w:val="5CA77335"/>
    <w:rsid w:val="5CB32C58"/>
    <w:rsid w:val="5CB766BC"/>
    <w:rsid w:val="5CE36629"/>
    <w:rsid w:val="5CE37E74"/>
    <w:rsid w:val="5CE54EEC"/>
    <w:rsid w:val="5CE83C82"/>
    <w:rsid w:val="5CED4769"/>
    <w:rsid w:val="5D0119E6"/>
    <w:rsid w:val="5D0B10E6"/>
    <w:rsid w:val="5D105EB8"/>
    <w:rsid w:val="5D123F16"/>
    <w:rsid w:val="5D1D108A"/>
    <w:rsid w:val="5D3B325F"/>
    <w:rsid w:val="5D3C20A1"/>
    <w:rsid w:val="5D3C3A11"/>
    <w:rsid w:val="5D3C6BEF"/>
    <w:rsid w:val="5D3D56AB"/>
    <w:rsid w:val="5D415FB3"/>
    <w:rsid w:val="5D4E2DDD"/>
    <w:rsid w:val="5D593265"/>
    <w:rsid w:val="5D6204A0"/>
    <w:rsid w:val="5D8D7B70"/>
    <w:rsid w:val="5D902A97"/>
    <w:rsid w:val="5D9D6927"/>
    <w:rsid w:val="5DA3681C"/>
    <w:rsid w:val="5DA6364B"/>
    <w:rsid w:val="5DAA1DAA"/>
    <w:rsid w:val="5DAA3B58"/>
    <w:rsid w:val="5DAA7FFC"/>
    <w:rsid w:val="5DB46AD8"/>
    <w:rsid w:val="5DBD12C2"/>
    <w:rsid w:val="5DE07B6A"/>
    <w:rsid w:val="5DE74C46"/>
    <w:rsid w:val="5DFE5C52"/>
    <w:rsid w:val="5E0019CA"/>
    <w:rsid w:val="5E060B2D"/>
    <w:rsid w:val="5E0C4813"/>
    <w:rsid w:val="5E231AC4"/>
    <w:rsid w:val="5E2467F1"/>
    <w:rsid w:val="5E271C93"/>
    <w:rsid w:val="5E2E29DB"/>
    <w:rsid w:val="5E337FF2"/>
    <w:rsid w:val="5E357615"/>
    <w:rsid w:val="5E3E508D"/>
    <w:rsid w:val="5E443FAD"/>
    <w:rsid w:val="5E4A1BFA"/>
    <w:rsid w:val="5E4F4AC0"/>
    <w:rsid w:val="5E6B73D3"/>
    <w:rsid w:val="5E856373"/>
    <w:rsid w:val="5E8C14B0"/>
    <w:rsid w:val="5EA26FBB"/>
    <w:rsid w:val="5EA40ACC"/>
    <w:rsid w:val="5EA44A4C"/>
    <w:rsid w:val="5EBA426F"/>
    <w:rsid w:val="5EBB7FE7"/>
    <w:rsid w:val="5ED35331"/>
    <w:rsid w:val="5F0225C8"/>
    <w:rsid w:val="5F033D5C"/>
    <w:rsid w:val="5F083003"/>
    <w:rsid w:val="5F096FA4"/>
    <w:rsid w:val="5F1A2B43"/>
    <w:rsid w:val="5F240D0C"/>
    <w:rsid w:val="5F3E036E"/>
    <w:rsid w:val="5F4402B4"/>
    <w:rsid w:val="5F474933"/>
    <w:rsid w:val="5F4916B0"/>
    <w:rsid w:val="5F4B13B3"/>
    <w:rsid w:val="5F5A3EC1"/>
    <w:rsid w:val="5F5A4161"/>
    <w:rsid w:val="5F5E109E"/>
    <w:rsid w:val="5F5F6BC4"/>
    <w:rsid w:val="5F8E5468"/>
    <w:rsid w:val="5FA821BD"/>
    <w:rsid w:val="5FB837BB"/>
    <w:rsid w:val="5FB9683B"/>
    <w:rsid w:val="5FBC7B73"/>
    <w:rsid w:val="5FCA6734"/>
    <w:rsid w:val="5FD70E51"/>
    <w:rsid w:val="5FDC0215"/>
    <w:rsid w:val="5FE52362"/>
    <w:rsid w:val="5FE570CA"/>
    <w:rsid w:val="5FEC3C11"/>
    <w:rsid w:val="5FFD1529"/>
    <w:rsid w:val="60251DCF"/>
    <w:rsid w:val="602E5A2D"/>
    <w:rsid w:val="60386807"/>
    <w:rsid w:val="60437E08"/>
    <w:rsid w:val="604B44D1"/>
    <w:rsid w:val="60603856"/>
    <w:rsid w:val="60620F67"/>
    <w:rsid w:val="60805AB4"/>
    <w:rsid w:val="6088405A"/>
    <w:rsid w:val="608A1A1F"/>
    <w:rsid w:val="608E7460"/>
    <w:rsid w:val="6098238E"/>
    <w:rsid w:val="609D79A4"/>
    <w:rsid w:val="60BC290E"/>
    <w:rsid w:val="60CC405A"/>
    <w:rsid w:val="60EB404E"/>
    <w:rsid w:val="61047A23"/>
    <w:rsid w:val="61096DE8"/>
    <w:rsid w:val="610F0176"/>
    <w:rsid w:val="6115348E"/>
    <w:rsid w:val="611A575B"/>
    <w:rsid w:val="6129748A"/>
    <w:rsid w:val="6133155F"/>
    <w:rsid w:val="613377AC"/>
    <w:rsid w:val="61372FF0"/>
    <w:rsid w:val="617C3F7F"/>
    <w:rsid w:val="61826A36"/>
    <w:rsid w:val="618379F8"/>
    <w:rsid w:val="61914A31"/>
    <w:rsid w:val="61971C41"/>
    <w:rsid w:val="619C1A0A"/>
    <w:rsid w:val="61C40353"/>
    <w:rsid w:val="61C471B3"/>
    <w:rsid w:val="61C96577"/>
    <w:rsid w:val="61CD6067"/>
    <w:rsid w:val="61CF3CE9"/>
    <w:rsid w:val="61E215D8"/>
    <w:rsid w:val="61E82EA1"/>
    <w:rsid w:val="61EC1C34"/>
    <w:rsid w:val="61ED6147"/>
    <w:rsid w:val="62034693"/>
    <w:rsid w:val="62077493"/>
    <w:rsid w:val="620E4E14"/>
    <w:rsid w:val="621719D8"/>
    <w:rsid w:val="621B3775"/>
    <w:rsid w:val="62364782"/>
    <w:rsid w:val="625069B2"/>
    <w:rsid w:val="625B3673"/>
    <w:rsid w:val="625E7607"/>
    <w:rsid w:val="626179E8"/>
    <w:rsid w:val="6267026A"/>
    <w:rsid w:val="626970D8"/>
    <w:rsid w:val="62726E81"/>
    <w:rsid w:val="62745839"/>
    <w:rsid w:val="627C1158"/>
    <w:rsid w:val="629D083A"/>
    <w:rsid w:val="62A25746"/>
    <w:rsid w:val="62BB1ECD"/>
    <w:rsid w:val="62BB2364"/>
    <w:rsid w:val="62C31218"/>
    <w:rsid w:val="62C47889"/>
    <w:rsid w:val="62CA25A7"/>
    <w:rsid w:val="62DD052C"/>
    <w:rsid w:val="62E37759"/>
    <w:rsid w:val="62E978BE"/>
    <w:rsid w:val="62EA6B10"/>
    <w:rsid w:val="62F773F5"/>
    <w:rsid w:val="62F8398B"/>
    <w:rsid w:val="62FC0A5C"/>
    <w:rsid w:val="63021AB1"/>
    <w:rsid w:val="63073B13"/>
    <w:rsid w:val="630A6075"/>
    <w:rsid w:val="630B6742"/>
    <w:rsid w:val="630C6A8F"/>
    <w:rsid w:val="63155201"/>
    <w:rsid w:val="631B434B"/>
    <w:rsid w:val="631D47AB"/>
    <w:rsid w:val="633F11E7"/>
    <w:rsid w:val="635C3B47"/>
    <w:rsid w:val="63666FFB"/>
    <w:rsid w:val="636D5D54"/>
    <w:rsid w:val="636E0BBA"/>
    <w:rsid w:val="63722ABF"/>
    <w:rsid w:val="637473B8"/>
    <w:rsid w:val="637569B7"/>
    <w:rsid w:val="637C7D45"/>
    <w:rsid w:val="63891397"/>
    <w:rsid w:val="639257BA"/>
    <w:rsid w:val="6394356A"/>
    <w:rsid w:val="63B079EF"/>
    <w:rsid w:val="63BC3221"/>
    <w:rsid w:val="63C61B2C"/>
    <w:rsid w:val="63CC49BD"/>
    <w:rsid w:val="63D40BE9"/>
    <w:rsid w:val="63D7760E"/>
    <w:rsid w:val="63DF1FD6"/>
    <w:rsid w:val="63EB49E7"/>
    <w:rsid w:val="63F45AFA"/>
    <w:rsid w:val="63F853E2"/>
    <w:rsid w:val="64102431"/>
    <w:rsid w:val="64152C7B"/>
    <w:rsid w:val="642641DD"/>
    <w:rsid w:val="64457A91"/>
    <w:rsid w:val="644D348F"/>
    <w:rsid w:val="645E2BB9"/>
    <w:rsid w:val="6465767C"/>
    <w:rsid w:val="64657690"/>
    <w:rsid w:val="647E6233"/>
    <w:rsid w:val="649B771D"/>
    <w:rsid w:val="649C61C5"/>
    <w:rsid w:val="64A21A2D"/>
    <w:rsid w:val="64A5243A"/>
    <w:rsid w:val="64B21544"/>
    <w:rsid w:val="64B259E8"/>
    <w:rsid w:val="64BF2D6E"/>
    <w:rsid w:val="64D345F4"/>
    <w:rsid w:val="64D6170C"/>
    <w:rsid w:val="64DF5616"/>
    <w:rsid w:val="64E262CE"/>
    <w:rsid w:val="64F531DE"/>
    <w:rsid w:val="64F63B27"/>
    <w:rsid w:val="64FC513B"/>
    <w:rsid w:val="65031608"/>
    <w:rsid w:val="651F307E"/>
    <w:rsid w:val="65373578"/>
    <w:rsid w:val="653A1489"/>
    <w:rsid w:val="653E0AD1"/>
    <w:rsid w:val="653F3F71"/>
    <w:rsid w:val="65414869"/>
    <w:rsid w:val="65461273"/>
    <w:rsid w:val="655A40B6"/>
    <w:rsid w:val="655F681C"/>
    <w:rsid w:val="65690A15"/>
    <w:rsid w:val="65717652"/>
    <w:rsid w:val="6578453C"/>
    <w:rsid w:val="657D5FF6"/>
    <w:rsid w:val="657E1FD5"/>
    <w:rsid w:val="65AA661B"/>
    <w:rsid w:val="65E63B9C"/>
    <w:rsid w:val="66024DE1"/>
    <w:rsid w:val="66055CD7"/>
    <w:rsid w:val="66065FEC"/>
    <w:rsid w:val="660C5529"/>
    <w:rsid w:val="661673E0"/>
    <w:rsid w:val="66297639"/>
    <w:rsid w:val="66406D31"/>
    <w:rsid w:val="665E7BD6"/>
    <w:rsid w:val="66606B78"/>
    <w:rsid w:val="666B00D5"/>
    <w:rsid w:val="668E3DBE"/>
    <w:rsid w:val="66A15D14"/>
    <w:rsid w:val="66A67ACD"/>
    <w:rsid w:val="66BE1EF6"/>
    <w:rsid w:val="66E33806"/>
    <w:rsid w:val="66E35F60"/>
    <w:rsid w:val="66EA3218"/>
    <w:rsid w:val="66F81DD8"/>
    <w:rsid w:val="6700682E"/>
    <w:rsid w:val="671F124A"/>
    <w:rsid w:val="67242B88"/>
    <w:rsid w:val="67332E10"/>
    <w:rsid w:val="67391B54"/>
    <w:rsid w:val="67476A7F"/>
    <w:rsid w:val="6764782D"/>
    <w:rsid w:val="67746F85"/>
    <w:rsid w:val="677A33C6"/>
    <w:rsid w:val="67816502"/>
    <w:rsid w:val="679B3E52"/>
    <w:rsid w:val="67CE6F5C"/>
    <w:rsid w:val="67D9107B"/>
    <w:rsid w:val="67F85E08"/>
    <w:rsid w:val="67FE01D8"/>
    <w:rsid w:val="681F0D5F"/>
    <w:rsid w:val="681F6961"/>
    <w:rsid w:val="68295FC1"/>
    <w:rsid w:val="682B3AE8"/>
    <w:rsid w:val="682E7260"/>
    <w:rsid w:val="68300B74"/>
    <w:rsid w:val="6831466D"/>
    <w:rsid w:val="68444162"/>
    <w:rsid w:val="684A6664"/>
    <w:rsid w:val="68610A2F"/>
    <w:rsid w:val="68637725"/>
    <w:rsid w:val="68752FB5"/>
    <w:rsid w:val="687C2595"/>
    <w:rsid w:val="68805514"/>
    <w:rsid w:val="689000F5"/>
    <w:rsid w:val="6899633E"/>
    <w:rsid w:val="689A7188"/>
    <w:rsid w:val="68AA2B28"/>
    <w:rsid w:val="68B00314"/>
    <w:rsid w:val="68B57855"/>
    <w:rsid w:val="68BF3F78"/>
    <w:rsid w:val="68C06C39"/>
    <w:rsid w:val="68C3759E"/>
    <w:rsid w:val="68D57FE5"/>
    <w:rsid w:val="68E334DF"/>
    <w:rsid w:val="68E63EB3"/>
    <w:rsid w:val="68FE677A"/>
    <w:rsid w:val="69010375"/>
    <w:rsid w:val="69204449"/>
    <w:rsid w:val="69296B69"/>
    <w:rsid w:val="69316E2F"/>
    <w:rsid w:val="694746A7"/>
    <w:rsid w:val="694E2071"/>
    <w:rsid w:val="69505154"/>
    <w:rsid w:val="695933DF"/>
    <w:rsid w:val="695D4175"/>
    <w:rsid w:val="69620A15"/>
    <w:rsid w:val="69676DA1"/>
    <w:rsid w:val="69744E10"/>
    <w:rsid w:val="69760931"/>
    <w:rsid w:val="69766163"/>
    <w:rsid w:val="697936A9"/>
    <w:rsid w:val="697A3B33"/>
    <w:rsid w:val="697E59BE"/>
    <w:rsid w:val="69944193"/>
    <w:rsid w:val="699E15C6"/>
    <w:rsid w:val="699E3BDB"/>
    <w:rsid w:val="69A0307E"/>
    <w:rsid w:val="69A23369"/>
    <w:rsid w:val="69A6230B"/>
    <w:rsid w:val="69BD2E65"/>
    <w:rsid w:val="69C9231B"/>
    <w:rsid w:val="69D33BE7"/>
    <w:rsid w:val="69D44760"/>
    <w:rsid w:val="69DD1606"/>
    <w:rsid w:val="69E047F9"/>
    <w:rsid w:val="69E44896"/>
    <w:rsid w:val="69E93C5A"/>
    <w:rsid w:val="69FE5F41"/>
    <w:rsid w:val="6A0633DB"/>
    <w:rsid w:val="6A09735D"/>
    <w:rsid w:val="6A1862EE"/>
    <w:rsid w:val="6A3053E5"/>
    <w:rsid w:val="6A520EC7"/>
    <w:rsid w:val="6A53191B"/>
    <w:rsid w:val="6A58493C"/>
    <w:rsid w:val="6A851407"/>
    <w:rsid w:val="6A895812"/>
    <w:rsid w:val="6A902F56"/>
    <w:rsid w:val="6A9242F2"/>
    <w:rsid w:val="6A9869DB"/>
    <w:rsid w:val="6AA86F12"/>
    <w:rsid w:val="6AAB7886"/>
    <w:rsid w:val="6AC26BA3"/>
    <w:rsid w:val="6ACB20FD"/>
    <w:rsid w:val="6AD13450"/>
    <w:rsid w:val="6ADA35A3"/>
    <w:rsid w:val="6AEC0549"/>
    <w:rsid w:val="6AF60E76"/>
    <w:rsid w:val="6AF87E20"/>
    <w:rsid w:val="6AFB4DE7"/>
    <w:rsid w:val="6AFF28BE"/>
    <w:rsid w:val="6B054A88"/>
    <w:rsid w:val="6B144D07"/>
    <w:rsid w:val="6B1C7462"/>
    <w:rsid w:val="6B21082D"/>
    <w:rsid w:val="6B260A4A"/>
    <w:rsid w:val="6B2932D8"/>
    <w:rsid w:val="6B322639"/>
    <w:rsid w:val="6B3358AF"/>
    <w:rsid w:val="6B51264C"/>
    <w:rsid w:val="6B5152FE"/>
    <w:rsid w:val="6B741C4A"/>
    <w:rsid w:val="6BAA2B4D"/>
    <w:rsid w:val="6BAA7419"/>
    <w:rsid w:val="6BAF3DC3"/>
    <w:rsid w:val="6BC41759"/>
    <w:rsid w:val="6BC93D43"/>
    <w:rsid w:val="6BF80185"/>
    <w:rsid w:val="6BFF7765"/>
    <w:rsid w:val="6C065035"/>
    <w:rsid w:val="6C104D73"/>
    <w:rsid w:val="6C3A56C1"/>
    <w:rsid w:val="6C4711AD"/>
    <w:rsid w:val="6C5E7372"/>
    <w:rsid w:val="6C636C38"/>
    <w:rsid w:val="6C8477D1"/>
    <w:rsid w:val="6CB56219"/>
    <w:rsid w:val="6CC40AA2"/>
    <w:rsid w:val="6CC87B57"/>
    <w:rsid w:val="6CD26C28"/>
    <w:rsid w:val="6CED439C"/>
    <w:rsid w:val="6D04040E"/>
    <w:rsid w:val="6D08194D"/>
    <w:rsid w:val="6D2515A4"/>
    <w:rsid w:val="6D2935EF"/>
    <w:rsid w:val="6D2E01B3"/>
    <w:rsid w:val="6D6535F8"/>
    <w:rsid w:val="6D725D15"/>
    <w:rsid w:val="6DAF2729"/>
    <w:rsid w:val="6DB13820"/>
    <w:rsid w:val="6DB13A3A"/>
    <w:rsid w:val="6DB34098"/>
    <w:rsid w:val="6DB545B6"/>
    <w:rsid w:val="6DBC71E0"/>
    <w:rsid w:val="6DC61CBE"/>
    <w:rsid w:val="6DCC18C9"/>
    <w:rsid w:val="6DDC3245"/>
    <w:rsid w:val="6DE02FB4"/>
    <w:rsid w:val="6DEA3023"/>
    <w:rsid w:val="6DFB21AE"/>
    <w:rsid w:val="6E084717"/>
    <w:rsid w:val="6E166FE8"/>
    <w:rsid w:val="6E22773B"/>
    <w:rsid w:val="6E26203C"/>
    <w:rsid w:val="6E2C0882"/>
    <w:rsid w:val="6E4E094B"/>
    <w:rsid w:val="6E514CED"/>
    <w:rsid w:val="6E745E0C"/>
    <w:rsid w:val="6EA6036C"/>
    <w:rsid w:val="6EAE0B5C"/>
    <w:rsid w:val="6EB53936"/>
    <w:rsid w:val="6EB563D5"/>
    <w:rsid w:val="6ECF2AF1"/>
    <w:rsid w:val="6ED50C51"/>
    <w:rsid w:val="6ED92677"/>
    <w:rsid w:val="6EDC1FE0"/>
    <w:rsid w:val="6EDF387E"/>
    <w:rsid w:val="6EE86D82"/>
    <w:rsid w:val="6EF02CBF"/>
    <w:rsid w:val="6F080748"/>
    <w:rsid w:val="6F0E2C27"/>
    <w:rsid w:val="6F20789B"/>
    <w:rsid w:val="6F225983"/>
    <w:rsid w:val="6F2D4514"/>
    <w:rsid w:val="6F370FC4"/>
    <w:rsid w:val="6F420B24"/>
    <w:rsid w:val="6F506DEB"/>
    <w:rsid w:val="6F5B73A8"/>
    <w:rsid w:val="6F631DB9"/>
    <w:rsid w:val="6F6A3147"/>
    <w:rsid w:val="6F7F6679"/>
    <w:rsid w:val="6F9F5238"/>
    <w:rsid w:val="6FB46AB9"/>
    <w:rsid w:val="6FB5035B"/>
    <w:rsid w:val="6FC86DED"/>
    <w:rsid w:val="6FD67137"/>
    <w:rsid w:val="6FD75A5A"/>
    <w:rsid w:val="6FE240F3"/>
    <w:rsid w:val="6FEC2A0B"/>
    <w:rsid w:val="6FEF7AF1"/>
    <w:rsid w:val="6FFC5590"/>
    <w:rsid w:val="700417EE"/>
    <w:rsid w:val="7017719F"/>
    <w:rsid w:val="70266A26"/>
    <w:rsid w:val="70356321"/>
    <w:rsid w:val="705362D1"/>
    <w:rsid w:val="70542A5F"/>
    <w:rsid w:val="70575432"/>
    <w:rsid w:val="706B6E84"/>
    <w:rsid w:val="706D1DD0"/>
    <w:rsid w:val="70705C01"/>
    <w:rsid w:val="7084695D"/>
    <w:rsid w:val="70856B87"/>
    <w:rsid w:val="70910EED"/>
    <w:rsid w:val="70912956"/>
    <w:rsid w:val="70926DFA"/>
    <w:rsid w:val="709A4229"/>
    <w:rsid w:val="709D7504"/>
    <w:rsid w:val="70AF0FCE"/>
    <w:rsid w:val="70B859D2"/>
    <w:rsid w:val="70BB4413"/>
    <w:rsid w:val="70BF5845"/>
    <w:rsid w:val="70C40F7D"/>
    <w:rsid w:val="70C54F37"/>
    <w:rsid w:val="70D527EE"/>
    <w:rsid w:val="70E00014"/>
    <w:rsid w:val="70F550EA"/>
    <w:rsid w:val="70FD30A5"/>
    <w:rsid w:val="70FE3A1C"/>
    <w:rsid w:val="71092E34"/>
    <w:rsid w:val="710F044A"/>
    <w:rsid w:val="71120B37"/>
    <w:rsid w:val="71177A25"/>
    <w:rsid w:val="711B1084"/>
    <w:rsid w:val="71235CA4"/>
    <w:rsid w:val="714B7705"/>
    <w:rsid w:val="71593474"/>
    <w:rsid w:val="715B5300"/>
    <w:rsid w:val="716C2E05"/>
    <w:rsid w:val="71791D68"/>
    <w:rsid w:val="717946DC"/>
    <w:rsid w:val="7188737D"/>
    <w:rsid w:val="71961BFC"/>
    <w:rsid w:val="71987A81"/>
    <w:rsid w:val="71AD37BF"/>
    <w:rsid w:val="71AF3EDA"/>
    <w:rsid w:val="71BE777B"/>
    <w:rsid w:val="71CD20B4"/>
    <w:rsid w:val="71D27F8A"/>
    <w:rsid w:val="71F56A31"/>
    <w:rsid w:val="71F76922"/>
    <w:rsid w:val="71F92EA9"/>
    <w:rsid w:val="720974D8"/>
    <w:rsid w:val="721D6B97"/>
    <w:rsid w:val="722C7D02"/>
    <w:rsid w:val="72444BB3"/>
    <w:rsid w:val="72451C4A"/>
    <w:rsid w:val="72467880"/>
    <w:rsid w:val="72553024"/>
    <w:rsid w:val="72570B5A"/>
    <w:rsid w:val="725A6A44"/>
    <w:rsid w:val="725E757A"/>
    <w:rsid w:val="726B5B54"/>
    <w:rsid w:val="729E06BA"/>
    <w:rsid w:val="729F135A"/>
    <w:rsid w:val="72A41658"/>
    <w:rsid w:val="72AB471D"/>
    <w:rsid w:val="72B8241C"/>
    <w:rsid w:val="72C56A48"/>
    <w:rsid w:val="72DE2288"/>
    <w:rsid w:val="72E90827"/>
    <w:rsid w:val="730159BF"/>
    <w:rsid w:val="730731B7"/>
    <w:rsid w:val="730753CF"/>
    <w:rsid w:val="73122968"/>
    <w:rsid w:val="73185F50"/>
    <w:rsid w:val="731F5D5E"/>
    <w:rsid w:val="732C690A"/>
    <w:rsid w:val="732D2E0A"/>
    <w:rsid w:val="733C1590"/>
    <w:rsid w:val="7349576A"/>
    <w:rsid w:val="73592A5F"/>
    <w:rsid w:val="735B56D0"/>
    <w:rsid w:val="736C7394"/>
    <w:rsid w:val="73754CED"/>
    <w:rsid w:val="73843460"/>
    <w:rsid w:val="73876225"/>
    <w:rsid w:val="739369E5"/>
    <w:rsid w:val="73A17EFA"/>
    <w:rsid w:val="73A743D6"/>
    <w:rsid w:val="73AD7AA7"/>
    <w:rsid w:val="73C51AD5"/>
    <w:rsid w:val="73CA3F2E"/>
    <w:rsid w:val="73E8583D"/>
    <w:rsid w:val="73F879FF"/>
    <w:rsid w:val="7402080F"/>
    <w:rsid w:val="7411726A"/>
    <w:rsid w:val="741E793C"/>
    <w:rsid w:val="742D0BE7"/>
    <w:rsid w:val="743B4EC9"/>
    <w:rsid w:val="743D52CE"/>
    <w:rsid w:val="743F4E9B"/>
    <w:rsid w:val="745C0AC9"/>
    <w:rsid w:val="745E3944"/>
    <w:rsid w:val="748A48D5"/>
    <w:rsid w:val="748B6B09"/>
    <w:rsid w:val="748C1DB2"/>
    <w:rsid w:val="748C4448"/>
    <w:rsid w:val="74B310ED"/>
    <w:rsid w:val="74B64ED1"/>
    <w:rsid w:val="74B81638"/>
    <w:rsid w:val="74BE7A92"/>
    <w:rsid w:val="74E120FE"/>
    <w:rsid w:val="74FA76FB"/>
    <w:rsid w:val="75013B12"/>
    <w:rsid w:val="75243D99"/>
    <w:rsid w:val="75310B5D"/>
    <w:rsid w:val="75383D50"/>
    <w:rsid w:val="7548423C"/>
    <w:rsid w:val="754C0B6D"/>
    <w:rsid w:val="755A7D2E"/>
    <w:rsid w:val="75712AD7"/>
    <w:rsid w:val="75882579"/>
    <w:rsid w:val="75933945"/>
    <w:rsid w:val="75970A0E"/>
    <w:rsid w:val="75973D58"/>
    <w:rsid w:val="759B4699"/>
    <w:rsid w:val="759C6025"/>
    <w:rsid w:val="75B74481"/>
    <w:rsid w:val="75C4732A"/>
    <w:rsid w:val="75C529C6"/>
    <w:rsid w:val="75C8506C"/>
    <w:rsid w:val="75CC3AD6"/>
    <w:rsid w:val="75CF58BE"/>
    <w:rsid w:val="75D11264"/>
    <w:rsid w:val="75F401A9"/>
    <w:rsid w:val="75F53639"/>
    <w:rsid w:val="76031F44"/>
    <w:rsid w:val="760A11E0"/>
    <w:rsid w:val="76115AB3"/>
    <w:rsid w:val="761E6A3A"/>
    <w:rsid w:val="762B188B"/>
    <w:rsid w:val="763354FC"/>
    <w:rsid w:val="7635099D"/>
    <w:rsid w:val="76394989"/>
    <w:rsid w:val="766A10B5"/>
    <w:rsid w:val="76774D15"/>
    <w:rsid w:val="76880357"/>
    <w:rsid w:val="768A26FA"/>
    <w:rsid w:val="768C6FB5"/>
    <w:rsid w:val="76940635"/>
    <w:rsid w:val="76984C18"/>
    <w:rsid w:val="76C9157D"/>
    <w:rsid w:val="76CC46E8"/>
    <w:rsid w:val="76D3319E"/>
    <w:rsid w:val="76DF550A"/>
    <w:rsid w:val="76F13D40"/>
    <w:rsid w:val="771A3276"/>
    <w:rsid w:val="771D4F43"/>
    <w:rsid w:val="77211F76"/>
    <w:rsid w:val="77306CDA"/>
    <w:rsid w:val="7731279D"/>
    <w:rsid w:val="773651D5"/>
    <w:rsid w:val="77452506"/>
    <w:rsid w:val="775748F9"/>
    <w:rsid w:val="775C6A98"/>
    <w:rsid w:val="77660CED"/>
    <w:rsid w:val="776C1A27"/>
    <w:rsid w:val="77762421"/>
    <w:rsid w:val="7783749C"/>
    <w:rsid w:val="77944721"/>
    <w:rsid w:val="779C40BA"/>
    <w:rsid w:val="77AD4FF2"/>
    <w:rsid w:val="77B56B1F"/>
    <w:rsid w:val="77C53E94"/>
    <w:rsid w:val="77E46155"/>
    <w:rsid w:val="77E90D1D"/>
    <w:rsid w:val="77F06439"/>
    <w:rsid w:val="77F57C6E"/>
    <w:rsid w:val="780C357D"/>
    <w:rsid w:val="780F09F4"/>
    <w:rsid w:val="78106CEA"/>
    <w:rsid w:val="78146346"/>
    <w:rsid w:val="782B2F7D"/>
    <w:rsid w:val="78474A20"/>
    <w:rsid w:val="78534398"/>
    <w:rsid w:val="78544DCB"/>
    <w:rsid w:val="78564BB1"/>
    <w:rsid w:val="785E3A65"/>
    <w:rsid w:val="78642BEB"/>
    <w:rsid w:val="786C44A2"/>
    <w:rsid w:val="786D7EA7"/>
    <w:rsid w:val="787967F6"/>
    <w:rsid w:val="787C10E6"/>
    <w:rsid w:val="788538A6"/>
    <w:rsid w:val="7888622D"/>
    <w:rsid w:val="788D45E4"/>
    <w:rsid w:val="78A31478"/>
    <w:rsid w:val="78A90480"/>
    <w:rsid w:val="78B22AF7"/>
    <w:rsid w:val="78B67DF9"/>
    <w:rsid w:val="78C74952"/>
    <w:rsid w:val="78CA10FB"/>
    <w:rsid w:val="78CF6711"/>
    <w:rsid w:val="78F25672"/>
    <w:rsid w:val="78FF656E"/>
    <w:rsid w:val="790D214D"/>
    <w:rsid w:val="791F6B26"/>
    <w:rsid w:val="79253867"/>
    <w:rsid w:val="793B3DA7"/>
    <w:rsid w:val="793E7A30"/>
    <w:rsid w:val="79484FF8"/>
    <w:rsid w:val="79492020"/>
    <w:rsid w:val="796E1A86"/>
    <w:rsid w:val="7973709D"/>
    <w:rsid w:val="797B119D"/>
    <w:rsid w:val="797D27F8"/>
    <w:rsid w:val="798412AA"/>
    <w:rsid w:val="79906F6E"/>
    <w:rsid w:val="799C4845"/>
    <w:rsid w:val="799F7E92"/>
    <w:rsid w:val="79B055D9"/>
    <w:rsid w:val="79C842E0"/>
    <w:rsid w:val="79D05272"/>
    <w:rsid w:val="79DE0284"/>
    <w:rsid w:val="7A002F2D"/>
    <w:rsid w:val="7A2219F9"/>
    <w:rsid w:val="7A262C38"/>
    <w:rsid w:val="7A364017"/>
    <w:rsid w:val="7A55297D"/>
    <w:rsid w:val="7A5B6211"/>
    <w:rsid w:val="7A684727"/>
    <w:rsid w:val="7A6B15C4"/>
    <w:rsid w:val="7A6D00ED"/>
    <w:rsid w:val="7A721A4A"/>
    <w:rsid w:val="7A7861FE"/>
    <w:rsid w:val="7A8265E1"/>
    <w:rsid w:val="7A911051"/>
    <w:rsid w:val="7AA95FB1"/>
    <w:rsid w:val="7AAB1D23"/>
    <w:rsid w:val="7AD93877"/>
    <w:rsid w:val="7B0614CE"/>
    <w:rsid w:val="7B0C59FB"/>
    <w:rsid w:val="7B1373E3"/>
    <w:rsid w:val="7B1B79EC"/>
    <w:rsid w:val="7B202794"/>
    <w:rsid w:val="7B5A5973"/>
    <w:rsid w:val="7B617FF9"/>
    <w:rsid w:val="7B686D42"/>
    <w:rsid w:val="7B7F441F"/>
    <w:rsid w:val="7B841746"/>
    <w:rsid w:val="7B8B7049"/>
    <w:rsid w:val="7B931C78"/>
    <w:rsid w:val="7BA7234E"/>
    <w:rsid w:val="7BB4161D"/>
    <w:rsid w:val="7BB91ED7"/>
    <w:rsid w:val="7BBD2674"/>
    <w:rsid w:val="7BC6579F"/>
    <w:rsid w:val="7BCD5DCB"/>
    <w:rsid w:val="7BDF391A"/>
    <w:rsid w:val="7BE00FA8"/>
    <w:rsid w:val="7BE03D69"/>
    <w:rsid w:val="7BE7545F"/>
    <w:rsid w:val="7BEC38BF"/>
    <w:rsid w:val="7BF5648F"/>
    <w:rsid w:val="7BFE15A4"/>
    <w:rsid w:val="7C147550"/>
    <w:rsid w:val="7C285772"/>
    <w:rsid w:val="7C2B3C5E"/>
    <w:rsid w:val="7C390FE5"/>
    <w:rsid w:val="7C4B59FF"/>
    <w:rsid w:val="7C4F0F8B"/>
    <w:rsid w:val="7C570EF7"/>
    <w:rsid w:val="7C5763E9"/>
    <w:rsid w:val="7C5E4034"/>
    <w:rsid w:val="7C6B0C5E"/>
    <w:rsid w:val="7C6C5AC7"/>
    <w:rsid w:val="7C6E36F2"/>
    <w:rsid w:val="7C70422A"/>
    <w:rsid w:val="7C7D043E"/>
    <w:rsid w:val="7C8025FB"/>
    <w:rsid w:val="7CA06292"/>
    <w:rsid w:val="7CAB47D4"/>
    <w:rsid w:val="7CB0272A"/>
    <w:rsid w:val="7CB53846"/>
    <w:rsid w:val="7CC6544B"/>
    <w:rsid w:val="7CC9562E"/>
    <w:rsid w:val="7CD412AB"/>
    <w:rsid w:val="7CD82038"/>
    <w:rsid w:val="7CDF62B2"/>
    <w:rsid w:val="7CFE1373"/>
    <w:rsid w:val="7D0239FF"/>
    <w:rsid w:val="7D0F3586"/>
    <w:rsid w:val="7D256900"/>
    <w:rsid w:val="7D3656B0"/>
    <w:rsid w:val="7D3A6803"/>
    <w:rsid w:val="7D445FA1"/>
    <w:rsid w:val="7D502A1A"/>
    <w:rsid w:val="7D541CBA"/>
    <w:rsid w:val="7D554241"/>
    <w:rsid w:val="7D5947DF"/>
    <w:rsid w:val="7D5E40CD"/>
    <w:rsid w:val="7D621F8D"/>
    <w:rsid w:val="7D645275"/>
    <w:rsid w:val="7D6C2B8E"/>
    <w:rsid w:val="7D755376"/>
    <w:rsid w:val="7D7A0421"/>
    <w:rsid w:val="7D80622C"/>
    <w:rsid w:val="7D8177B4"/>
    <w:rsid w:val="7D8B31EB"/>
    <w:rsid w:val="7DA37BA4"/>
    <w:rsid w:val="7DA57A41"/>
    <w:rsid w:val="7DB879AC"/>
    <w:rsid w:val="7DBB1012"/>
    <w:rsid w:val="7DC64986"/>
    <w:rsid w:val="7DCD56F2"/>
    <w:rsid w:val="7DDA2B39"/>
    <w:rsid w:val="7DF12D4D"/>
    <w:rsid w:val="7E024E93"/>
    <w:rsid w:val="7E066731"/>
    <w:rsid w:val="7E074ABA"/>
    <w:rsid w:val="7E271DD0"/>
    <w:rsid w:val="7E301589"/>
    <w:rsid w:val="7E5A4CCF"/>
    <w:rsid w:val="7E6B28C4"/>
    <w:rsid w:val="7E7958A6"/>
    <w:rsid w:val="7EA30424"/>
    <w:rsid w:val="7EA75A24"/>
    <w:rsid w:val="7EC259CB"/>
    <w:rsid w:val="7EFC4B7B"/>
    <w:rsid w:val="7EFE38AC"/>
    <w:rsid w:val="7F001CE7"/>
    <w:rsid w:val="7F073FC1"/>
    <w:rsid w:val="7F0F1615"/>
    <w:rsid w:val="7F280929"/>
    <w:rsid w:val="7F2B2374"/>
    <w:rsid w:val="7F2E725C"/>
    <w:rsid w:val="7F3040A4"/>
    <w:rsid w:val="7F3C4F87"/>
    <w:rsid w:val="7F474765"/>
    <w:rsid w:val="7F795625"/>
    <w:rsid w:val="7F7D2A23"/>
    <w:rsid w:val="7F7F7495"/>
    <w:rsid w:val="7F850244"/>
    <w:rsid w:val="7F881F3F"/>
    <w:rsid w:val="7F9E2999"/>
    <w:rsid w:val="7FB029B1"/>
    <w:rsid w:val="7FC71EF0"/>
    <w:rsid w:val="7FCE0033"/>
    <w:rsid w:val="7FCF54F1"/>
    <w:rsid w:val="7FE47E50"/>
    <w:rsid w:val="7FE577D9"/>
    <w:rsid w:val="7FF15E18"/>
    <w:rsid w:val="7FF87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iPriority="99"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6"/>
    <w:qFormat/>
    <w:locked/>
    <w:uiPriority w:val="0"/>
    <w:pPr>
      <w:spacing w:before="100" w:beforeAutospacing="1" w:after="100" w:afterAutospacing="1"/>
      <w:jc w:val="left"/>
      <w:outlineLvl w:val="1"/>
    </w:pPr>
    <w:rPr>
      <w:rFonts w:hint="eastAsia" w:ascii="宋体" w:hAnsi="宋体"/>
      <w:b/>
      <w:bCs/>
      <w:kern w:val="0"/>
      <w:sz w:val="36"/>
      <w:szCs w:val="36"/>
    </w:rPr>
  </w:style>
  <w:style w:type="paragraph" w:styleId="7">
    <w:name w:val="heading 3"/>
    <w:basedOn w:val="1"/>
    <w:next w:val="1"/>
    <w:qFormat/>
    <w:locked/>
    <w:uiPriority w:val="0"/>
    <w:pPr>
      <w:keepNext/>
      <w:keepLines/>
      <w:outlineLvl w:val="2"/>
    </w:pPr>
    <w:rPr>
      <w:b/>
      <w:bCs/>
      <w:szCs w:val="32"/>
    </w:rPr>
  </w:style>
  <w:style w:type="paragraph" w:styleId="8">
    <w:name w:val="heading 4"/>
    <w:basedOn w:val="1"/>
    <w:next w:val="1"/>
    <w:qFormat/>
    <w:locked/>
    <w:uiPriority w:val="0"/>
    <w:pPr>
      <w:keepNext/>
      <w:jc w:val="center"/>
      <w:outlineLvl w:val="3"/>
    </w:pPr>
    <w:rPr>
      <w:rFonts w:ascii="仿宋_GB2312" w:hAnsi="宋体" w:eastAsia="仿宋_GB2312"/>
      <w:b/>
      <w:w w:val="90"/>
      <w:sz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1"/>
    <w:qFormat/>
    <w:uiPriority w:val="0"/>
    <w:pPr>
      <w:widowControl/>
      <w:snapToGrid w:val="0"/>
      <w:spacing w:before="60" w:after="160" w:line="259" w:lineRule="auto"/>
      <w:ind w:right="113"/>
    </w:pPr>
    <w:rPr>
      <w:kern w:val="0"/>
      <w:sz w:val="18"/>
      <w:szCs w:val="20"/>
    </w:rPr>
  </w:style>
  <w:style w:type="paragraph" w:styleId="3">
    <w:name w:val="List Bullet 5"/>
    <w:basedOn w:val="1"/>
    <w:qFormat/>
    <w:locked/>
    <w:uiPriority w:val="0"/>
    <w:pPr>
      <w:numPr>
        <w:ilvl w:val="0"/>
        <w:numId w:val="1"/>
      </w:numPr>
    </w:pPr>
  </w:style>
  <w:style w:type="paragraph" w:styleId="6">
    <w:name w:val="Normal Indent"/>
    <w:basedOn w:val="1"/>
    <w:qFormat/>
    <w:locked/>
    <w:uiPriority w:val="0"/>
    <w:pPr>
      <w:adjustRightInd w:val="0"/>
      <w:snapToGrid w:val="0"/>
      <w:spacing w:line="500" w:lineRule="exact"/>
      <w:ind w:firstLine="200" w:firstLineChars="200"/>
    </w:pPr>
    <w:rPr>
      <w:color w:val="000000"/>
    </w:rPr>
  </w:style>
  <w:style w:type="paragraph" w:styleId="9">
    <w:name w:val="annotation text"/>
    <w:basedOn w:val="1"/>
    <w:link w:val="40"/>
    <w:semiHidden/>
    <w:qFormat/>
    <w:uiPriority w:val="0"/>
    <w:pPr>
      <w:jc w:val="left"/>
    </w:pPr>
    <w:rPr>
      <w:kern w:val="0"/>
      <w:sz w:val="24"/>
      <w:szCs w:val="20"/>
    </w:rPr>
  </w:style>
  <w:style w:type="paragraph" w:styleId="10">
    <w:name w:val="Body Text 3"/>
    <w:basedOn w:val="1"/>
    <w:qFormat/>
    <w:locked/>
    <w:uiPriority w:val="0"/>
    <w:pPr>
      <w:spacing w:after="120"/>
    </w:pPr>
    <w:rPr>
      <w:sz w:val="16"/>
      <w:szCs w:val="16"/>
    </w:rPr>
  </w:style>
  <w:style w:type="paragraph" w:styleId="11">
    <w:name w:val="Body Text Indent"/>
    <w:basedOn w:val="1"/>
    <w:link w:val="42"/>
    <w:qFormat/>
    <w:uiPriority w:val="0"/>
    <w:pPr>
      <w:spacing w:after="120"/>
      <w:ind w:left="420" w:leftChars="200"/>
    </w:pPr>
    <w:rPr>
      <w:kern w:val="0"/>
      <w:sz w:val="24"/>
      <w:szCs w:val="20"/>
    </w:rPr>
  </w:style>
  <w:style w:type="paragraph" w:styleId="12">
    <w:name w:val="Block Text"/>
    <w:basedOn w:val="1"/>
    <w:qFormat/>
    <w:locked/>
    <w:uiPriority w:val="0"/>
    <w:pPr>
      <w:spacing w:after="120"/>
      <w:ind w:left="1440" w:leftChars="700" w:right="1440" w:rightChars="700"/>
    </w:pPr>
    <w:rPr>
      <w:rFonts w:ascii="Calibri" w:hAnsi="Calibri"/>
      <w:szCs w:val="20"/>
    </w:rPr>
  </w:style>
  <w:style w:type="paragraph" w:styleId="13">
    <w:name w:val="Plain Text"/>
    <w:basedOn w:val="1"/>
    <w:qFormat/>
    <w:locked/>
    <w:uiPriority w:val="0"/>
    <w:rPr>
      <w:rFonts w:ascii="宋体" w:hAnsi="Courier New"/>
      <w:sz w:val="28"/>
    </w:rPr>
  </w:style>
  <w:style w:type="paragraph" w:styleId="14">
    <w:name w:val="Date"/>
    <w:basedOn w:val="1"/>
    <w:next w:val="1"/>
    <w:link w:val="43"/>
    <w:qFormat/>
    <w:uiPriority w:val="0"/>
    <w:pPr>
      <w:ind w:left="100" w:leftChars="2500"/>
    </w:pPr>
    <w:rPr>
      <w:kern w:val="0"/>
      <w:sz w:val="24"/>
      <w:szCs w:val="20"/>
    </w:rPr>
  </w:style>
  <w:style w:type="paragraph" w:styleId="15">
    <w:name w:val="Body Text Indent 2"/>
    <w:basedOn w:val="1"/>
    <w:qFormat/>
    <w:locked/>
    <w:uiPriority w:val="0"/>
    <w:pPr>
      <w:spacing w:after="120" w:line="480" w:lineRule="auto"/>
      <w:ind w:left="420" w:leftChars="200"/>
    </w:pPr>
  </w:style>
  <w:style w:type="paragraph" w:styleId="16">
    <w:name w:val="Balloon Text"/>
    <w:basedOn w:val="1"/>
    <w:link w:val="44"/>
    <w:semiHidden/>
    <w:qFormat/>
    <w:uiPriority w:val="0"/>
    <w:rPr>
      <w:kern w:val="0"/>
      <w:sz w:val="18"/>
      <w:szCs w:val="20"/>
    </w:rPr>
  </w:style>
  <w:style w:type="paragraph" w:styleId="17">
    <w:name w:val="footer"/>
    <w:basedOn w:val="1"/>
    <w:link w:val="45"/>
    <w:qFormat/>
    <w:uiPriority w:val="99"/>
    <w:pPr>
      <w:tabs>
        <w:tab w:val="center" w:pos="4153"/>
        <w:tab w:val="right" w:pos="8306"/>
      </w:tabs>
      <w:snapToGrid w:val="0"/>
      <w:jc w:val="left"/>
    </w:pPr>
    <w:rPr>
      <w:kern w:val="0"/>
      <w:sz w:val="18"/>
      <w:szCs w:val="20"/>
    </w:rPr>
  </w:style>
  <w:style w:type="paragraph" w:styleId="18">
    <w:name w:val="header"/>
    <w:basedOn w:val="1"/>
    <w:link w:val="46"/>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index heading"/>
    <w:basedOn w:val="1"/>
    <w:next w:val="20"/>
    <w:unhideWhenUsed/>
    <w:qFormat/>
    <w:locked/>
    <w:uiPriority w:val="99"/>
    <w:rPr>
      <w:szCs w:val="20"/>
    </w:rPr>
  </w:style>
  <w:style w:type="paragraph" w:styleId="20">
    <w:name w:val="index 1"/>
    <w:basedOn w:val="1"/>
    <w:next w:val="1"/>
    <w:unhideWhenUsed/>
    <w:qFormat/>
    <w:locked/>
    <w:uiPriority w:val="99"/>
    <w:pPr>
      <w:jc w:val="center"/>
    </w:pPr>
    <w:rPr>
      <w:szCs w:val="20"/>
    </w:rPr>
  </w:style>
  <w:style w:type="paragraph" w:styleId="21">
    <w:name w:val="List"/>
    <w:basedOn w:val="1"/>
    <w:qFormat/>
    <w:locked/>
    <w:uiPriority w:val="0"/>
    <w:pPr>
      <w:adjustRightInd w:val="0"/>
      <w:snapToGrid w:val="0"/>
      <w:jc w:val="center"/>
      <w:textAlignment w:val="baseline"/>
    </w:pPr>
    <w:rPr>
      <w:rFonts w:ascii="仿宋_GB2312" w:hAnsi="Alaska" w:eastAsia="仿宋_GB2312"/>
      <w:kern w:val="0"/>
      <w:szCs w:val="20"/>
    </w:rPr>
  </w:style>
  <w:style w:type="paragraph" w:styleId="22">
    <w:name w:val="Body Text Indent 3"/>
    <w:basedOn w:val="1"/>
    <w:qFormat/>
    <w:locked/>
    <w:uiPriority w:val="0"/>
    <w:pPr>
      <w:widowControl/>
      <w:tabs>
        <w:tab w:val="left" w:pos="604"/>
      </w:tabs>
      <w:spacing w:line="360" w:lineRule="auto"/>
      <w:ind w:firstLine="600"/>
      <w:jc w:val="left"/>
    </w:pPr>
    <w:rPr>
      <w:sz w:val="24"/>
    </w:rPr>
  </w:style>
  <w:style w:type="paragraph" w:styleId="23">
    <w:name w:val="Normal (Web)"/>
    <w:basedOn w:val="1"/>
    <w:link w:val="47"/>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9"/>
    <w:next w:val="9"/>
    <w:link w:val="48"/>
    <w:semiHidden/>
    <w:qFormat/>
    <w:uiPriority w:val="0"/>
    <w:rPr>
      <w:b/>
    </w:rPr>
  </w:style>
  <w:style w:type="paragraph" w:styleId="25">
    <w:name w:val="Body Text First Indent"/>
    <w:basedOn w:val="2"/>
    <w:next w:val="1"/>
    <w:qFormat/>
    <w:locked/>
    <w:uiPriority w:val="0"/>
    <w:pPr>
      <w:spacing w:line="240" w:lineRule="auto"/>
      <w:ind w:firstLine="420" w:firstLineChars="100"/>
    </w:pPr>
    <w:rPr>
      <w:sz w:val="21"/>
    </w:rPr>
  </w:style>
  <w:style w:type="paragraph" w:styleId="26">
    <w:name w:val="Body Text First Indent 2"/>
    <w:basedOn w:val="11"/>
    <w:next w:val="25"/>
    <w:qFormat/>
    <w:locked/>
    <w:uiPriority w:val="0"/>
    <w:pPr>
      <w:spacing w:line="520" w:lineRule="exact"/>
      <w:ind w:firstLine="560"/>
    </w:pPr>
    <w:rPr>
      <w:rFonts w:ascii="宋体"/>
      <w:sz w:val="28"/>
      <w:szCs w:val="24"/>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locked/>
    <w:uiPriority w:val="0"/>
    <w:rPr>
      <w:b/>
    </w:rPr>
  </w:style>
  <w:style w:type="character" w:styleId="31">
    <w:name w:val="page number"/>
    <w:qFormat/>
    <w:locked/>
    <w:uiPriority w:val="0"/>
  </w:style>
  <w:style w:type="character" w:styleId="32">
    <w:name w:val="FollowedHyperlink"/>
    <w:basedOn w:val="29"/>
    <w:qFormat/>
    <w:locked/>
    <w:uiPriority w:val="0"/>
    <w:rPr>
      <w:color w:val="595758"/>
      <w:u w:val="none"/>
    </w:rPr>
  </w:style>
  <w:style w:type="character" w:styleId="33">
    <w:name w:val="Emphasis"/>
    <w:basedOn w:val="29"/>
    <w:qFormat/>
    <w:locked/>
    <w:uiPriority w:val="0"/>
    <w:rPr>
      <w:i/>
    </w:rPr>
  </w:style>
  <w:style w:type="character" w:styleId="34">
    <w:name w:val="Hyperlink"/>
    <w:basedOn w:val="29"/>
    <w:qFormat/>
    <w:locked/>
    <w:uiPriority w:val="0"/>
    <w:rPr>
      <w:color w:val="595758"/>
      <w:u w:val="none"/>
    </w:rPr>
  </w:style>
  <w:style w:type="character" w:styleId="35">
    <w:name w:val="annotation reference"/>
    <w:basedOn w:val="29"/>
    <w:semiHidden/>
    <w:qFormat/>
    <w:uiPriority w:val="0"/>
    <w:rPr>
      <w:sz w:val="21"/>
    </w:rPr>
  </w:style>
  <w:style w:type="paragraph" w:customStyle="1" w:styleId="36">
    <w:name w:val="Default"/>
    <w:basedOn w:val="37"/>
    <w:next w:val="1"/>
    <w:qFormat/>
    <w:uiPriority w:val="0"/>
    <w:pPr>
      <w:autoSpaceDE w:val="0"/>
      <w:autoSpaceDN w:val="0"/>
    </w:pPr>
    <w:rPr>
      <w:rFonts w:ascii="宋体" w:hAnsi="Calibri" w:cs="宋体"/>
      <w:color w:val="000000"/>
      <w:sz w:val="24"/>
      <w:szCs w:val="24"/>
    </w:rPr>
  </w:style>
  <w:style w:type="paragraph" w:customStyle="1" w:styleId="37">
    <w:name w:val="纯文本1"/>
    <w:basedOn w:val="1"/>
    <w:qFormat/>
    <w:uiPriority w:val="0"/>
    <w:pPr>
      <w:adjustRightInd w:val="0"/>
    </w:pPr>
    <w:rPr>
      <w:rFonts w:ascii="宋体" w:hAnsi="Courier New"/>
      <w:szCs w:val="20"/>
    </w:rPr>
  </w:style>
  <w:style w:type="paragraph" w:customStyle="1" w:styleId="38">
    <w:name w:val="标题2"/>
    <w:basedOn w:val="1"/>
    <w:next w:val="5"/>
    <w:qFormat/>
    <w:uiPriority w:val="0"/>
    <w:pPr>
      <w:adjustRightInd w:val="0"/>
      <w:snapToGrid w:val="0"/>
      <w:spacing w:line="360" w:lineRule="auto"/>
      <w:jc w:val="left"/>
      <w:outlineLvl w:val="1"/>
    </w:pPr>
    <w:rPr>
      <w:b/>
      <w:bCs/>
      <w:sz w:val="28"/>
      <w:szCs w:val="28"/>
    </w:rPr>
  </w:style>
  <w:style w:type="paragraph" w:customStyle="1" w:styleId="39">
    <w:name w:val="_Style 308"/>
    <w:basedOn w:val="1"/>
    <w:qFormat/>
    <w:uiPriority w:val="0"/>
    <w:rPr>
      <w:rFonts w:ascii="Tahoma" w:hAnsi="Tahoma" w:eastAsia="Times New Roman"/>
      <w:kern w:val="0"/>
      <w:sz w:val="24"/>
      <w:szCs w:val="20"/>
    </w:rPr>
  </w:style>
  <w:style w:type="character" w:customStyle="1" w:styleId="40">
    <w:name w:val="批注文字 字符"/>
    <w:link w:val="9"/>
    <w:qFormat/>
    <w:locked/>
    <w:uiPriority w:val="0"/>
    <w:rPr>
      <w:rFonts w:ascii="Times New Roman" w:hAnsi="Times New Roman" w:eastAsia="宋体"/>
      <w:sz w:val="24"/>
    </w:rPr>
  </w:style>
  <w:style w:type="character" w:customStyle="1" w:styleId="41">
    <w:name w:val="正文文本 字符"/>
    <w:link w:val="2"/>
    <w:qFormat/>
    <w:locked/>
    <w:uiPriority w:val="0"/>
    <w:rPr>
      <w:sz w:val="18"/>
    </w:rPr>
  </w:style>
  <w:style w:type="character" w:customStyle="1" w:styleId="42">
    <w:name w:val="正文文本缩进 字符"/>
    <w:link w:val="11"/>
    <w:semiHidden/>
    <w:qFormat/>
    <w:locked/>
    <w:uiPriority w:val="0"/>
    <w:rPr>
      <w:rFonts w:ascii="Times New Roman" w:hAnsi="Times New Roman" w:eastAsia="宋体"/>
      <w:sz w:val="24"/>
    </w:rPr>
  </w:style>
  <w:style w:type="character" w:customStyle="1" w:styleId="43">
    <w:name w:val="日期 字符1"/>
    <w:link w:val="14"/>
    <w:qFormat/>
    <w:locked/>
    <w:uiPriority w:val="0"/>
    <w:rPr>
      <w:rFonts w:ascii="Times New Roman" w:hAnsi="Times New Roman" w:eastAsia="宋体"/>
      <w:sz w:val="24"/>
    </w:rPr>
  </w:style>
  <w:style w:type="character" w:customStyle="1" w:styleId="44">
    <w:name w:val="批注框文本 字符"/>
    <w:link w:val="16"/>
    <w:semiHidden/>
    <w:qFormat/>
    <w:locked/>
    <w:uiPriority w:val="0"/>
    <w:rPr>
      <w:rFonts w:ascii="Times New Roman" w:hAnsi="Times New Roman" w:eastAsia="宋体"/>
      <w:sz w:val="18"/>
    </w:rPr>
  </w:style>
  <w:style w:type="character" w:customStyle="1" w:styleId="45">
    <w:name w:val="页脚 字符1"/>
    <w:link w:val="17"/>
    <w:qFormat/>
    <w:locked/>
    <w:uiPriority w:val="99"/>
    <w:rPr>
      <w:sz w:val="18"/>
    </w:rPr>
  </w:style>
  <w:style w:type="character" w:customStyle="1" w:styleId="46">
    <w:name w:val="页眉 字符"/>
    <w:link w:val="18"/>
    <w:qFormat/>
    <w:locked/>
    <w:uiPriority w:val="0"/>
    <w:rPr>
      <w:sz w:val="18"/>
    </w:rPr>
  </w:style>
  <w:style w:type="character" w:customStyle="1" w:styleId="47">
    <w:name w:val="普通(网站) 字符"/>
    <w:link w:val="23"/>
    <w:qFormat/>
    <w:locked/>
    <w:uiPriority w:val="0"/>
    <w:rPr>
      <w:rFonts w:ascii="宋体" w:hAnsi="宋体" w:eastAsia="宋体"/>
      <w:sz w:val="24"/>
    </w:rPr>
  </w:style>
  <w:style w:type="character" w:customStyle="1" w:styleId="48">
    <w:name w:val="批注主题 字符"/>
    <w:link w:val="24"/>
    <w:semiHidden/>
    <w:qFormat/>
    <w:locked/>
    <w:uiPriority w:val="0"/>
    <w:rPr>
      <w:rFonts w:ascii="Times New Roman" w:hAnsi="Times New Roman" w:eastAsia="宋体"/>
      <w:b/>
      <w:kern w:val="2"/>
      <w:sz w:val="24"/>
    </w:rPr>
  </w:style>
  <w:style w:type="paragraph" w:customStyle="1" w:styleId="49">
    <w:name w:val="标题 段落4级"/>
    <w:basedOn w:val="50"/>
    <w:qFormat/>
    <w:uiPriority w:val="0"/>
    <w:pPr>
      <w:outlineLvl w:val="3"/>
    </w:pPr>
    <w:rPr>
      <w:rFonts w:ascii="Calibri" w:hAnsi="Calibri" w:cs="Calibri"/>
      <w:b/>
      <w:kern w:val="2"/>
    </w:rPr>
  </w:style>
  <w:style w:type="paragraph" w:customStyle="1" w:styleId="50">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character" w:customStyle="1" w:styleId="51">
    <w:name w:val="表格 Char"/>
    <w:link w:val="52"/>
    <w:qFormat/>
    <w:locked/>
    <w:uiPriority w:val="0"/>
    <w:rPr>
      <w:rFonts w:ascii="宋体"/>
      <w:sz w:val="21"/>
    </w:rPr>
  </w:style>
  <w:style w:type="paragraph" w:customStyle="1" w:styleId="52">
    <w:name w:val="表格"/>
    <w:basedOn w:val="53"/>
    <w:next w:val="1"/>
    <w:link w:val="51"/>
    <w:qFormat/>
    <w:uiPriority w:val="0"/>
    <w:pPr>
      <w:adjustRightInd w:val="0"/>
      <w:snapToGrid w:val="0"/>
      <w:spacing w:beforeLines="10" w:afterLines="10" w:line="259" w:lineRule="auto"/>
      <w:jc w:val="center"/>
    </w:pPr>
    <w:rPr>
      <w:rFonts w:ascii="宋体"/>
      <w:kern w:val="0"/>
      <w:szCs w:val="20"/>
    </w:rPr>
  </w:style>
  <w:style w:type="paragraph" w:customStyle="1" w:styleId="53">
    <w:name w:val="注"/>
    <w:basedOn w:val="1"/>
    <w:qFormat/>
    <w:uiPriority w:val="99"/>
    <w:rPr>
      <w:sz w:val="18"/>
    </w:rPr>
  </w:style>
  <w:style w:type="character" w:customStyle="1" w:styleId="54">
    <w:name w:val="批注文字 字符1"/>
    <w:semiHidden/>
    <w:qFormat/>
    <w:uiPriority w:val="0"/>
    <w:rPr>
      <w:rFonts w:ascii="Times New Roman" w:hAnsi="Times New Roman" w:eastAsia="宋体"/>
      <w:sz w:val="24"/>
    </w:rPr>
  </w:style>
  <w:style w:type="character" w:customStyle="1" w:styleId="55">
    <w:name w:val="18"/>
    <w:qFormat/>
    <w:uiPriority w:val="0"/>
    <w:rPr>
      <w:rFonts w:hint="eastAsia" w:ascii="宋体" w:hAnsi="宋体" w:eastAsia="宋体"/>
      <w:color w:val="000000"/>
      <w:sz w:val="22"/>
      <w:szCs w:val="22"/>
    </w:rPr>
  </w:style>
  <w:style w:type="character" w:customStyle="1" w:styleId="56">
    <w:name w:val="日期 字符"/>
    <w:semiHidden/>
    <w:qFormat/>
    <w:uiPriority w:val="0"/>
    <w:rPr>
      <w:rFonts w:ascii="Times New Roman" w:hAnsi="Times New Roman" w:eastAsia="宋体"/>
      <w:sz w:val="24"/>
    </w:rPr>
  </w:style>
  <w:style w:type="character" w:customStyle="1" w:styleId="57">
    <w:name w:val="页脚 字符"/>
    <w:qFormat/>
    <w:uiPriority w:val="99"/>
  </w:style>
  <w:style w:type="character" w:customStyle="1" w:styleId="58">
    <w:name w:val="正文文本 字符1"/>
    <w:semiHidden/>
    <w:qFormat/>
    <w:uiPriority w:val="0"/>
    <w:rPr>
      <w:rFonts w:ascii="Times New Roman" w:hAnsi="Times New Roman" w:eastAsia="宋体"/>
      <w:sz w:val="24"/>
    </w:rPr>
  </w:style>
  <w:style w:type="paragraph" w:customStyle="1" w:styleId="59">
    <w:name w:val="表格-lcc"/>
    <w:basedOn w:val="1"/>
    <w:next w:val="1"/>
    <w:qFormat/>
    <w:uiPriority w:val="0"/>
    <w:pPr>
      <w:snapToGrid w:val="0"/>
      <w:spacing w:line="276" w:lineRule="auto"/>
      <w:jc w:val="center"/>
    </w:pPr>
    <w:rPr>
      <w:rFonts w:cs="宋体"/>
      <w:szCs w:val="21"/>
    </w:rPr>
  </w:style>
  <w:style w:type="paragraph" w:customStyle="1" w:styleId="60">
    <w:name w:val="表格标题"/>
    <w:basedOn w:val="1"/>
    <w:qFormat/>
    <w:uiPriority w:val="0"/>
    <w:pPr>
      <w:jc w:val="center"/>
    </w:pPr>
    <w:rPr>
      <w:b/>
    </w:rPr>
  </w:style>
  <w:style w:type="paragraph" w:customStyle="1" w:styleId="61">
    <w:name w:val="列出段落"/>
    <w:basedOn w:val="1"/>
    <w:qFormat/>
    <w:uiPriority w:val="1"/>
    <w:pPr>
      <w:ind w:left="2384" w:hanging="602"/>
    </w:pPr>
    <w:rPr>
      <w:rFonts w:ascii="宋体" w:hAnsi="宋体" w:cs="宋体"/>
      <w:lang w:val="zh-CN" w:bidi="zh-CN"/>
    </w:rPr>
  </w:style>
  <w:style w:type="paragraph" w:customStyle="1" w:styleId="62">
    <w:name w:val="小标题"/>
    <w:qFormat/>
    <w:uiPriority w:val="99"/>
    <w:pPr>
      <w:spacing w:before="60" w:line="360" w:lineRule="auto"/>
    </w:pPr>
    <w:rPr>
      <w:rFonts w:ascii="Times New Roman" w:hAnsi="Times New Roman" w:eastAsia="宋体" w:cs="Times New Roman"/>
      <w:b/>
      <w:kern w:val="2"/>
      <w:sz w:val="24"/>
      <w:szCs w:val="24"/>
      <w:lang w:val="en-US" w:eastAsia="zh-CN" w:bidi="ar-SA"/>
    </w:rPr>
  </w:style>
  <w:style w:type="paragraph" w:customStyle="1" w:styleId="63">
    <w:name w:val="表格内容"/>
    <w:basedOn w:val="1"/>
    <w:next w:val="1"/>
    <w:qFormat/>
    <w:uiPriority w:val="0"/>
    <w:pPr>
      <w:jc w:val="center"/>
    </w:pPr>
    <w:rPr>
      <w:szCs w:val="21"/>
    </w:rPr>
  </w:style>
  <w:style w:type="paragraph" w:customStyle="1" w:styleId="64">
    <w:name w:val="表文-lcc"/>
    <w:basedOn w:val="13"/>
    <w:qFormat/>
    <w:uiPriority w:val="0"/>
    <w:pPr>
      <w:jc w:val="center"/>
    </w:pPr>
    <w:rPr>
      <w:rFonts w:ascii="Times New Roman"/>
      <w:color w:val="000000"/>
    </w:rPr>
  </w:style>
  <w:style w:type="paragraph" w:customStyle="1" w:styleId="65">
    <w:name w:val="正文lcc2"/>
    <w:basedOn w:val="2"/>
    <w:qFormat/>
    <w:uiPriority w:val="0"/>
    <w:pPr>
      <w:spacing w:line="360" w:lineRule="auto"/>
      <w:ind w:firstLine="200" w:firstLineChars="200"/>
    </w:pPr>
  </w:style>
  <w:style w:type="paragraph" w:customStyle="1" w:styleId="66">
    <w:name w:val="xl27"/>
    <w:basedOn w:val="1"/>
    <w:qFormat/>
    <w:uiPriority w:val="0"/>
    <w:pPr>
      <w:pBdr>
        <w:bottom w:val="single" w:color="auto" w:sz="12" w:space="0"/>
      </w:pBdr>
      <w:spacing w:before="100" w:after="100"/>
      <w:jc w:val="center"/>
    </w:pPr>
    <w:rPr>
      <w:rFonts w:ascii="宋体" w:hAnsi="宋体"/>
    </w:rPr>
  </w:style>
  <w:style w:type="paragraph" w:customStyle="1" w:styleId="6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8">
    <w:name w:val="样式 样式 样式 自动设置 + 五号 段前: 0.5 行 行距: 单倍行距 + 段前: 0.5 行"/>
    <w:basedOn w:val="1"/>
    <w:qFormat/>
    <w:uiPriority w:val="0"/>
    <w:pPr>
      <w:autoSpaceDE w:val="0"/>
      <w:autoSpaceDN w:val="0"/>
      <w:adjustRightInd w:val="0"/>
      <w:snapToGrid w:val="0"/>
    </w:pPr>
    <w:rPr>
      <w:rFonts w:cs="宋体"/>
      <w:szCs w:val="20"/>
    </w:rPr>
  </w:style>
  <w:style w:type="paragraph" w:customStyle="1" w:styleId="69">
    <w:name w:val="正文zy"/>
    <w:basedOn w:val="1"/>
    <w:qFormat/>
    <w:uiPriority w:val="0"/>
    <w:pPr>
      <w:snapToGrid w:val="0"/>
      <w:spacing w:line="360" w:lineRule="auto"/>
      <w:ind w:firstLine="480" w:firstLineChars="200"/>
    </w:pPr>
    <w:rPr>
      <w:color w:val="000000"/>
    </w:rPr>
  </w:style>
  <w:style w:type="paragraph" w:customStyle="1" w:styleId="70">
    <w:name w:val="表内lcc"/>
    <w:basedOn w:val="71"/>
    <w:qFormat/>
    <w:uiPriority w:val="0"/>
    <w:rPr>
      <w:color w:val="000000"/>
    </w:rPr>
  </w:style>
  <w:style w:type="paragraph" w:customStyle="1" w:styleId="71">
    <w:name w:val="表内字"/>
    <w:basedOn w:val="1"/>
    <w:qFormat/>
    <w:uiPriority w:val="0"/>
    <w:pPr>
      <w:adjustRightInd w:val="0"/>
      <w:jc w:val="center"/>
    </w:pPr>
    <w:rPr>
      <w:iCs/>
      <w:szCs w:val="21"/>
    </w:rPr>
  </w:style>
  <w:style w:type="paragraph" w:customStyle="1" w:styleId="72">
    <w:name w:val="表头2-lcc"/>
    <w:basedOn w:val="1"/>
    <w:qFormat/>
    <w:uiPriority w:val="0"/>
    <w:pPr>
      <w:adjustRightInd w:val="0"/>
      <w:jc w:val="center"/>
      <w:textAlignment w:val="baseline"/>
    </w:pPr>
    <w:rPr>
      <w:b/>
      <w:kern w:val="0"/>
      <w:szCs w:val="21"/>
    </w:rPr>
  </w:style>
  <w:style w:type="paragraph" w:customStyle="1" w:styleId="73">
    <w:name w:val="Table Paragraph"/>
    <w:basedOn w:val="1"/>
    <w:qFormat/>
    <w:uiPriority w:val="1"/>
    <w:rPr>
      <w:rFonts w:ascii="宋体" w:hAnsi="宋体" w:cs="宋体"/>
      <w:lang w:val="zh-CN" w:bidi="zh-CN"/>
    </w:rPr>
  </w:style>
  <w:style w:type="paragraph" w:customStyle="1" w:styleId="74">
    <w:name w:val="表格字"/>
    <w:basedOn w:val="1"/>
    <w:next w:val="1"/>
    <w:qFormat/>
    <w:uiPriority w:val="0"/>
    <w:pPr>
      <w:snapToGrid w:val="0"/>
      <w:jc w:val="center"/>
    </w:pPr>
    <w:rPr>
      <w:rFonts w:eastAsia="仿宋_GB2312"/>
      <w:color w:val="000000"/>
      <w:sz w:val="28"/>
      <w:szCs w:val="28"/>
    </w:rPr>
  </w:style>
  <w:style w:type="paragraph" w:customStyle="1" w:styleId="7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
    <w:name w:val="正文lcc"/>
    <w:basedOn w:val="1"/>
    <w:qFormat/>
    <w:uiPriority w:val="0"/>
    <w:pPr>
      <w:overflowPunct w:val="0"/>
      <w:adjustRightInd w:val="0"/>
      <w:snapToGrid w:val="0"/>
      <w:ind w:firstLine="480"/>
    </w:pPr>
    <w:rPr>
      <w:kern w:val="0"/>
      <w:szCs w:val="20"/>
    </w:rPr>
  </w:style>
  <w:style w:type="table" w:customStyle="1" w:styleId="77">
    <w:name w:val="网格型3"/>
    <w:basedOn w:val="27"/>
    <w:qFormat/>
    <w:uiPriority w:val="39"/>
    <w:pPr>
      <w:ind w:left="210"/>
    </w:pPr>
    <w:rPr>
      <w:rFonts w:eastAsia="方正仿宋_GBK"/>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
    <w:name w:val="图标格式"/>
    <w:basedOn w:val="1"/>
    <w:qFormat/>
    <w:uiPriority w:val="0"/>
    <w:pPr>
      <w:jc w:val="center"/>
    </w:pPr>
    <w:rPr>
      <w:rFonts w:eastAsia="黑体"/>
    </w:rPr>
  </w:style>
  <w:style w:type="paragraph" w:customStyle="1" w:styleId="79">
    <w:name w:val="彩色列表 - 着色 11"/>
    <w:basedOn w:val="1"/>
    <w:qFormat/>
    <w:uiPriority w:val="34"/>
    <w:pPr>
      <w:ind w:firstLine="420"/>
    </w:pPr>
  </w:style>
  <w:style w:type="paragraph" w:customStyle="1" w:styleId="80">
    <w:name w:val="正文文本1"/>
    <w:qFormat/>
    <w:uiPriority w:val="0"/>
    <w:pPr>
      <w:widowControl w:val="0"/>
      <w:shd w:val="clear" w:color="auto" w:fill="FFFFFF"/>
      <w:spacing w:after="300" w:line="0" w:lineRule="atLeast"/>
      <w:jc w:val="distribute"/>
    </w:pPr>
    <w:rPr>
      <w:rFonts w:ascii="宋体" w:hAnsi="宋体" w:eastAsia="宋体" w:cs="宋体"/>
      <w:sz w:val="27"/>
      <w:szCs w:val="27"/>
      <w:lang w:val="en-US" w:eastAsia="zh-CN" w:bidi="ar-SA"/>
    </w:rPr>
  </w:style>
  <w:style w:type="character" w:customStyle="1" w:styleId="81">
    <w:name w:val="正文文本 + 10 pt2"/>
    <w:qFormat/>
    <w:uiPriority w:val="0"/>
    <w:rPr>
      <w:rFonts w:ascii="宋体" w:hAnsi="宋体" w:eastAsia="宋体" w:cs="宋体"/>
      <w:color w:val="000000"/>
      <w:spacing w:val="0"/>
      <w:w w:val="100"/>
      <w:position w:val="0"/>
      <w:sz w:val="20"/>
      <w:szCs w:val="20"/>
      <w:u w:val="none"/>
      <w:lang w:val="zh-CN"/>
    </w:rPr>
  </w:style>
  <w:style w:type="character" w:customStyle="1" w:styleId="82">
    <w:name w:val="正文文本 + 10 pt"/>
    <w:qFormat/>
    <w:uiPriority w:val="0"/>
    <w:rPr>
      <w:rFonts w:ascii="宋体" w:hAnsi="宋体" w:eastAsia="宋体" w:cs="宋体"/>
      <w:color w:val="000000"/>
      <w:spacing w:val="-20"/>
      <w:w w:val="100"/>
      <w:position w:val="0"/>
      <w:sz w:val="20"/>
      <w:szCs w:val="20"/>
      <w:u w:val="none"/>
      <w:lang w:val="zh-CN"/>
    </w:rPr>
  </w:style>
  <w:style w:type="paragraph" w:customStyle="1" w:styleId="83">
    <w:name w:val="p0"/>
    <w:basedOn w:val="1"/>
    <w:qFormat/>
    <w:uiPriority w:val="0"/>
    <w:pPr>
      <w:widowControl/>
      <w:snapToGrid w:val="0"/>
      <w:spacing w:line="300" w:lineRule="auto"/>
    </w:pPr>
    <w:rPr>
      <w:rFonts w:ascii="仿宋_GB2312" w:hAnsi="宋体" w:eastAsia="仿宋_GB2312" w:cs="宋体"/>
      <w:kern w:val="0"/>
      <w:sz w:val="28"/>
      <w:szCs w:val="28"/>
    </w:rPr>
  </w:style>
  <w:style w:type="paragraph" w:customStyle="1" w:styleId="84">
    <w:name w:val="正文首行缩进2个字 Char"/>
    <w:basedOn w:val="1"/>
    <w:qFormat/>
    <w:uiPriority w:val="0"/>
    <w:pPr>
      <w:ind w:firstLine="480" w:firstLineChars="200"/>
    </w:pPr>
    <w:rPr>
      <w:rFonts w:eastAsia="楷体"/>
      <w:sz w:val="24"/>
    </w:rPr>
  </w:style>
  <w:style w:type="paragraph" w:customStyle="1" w:styleId="85">
    <w:name w:val="一级标题"/>
    <w:basedOn w:val="1"/>
    <w:qFormat/>
    <w:uiPriority w:val="0"/>
    <w:pPr>
      <w:overflowPunct w:val="0"/>
      <w:spacing w:before="60" w:line="460" w:lineRule="exact"/>
      <w:outlineLvl w:val="0"/>
    </w:pPr>
    <w:rPr>
      <w:b/>
      <w:kern w:val="0"/>
      <w:sz w:val="32"/>
      <w:szCs w:val="32"/>
    </w:rPr>
  </w:style>
  <w:style w:type="paragraph" w:customStyle="1" w:styleId="86">
    <w:name w:val="Other|1"/>
    <w:basedOn w:val="1"/>
    <w:qFormat/>
    <w:uiPriority w:val="0"/>
    <w:pPr>
      <w:jc w:val="center"/>
    </w:pPr>
    <w:rPr>
      <w:rFonts w:ascii="宋体" w:hAnsi="宋体" w:cs="宋体"/>
      <w:sz w:val="19"/>
      <w:szCs w:val="19"/>
    </w:rPr>
  </w:style>
  <w:style w:type="paragraph" w:customStyle="1" w:styleId="87">
    <w:name w:val="表格文字"/>
    <w:basedOn w:val="1"/>
    <w:qFormat/>
    <w:uiPriority w:val="99"/>
    <w:pPr>
      <w:adjustRightInd w:val="0"/>
      <w:snapToGrid w:val="0"/>
      <w:jc w:val="center"/>
    </w:pPr>
    <w:rPr>
      <w:kern w:val="44"/>
      <w:szCs w:val="20"/>
    </w:rPr>
  </w:style>
  <w:style w:type="paragraph" w:customStyle="1" w:styleId="88">
    <w:name w:val="0正文"/>
    <w:basedOn w:val="1"/>
    <w:qFormat/>
    <w:uiPriority w:val="0"/>
    <w:pPr>
      <w:spacing w:line="360" w:lineRule="auto"/>
      <w:ind w:firstLine="200" w:firstLineChars="200"/>
    </w:pPr>
    <w:rPr>
      <w:kern w:val="0"/>
      <w:sz w:val="24"/>
      <w:szCs w:val="22"/>
      <w:lang w:eastAsia="en-US"/>
    </w:rPr>
  </w:style>
  <w:style w:type="paragraph" w:customStyle="1" w:styleId="89">
    <w:name w:val="01正文"/>
    <w:basedOn w:val="90"/>
    <w:qFormat/>
    <w:uiPriority w:val="0"/>
    <w:pPr>
      <w:autoSpaceDE w:val="0"/>
      <w:autoSpaceDN w:val="0"/>
    </w:pPr>
    <w:rPr>
      <w:lang w:val="zh-CN"/>
    </w:rPr>
  </w:style>
  <w:style w:type="paragraph" w:customStyle="1" w:styleId="90">
    <w:name w:val="LD正文"/>
    <w:basedOn w:val="1"/>
    <w:qFormat/>
    <w:uiPriority w:val="0"/>
    <w:pPr>
      <w:adjustRightInd w:val="0"/>
      <w:snapToGrid w:val="0"/>
      <w:spacing w:line="360" w:lineRule="auto"/>
      <w:ind w:firstLine="200" w:firstLineChars="200"/>
    </w:pPr>
    <w:rPr>
      <w:kern w:val="0"/>
      <w:sz w:val="24"/>
    </w:rPr>
  </w:style>
  <w:style w:type="paragraph" w:customStyle="1" w:styleId="91">
    <w:name w:val="Z嵌套表格内容"/>
    <w:basedOn w:val="1"/>
    <w:qFormat/>
    <w:uiPriority w:val="0"/>
    <w:pPr>
      <w:jc w:val="center"/>
    </w:pPr>
    <w:rPr>
      <w:sz w:val="18"/>
    </w:rPr>
  </w:style>
  <w:style w:type="paragraph" w:customStyle="1" w:styleId="92">
    <w:name w:val="Z正文"/>
    <w:basedOn w:val="1"/>
    <w:link w:val="93"/>
    <w:qFormat/>
    <w:uiPriority w:val="0"/>
    <w:pPr>
      <w:spacing w:line="400" w:lineRule="exact"/>
      <w:ind w:firstLine="600" w:firstLineChars="200"/>
    </w:pPr>
    <w:rPr>
      <w:szCs w:val="20"/>
    </w:rPr>
  </w:style>
  <w:style w:type="character" w:customStyle="1" w:styleId="93">
    <w:name w:val="Z正文 Char"/>
    <w:link w:val="92"/>
    <w:unhideWhenUsed/>
    <w:qFormat/>
    <w:uiPriority w:val="0"/>
    <w:rPr>
      <w:rFonts w:ascii="Times New Roman" w:hAnsi="Times New Roman" w:eastAsia="宋体" w:cs="Times New Roman"/>
      <w:szCs w:val="20"/>
    </w:rPr>
  </w:style>
  <w:style w:type="paragraph" w:customStyle="1" w:styleId="94">
    <w:name w:val="Z表格标题"/>
    <w:basedOn w:val="1"/>
    <w:next w:val="1"/>
    <w:qFormat/>
    <w:uiPriority w:val="0"/>
    <w:pPr>
      <w:spacing w:line="400" w:lineRule="exact"/>
      <w:jc w:val="center"/>
    </w:pPr>
    <w:rPr>
      <w:b/>
    </w:rPr>
  </w:style>
  <w:style w:type="character" w:customStyle="1" w:styleId="95">
    <w:name w:val="fontstyle01"/>
    <w:qFormat/>
    <w:uiPriority w:val="0"/>
    <w:rPr>
      <w:rFonts w:ascii="宋体" w:hAnsi="宋体" w:eastAsia="宋体" w:cs="宋体"/>
      <w:color w:val="000000"/>
      <w:sz w:val="24"/>
      <w:szCs w:val="24"/>
    </w:rPr>
  </w:style>
  <w:style w:type="character" w:customStyle="1" w:styleId="96">
    <w:name w:val="fontstyle21"/>
    <w:qFormat/>
    <w:uiPriority w:val="0"/>
    <w:rPr>
      <w:rFonts w:ascii="TimesNewRomanPSMT" w:hAnsi="TimesNewRomanPSMT" w:eastAsia="TimesNewRomanPSMT" w:cs="TimesNewRomanPSMT"/>
      <w:color w:val="000000"/>
      <w:sz w:val="24"/>
      <w:szCs w:val="24"/>
    </w:rPr>
  </w:style>
  <w:style w:type="paragraph" w:customStyle="1" w:styleId="97">
    <w:name w:val="陈表格标题"/>
    <w:basedOn w:val="1"/>
    <w:next w:val="22"/>
    <w:qFormat/>
    <w:uiPriority w:val="0"/>
    <w:pPr>
      <w:adjustRightInd w:val="0"/>
      <w:snapToGrid w:val="0"/>
      <w:ind w:firstLine="720"/>
      <w:jc w:val="center"/>
    </w:pPr>
    <w:rPr>
      <w:b/>
      <w:kern w:val="0"/>
      <w:szCs w:val="20"/>
    </w:rPr>
  </w:style>
  <w:style w:type="paragraph" w:customStyle="1" w:styleId="98">
    <w:name w:val="陈表格"/>
    <w:basedOn w:val="1"/>
    <w:qFormat/>
    <w:uiPriority w:val="0"/>
    <w:pPr>
      <w:adjustRightInd w:val="0"/>
      <w:snapToGrid w:val="0"/>
      <w:jc w:val="center"/>
    </w:pPr>
    <w:rPr>
      <w:kern w:val="0"/>
      <w:szCs w:val="20"/>
    </w:rPr>
  </w:style>
  <w:style w:type="paragraph" w:customStyle="1" w:styleId="99">
    <w:name w:val="1正文"/>
    <w:basedOn w:val="1"/>
    <w:qFormat/>
    <w:uiPriority w:val="0"/>
    <w:pPr>
      <w:adjustRightInd w:val="0"/>
      <w:snapToGrid w:val="0"/>
      <w:spacing w:line="360" w:lineRule="auto"/>
      <w:ind w:firstLine="200" w:firstLineChars="200"/>
      <w:jc w:val="left"/>
    </w:pPr>
    <w:rPr>
      <w:rFonts w:ascii="仿宋体" w:hAnsi="仿宋体" w:cs="仿宋体"/>
      <w:kern w:val="0"/>
      <w:sz w:val="24"/>
      <w:szCs w:val="20"/>
    </w:rPr>
  </w:style>
  <w:style w:type="paragraph" w:customStyle="1" w:styleId="100">
    <w:name w:val="文华表格"/>
    <w:basedOn w:val="1"/>
    <w:qFormat/>
    <w:uiPriority w:val="0"/>
    <w:pPr>
      <w:ind w:left="-35" w:leftChars="-35" w:right="-35" w:rightChars="-35"/>
      <w:jc w:val="center"/>
      <w:textAlignment w:val="center"/>
    </w:pPr>
    <w:rPr>
      <w:color w:val="000000"/>
    </w:rPr>
  </w:style>
  <w:style w:type="paragraph" w:customStyle="1" w:styleId="101">
    <w:name w:val="创业表格标准"/>
    <w:basedOn w:val="8"/>
    <w:qFormat/>
    <w:uiPriority w:val="0"/>
    <w:pPr>
      <w:keepNext w:val="0"/>
      <w:tabs>
        <w:tab w:val="left" w:pos="1290"/>
        <w:tab w:val="left" w:pos="4179"/>
      </w:tabs>
      <w:overflowPunct w:val="0"/>
      <w:spacing w:line="312" w:lineRule="auto"/>
      <w:ind w:left="10" w:leftChars="10" w:right="10" w:rightChars="10"/>
      <w:textAlignment w:val="center"/>
      <w:outlineLvl w:val="9"/>
    </w:pPr>
    <w:rPr>
      <w:rFonts w:ascii="Calibri" w:hAnsi="Calibri" w:eastAsia="宋体"/>
      <w:sz w:val="21"/>
    </w:rPr>
  </w:style>
  <w:style w:type="paragraph" w:customStyle="1" w:styleId="102">
    <w:name w:val="文本框样式"/>
    <w:basedOn w:val="1"/>
    <w:qFormat/>
    <w:uiPriority w:val="0"/>
    <w:pPr>
      <w:jc w:val="center"/>
    </w:pPr>
    <w:rPr>
      <w:szCs w:val="21"/>
    </w:rPr>
  </w:style>
  <w:style w:type="paragraph" w:customStyle="1" w:styleId="103">
    <w:name w:val="样式 ysl04 + 首行缩进:  2 字符"/>
    <w:basedOn w:val="1"/>
    <w:qFormat/>
    <w:uiPriority w:val="0"/>
    <w:pPr>
      <w:widowControl/>
      <w:spacing w:line="360" w:lineRule="auto"/>
      <w:ind w:left="210" w:leftChars="100" w:firstLine="562" w:firstLineChars="200"/>
      <w:jc w:val="left"/>
    </w:pPr>
    <w:rPr>
      <w:rFonts w:ascii="宋体" w:hAnsi="宋体" w:cs="宋体"/>
      <w:bCs/>
      <w:sz w:val="28"/>
      <w:szCs w:val="20"/>
    </w:rPr>
  </w:style>
  <w:style w:type="paragraph" w:customStyle="1" w:styleId="104">
    <w:name w:val="创业正文"/>
    <w:basedOn w:val="1"/>
    <w:link w:val="105"/>
    <w:qFormat/>
    <w:uiPriority w:val="99"/>
    <w:pPr>
      <w:widowControl/>
      <w:autoSpaceDE w:val="0"/>
      <w:autoSpaceDN w:val="0"/>
      <w:adjustRightInd w:val="0"/>
      <w:snapToGrid w:val="0"/>
      <w:spacing w:line="480" w:lineRule="exact"/>
      <w:ind w:firstLine="480" w:firstLineChars="200"/>
      <w:jc w:val="left"/>
    </w:pPr>
    <w:rPr>
      <w:bCs/>
      <w:sz w:val="24"/>
      <w:szCs w:val="28"/>
      <w:lang w:val="zh-CN"/>
    </w:rPr>
  </w:style>
  <w:style w:type="character" w:customStyle="1" w:styleId="105">
    <w:name w:val="创业正文 Char"/>
    <w:link w:val="104"/>
    <w:qFormat/>
    <w:uiPriority w:val="99"/>
    <w:rPr>
      <w:rFonts w:ascii="Times New Roman" w:hAnsi="Times New Roman"/>
      <w:bCs/>
      <w:sz w:val="24"/>
      <w:szCs w:val="28"/>
      <w:lang w:val="zh-CN"/>
    </w:rPr>
  </w:style>
  <w:style w:type="paragraph" w:customStyle="1" w:styleId="106">
    <w:name w:val="题注样式"/>
    <w:basedOn w:val="107"/>
    <w:qFormat/>
    <w:uiPriority w:val="0"/>
  </w:style>
  <w:style w:type="paragraph" w:customStyle="1" w:styleId="107">
    <w:name w:val="表头"/>
    <w:basedOn w:val="108"/>
    <w:qFormat/>
    <w:uiPriority w:val="0"/>
    <w:pPr>
      <w:spacing w:line="300" w:lineRule="atLeast"/>
      <w:textAlignment w:val="baseline"/>
    </w:pPr>
    <w:rPr>
      <w:rFonts w:hAnsi="宋体" w:eastAsia="黑体"/>
    </w:rPr>
  </w:style>
  <w:style w:type="paragraph" w:customStyle="1" w:styleId="108">
    <w:name w:val="图表"/>
    <w:basedOn w:val="1"/>
    <w:qFormat/>
    <w:uiPriority w:val="0"/>
    <w:pPr>
      <w:adjustRightInd w:val="0"/>
      <w:snapToGrid w:val="0"/>
      <w:jc w:val="center"/>
    </w:pPr>
    <w:rPr>
      <w:color w:val="000000"/>
      <w:szCs w:val="22"/>
      <w:lang w:val="zh-CN"/>
    </w:rPr>
  </w:style>
  <w:style w:type="paragraph" w:customStyle="1" w:styleId="109">
    <w:name w:val="正文新"/>
    <w:basedOn w:val="13"/>
    <w:qFormat/>
    <w:uiPriority w:val="0"/>
    <w:pPr>
      <w:spacing w:line="300" w:lineRule="auto"/>
      <w:ind w:firstLine="510"/>
    </w:pPr>
    <w:rPr>
      <w:rFonts w:hAnsi="Arial"/>
      <w:kern w:val="0"/>
      <w:sz w:val="24"/>
      <w:szCs w:val="20"/>
    </w:rPr>
  </w:style>
  <w:style w:type="paragraph" w:customStyle="1" w:styleId="110">
    <w:name w:val="无间隔1"/>
    <w:next w:val="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1">
    <w:name w:val="样式 自动设置"/>
    <w:basedOn w:val="1"/>
    <w:qFormat/>
    <w:uiPriority w:val="0"/>
    <w:pPr>
      <w:autoSpaceDE w:val="0"/>
      <w:autoSpaceDN w:val="0"/>
      <w:adjustRightInd w:val="0"/>
      <w:snapToGrid w:val="0"/>
      <w:spacing w:beforeLines="50" w:line="288" w:lineRule="auto"/>
      <w:ind w:firstLine="200" w:firstLineChars="200"/>
    </w:pPr>
    <w:rPr>
      <w:sz w:val="24"/>
      <w:szCs w:val="20"/>
    </w:rPr>
  </w:style>
  <w:style w:type="paragraph" w:customStyle="1" w:styleId="112">
    <w:name w:val="图表文字"/>
    <w:basedOn w:val="1"/>
    <w:qFormat/>
    <w:uiPriority w:val="0"/>
    <w:pPr>
      <w:jc w:val="center"/>
    </w:pPr>
    <w:rPr>
      <w:rFonts w:ascii="仿宋_GB2312" w:eastAsia="仿宋_GB2312"/>
    </w:rPr>
  </w:style>
  <w:style w:type="paragraph" w:customStyle="1" w:styleId="113">
    <w:name w:val="表格正文"/>
    <w:basedOn w:val="1"/>
    <w:qFormat/>
    <w:uiPriority w:val="0"/>
    <w:pPr>
      <w:adjustRightInd w:val="0"/>
      <w:snapToGrid w:val="0"/>
      <w:jc w:val="center"/>
      <w:textAlignment w:val="baseline"/>
    </w:pPr>
    <w:rPr>
      <w:kern w:val="0"/>
      <w:szCs w:val="20"/>
    </w:rPr>
  </w:style>
  <w:style w:type="paragraph" w:customStyle="1" w:styleId="114">
    <w:name w:val="备注"/>
    <w:basedOn w:val="115"/>
    <w:qFormat/>
    <w:uiPriority w:val="0"/>
    <w:pPr>
      <w:autoSpaceDE w:val="0"/>
      <w:autoSpaceDN w:val="0"/>
      <w:adjustRightInd w:val="0"/>
      <w:spacing w:line="240" w:lineRule="auto"/>
      <w:ind w:firstLine="200" w:firstLineChars="200"/>
      <w:jc w:val="both"/>
    </w:pPr>
    <w:rPr>
      <w:b w:val="0"/>
      <w:color w:val="000000"/>
      <w:spacing w:val="-2"/>
      <w:kern w:val="0"/>
      <w:sz w:val="21"/>
      <w:szCs w:val="28"/>
      <w:lang w:val="zh-CN"/>
    </w:rPr>
  </w:style>
  <w:style w:type="paragraph" w:customStyle="1" w:styleId="115">
    <w:name w:val="创业表头"/>
    <w:basedOn w:val="1"/>
    <w:qFormat/>
    <w:uiPriority w:val="99"/>
    <w:pPr>
      <w:snapToGrid w:val="0"/>
      <w:spacing w:line="360" w:lineRule="auto"/>
      <w:jc w:val="center"/>
    </w:pPr>
    <w:rPr>
      <w:b/>
      <w:sz w:val="24"/>
      <w:szCs w:val="20"/>
    </w:rPr>
  </w:style>
  <w:style w:type="paragraph" w:customStyle="1" w:styleId="116">
    <w:name w:val="1  正文"/>
    <w:basedOn w:val="1"/>
    <w:qFormat/>
    <w:uiPriority w:val="0"/>
    <w:pPr>
      <w:spacing w:line="500" w:lineRule="exact"/>
      <w:ind w:firstLine="200" w:firstLineChars="200"/>
    </w:pPr>
    <w:rPr>
      <w:sz w:val="24"/>
    </w:rPr>
  </w:style>
  <w:style w:type="table" w:customStyle="1" w:styleId="117">
    <w:name w:val="表格-三线表"/>
    <w:qFormat/>
    <w:uiPriority w:val="0"/>
    <w:pPr>
      <w:jc w:val="center"/>
    </w:pPr>
    <w:rPr>
      <w:kern w:val="2"/>
      <w:sz w:val="21"/>
      <w:szCs w:val="22"/>
    </w:rPr>
    <w:tblPr>
      <w:jc w:val="center"/>
      <w:tblBorders>
        <w:top w:val="single" w:color="auto" w:sz="12" w:space="0"/>
        <w:bottom w:val="single" w:color="auto" w:sz="12" w:space="0"/>
        <w:insideH w:val="single" w:color="auto" w:sz="4" w:space="0"/>
        <w:insideV w:val="single" w:color="auto" w:sz="4" w:space="0"/>
      </w:tblBorders>
      <w:tblCellMar>
        <w:top w:w="0" w:type="dxa"/>
        <w:left w:w="0" w:type="dxa"/>
        <w:bottom w:w="0" w:type="dxa"/>
        <w:right w:w="0" w:type="dxa"/>
      </w:tblCellMar>
    </w:tblPr>
    <w:trPr>
      <w:jc w:val="center"/>
    </w:trPr>
    <w:tcPr>
      <w:vAlign w:val="center"/>
    </w:tcPr>
  </w:style>
  <w:style w:type="character" w:customStyle="1" w:styleId="118">
    <w:name w:val="font11"/>
    <w:basedOn w:val="29"/>
    <w:qFormat/>
    <w:uiPriority w:val="0"/>
    <w:rPr>
      <w:rFonts w:hint="eastAsia" w:ascii="宋体" w:hAnsi="宋体" w:eastAsia="宋体" w:cs="宋体"/>
      <w:color w:val="000000"/>
      <w:sz w:val="21"/>
      <w:szCs w:val="21"/>
      <w:u w:val="none"/>
    </w:rPr>
  </w:style>
  <w:style w:type="paragraph" w:customStyle="1" w:styleId="119">
    <w:name w:val="xl25"/>
    <w:basedOn w:val="1"/>
    <w:qFormat/>
    <w:uiPriority w:val="0"/>
    <w:pPr>
      <w:widowControl/>
      <w:pBdr>
        <w:left w:val="single" w:color="auto" w:sz="4" w:space="0"/>
        <w:right w:val="single" w:color="auto" w:sz="4" w:space="0"/>
      </w:pBdr>
      <w:spacing w:before="100" w:after="100"/>
      <w:jc w:val="center"/>
    </w:pPr>
    <w:rPr>
      <w:rFonts w:ascii="等线" w:hAnsi="等线" w:eastAsia="等线"/>
      <w:kern w:val="0"/>
      <w:sz w:val="24"/>
      <w:szCs w:val="20"/>
    </w:rPr>
  </w:style>
  <w:style w:type="character" w:customStyle="1" w:styleId="120">
    <w:name w:val="font31"/>
    <w:basedOn w:val="29"/>
    <w:qFormat/>
    <w:uiPriority w:val="0"/>
    <w:rPr>
      <w:rFonts w:hint="eastAsia" w:ascii="宋体" w:hAnsi="宋体" w:eastAsia="宋体" w:cs="宋体"/>
      <w:color w:val="000000"/>
      <w:sz w:val="21"/>
      <w:szCs w:val="21"/>
      <w:u w:val="none"/>
    </w:rPr>
  </w:style>
  <w:style w:type="character" w:customStyle="1" w:styleId="121">
    <w:name w:val="font21"/>
    <w:basedOn w:val="29"/>
    <w:qFormat/>
    <w:uiPriority w:val="0"/>
    <w:rPr>
      <w:rFonts w:hint="default" w:ascii="Times New Roman" w:hAnsi="Times New Roman" w:cs="Times New Roman"/>
      <w:color w:val="0000FF"/>
      <w:sz w:val="21"/>
      <w:szCs w:val="21"/>
      <w:u w:val="none"/>
    </w:rPr>
  </w:style>
  <w:style w:type="character" w:customStyle="1" w:styleId="122">
    <w:name w:val="font41"/>
    <w:basedOn w:val="29"/>
    <w:qFormat/>
    <w:uiPriority w:val="0"/>
    <w:rPr>
      <w:rFonts w:hint="eastAsia" w:ascii="宋体" w:hAnsi="宋体" w:eastAsia="宋体" w:cs="宋体"/>
      <w:color w:val="0000FF"/>
      <w:sz w:val="21"/>
      <w:szCs w:val="21"/>
      <w:u w:val="none"/>
    </w:rPr>
  </w:style>
  <w:style w:type="character" w:customStyle="1" w:styleId="123">
    <w:name w:val="font51"/>
    <w:basedOn w:val="29"/>
    <w:qFormat/>
    <w:uiPriority w:val="0"/>
    <w:rPr>
      <w:rFonts w:hint="eastAsia" w:ascii="宋体" w:hAnsi="宋体" w:eastAsia="宋体" w:cs="宋体"/>
      <w:color w:val="000000"/>
      <w:sz w:val="21"/>
      <w:szCs w:val="21"/>
      <w:u w:val="none"/>
    </w:rPr>
  </w:style>
  <w:style w:type="paragraph" w:customStyle="1" w:styleId="124">
    <w:name w:val="正文缩进11"/>
    <w:basedOn w:val="1"/>
    <w:qFormat/>
    <w:uiPriority w:val="0"/>
    <w:pPr>
      <w:adjustRightInd w:val="0"/>
      <w:ind w:firstLine="420" w:firstLineChars="200"/>
      <w:textAlignment w:val="baseline"/>
    </w:pPr>
    <w:rPr>
      <w:rFonts w:hint="eastAsia" w:ascii="等线" w:hAnsi="宋体" w:eastAsia="等线"/>
      <w:sz w:val="24"/>
      <w:szCs w:val="20"/>
    </w:rPr>
  </w:style>
  <w:style w:type="paragraph" w:customStyle="1" w:styleId="125">
    <w:name w:val="Char Char Char"/>
    <w:basedOn w:val="1"/>
    <w:qFormat/>
    <w:uiPriority w:val="0"/>
    <w:rPr>
      <w:rFonts w:ascii="Tahoma" w:hAnsi="Tahoma"/>
      <w:sz w:val="24"/>
      <w:szCs w:val="20"/>
    </w:rPr>
  </w:style>
  <w:style w:type="paragraph" w:customStyle="1" w:styleId="126">
    <w:name w:val="Table Text"/>
    <w:basedOn w:val="1"/>
    <w:semiHidden/>
    <w:qFormat/>
    <w:uiPriority w:val="0"/>
    <w:rPr>
      <w:rFonts w:ascii="宋体" w:hAnsi="宋体" w:cs="宋体"/>
      <w:sz w:val="24"/>
      <w:lang w:eastAsia="en-US"/>
    </w:rPr>
  </w:style>
  <w:style w:type="table" w:customStyle="1" w:styleId="127">
    <w:name w:val="Table Normal"/>
    <w:unhideWhenUsed/>
    <w:qFormat/>
    <w:uiPriority w:val="0"/>
    <w:tblPr>
      <w:tblCellMar>
        <w:top w:w="0" w:type="dxa"/>
        <w:left w:w="0" w:type="dxa"/>
        <w:bottom w:w="0" w:type="dxa"/>
        <w:right w:w="0" w:type="dxa"/>
      </w:tblCellMar>
    </w:tblPr>
  </w:style>
  <w:style w:type="paragraph" w:customStyle="1" w:styleId="128">
    <w:name w:val="列表段落1"/>
    <w:basedOn w:val="1"/>
    <w:qFormat/>
    <w:uiPriority w:val="0"/>
    <w:pPr>
      <w:ind w:firstLine="420" w:firstLineChars="200"/>
    </w:pPr>
    <w:rPr>
      <w:rFonts w:ascii="Calibri" w:hAnsi="Calibri"/>
      <w:szCs w:val="22"/>
    </w:rPr>
  </w:style>
  <w:style w:type="paragraph" w:customStyle="1" w:styleId="129">
    <w:name w:val="表蕊居中"/>
    <w:qFormat/>
    <w:uiPriority w:val="0"/>
    <w:pPr>
      <w:spacing w:line="320" w:lineRule="exact"/>
      <w:jc w:val="center"/>
    </w:pPr>
    <w:rPr>
      <w:rFonts w:ascii="Calibri" w:hAnsi="Calibri" w:eastAsia="宋体" w:cs="Times New Roman"/>
      <w:spacing w:val="8"/>
      <w:kern w:val="2"/>
      <w:sz w:val="21"/>
      <w:szCs w:val="28"/>
      <w:lang w:val="en-US" w:eastAsia="zh-CN" w:bidi="ar-SA"/>
    </w:rPr>
  </w:style>
  <w:style w:type="character" w:customStyle="1" w:styleId="130">
    <w:name w:val="纯文本 Char"/>
    <w:qFormat/>
    <w:locked/>
    <w:uiPriority w:val="0"/>
    <w:rPr>
      <w:rFonts w:ascii="宋体" w:hAnsi="Courier New"/>
      <w:sz w:val="21"/>
      <w:szCs w:val="28"/>
    </w:rPr>
  </w:style>
  <w:style w:type="paragraph" w:customStyle="1" w:styleId="131">
    <w:name w:val="样式 正文文本 + 首行缩进:  2 字符"/>
    <w:basedOn w:val="1"/>
    <w:qFormat/>
    <w:uiPriority w:val="0"/>
    <w:pPr>
      <w:widowControl/>
      <w:spacing w:before="100" w:beforeAutospacing="1" w:after="200" w:line="480" w:lineRule="exact"/>
      <w:ind w:firstLine="480" w:firstLineChars="200"/>
      <w:jc w:val="left"/>
    </w:pPr>
    <w:rPr>
      <w:rFonts w:eastAsia="微软雅黑"/>
      <w:kern w:val="0"/>
      <w:sz w:val="24"/>
    </w:rPr>
  </w:style>
  <w:style w:type="character" w:customStyle="1" w:styleId="132">
    <w:name w:val="checkbox2"/>
    <w:basedOn w:val="29"/>
    <w:qFormat/>
    <w:uiPriority w:val="0"/>
  </w:style>
  <w:style w:type="paragraph" w:customStyle="1" w:styleId="133">
    <w:name w:val="5"/>
    <w:basedOn w:val="1"/>
    <w:next w:val="11"/>
    <w:qFormat/>
    <w:uiPriority w:val="0"/>
    <w:pPr>
      <w:spacing w:line="360" w:lineRule="auto"/>
      <w:ind w:firstLine="560" w:firstLineChars="200"/>
    </w:pPr>
    <w:rPr>
      <w:rFonts w:ascii="宋体" w:hAnsi="宋体" w:eastAsia="等线" w:cs="等线"/>
      <w:color w:val="000000"/>
      <w:sz w:val="28"/>
    </w:rPr>
  </w:style>
  <w:style w:type="paragraph" w:customStyle="1" w:styleId="134">
    <w:name w:val="表格式"/>
    <w:basedOn w:val="21"/>
    <w:qFormat/>
    <w:uiPriority w:val="0"/>
    <w:pPr>
      <w:widowControl/>
      <w:spacing w:line="340" w:lineRule="exact"/>
    </w:pPr>
    <w:rPr>
      <w:rFonts w:ascii="宋体" w:hAnsi="宋体"/>
    </w:rPr>
  </w:style>
  <w:style w:type="paragraph" w:customStyle="1" w:styleId="135">
    <w:name w:val="表1"/>
    <w:basedOn w:val="1"/>
    <w:qFormat/>
    <w:uiPriority w:val="0"/>
    <w:pPr>
      <w:spacing w:line="240" w:lineRule="atLeast"/>
      <w:jc w:val="center"/>
    </w:pPr>
    <w:rPr>
      <w:rFonts w:ascii="等线" w:hAnsi="等线" w:eastAsia="等线"/>
      <w:color w:val="000000"/>
      <w:szCs w:val="21"/>
    </w:rPr>
  </w:style>
  <w:style w:type="paragraph" w:customStyle="1" w:styleId="136">
    <w:name w:val="报告表正文"/>
    <w:basedOn w:val="137"/>
    <w:qFormat/>
    <w:uiPriority w:val="0"/>
    <w:pPr>
      <w:ind w:firstLine="200" w:firstLineChars="200"/>
      <w:jc w:val="left"/>
    </w:pPr>
    <w:rPr>
      <w:rFonts w:ascii="Times New Roman" w:hAnsi="Times New Roman"/>
      <w:szCs w:val="24"/>
    </w:rPr>
  </w:style>
  <w:style w:type="paragraph" w:customStyle="1" w:styleId="137">
    <w:name w:val="列表1"/>
    <w:basedOn w:val="1"/>
    <w:qFormat/>
    <w:uiPriority w:val="0"/>
    <w:pPr>
      <w:spacing w:line="400" w:lineRule="exact"/>
      <w:jc w:val="center"/>
    </w:pPr>
    <w:rPr>
      <w:rFonts w:ascii="宋体" w:hAnsi="宋体" w:eastAsia="仿宋_GB2312"/>
      <w:sz w:val="24"/>
      <w:szCs w:val="20"/>
    </w:rPr>
  </w:style>
  <w:style w:type="paragraph" w:customStyle="1" w:styleId="138">
    <w:name w:val="第一、五章 表格正文"/>
    <w:basedOn w:val="9"/>
    <w:qFormat/>
    <w:uiPriority w:val="0"/>
    <w:pPr>
      <w:jc w:val="center"/>
    </w:pPr>
    <w:rPr>
      <w:rFonts w:eastAsia="仿宋_GB2312"/>
    </w:rPr>
  </w:style>
  <w:style w:type="paragraph" w:customStyle="1" w:styleId="139">
    <w:name w:val="表"/>
    <w:basedOn w:val="1"/>
    <w:qFormat/>
    <w:uiPriority w:val="0"/>
    <w:pPr>
      <w:snapToGrid w:val="0"/>
      <w:jc w:val="center"/>
    </w:pPr>
    <w:rPr>
      <w:spacing w:val="2"/>
      <w:kern w:val="0"/>
      <w:szCs w:val="20"/>
    </w:rPr>
  </w:style>
  <w:style w:type="paragraph" w:customStyle="1" w:styleId="140">
    <w:name w:val="List Paragraph"/>
    <w:basedOn w:val="1"/>
    <w:qFormat/>
    <w:uiPriority w:val="99"/>
    <w:pPr>
      <w:ind w:firstLine="420" w:firstLineChars="200"/>
    </w:pPr>
    <w:rPr>
      <w:sz w:val="24"/>
      <w:szCs w:val="20"/>
    </w:rPr>
  </w:style>
  <w:style w:type="character" w:customStyle="1" w:styleId="141">
    <w:name w:val="t_tag"/>
    <w:qFormat/>
    <w:uiPriority w:val="99"/>
    <w:rPr>
      <w:rFonts w:cs="Times New Roman"/>
    </w:rPr>
  </w:style>
  <w:style w:type="paragraph" w:customStyle="1" w:styleId="142">
    <w:name w:val="报告正文"/>
    <w:basedOn w:val="1"/>
    <w:qFormat/>
    <w:uiPriority w:val="0"/>
    <w:pPr>
      <w:spacing w:line="360" w:lineRule="auto"/>
      <w:ind w:firstLine="480" w:firstLineChars="200"/>
    </w:pPr>
    <w:rPr>
      <w:bCs/>
      <w:sz w:val="24"/>
      <w:szCs w:val="24"/>
    </w:rPr>
  </w:style>
  <w:style w:type="paragraph" w:customStyle="1" w:styleId="143">
    <w:name w:val="1图表文字"/>
    <w:basedOn w:val="1"/>
    <w:unhideWhenUsed/>
    <w:qFormat/>
    <w:uiPriority w:val="0"/>
    <w:pPr>
      <w:spacing w:beforeLines="0" w:afterLines="0" w:line="240" w:lineRule="auto"/>
      <w:ind w:firstLine="0" w:firstLineChars="0"/>
      <w:jc w:val="center"/>
    </w:pPr>
    <w:rPr>
      <w:rFonts w:hint="eastAsia" w:ascii="Times New Roman" w:hAnsi="Times New Roman"/>
      <w:b/>
      <w:sz w:val="24"/>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2.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48.png"/><Relationship Id="rId91" Type="http://schemas.openxmlformats.org/officeDocument/2006/relationships/image" Target="media/image47.wmf"/><Relationship Id="rId90" Type="http://schemas.openxmlformats.org/officeDocument/2006/relationships/oleObject" Target="embeddings/oleObject38.bin"/><Relationship Id="rId9" Type="http://schemas.openxmlformats.org/officeDocument/2006/relationships/image" Target="media/image3.jpeg"/><Relationship Id="rId89" Type="http://schemas.openxmlformats.org/officeDocument/2006/relationships/image" Target="media/image46.wmf"/><Relationship Id="rId88" Type="http://schemas.openxmlformats.org/officeDocument/2006/relationships/oleObject" Target="embeddings/oleObject37.bin"/><Relationship Id="rId87" Type="http://schemas.openxmlformats.org/officeDocument/2006/relationships/image" Target="media/image45.wmf"/><Relationship Id="rId86" Type="http://schemas.openxmlformats.org/officeDocument/2006/relationships/oleObject" Target="embeddings/oleObject36.bin"/><Relationship Id="rId85" Type="http://schemas.openxmlformats.org/officeDocument/2006/relationships/image" Target="media/image44.wmf"/><Relationship Id="rId84" Type="http://schemas.openxmlformats.org/officeDocument/2006/relationships/oleObject" Target="embeddings/oleObject35.bin"/><Relationship Id="rId83" Type="http://schemas.openxmlformats.org/officeDocument/2006/relationships/image" Target="media/image43.wmf"/><Relationship Id="rId82" Type="http://schemas.openxmlformats.org/officeDocument/2006/relationships/oleObject" Target="embeddings/oleObject34.bin"/><Relationship Id="rId81" Type="http://schemas.openxmlformats.org/officeDocument/2006/relationships/image" Target="media/image42.wmf"/><Relationship Id="rId80" Type="http://schemas.openxmlformats.org/officeDocument/2006/relationships/oleObject" Target="embeddings/oleObject33.bin"/><Relationship Id="rId8" Type="http://schemas.openxmlformats.org/officeDocument/2006/relationships/image" Target="media/image2.jpeg"/><Relationship Id="rId79" Type="http://schemas.openxmlformats.org/officeDocument/2006/relationships/image" Target="media/image41.wmf"/><Relationship Id="rId78" Type="http://schemas.openxmlformats.org/officeDocument/2006/relationships/oleObject" Target="embeddings/oleObject32.bin"/><Relationship Id="rId77" Type="http://schemas.openxmlformats.org/officeDocument/2006/relationships/image" Target="media/image40.wmf"/><Relationship Id="rId76" Type="http://schemas.openxmlformats.org/officeDocument/2006/relationships/oleObject" Target="embeddings/oleObject31.bin"/><Relationship Id="rId75" Type="http://schemas.openxmlformats.org/officeDocument/2006/relationships/image" Target="media/image39.wmf"/><Relationship Id="rId74" Type="http://schemas.openxmlformats.org/officeDocument/2006/relationships/oleObject" Target="embeddings/oleObject30.bin"/><Relationship Id="rId73" Type="http://schemas.openxmlformats.org/officeDocument/2006/relationships/image" Target="media/image38.wmf"/><Relationship Id="rId72" Type="http://schemas.openxmlformats.org/officeDocument/2006/relationships/oleObject" Target="embeddings/oleObject29.bin"/><Relationship Id="rId71" Type="http://schemas.openxmlformats.org/officeDocument/2006/relationships/image" Target="media/image37.wmf"/><Relationship Id="rId70" Type="http://schemas.openxmlformats.org/officeDocument/2006/relationships/oleObject" Target="embeddings/oleObject28.bin"/><Relationship Id="rId7" Type="http://schemas.openxmlformats.org/officeDocument/2006/relationships/image" Target="media/image1.jpeg"/><Relationship Id="rId69" Type="http://schemas.openxmlformats.org/officeDocument/2006/relationships/image" Target="media/image36.wmf"/><Relationship Id="rId68" Type="http://schemas.openxmlformats.org/officeDocument/2006/relationships/oleObject" Target="embeddings/oleObject27.bin"/><Relationship Id="rId67" Type="http://schemas.openxmlformats.org/officeDocument/2006/relationships/image" Target="media/image35.wmf"/><Relationship Id="rId66" Type="http://schemas.openxmlformats.org/officeDocument/2006/relationships/oleObject" Target="embeddings/oleObject26.bin"/><Relationship Id="rId65" Type="http://schemas.openxmlformats.org/officeDocument/2006/relationships/image" Target="media/image34.wmf"/><Relationship Id="rId64" Type="http://schemas.openxmlformats.org/officeDocument/2006/relationships/oleObject" Target="embeddings/oleObject25.bin"/><Relationship Id="rId63" Type="http://schemas.openxmlformats.org/officeDocument/2006/relationships/image" Target="media/image33.wmf"/><Relationship Id="rId62" Type="http://schemas.openxmlformats.org/officeDocument/2006/relationships/oleObject" Target="embeddings/oleObject24.bin"/><Relationship Id="rId61" Type="http://schemas.openxmlformats.org/officeDocument/2006/relationships/image" Target="media/image32.wmf"/><Relationship Id="rId60" Type="http://schemas.openxmlformats.org/officeDocument/2006/relationships/oleObject" Target="embeddings/oleObject23.bin"/><Relationship Id="rId6" Type="http://schemas.openxmlformats.org/officeDocument/2006/relationships/theme" Target="theme/theme1.xml"/><Relationship Id="rId59" Type="http://schemas.openxmlformats.org/officeDocument/2006/relationships/image" Target="media/image31.wmf"/><Relationship Id="rId58" Type="http://schemas.openxmlformats.org/officeDocument/2006/relationships/oleObject" Target="embeddings/oleObject22.bin"/><Relationship Id="rId57" Type="http://schemas.openxmlformats.org/officeDocument/2006/relationships/image" Target="media/image30.wmf"/><Relationship Id="rId56" Type="http://schemas.openxmlformats.org/officeDocument/2006/relationships/oleObject" Target="embeddings/oleObject21.bin"/><Relationship Id="rId55" Type="http://schemas.openxmlformats.org/officeDocument/2006/relationships/image" Target="media/image29.jpeg"/><Relationship Id="rId54" Type="http://schemas.openxmlformats.org/officeDocument/2006/relationships/image" Target="media/image28.wmf"/><Relationship Id="rId53" Type="http://schemas.openxmlformats.org/officeDocument/2006/relationships/oleObject" Target="embeddings/oleObject20.bin"/><Relationship Id="rId52" Type="http://schemas.openxmlformats.org/officeDocument/2006/relationships/image" Target="media/image27.wmf"/><Relationship Id="rId51" Type="http://schemas.openxmlformats.org/officeDocument/2006/relationships/oleObject" Target="embeddings/oleObject19.bin"/><Relationship Id="rId50" Type="http://schemas.openxmlformats.org/officeDocument/2006/relationships/image" Target="media/image26.wmf"/><Relationship Id="rId5" Type="http://schemas.openxmlformats.org/officeDocument/2006/relationships/footer" Target="footer3.xml"/><Relationship Id="rId49" Type="http://schemas.openxmlformats.org/officeDocument/2006/relationships/oleObject" Target="embeddings/oleObject18.bin"/><Relationship Id="rId48" Type="http://schemas.openxmlformats.org/officeDocument/2006/relationships/image" Target="media/image25.wmf"/><Relationship Id="rId47" Type="http://schemas.openxmlformats.org/officeDocument/2006/relationships/oleObject" Target="embeddings/oleObject17.bin"/><Relationship Id="rId46" Type="http://schemas.openxmlformats.org/officeDocument/2006/relationships/image" Target="media/image24.wmf"/><Relationship Id="rId45" Type="http://schemas.openxmlformats.org/officeDocument/2006/relationships/oleObject" Target="embeddings/oleObject16.bin"/><Relationship Id="rId44" Type="http://schemas.openxmlformats.org/officeDocument/2006/relationships/image" Target="media/image23.wmf"/><Relationship Id="rId43" Type="http://schemas.openxmlformats.org/officeDocument/2006/relationships/oleObject" Target="embeddings/oleObject15.bin"/><Relationship Id="rId42" Type="http://schemas.openxmlformats.org/officeDocument/2006/relationships/image" Target="media/image22.wmf"/><Relationship Id="rId41" Type="http://schemas.openxmlformats.org/officeDocument/2006/relationships/oleObject" Target="embeddings/oleObject14.bin"/><Relationship Id="rId40" Type="http://schemas.openxmlformats.org/officeDocument/2006/relationships/image" Target="media/image21.wmf"/><Relationship Id="rId4" Type="http://schemas.openxmlformats.org/officeDocument/2006/relationships/footer" Target="footer2.xml"/><Relationship Id="rId39" Type="http://schemas.openxmlformats.org/officeDocument/2006/relationships/oleObject" Target="embeddings/oleObject13.bin"/><Relationship Id="rId38" Type="http://schemas.openxmlformats.org/officeDocument/2006/relationships/image" Target="media/image20.wmf"/><Relationship Id="rId37" Type="http://schemas.openxmlformats.org/officeDocument/2006/relationships/oleObject" Target="embeddings/oleObject12.bin"/><Relationship Id="rId36" Type="http://schemas.openxmlformats.org/officeDocument/2006/relationships/image" Target="media/image19.wmf"/><Relationship Id="rId35" Type="http://schemas.openxmlformats.org/officeDocument/2006/relationships/oleObject" Target="embeddings/oleObject11.bin"/><Relationship Id="rId34" Type="http://schemas.openxmlformats.org/officeDocument/2006/relationships/image" Target="media/image18.wmf"/><Relationship Id="rId33" Type="http://schemas.openxmlformats.org/officeDocument/2006/relationships/oleObject" Target="embeddings/oleObject10.bin"/><Relationship Id="rId32" Type="http://schemas.openxmlformats.org/officeDocument/2006/relationships/oleObject" Target="embeddings/oleObject9.bin"/><Relationship Id="rId31" Type="http://schemas.openxmlformats.org/officeDocument/2006/relationships/image" Target="media/image17.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7.bin"/><Relationship Id="rId27" Type="http://schemas.openxmlformats.org/officeDocument/2006/relationships/image" Target="media/image15.wmf"/><Relationship Id="rId26" Type="http://schemas.openxmlformats.org/officeDocument/2006/relationships/oleObject" Target="embeddings/oleObject6.bin"/><Relationship Id="rId25" Type="http://schemas.openxmlformats.org/officeDocument/2006/relationships/image" Target="media/image14.wmf"/><Relationship Id="rId24" Type="http://schemas.openxmlformats.org/officeDocument/2006/relationships/oleObject" Target="embeddings/oleObject5.bin"/><Relationship Id="rId23" Type="http://schemas.openxmlformats.org/officeDocument/2006/relationships/image" Target="media/image13.wmf"/><Relationship Id="rId22" Type="http://schemas.openxmlformats.org/officeDocument/2006/relationships/oleObject" Target="embeddings/oleObject4.bin"/><Relationship Id="rId21" Type="http://schemas.openxmlformats.org/officeDocument/2006/relationships/image" Target="media/image12.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wmf"/><Relationship Id="rId17" Type="http://schemas.openxmlformats.org/officeDocument/2006/relationships/image" Target="media/image9.wmf"/><Relationship Id="rId16" Type="http://schemas.openxmlformats.org/officeDocument/2006/relationships/image" Target="media/image8.png"/><Relationship Id="rId15" Type="http://schemas.openxmlformats.org/officeDocument/2006/relationships/image" Target="media/image7.emf"/><Relationship Id="rId14" Type="http://schemas.openxmlformats.org/officeDocument/2006/relationships/oleObject" Target="embeddings/oleObject2.bin"/><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oleObject" Target="embeddings/oleObject1.bin"/><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0979F5-905C-4CB0-B7D3-457E527E44D6}">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103</Pages>
  <Words>28511</Words>
  <Characters>29882</Characters>
  <Lines>552</Lines>
  <Paragraphs>155</Paragraphs>
  <TotalTime>2</TotalTime>
  <ScaleCrop>false</ScaleCrop>
  <LinksUpToDate>false</LinksUpToDate>
  <CharactersWithSpaces>29963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球球</cp:lastModifiedBy>
  <cp:lastPrinted>2025-09-18T06:10:00Z</cp:lastPrinted>
  <dcterms:modified xsi:type="dcterms:W3CDTF">2025-11-14T07:06:24Z</dcterms:modified>
  <dc:title>附件2</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83B98564E9B14CC3A65571840854D802_13</vt:lpwstr>
  </property>
  <property fmtid="{D5CDD505-2E9C-101B-9397-08002B2CF9AE}" pid="4" name="KSOTemplateDocerSaveRecord">
    <vt:lpwstr>eyJoZGlkIjoiYWZhMzA0MTE2MGQ3ODcwOTgyMWY3NzY0ZDhkYzQxODciLCJ1c2VySWQiOiIzODk2NzQyOTcifQ==</vt:lpwstr>
  </property>
</Properties>
</file>